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674D" w14:textId="77777777" w:rsidR="00BF0272" w:rsidRDefault="00000000">
      <w:pPr>
        <w:pStyle w:val="Textoindependiente"/>
        <w:spacing w:before="80"/>
      </w:pPr>
      <w:r>
        <w:t>Edith</w:t>
      </w:r>
      <w:r>
        <w:rPr>
          <w:spacing w:val="-7"/>
        </w:rPr>
        <w:t xml:space="preserve"> </w:t>
      </w:r>
      <w:proofErr w:type="spellStart"/>
      <w:r>
        <w:t>Piaf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Marlene</w:t>
      </w:r>
      <w:r>
        <w:rPr>
          <w:spacing w:val="-4"/>
        </w:rPr>
        <w:t xml:space="preserve"> </w:t>
      </w:r>
      <w:r>
        <w:t>Dietrich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</w:t>
      </w:r>
      <w:r>
        <w:rPr>
          <w:spacing w:val="-4"/>
        </w:rPr>
        <w:t xml:space="preserve"> </w:t>
      </w:r>
      <w:r>
        <w:rPr>
          <w:spacing w:val="-2"/>
        </w:rPr>
        <w:t>escena</w:t>
      </w:r>
    </w:p>
    <w:p w14:paraId="4C0CEDC2" w14:textId="392B436E" w:rsidR="00BF0272" w:rsidRDefault="00000000">
      <w:pPr>
        <w:pStyle w:val="Textoindependiente"/>
        <w:spacing w:line="276" w:lineRule="auto"/>
        <w:ind w:right="58"/>
      </w:pPr>
      <w:r>
        <w:t>Hace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vi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obra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teatro</w:t>
      </w:r>
      <w:r>
        <w:rPr>
          <w:spacing w:val="-9"/>
        </w:rPr>
        <w:t xml:space="preserve"> </w:t>
      </w:r>
      <w:r>
        <w:t>extraordinaria,</w:t>
      </w:r>
      <w:r>
        <w:rPr>
          <w:spacing w:val="-9"/>
        </w:rPr>
        <w:t xml:space="preserve"> </w:t>
      </w:r>
      <w:r>
        <w:t>llamada</w:t>
      </w:r>
      <w:r>
        <w:rPr>
          <w:spacing w:val="-9"/>
        </w:rPr>
        <w:t xml:space="preserve"> </w:t>
      </w:r>
      <w:r>
        <w:t>"</w:t>
      </w:r>
      <w:proofErr w:type="spellStart"/>
      <w:r>
        <w:t>Vrabčák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Anděl</w:t>
      </w:r>
      <w:proofErr w:type="spellEnd"/>
      <w:r>
        <w:t>",</w:t>
      </w:r>
      <w:r>
        <w:rPr>
          <w:spacing w:val="-9"/>
        </w:rPr>
        <w:t xml:space="preserve"> </w:t>
      </w:r>
      <w:r>
        <w:t xml:space="preserve">en español "Gorrión </w:t>
      </w:r>
      <w:r w:rsidRPr="00843B81">
        <w:rPr>
          <w:color w:val="9BBB59" w:themeColor="accent3"/>
        </w:rPr>
        <w:t>e</w:t>
      </w:r>
      <w:r w:rsidR="00EA3F70">
        <w:rPr>
          <w:rStyle w:val="Refdenotaalpie"/>
          <w:color w:val="9BBB59" w:themeColor="accent3"/>
        </w:rPr>
        <w:footnoteReference w:id="1"/>
      </w:r>
      <w:r>
        <w:t xml:space="preserve"> Ángel". La obra </w:t>
      </w:r>
      <w:r w:rsidRPr="00843B81">
        <w:rPr>
          <w:color w:val="9BBB59" w:themeColor="accent3"/>
        </w:rPr>
        <w:t>estrenó</w:t>
      </w:r>
      <w:r w:rsidR="00EA3F70">
        <w:rPr>
          <w:rStyle w:val="Refdenotaalpie"/>
          <w:color w:val="9BBB59" w:themeColor="accent3"/>
        </w:rPr>
        <w:footnoteReference w:id="2"/>
      </w:r>
      <w:r w:rsidRPr="00843B81">
        <w:rPr>
          <w:color w:val="9BBB59" w:themeColor="accent3"/>
        </w:rPr>
        <w:t xml:space="preserve"> </w:t>
      </w:r>
      <w:r>
        <w:t xml:space="preserve">el siete de noviembre de 2015 en El Teatro Municipal de Brno. El drama trata de una amistad especial entre la famosa cantante de Francia Edith </w:t>
      </w:r>
      <w:proofErr w:type="spellStart"/>
      <w:r>
        <w:t>Piaf</w:t>
      </w:r>
      <w:proofErr w:type="spellEnd"/>
      <w:r>
        <w:t xml:space="preserve">, apodada "Gorrión de los suburbios" y otra cantante alemana, no menos famosa, Marlene Dietrich. La obra es musical, es decir, está llena tanto de las maravillosas </w:t>
      </w:r>
      <w:proofErr w:type="spellStart"/>
      <w:r w:rsidRPr="00843B81">
        <w:rPr>
          <w:color w:val="FF0000"/>
        </w:rPr>
        <w:t>chansones</w:t>
      </w:r>
      <w:proofErr w:type="spellEnd"/>
      <w:r w:rsidR="00EA3F70">
        <w:rPr>
          <w:rStyle w:val="Refdenotaalpie"/>
          <w:color w:val="FF0000"/>
        </w:rPr>
        <w:footnoteReference w:id="3"/>
      </w:r>
      <w:r>
        <w:t xml:space="preserve"> de</w:t>
      </w:r>
      <w:r>
        <w:rPr>
          <w:spacing w:val="40"/>
        </w:rPr>
        <w:t xml:space="preserve"> </w:t>
      </w:r>
      <w:r w:rsidRPr="00843B81">
        <w:rPr>
          <w:color w:val="9BBB59" w:themeColor="accent3"/>
        </w:rPr>
        <w:t>señora</w:t>
      </w:r>
      <w:r w:rsidR="00EA3F70">
        <w:rPr>
          <w:rStyle w:val="Refdenotaalpie"/>
          <w:color w:val="9BBB59" w:themeColor="accent3"/>
        </w:rPr>
        <w:footnoteReference w:id="4"/>
      </w:r>
      <w:r>
        <w:t xml:space="preserve"> </w:t>
      </w:r>
      <w:proofErr w:type="spellStart"/>
      <w:r>
        <w:t>Piaf</w:t>
      </w:r>
      <w:proofErr w:type="spellEnd"/>
      <w:r>
        <w:t xml:space="preserve"> como de las canciones populares de </w:t>
      </w:r>
      <w:r w:rsidRPr="00843B81">
        <w:rPr>
          <w:color w:val="9BBB59" w:themeColor="accent3"/>
        </w:rPr>
        <w:t>señora</w:t>
      </w:r>
      <w:r>
        <w:t xml:space="preserve"> Dietrich. Lo más excepcional de la obra fue la actuación de Hana </w:t>
      </w:r>
      <w:proofErr w:type="spellStart"/>
      <w:r>
        <w:t>Holišová</w:t>
      </w:r>
      <w:proofErr w:type="spellEnd"/>
      <w:r>
        <w:t xml:space="preserve">. Su interpretación de Edith </w:t>
      </w:r>
      <w:proofErr w:type="spellStart"/>
      <w:r>
        <w:t>Piaf</w:t>
      </w:r>
      <w:proofErr w:type="spellEnd"/>
      <w:r>
        <w:t xml:space="preserve"> fue increíblemente </w:t>
      </w:r>
      <w:r w:rsidRPr="00843B81">
        <w:rPr>
          <w:color w:val="9BBB59" w:themeColor="accent3"/>
        </w:rPr>
        <w:t>exacto</w:t>
      </w:r>
      <w:r w:rsidR="00EA3F70">
        <w:rPr>
          <w:rStyle w:val="Refdenotaalpie"/>
          <w:color w:val="9BBB59" w:themeColor="accent3"/>
        </w:rPr>
        <w:footnoteReference w:id="5"/>
      </w:r>
      <w:r>
        <w:t xml:space="preserve">, el paso, los gestos y el canto. No es nada fácil cantar </w:t>
      </w:r>
      <w:r w:rsidRPr="00843B81">
        <w:rPr>
          <w:color w:val="92D050"/>
        </w:rPr>
        <w:t>los</w:t>
      </w:r>
      <w:r w:rsidR="00EA3F70">
        <w:rPr>
          <w:rStyle w:val="Refdenotaalpie"/>
          <w:color w:val="92D050"/>
        </w:rPr>
        <w:footnoteReference w:id="6"/>
      </w:r>
      <w:r w:rsidRPr="00843B81">
        <w:rPr>
          <w:color w:val="92D050"/>
        </w:rPr>
        <w:t xml:space="preserve"> </w:t>
      </w:r>
      <w:proofErr w:type="spellStart"/>
      <w:r w:rsidRPr="00843B81">
        <w:rPr>
          <w:color w:val="FF0000"/>
        </w:rPr>
        <w:t>chansones</w:t>
      </w:r>
      <w:proofErr w:type="spellEnd"/>
      <w:r w:rsidR="00EA3F70">
        <w:rPr>
          <w:rStyle w:val="Refdenotaalpie"/>
          <w:color w:val="FF0000"/>
        </w:rPr>
        <w:footnoteReference w:id="7"/>
      </w:r>
      <w:r w:rsidRPr="00843B81">
        <w:rPr>
          <w:color w:val="FF0000"/>
        </w:rPr>
        <w:t xml:space="preserve"> </w:t>
      </w:r>
      <w:r>
        <w:t xml:space="preserve">franceses y la señora </w:t>
      </w:r>
      <w:proofErr w:type="spellStart"/>
      <w:r>
        <w:t>Holišová</w:t>
      </w:r>
      <w:proofErr w:type="spellEnd"/>
      <w:r>
        <w:t xml:space="preserve"> otra vez presentó que no es solo una actriz extraordinaria, sino </w:t>
      </w:r>
      <w:r w:rsidRPr="00711AE4">
        <w:rPr>
          <w:color w:val="92D050"/>
        </w:rPr>
        <w:t>que</w:t>
      </w:r>
      <w:r w:rsidR="00711AE4">
        <w:rPr>
          <w:rStyle w:val="Refdenotaalpie"/>
          <w:color w:val="92D050"/>
        </w:rPr>
        <w:footnoteReference w:id="8"/>
      </w:r>
      <w:r>
        <w:t xml:space="preserve"> </w:t>
      </w:r>
      <w:r w:rsidRPr="00711AE4">
        <w:t xml:space="preserve">también una </w:t>
      </w:r>
      <w:r>
        <w:t>cantante asombrosa. Por supuesto, también hay que manifestar</w:t>
      </w:r>
      <w:r>
        <w:rPr>
          <w:spacing w:val="-3"/>
        </w:rPr>
        <w:t xml:space="preserve"> </w:t>
      </w:r>
      <w:r>
        <w:t>estima</w:t>
      </w:r>
      <w:r>
        <w:rPr>
          <w:spacing w:val="-3"/>
        </w:rPr>
        <w:t xml:space="preserve"> </w:t>
      </w:r>
      <w:r w:rsidRPr="00711AE4">
        <w:t>a</w:t>
      </w:r>
      <w:r w:rsidRPr="00843B81">
        <w:rPr>
          <w:color w:val="92D050"/>
          <w:spacing w:val="-3"/>
        </w:rPr>
        <w:t xml:space="preserve"> </w:t>
      </w:r>
      <w:r w:rsidRPr="00711AE4">
        <w:rPr>
          <w:color w:val="FF0000"/>
        </w:rPr>
        <w:t>todos</w:t>
      </w:r>
      <w:r w:rsidRPr="00711AE4">
        <w:rPr>
          <w:color w:val="FF0000"/>
          <w:spacing w:val="-3"/>
        </w:rPr>
        <w:t xml:space="preserve"> </w:t>
      </w:r>
      <w:r w:rsidRPr="00711AE4">
        <w:rPr>
          <w:color w:val="FF0000"/>
        </w:rPr>
        <w:t>otros</w:t>
      </w:r>
      <w:r w:rsidR="00711AE4">
        <w:rPr>
          <w:rStyle w:val="Refdenotaalpie"/>
          <w:color w:val="92D050"/>
        </w:rPr>
        <w:footnoteReference w:id="9"/>
      </w:r>
      <w:r w:rsidRPr="00843B81">
        <w:rPr>
          <w:color w:val="92D050"/>
          <w:spacing w:val="-3"/>
        </w:rPr>
        <w:t xml:space="preserve"> </w:t>
      </w:r>
      <w:r>
        <w:t>actores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orquesta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mostró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excelente.</w:t>
      </w:r>
      <w:r>
        <w:rPr>
          <w:spacing w:val="-3"/>
        </w:rPr>
        <w:t xml:space="preserve"> </w:t>
      </w:r>
      <w:r>
        <w:t xml:space="preserve">La obra cuenta </w:t>
      </w:r>
      <w:r w:rsidRPr="00843B81">
        <w:rPr>
          <w:color w:val="92D050"/>
        </w:rPr>
        <w:t>una</w:t>
      </w:r>
      <w:r w:rsidR="00711AE4">
        <w:rPr>
          <w:rStyle w:val="Refdenotaalpie"/>
          <w:color w:val="92D050"/>
        </w:rPr>
        <w:footnoteReference w:id="10"/>
      </w:r>
      <w:r>
        <w:t xml:space="preserve"> historia de vida de dos mujeres, de sus subidas y bajadas</w:t>
      </w:r>
      <w:r w:rsidRPr="00843B81">
        <w:rPr>
          <w:color w:val="7030A0"/>
        </w:rPr>
        <w:t>,</w:t>
      </w:r>
      <w:r>
        <w:t xml:space="preserve"> </w:t>
      </w:r>
      <w:r w:rsidRPr="00843B81">
        <w:rPr>
          <w:color w:val="92D050"/>
        </w:rPr>
        <w:t>momentos</w:t>
      </w:r>
      <w:r w:rsidR="00711AE4">
        <w:rPr>
          <w:rStyle w:val="Refdenotaalpie"/>
          <w:color w:val="92D050"/>
        </w:rPr>
        <w:footnoteReference w:id="11"/>
      </w:r>
      <w:r>
        <w:t xml:space="preserve"> de alegría y de tristeza. Es muy emocional y os recomiendo que </w:t>
      </w:r>
      <w:r w:rsidRPr="00843B81">
        <w:rPr>
          <w:color w:val="FFFF00"/>
        </w:rPr>
        <w:t>la vayáis a verla</w:t>
      </w:r>
      <w:r w:rsidR="00711AE4">
        <w:rPr>
          <w:rStyle w:val="Refdenotaalpie"/>
          <w:color w:val="FFFF00"/>
        </w:rPr>
        <w:footnoteReference w:id="12"/>
      </w:r>
      <w:r>
        <w:t>. Realmente vale la pena.</w:t>
      </w:r>
    </w:p>
    <w:sectPr w:rsidR="00BF0272">
      <w:type w:val="continuous"/>
      <w:pgSz w:w="11920" w:h="16840"/>
      <w:pgMar w:top="136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E515B" w14:textId="77777777" w:rsidR="00747424" w:rsidRDefault="00747424" w:rsidP="00EA3F70">
      <w:r>
        <w:separator/>
      </w:r>
    </w:p>
  </w:endnote>
  <w:endnote w:type="continuationSeparator" w:id="0">
    <w:p w14:paraId="30953EFC" w14:textId="77777777" w:rsidR="00747424" w:rsidRDefault="00747424" w:rsidP="00EA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23901" w14:textId="77777777" w:rsidR="00747424" w:rsidRDefault="00747424" w:rsidP="00EA3F70">
      <w:r>
        <w:separator/>
      </w:r>
    </w:p>
  </w:footnote>
  <w:footnote w:type="continuationSeparator" w:id="0">
    <w:p w14:paraId="6CD4B3BC" w14:textId="77777777" w:rsidR="00747424" w:rsidRDefault="00747424" w:rsidP="00EA3F70">
      <w:r>
        <w:continuationSeparator/>
      </w:r>
    </w:p>
  </w:footnote>
  <w:footnote w:id="1">
    <w:p w14:paraId="28CC3AD5" w14:textId="7133D6E3" w:rsidR="00EA3F70" w:rsidRDefault="00EA3F70">
      <w:pPr>
        <w:pStyle w:val="Textonotapie"/>
      </w:pPr>
      <w:r>
        <w:rPr>
          <w:rStyle w:val="Refdenotaalpie"/>
        </w:rPr>
        <w:footnoteRef/>
      </w:r>
      <w:r>
        <w:t xml:space="preserve"> Solo utilizamos “e” si la siguiente palabra empieza por “i”. </w:t>
      </w:r>
    </w:p>
  </w:footnote>
  <w:footnote w:id="2">
    <w:p w14:paraId="44A10198" w14:textId="5E02EE3A" w:rsidR="00EA3F70" w:rsidRDefault="00EA3F70">
      <w:pPr>
        <w:pStyle w:val="Textonotapie"/>
      </w:pPr>
      <w:r>
        <w:rPr>
          <w:rStyle w:val="Refdenotaalpie"/>
        </w:rPr>
        <w:footnoteRef/>
      </w:r>
      <w:r>
        <w:t xml:space="preserve"> El infinitivo es “estrenarse”.</w:t>
      </w:r>
    </w:p>
  </w:footnote>
  <w:footnote w:id="3">
    <w:p w14:paraId="31173598" w14:textId="153BB1E8" w:rsidR="00EA3F70" w:rsidRDefault="00EA3F70">
      <w:pPr>
        <w:pStyle w:val="Textonotapie"/>
      </w:pPr>
      <w:r>
        <w:rPr>
          <w:rStyle w:val="Refdenotaalpie"/>
        </w:rPr>
        <w:footnoteRef/>
      </w:r>
      <w:r>
        <w:t xml:space="preserve"> Si quieres introducir un término extranjero, debe ir resaltado en cursiva. </w:t>
      </w:r>
    </w:p>
  </w:footnote>
  <w:footnote w:id="4">
    <w:p w14:paraId="57D5E785" w14:textId="77BFAC1E" w:rsidR="00EA3F70" w:rsidRDefault="00EA3F70">
      <w:pPr>
        <w:pStyle w:val="Textonotapie"/>
      </w:pPr>
      <w:r>
        <w:rPr>
          <w:rStyle w:val="Refdenotaalpie"/>
        </w:rPr>
        <w:footnoteRef/>
      </w:r>
      <w:r>
        <w:t xml:space="preserve"> Debe ir con artículo. </w:t>
      </w:r>
    </w:p>
  </w:footnote>
  <w:footnote w:id="5">
    <w:p w14:paraId="62FC9A92" w14:textId="30FD70FB" w:rsidR="00EA3F70" w:rsidRDefault="00EA3F70">
      <w:pPr>
        <w:pStyle w:val="Textonotapie"/>
      </w:pPr>
      <w:r>
        <w:rPr>
          <w:rStyle w:val="Refdenotaalpie"/>
        </w:rPr>
        <w:footnoteRef/>
      </w:r>
      <w:r>
        <w:t xml:space="preserve"> Revisa la concordancia de género. </w:t>
      </w:r>
    </w:p>
  </w:footnote>
  <w:footnote w:id="6">
    <w:p w14:paraId="1BE24C8E" w14:textId="22106246" w:rsidR="00EA3F70" w:rsidRDefault="00EA3F70">
      <w:pPr>
        <w:pStyle w:val="Textonotapie"/>
      </w:pPr>
      <w:r>
        <w:rPr>
          <w:rStyle w:val="Refdenotaalpie"/>
        </w:rPr>
        <w:footnoteRef/>
      </w:r>
      <w:r>
        <w:t xml:space="preserve"> Revisa el género. </w:t>
      </w:r>
    </w:p>
  </w:footnote>
  <w:footnote w:id="7">
    <w:p w14:paraId="5D70C439" w14:textId="763DB3E1" w:rsidR="00EA3F70" w:rsidRDefault="00EA3F70">
      <w:pPr>
        <w:pStyle w:val="Textonotapie"/>
      </w:pPr>
      <w:r>
        <w:rPr>
          <w:rStyle w:val="Refdenotaalpie"/>
        </w:rPr>
        <w:footnoteRef/>
      </w:r>
      <w:r>
        <w:t xml:space="preserve"> Ver nota 3.</w:t>
      </w:r>
    </w:p>
  </w:footnote>
  <w:footnote w:id="8">
    <w:p w14:paraId="0C33F2E6" w14:textId="2DE28187" w:rsidR="00711AE4" w:rsidRDefault="00711AE4">
      <w:pPr>
        <w:pStyle w:val="Textonotapie"/>
      </w:pPr>
      <w:r>
        <w:rPr>
          <w:rStyle w:val="Refdenotaalpie"/>
        </w:rPr>
        <w:footnoteRef/>
      </w:r>
      <w:r>
        <w:t xml:space="preserve"> En la segunda frase no hace falta añadir “que”. </w:t>
      </w:r>
    </w:p>
  </w:footnote>
  <w:footnote w:id="9">
    <w:p w14:paraId="5A84E7B5" w14:textId="54732CAC" w:rsidR="00711AE4" w:rsidRDefault="00711AE4">
      <w:pPr>
        <w:pStyle w:val="Textonotapie"/>
      </w:pPr>
      <w:r>
        <w:rPr>
          <w:rStyle w:val="Refdenotaalpie"/>
        </w:rPr>
        <w:footnoteRef/>
      </w:r>
      <w:r>
        <w:t xml:space="preserve"> “los demás”</w:t>
      </w:r>
    </w:p>
  </w:footnote>
  <w:footnote w:id="10">
    <w:p w14:paraId="40157E09" w14:textId="6BE414F6" w:rsidR="00711AE4" w:rsidRDefault="00711AE4">
      <w:pPr>
        <w:pStyle w:val="Textonotapie"/>
      </w:pPr>
      <w:r>
        <w:rPr>
          <w:rStyle w:val="Refdenotaalpie"/>
        </w:rPr>
        <w:footnoteRef/>
      </w:r>
      <w:r>
        <w:t xml:space="preserve"> Estás hablando de algo concreto. </w:t>
      </w:r>
    </w:p>
  </w:footnote>
  <w:footnote w:id="11">
    <w:p w14:paraId="644AF95F" w14:textId="7CC1FD9C" w:rsidR="00711AE4" w:rsidRDefault="00711AE4">
      <w:pPr>
        <w:pStyle w:val="Textonotapie"/>
      </w:pPr>
      <w:r>
        <w:rPr>
          <w:rStyle w:val="Refdenotaalpie"/>
        </w:rPr>
        <w:footnoteRef/>
      </w:r>
      <w:r>
        <w:t xml:space="preserve"> Igual que en el resto de la enumeración, debes añadir “de”. </w:t>
      </w:r>
    </w:p>
  </w:footnote>
  <w:footnote w:id="12">
    <w:p w14:paraId="4BC6B33E" w14:textId="68036C92" w:rsidR="00711AE4" w:rsidRDefault="00711AE4">
      <w:pPr>
        <w:pStyle w:val="Textonotapie"/>
      </w:pPr>
      <w:r>
        <w:rPr>
          <w:rStyle w:val="Refdenotaalpie"/>
        </w:rPr>
        <w:footnoteRef/>
      </w:r>
      <w:r>
        <w:t xml:space="preserve"> Has incluido dos referencias a “la obra de teatro”.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72"/>
    <w:rsid w:val="00711AE4"/>
    <w:rsid w:val="00747424"/>
    <w:rsid w:val="00843B81"/>
    <w:rsid w:val="00910948"/>
    <w:rsid w:val="00BF0272"/>
    <w:rsid w:val="00E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2967"/>
  <w15:docId w15:val="{871AA3CE-26BE-45DE-9AC8-FAEA5384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8"/>
      <w:ind w:left="10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EA3F7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3F70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A3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C76D-D0BF-4E5E-8CF6-73E2DB39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resena_vankova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resena_vankova</dc:title>
  <dc:creator>Marina</dc:creator>
  <cp:lastModifiedBy>JENIFER GABRIELA PALOMO LOPEZ</cp:lastModifiedBy>
  <cp:revision>2</cp:revision>
  <dcterms:created xsi:type="dcterms:W3CDTF">2024-03-27T07:51:00Z</dcterms:created>
  <dcterms:modified xsi:type="dcterms:W3CDTF">2024-03-27T07:51:00Z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