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89" w:rsidRDefault="00A54389" w:rsidP="0077113A">
      <w:pPr>
        <w:jc w:val="center"/>
        <w:rPr>
          <w:rFonts w:ascii="Kristen ITC" w:hAnsi="Kristen ITC"/>
          <w:i/>
          <w:noProof/>
          <w:color w:val="365F91"/>
          <w:sz w:val="28"/>
          <w:szCs w:val="28"/>
          <w:lang w:val="fr-FR" w:eastAsia="zh-TW"/>
        </w:rPr>
      </w:pPr>
    </w:p>
    <w:p w:rsidR="00A361E3" w:rsidRDefault="00A361E3" w:rsidP="0077113A">
      <w:pPr>
        <w:jc w:val="center"/>
        <w:rPr>
          <w:rFonts w:ascii="Kristen ITC" w:hAnsi="Kristen ITC"/>
          <w:i/>
          <w:noProof/>
          <w:color w:val="365F91"/>
          <w:sz w:val="28"/>
          <w:szCs w:val="28"/>
          <w:lang w:val="fr-FR" w:eastAsia="zh-TW"/>
        </w:rPr>
      </w:pPr>
    </w:p>
    <w:p w:rsidR="00E06251" w:rsidRDefault="00E06251" w:rsidP="0077113A">
      <w:pPr>
        <w:jc w:val="center"/>
        <w:rPr>
          <w:rFonts w:ascii="Kristen ITC" w:hAnsi="Kristen ITC"/>
          <w:i/>
          <w:noProof/>
          <w:color w:val="365F91"/>
          <w:sz w:val="28"/>
          <w:szCs w:val="28"/>
          <w:lang w:val="fr-FR" w:eastAsia="zh-TW"/>
        </w:rPr>
      </w:pPr>
      <w:r w:rsidRPr="00E06251">
        <w:rPr>
          <w:rFonts w:ascii="Kristen ITC" w:hAnsi="Kristen ITC"/>
          <w:i/>
          <w:noProof/>
          <w:color w:val="365F91"/>
          <w:sz w:val="28"/>
          <w:szCs w:val="28"/>
          <w:lang w:val="fr-FR" w:eastAsia="zh-TW"/>
        </w:rPr>
        <w:t xml:space="preserve">Consignes pour la réalisation </w:t>
      </w:r>
    </w:p>
    <w:p w:rsidR="00D3054A" w:rsidRPr="00E06251" w:rsidRDefault="00E06251" w:rsidP="0077113A">
      <w:pPr>
        <w:jc w:val="center"/>
        <w:rPr>
          <w:rFonts w:ascii="Kristen ITC" w:hAnsi="Kristen ITC"/>
          <w:i/>
          <w:noProof/>
          <w:color w:val="365F91"/>
          <w:sz w:val="28"/>
          <w:szCs w:val="28"/>
          <w:lang w:val="fr-FR" w:eastAsia="zh-TW"/>
        </w:rPr>
      </w:pPr>
      <w:r w:rsidRPr="00E06251">
        <w:rPr>
          <w:rFonts w:ascii="Kristen ITC" w:hAnsi="Kristen ITC"/>
          <w:i/>
          <w:noProof/>
          <w:color w:val="365F91"/>
          <w:sz w:val="28"/>
          <w:szCs w:val="28"/>
          <w:lang w:val="fr-FR" w:eastAsia="zh-TW"/>
        </w:rPr>
        <w:t>des commentaires des articles</w:t>
      </w:r>
    </w:p>
    <w:p w:rsidR="00E06251" w:rsidRPr="00E06251" w:rsidRDefault="00E06251" w:rsidP="0077113A">
      <w:pPr>
        <w:jc w:val="center"/>
        <w:rPr>
          <w:rFonts w:asciiTheme="minorHAnsi" w:hAnsiTheme="minorHAnsi"/>
          <w:b/>
          <w:lang w:val="fr-FR"/>
        </w:rPr>
      </w:pPr>
    </w:p>
    <w:p w:rsidR="001944C4" w:rsidRPr="001944C4" w:rsidRDefault="00E06251" w:rsidP="001944C4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lang w:val="fr-FR"/>
        </w:rPr>
      </w:pPr>
      <w:r>
        <w:rPr>
          <w:rFonts w:asciiTheme="minorHAnsi" w:hAnsiTheme="minorHAnsi"/>
          <w:b/>
          <w:lang w:val="fr-FR"/>
        </w:rPr>
        <w:t>Articles proposés</w:t>
      </w:r>
      <w:r w:rsidR="008461C3">
        <w:rPr>
          <w:rFonts w:asciiTheme="minorHAnsi" w:hAnsiTheme="minorHAnsi"/>
          <w:b/>
          <w:lang w:val="fr-FR"/>
        </w:rPr>
        <w:t> (liste non restrictive)</w:t>
      </w:r>
    </w:p>
    <w:p w:rsidR="001944C4" w:rsidRPr="008461C3" w:rsidRDefault="001944C4" w:rsidP="00D3054A">
      <w:pPr>
        <w:autoSpaceDE w:val="0"/>
        <w:autoSpaceDN w:val="0"/>
        <w:adjustRightInd w:val="0"/>
        <w:jc w:val="both"/>
        <w:rPr>
          <w:rFonts w:asciiTheme="minorHAnsi" w:hAnsiTheme="minorHAnsi"/>
          <w:sz w:val="12"/>
          <w:szCs w:val="12"/>
          <w:lang w:val="fr-FR"/>
        </w:rPr>
      </w:pPr>
    </w:p>
    <w:p w:rsidR="00E06251" w:rsidRPr="00E06251" w:rsidRDefault="00E06251" w:rsidP="00E06251">
      <w:pPr>
        <w:autoSpaceDE w:val="0"/>
        <w:autoSpaceDN w:val="0"/>
        <w:adjustRightInd w:val="0"/>
        <w:jc w:val="both"/>
        <w:rPr>
          <w:rFonts w:ascii="Kristen ITC" w:hAnsi="Kristen ITC"/>
          <w:sz w:val="20"/>
          <w:szCs w:val="20"/>
          <w:lang w:val="fr-FR"/>
        </w:rPr>
      </w:pPr>
      <w:r w:rsidRPr="00E06251">
        <w:rPr>
          <w:rFonts w:ascii="Kristen ITC" w:hAnsi="Kristen ITC"/>
          <w:sz w:val="20"/>
          <w:szCs w:val="20"/>
          <w:lang w:val="fr-FR"/>
        </w:rPr>
        <w:t>ANAPHORE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Anaphore associative et relation partie-tout – condition d'aliénation et principe de congruence ontologique (Kleiber)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Nominalisations, référents clandestins et anaphores atypiques (Apothéloz)</w:t>
      </w:r>
    </w:p>
    <w:p w:rsidR="00E06251" w:rsidRPr="00E06251" w:rsidRDefault="00E06251" w:rsidP="00E31F95">
      <w:pPr>
        <w:autoSpaceDE w:val="0"/>
        <w:autoSpaceDN w:val="0"/>
        <w:adjustRightInd w:val="0"/>
        <w:spacing w:before="120"/>
        <w:jc w:val="both"/>
        <w:rPr>
          <w:rFonts w:ascii="Kristen ITC" w:hAnsi="Kristen ITC"/>
          <w:sz w:val="20"/>
          <w:szCs w:val="20"/>
          <w:lang w:val="fr-FR"/>
        </w:rPr>
      </w:pPr>
      <w:r w:rsidRPr="00E06251">
        <w:rPr>
          <w:rFonts w:ascii="Kristen ITC" w:hAnsi="Kristen ITC"/>
          <w:sz w:val="20"/>
          <w:szCs w:val="20"/>
          <w:lang w:val="fr-FR"/>
        </w:rPr>
        <w:t>DEIXIS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Du sens des démonstratifs à la construction d'univers (W. de Mulder)</w:t>
      </w:r>
    </w:p>
    <w:p w:rsidR="00E06251" w:rsidRPr="00E06251" w:rsidRDefault="00E06251" w:rsidP="008461C3">
      <w:pPr>
        <w:autoSpaceDE w:val="0"/>
        <w:autoSpaceDN w:val="0"/>
        <w:adjustRightInd w:val="0"/>
        <w:spacing w:before="120"/>
        <w:jc w:val="both"/>
        <w:rPr>
          <w:rFonts w:ascii="Kristen ITC" w:hAnsi="Kristen ITC"/>
          <w:sz w:val="20"/>
          <w:szCs w:val="20"/>
          <w:lang w:val="fr-FR"/>
        </w:rPr>
      </w:pPr>
      <w:r w:rsidRPr="00E06251">
        <w:rPr>
          <w:rFonts w:ascii="Kristen ITC" w:hAnsi="Kristen ITC"/>
          <w:sz w:val="20"/>
          <w:szCs w:val="20"/>
          <w:lang w:val="fr-FR"/>
        </w:rPr>
        <w:t>DISCOURS RAPPORTE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Le discours direct libre entre imitation naturelle de l’oral et ambiguïsation narrative (July)</w:t>
      </w:r>
    </w:p>
    <w:p w:rsidR="00E06251" w:rsidRPr="00E06251" w:rsidRDefault="00E06251" w:rsidP="008461C3">
      <w:pPr>
        <w:autoSpaceDE w:val="0"/>
        <w:autoSpaceDN w:val="0"/>
        <w:adjustRightInd w:val="0"/>
        <w:spacing w:before="120"/>
        <w:jc w:val="both"/>
        <w:rPr>
          <w:rFonts w:ascii="Kristen ITC" w:hAnsi="Kristen ITC"/>
          <w:sz w:val="20"/>
          <w:szCs w:val="20"/>
          <w:lang w:val="fr-FR"/>
        </w:rPr>
      </w:pPr>
      <w:r w:rsidRPr="00E06251">
        <w:rPr>
          <w:rFonts w:ascii="Kristen ITC" w:hAnsi="Kristen ITC"/>
          <w:sz w:val="20"/>
          <w:szCs w:val="20"/>
          <w:lang w:val="fr-FR"/>
        </w:rPr>
        <w:t>GRAMMATICALISATION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Grammaticalisation et évolution des systèmes grammaticaux (Marchello-Nizia)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Grammaticalisation et renouvellement: conjonctions de cause dans les langues romanes (Fagard)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La grammaticalisation de l'aspectualité : les périphrases à valeur à valeur progressive en français (Puech)</w:t>
      </w:r>
    </w:p>
    <w:p w:rsidR="00E06251" w:rsidRPr="00E06251" w:rsidRDefault="00E06251" w:rsidP="008461C3">
      <w:pPr>
        <w:autoSpaceDE w:val="0"/>
        <w:autoSpaceDN w:val="0"/>
        <w:adjustRightInd w:val="0"/>
        <w:spacing w:before="120"/>
        <w:jc w:val="both"/>
        <w:rPr>
          <w:rFonts w:ascii="Kristen ITC" w:hAnsi="Kristen ITC"/>
          <w:sz w:val="20"/>
          <w:szCs w:val="20"/>
          <w:lang w:val="fr-FR"/>
        </w:rPr>
      </w:pPr>
      <w:r w:rsidRPr="00E06251">
        <w:rPr>
          <w:rFonts w:ascii="Kristen ITC" w:hAnsi="Kristen ITC"/>
          <w:sz w:val="20"/>
          <w:szCs w:val="20"/>
          <w:lang w:val="fr-FR"/>
        </w:rPr>
        <w:t>PROPOSITION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Proposition, Phrase, Enoncé : parcours historique (Léon)</w:t>
      </w:r>
    </w:p>
    <w:p w:rsidR="00E06251" w:rsidRPr="00E06251" w:rsidRDefault="00E06251" w:rsidP="008461C3">
      <w:pPr>
        <w:autoSpaceDE w:val="0"/>
        <w:autoSpaceDN w:val="0"/>
        <w:adjustRightInd w:val="0"/>
        <w:spacing w:before="120"/>
        <w:jc w:val="both"/>
        <w:rPr>
          <w:rFonts w:ascii="Kristen ITC" w:hAnsi="Kristen ITC"/>
          <w:sz w:val="20"/>
          <w:szCs w:val="20"/>
          <w:lang w:val="fr-FR"/>
        </w:rPr>
      </w:pPr>
      <w:r w:rsidRPr="00E06251">
        <w:rPr>
          <w:rFonts w:ascii="Kristen ITC" w:hAnsi="Kristen ITC"/>
          <w:sz w:val="20"/>
          <w:szCs w:val="20"/>
          <w:lang w:val="fr-FR"/>
        </w:rPr>
        <w:t>SYNTAXE STRUCTURALE</w:t>
      </w:r>
    </w:p>
    <w:p w:rsidR="00E06251" w:rsidRPr="008461C3" w:rsidRDefault="00E06251" w:rsidP="00E06251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8461C3">
        <w:rPr>
          <w:rFonts w:asciiTheme="minorHAnsi" w:hAnsiTheme="minorHAnsi"/>
          <w:sz w:val="22"/>
          <w:szCs w:val="22"/>
          <w:lang w:val="fr-FR"/>
        </w:rPr>
        <w:t>L'affaire du petit drame - filiation franco-russe ou communauté de pensée Tesnière-Dmitrievskij (Sériot)</w:t>
      </w:r>
    </w:p>
    <w:p w:rsidR="00A802BD" w:rsidRPr="001944C4" w:rsidRDefault="00A802BD" w:rsidP="00A802BD">
      <w:pPr>
        <w:jc w:val="center"/>
        <w:rPr>
          <w:rFonts w:asciiTheme="minorHAnsi" w:hAnsiTheme="minorHAnsi"/>
          <w:b/>
          <w:lang w:val="fr-FR"/>
        </w:rPr>
      </w:pPr>
    </w:p>
    <w:p w:rsidR="00A802BD" w:rsidRPr="00666975" w:rsidRDefault="00E31F95" w:rsidP="00666975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lang w:val="fr-FR"/>
        </w:rPr>
      </w:pPr>
      <w:r>
        <w:rPr>
          <w:rFonts w:asciiTheme="minorHAnsi" w:hAnsiTheme="minorHAnsi"/>
          <w:b/>
          <w:lang w:val="fr-FR"/>
        </w:rPr>
        <w:t>Consigne</w:t>
      </w:r>
    </w:p>
    <w:p w:rsidR="00A802BD" w:rsidRPr="00955EFD" w:rsidRDefault="00A802BD" w:rsidP="00A802BD">
      <w:pPr>
        <w:autoSpaceDE w:val="0"/>
        <w:autoSpaceDN w:val="0"/>
        <w:adjustRightInd w:val="0"/>
        <w:jc w:val="both"/>
        <w:rPr>
          <w:rFonts w:asciiTheme="minorHAnsi" w:hAnsiTheme="minorHAnsi"/>
          <w:sz w:val="12"/>
          <w:szCs w:val="12"/>
          <w:lang w:val="fr-FR"/>
        </w:rPr>
      </w:pPr>
    </w:p>
    <w:p w:rsidR="00955EFD" w:rsidRDefault="00955EFD" w:rsidP="00A802BD">
      <w:pPr>
        <w:autoSpaceDE w:val="0"/>
        <w:autoSpaceDN w:val="0"/>
        <w:adjustRightInd w:val="0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Cet exercice comporte deux activités entremêlées : (i) il s’agit en premier lieu de commenter l’article choisi et (ii) de montrer en quoi il dépasse les éléments apportés en cours</w:t>
      </w:r>
      <w:r w:rsidR="00AD4AA0">
        <w:rPr>
          <w:rFonts w:asciiTheme="minorHAnsi" w:hAnsiTheme="minorHAnsi"/>
          <w:lang w:val="fr-FR"/>
        </w:rPr>
        <w:t>, en clair ce qu’il apporte en plus du cours à l’étudiant qui en fait le commentaire</w:t>
      </w:r>
      <w:r>
        <w:rPr>
          <w:rFonts w:asciiTheme="minorHAnsi" w:hAnsiTheme="minorHAnsi"/>
          <w:lang w:val="fr-FR"/>
        </w:rPr>
        <w:t xml:space="preserve">. On devra donc </w:t>
      </w:r>
      <w:r w:rsidR="00AD4AA0">
        <w:rPr>
          <w:rFonts w:asciiTheme="minorHAnsi" w:hAnsiTheme="minorHAnsi"/>
          <w:lang w:val="fr-FR"/>
        </w:rPr>
        <w:t xml:space="preserve">aussi </w:t>
      </w:r>
      <w:r>
        <w:rPr>
          <w:rFonts w:asciiTheme="minorHAnsi" w:hAnsiTheme="minorHAnsi"/>
          <w:lang w:val="fr-FR"/>
        </w:rPr>
        <w:t xml:space="preserve">rappeler brièvement ce qui a été </w:t>
      </w:r>
      <w:r w:rsidR="00AD4AA0">
        <w:rPr>
          <w:rFonts w:asciiTheme="minorHAnsi" w:hAnsiTheme="minorHAnsi"/>
          <w:lang w:val="fr-FR"/>
        </w:rPr>
        <w:t>dit</w:t>
      </w:r>
      <w:r>
        <w:rPr>
          <w:rFonts w:asciiTheme="minorHAnsi" w:hAnsiTheme="minorHAnsi"/>
          <w:lang w:val="fr-FR"/>
        </w:rPr>
        <w:t xml:space="preserve"> durant </w:t>
      </w:r>
      <w:r w:rsidR="00AD4AA0">
        <w:rPr>
          <w:rFonts w:asciiTheme="minorHAnsi" w:hAnsiTheme="minorHAnsi"/>
          <w:lang w:val="fr-FR"/>
        </w:rPr>
        <w:t>les séminaires par l’enseignant</w:t>
      </w:r>
      <w:r>
        <w:rPr>
          <w:rFonts w:asciiTheme="minorHAnsi" w:hAnsiTheme="minorHAnsi"/>
          <w:lang w:val="fr-FR"/>
        </w:rPr>
        <w:t>.</w:t>
      </w:r>
      <w:r w:rsidR="00AD4AA0">
        <w:rPr>
          <w:rFonts w:asciiTheme="minorHAnsi" w:hAnsiTheme="minorHAnsi"/>
          <w:lang w:val="fr-FR"/>
        </w:rPr>
        <w:t xml:space="preserve"> La longueur du commentaire, uniquement dactylographié et imprimé</w:t>
      </w:r>
      <w:r w:rsidR="00A361E3">
        <w:rPr>
          <w:rFonts w:asciiTheme="minorHAnsi" w:hAnsiTheme="minorHAnsi"/>
          <w:lang w:val="fr-FR"/>
        </w:rPr>
        <w:t xml:space="preserve"> (à déposer dans la pochette devant le bureau de l’enseignant)</w:t>
      </w:r>
      <w:r w:rsidR="00AD4AA0">
        <w:rPr>
          <w:rFonts w:asciiTheme="minorHAnsi" w:hAnsiTheme="minorHAnsi"/>
          <w:lang w:val="fr-FR"/>
        </w:rPr>
        <w:t>, ne devra pas excéder trois pages de traitement de texte</w:t>
      </w:r>
      <w:r w:rsidR="00A54389">
        <w:rPr>
          <w:rFonts w:asciiTheme="minorHAnsi" w:hAnsiTheme="minorHAnsi"/>
          <w:lang w:val="fr-FR"/>
        </w:rPr>
        <w:t xml:space="preserve"> ni être inférieur à deux. Le plan adopté est à la charge de l’étudiant.</w:t>
      </w:r>
    </w:p>
    <w:p w:rsidR="00A361E3" w:rsidRDefault="00A361E3" w:rsidP="00A802BD">
      <w:pPr>
        <w:autoSpaceDE w:val="0"/>
        <w:autoSpaceDN w:val="0"/>
        <w:adjustRightInd w:val="0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La liste d’articles ci-dessus n’est pas restrictive, dans le sens où l’étudiant peut aussi choisir un </w:t>
      </w:r>
      <w:r w:rsidR="009928DA">
        <w:rPr>
          <w:rFonts w:asciiTheme="minorHAnsi" w:hAnsiTheme="minorHAnsi"/>
          <w:lang w:val="fr-FR"/>
        </w:rPr>
        <w:t xml:space="preserve">autre </w:t>
      </w:r>
      <w:r>
        <w:rPr>
          <w:rFonts w:asciiTheme="minorHAnsi" w:hAnsiTheme="minorHAnsi"/>
          <w:lang w:val="fr-FR"/>
        </w:rPr>
        <w:t xml:space="preserve">article ou un extrait d’ouvrage de taille comparable. Mais la qualité du choix du texte sera alors évaluée de surcroît. </w:t>
      </w:r>
    </w:p>
    <w:p w:rsidR="002904EA" w:rsidRPr="001944C4" w:rsidRDefault="002904EA" w:rsidP="002904EA">
      <w:pPr>
        <w:jc w:val="center"/>
        <w:rPr>
          <w:rFonts w:asciiTheme="minorHAnsi" w:hAnsiTheme="minorHAnsi"/>
          <w:b/>
          <w:lang w:val="fr-FR"/>
        </w:rPr>
      </w:pPr>
    </w:p>
    <w:p w:rsidR="002904EA" w:rsidRPr="00666975" w:rsidRDefault="002904EA" w:rsidP="002904E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lang w:val="fr-FR"/>
        </w:rPr>
      </w:pPr>
      <w:r>
        <w:rPr>
          <w:rFonts w:asciiTheme="minorHAnsi" w:hAnsiTheme="minorHAnsi"/>
          <w:b/>
          <w:lang w:val="fr-FR"/>
        </w:rPr>
        <w:t>Calendrier</w:t>
      </w:r>
    </w:p>
    <w:p w:rsidR="002904EA" w:rsidRPr="009928DA" w:rsidRDefault="002904EA" w:rsidP="002904EA">
      <w:pPr>
        <w:autoSpaceDE w:val="0"/>
        <w:autoSpaceDN w:val="0"/>
        <w:adjustRightInd w:val="0"/>
        <w:jc w:val="both"/>
        <w:rPr>
          <w:rFonts w:asciiTheme="minorHAnsi" w:hAnsiTheme="minorHAnsi"/>
          <w:sz w:val="12"/>
          <w:szCs w:val="12"/>
          <w:lang w:val="fr-FR"/>
        </w:rPr>
      </w:pPr>
    </w:p>
    <w:p w:rsidR="00A54389" w:rsidRDefault="00A54389" w:rsidP="002904EA">
      <w:pPr>
        <w:autoSpaceDE w:val="0"/>
        <w:autoSpaceDN w:val="0"/>
        <w:adjustRightInd w:val="0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Il n’y a pas de calendrier à proprement parler. Celui qui sera placé dans l’IS est indicatif. Chaque étudiant aura droit à deux possibilités d’améliorer son travail, si le premier devoir n’est pas satisfaisant.</w:t>
      </w:r>
    </w:p>
    <w:p w:rsidR="002904EA" w:rsidRPr="002904EA" w:rsidRDefault="002904EA" w:rsidP="002904EA">
      <w:pPr>
        <w:rPr>
          <w:lang w:val="fr-FR"/>
        </w:rPr>
      </w:pPr>
    </w:p>
    <w:sectPr w:rsidR="002904EA" w:rsidRPr="002904EA" w:rsidSect="006C73A5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2F8" w:rsidRDefault="00A342F8">
      <w:r>
        <w:separator/>
      </w:r>
    </w:p>
  </w:endnote>
  <w:endnote w:type="continuationSeparator" w:id="1">
    <w:p w:rsidR="00A342F8" w:rsidRDefault="00A34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E" w:rsidRDefault="00FE360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51D7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51D7E" w:rsidRDefault="00C51D7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2F8" w:rsidRDefault="00A342F8">
      <w:r>
        <w:separator/>
      </w:r>
    </w:p>
  </w:footnote>
  <w:footnote w:type="continuationSeparator" w:id="1">
    <w:p w:rsidR="00A342F8" w:rsidRDefault="00A342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52" w:rsidRPr="00845652" w:rsidRDefault="00FE360B" w:rsidP="00845652">
    <w:pPr>
      <w:rPr>
        <w:rFonts w:ascii="Calibri" w:hAnsi="Calibri"/>
        <w:i/>
        <w:sz w:val="20"/>
        <w:szCs w:val="20"/>
        <w:lang w:val="fr-FR"/>
      </w:rPr>
    </w:pPr>
    <w:r w:rsidRPr="00FE360B">
      <w:rPr>
        <w:i/>
        <w:noProof/>
        <w:color w:val="365F91"/>
        <w:sz w:val="20"/>
        <w:szCs w:val="20"/>
        <w:lang w:eastAsia="zh-TW"/>
      </w:rPr>
      <w:pict>
        <v:group id="_x0000_s2049" style="position:absolute;margin-left:1236.55pt;margin-top:0;width:105.1pt;height:274.25pt;rotation:90;flip:x y;z-index:251657728;mso-position-horizontal:righ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053" style="position:absolute;left:6117;top:10212;width:4526;height:4258;rotation:41366637fd;flip:y" fillcolor="#d3dfee" stroked="f" strokecolor="#a7bfde">
              <o:lock v:ext="edit" aspectratio="t"/>
            </v:oval>
            <v:oval id="_x0000_s2054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054" inset="0,0,0,0">
                <w:txbxContent>
                  <w:p w:rsidR="00845652" w:rsidRDefault="00845652">
                    <w:pPr>
                      <w:pStyle w:val="En-tte"/>
                      <w:jc w:val="center"/>
                      <w:rPr>
                        <w:b/>
                        <w:bCs/>
                        <w:color w:val="FFFFFF"/>
                        <w:sz w:val="16"/>
                        <w:szCs w:val="16"/>
                      </w:rPr>
                    </w:pPr>
                  </w:p>
                  <w:p w:rsidR="00F023B2" w:rsidRPr="00845652" w:rsidRDefault="00054F36">
                    <w:pPr>
                      <w:pStyle w:val="En-tte"/>
                      <w:jc w:val="center"/>
                      <w:rPr>
                        <w:b/>
                        <w:bCs/>
                        <w:i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i/>
                        <w:color w:val="FFFFFF"/>
                        <w:sz w:val="18"/>
                        <w:szCs w:val="18"/>
                      </w:rPr>
                      <w:t>C</w:t>
                    </w:r>
                    <w:r w:rsidR="00845652">
                      <w:rPr>
                        <w:b/>
                        <w:bCs/>
                        <w:i/>
                        <w:color w:val="FFFFFF"/>
                        <w:sz w:val="18"/>
                        <w:szCs w:val="18"/>
                      </w:rPr>
                      <w:t>hristophe</w:t>
                    </w:r>
                    <w:r>
                      <w:rPr>
                        <w:b/>
                        <w:bCs/>
                        <w:i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="00845652" w:rsidRPr="00845652">
                      <w:rPr>
                        <w:b/>
                        <w:bCs/>
                        <w:i/>
                        <w:color w:val="FFFFFF"/>
                        <w:sz w:val="18"/>
                        <w:szCs w:val="18"/>
                      </w:rPr>
                      <w:t>Cusimano</w:t>
                    </w:r>
                  </w:p>
                </w:txbxContent>
              </v:textbox>
            </v:oval>
          </v:group>
          <w10:wrap anchorx="page" anchory="page"/>
        </v:group>
      </w:pict>
    </w:r>
    <w:r w:rsidR="00E06251" w:rsidRPr="00E06251">
      <w:rPr>
        <w:i/>
        <w:noProof/>
        <w:color w:val="365F91"/>
        <w:sz w:val="20"/>
        <w:szCs w:val="20"/>
        <w:lang w:val="fr-FR" w:eastAsia="zh-TW"/>
      </w:rPr>
      <w:t>Consignes pour la réalisation des commentaires des articles</w:t>
    </w:r>
    <w:r w:rsidR="00017BC5" w:rsidRPr="00E06251">
      <w:rPr>
        <w:i/>
        <w:noProof/>
        <w:color w:val="365F91"/>
        <w:sz w:val="20"/>
        <w:szCs w:val="20"/>
        <w:lang w:val="fr-FR" w:eastAsia="zh-TW"/>
      </w:rPr>
      <w:t xml:space="preserve"> </w:t>
    </w:r>
  </w:p>
  <w:p w:rsidR="00F023B2" w:rsidRPr="00F023B2" w:rsidRDefault="00F023B2">
    <w:pPr>
      <w:pStyle w:val="En-tte"/>
      <w:jc w:val="center"/>
      <w:rPr>
        <w:color w:val="365F91"/>
        <w:lang w:val="fr-FR"/>
      </w:rPr>
    </w:pPr>
  </w:p>
  <w:p w:rsidR="00F023B2" w:rsidRPr="00F023B2" w:rsidRDefault="00F023B2">
    <w:pPr>
      <w:pStyle w:val="En-tte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0B7F"/>
    <w:multiLevelType w:val="hybridMultilevel"/>
    <w:tmpl w:val="6384398A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1806FE"/>
    <w:multiLevelType w:val="hybridMultilevel"/>
    <w:tmpl w:val="717C37C0"/>
    <w:lvl w:ilvl="0" w:tplc="2A5C93EC">
      <w:start w:val="1"/>
      <w:numFmt w:val="bullet"/>
      <w:lvlText w:val="-"/>
      <w:lvlJc w:val="left"/>
      <w:pPr>
        <w:ind w:left="285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3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89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">
    <w:nsid w:val="29E621DD"/>
    <w:multiLevelType w:val="hybridMultilevel"/>
    <w:tmpl w:val="66FE75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7653E"/>
    <w:multiLevelType w:val="hybridMultilevel"/>
    <w:tmpl w:val="3E48B906"/>
    <w:lvl w:ilvl="0" w:tplc="29AC1E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E1100D0"/>
    <w:multiLevelType w:val="hybridMultilevel"/>
    <w:tmpl w:val="A7B42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BE715E"/>
    <w:multiLevelType w:val="hybridMultilevel"/>
    <w:tmpl w:val="66FE75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21D85"/>
    <w:multiLevelType w:val="hybridMultilevel"/>
    <w:tmpl w:val="A30A651A"/>
    <w:lvl w:ilvl="0" w:tplc="2DEAAEB4">
      <w:start w:val="3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45A045FE"/>
    <w:multiLevelType w:val="hybridMultilevel"/>
    <w:tmpl w:val="C9AAF448"/>
    <w:lvl w:ilvl="0" w:tplc="9586C6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80D8B"/>
    <w:multiLevelType w:val="hybridMultilevel"/>
    <w:tmpl w:val="60FC1ED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6651779"/>
    <w:multiLevelType w:val="hybridMultilevel"/>
    <w:tmpl w:val="78D020C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5712146B"/>
    <w:multiLevelType w:val="hybridMultilevel"/>
    <w:tmpl w:val="CDD6275C"/>
    <w:lvl w:ilvl="0" w:tplc="F87C3FE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AB92DE7"/>
    <w:multiLevelType w:val="hybridMultilevel"/>
    <w:tmpl w:val="526427E0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D9F5974"/>
    <w:multiLevelType w:val="hybridMultilevel"/>
    <w:tmpl w:val="081EE7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8577C7"/>
    <w:multiLevelType w:val="hybridMultilevel"/>
    <w:tmpl w:val="D3BC638C"/>
    <w:lvl w:ilvl="0" w:tplc="04090011">
      <w:start w:val="1"/>
      <w:numFmt w:val="decimal"/>
      <w:lvlText w:val="%1)"/>
      <w:lvlJc w:val="left"/>
      <w:pPr>
        <w:tabs>
          <w:tab w:val="num" w:pos="1840"/>
        </w:tabs>
        <w:ind w:left="1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abstractNum w:abstractNumId="14">
    <w:nsid w:val="6A58089C"/>
    <w:multiLevelType w:val="hybridMultilevel"/>
    <w:tmpl w:val="0F92B266"/>
    <w:lvl w:ilvl="0" w:tplc="3D9CD95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C944B2A"/>
    <w:multiLevelType w:val="hybridMultilevel"/>
    <w:tmpl w:val="66FE75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80D81"/>
    <w:multiLevelType w:val="hybridMultilevel"/>
    <w:tmpl w:val="65FE1ACA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6"/>
  </w:num>
  <w:num w:numId="5">
    <w:abstractNumId w:val="0"/>
  </w:num>
  <w:num w:numId="6">
    <w:abstractNumId w:val="9"/>
  </w:num>
  <w:num w:numId="7">
    <w:abstractNumId w:val="12"/>
  </w:num>
  <w:num w:numId="8">
    <w:abstractNumId w:val="10"/>
  </w:num>
  <w:num w:numId="9">
    <w:abstractNumId w:val="3"/>
  </w:num>
  <w:num w:numId="10">
    <w:abstractNumId w:val="14"/>
  </w:num>
  <w:num w:numId="11">
    <w:abstractNumId w:val="13"/>
  </w:num>
  <w:num w:numId="12">
    <w:abstractNumId w:val="2"/>
  </w:num>
  <w:num w:numId="13">
    <w:abstractNumId w:val="5"/>
  </w:num>
  <w:num w:numId="14">
    <w:abstractNumId w:val="15"/>
  </w:num>
  <w:num w:numId="15">
    <w:abstractNumId w:val="1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noPunctuationKerning/>
  <w:characterSpacingControl w:val="doNotCompress"/>
  <w:hdrShapeDefaults>
    <o:shapedefaults v:ext="edit" spidmax="7170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023B2"/>
    <w:rsid w:val="000071AB"/>
    <w:rsid w:val="00017BC5"/>
    <w:rsid w:val="00054F36"/>
    <w:rsid w:val="001944C4"/>
    <w:rsid w:val="001F40BF"/>
    <w:rsid w:val="00204E8C"/>
    <w:rsid w:val="002904EA"/>
    <w:rsid w:val="002F24D6"/>
    <w:rsid w:val="00424301"/>
    <w:rsid w:val="0047670B"/>
    <w:rsid w:val="00547724"/>
    <w:rsid w:val="005B62E7"/>
    <w:rsid w:val="00602FCD"/>
    <w:rsid w:val="00666975"/>
    <w:rsid w:val="006C73A5"/>
    <w:rsid w:val="006F2986"/>
    <w:rsid w:val="0077113A"/>
    <w:rsid w:val="00845652"/>
    <w:rsid w:val="008461C3"/>
    <w:rsid w:val="00955EFD"/>
    <w:rsid w:val="00981F1C"/>
    <w:rsid w:val="009928DA"/>
    <w:rsid w:val="009A2BE0"/>
    <w:rsid w:val="009A7FD5"/>
    <w:rsid w:val="009C452C"/>
    <w:rsid w:val="00A342F8"/>
    <w:rsid w:val="00A361E3"/>
    <w:rsid w:val="00A54389"/>
    <w:rsid w:val="00A802BD"/>
    <w:rsid w:val="00AD4AA0"/>
    <w:rsid w:val="00B02293"/>
    <w:rsid w:val="00B67EEC"/>
    <w:rsid w:val="00BC5D33"/>
    <w:rsid w:val="00C51D7E"/>
    <w:rsid w:val="00C675E0"/>
    <w:rsid w:val="00CC68D5"/>
    <w:rsid w:val="00D3054A"/>
    <w:rsid w:val="00D543FE"/>
    <w:rsid w:val="00D552DC"/>
    <w:rsid w:val="00E00315"/>
    <w:rsid w:val="00E06251"/>
    <w:rsid w:val="00E31387"/>
    <w:rsid w:val="00E31F95"/>
    <w:rsid w:val="00E660D0"/>
    <w:rsid w:val="00E91C6F"/>
    <w:rsid w:val="00F023B2"/>
    <w:rsid w:val="00FE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A5"/>
    <w:rPr>
      <w:sz w:val="24"/>
      <w:szCs w:val="24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6C73A5"/>
    <w:pPr>
      <w:spacing w:line="280" w:lineRule="atLeast"/>
      <w:jc w:val="both"/>
    </w:pPr>
    <w:rPr>
      <w:lang w:val="fr-FR"/>
    </w:rPr>
  </w:style>
  <w:style w:type="character" w:styleId="Appelnotedebasdep">
    <w:name w:val="footnote reference"/>
    <w:basedOn w:val="Policepardfaut"/>
    <w:uiPriority w:val="99"/>
    <w:semiHidden/>
    <w:rsid w:val="006C73A5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6C73A5"/>
    <w:rPr>
      <w:rFonts w:ascii="Times" w:hAnsi="Times"/>
      <w:szCs w:val="20"/>
      <w:lang w:val="fr-FR"/>
    </w:rPr>
  </w:style>
  <w:style w:type="paragraph" w:styleId="Retraitcorpsdetexte">
    <w:name w:val="Body Text Indent"/>
    <w:basedOn w:val="Normal"/>
    <w:semiHidden/>
    <w:rsid w:val="006C73A5"/>
    <w:pPr>
      <w:tabs>
        <w:tab w:val="left" w:pos="360"/>
      </w:tabs>
      <w:ind w:left="720"/>
      <w:jc w:val="both"/>
    </w:pPr>
    <w:rPr>
      <w:lang w:val="fr-FR"/>
    </w:rPr>
  </w:style>
  <w:style w:type="paragraph" w:styleId="Retraitcorpsdetexte2">
    <w:name w:val="Body Text Indent 2"/>
    <w:basedOn w:val="Normal"/>
    <w:semiHidden/>
    <w:rsid w:val="006C73A5"/>
    <w:pPr>
      <w:tabs>
        <w:tab w:val="left" w:pos="360"/>
      </w:tabs>
      <w:ind w:left="1080"/>
      <w:jc w:val="both"/>
    </w:pPr>
    <w:rPr>
      <w:lang w:val="fr-FR"/>
    </w:rPr>
  </w:style>
  <w:style w:type="paragraph" w:styleId="Retraitcorpsdetexte3">
    <w:name w:val="Body Text Indent 3"/>
    <w:basedOn w:val="Normal"/>
    <w:semiHidden/>
    <w:rsid w:val="006C73A5"/>
    <w:pPr>
      <w:tabs>
        <w:tab w:val="left" w:pos="360"/>
      </w:tabs>
      <w:ind w:left="1260" w:hanging="540"/>
      <w:jc w:val="both"/>
    </w:pPr>
    <w:rPr>
      <w:lang w:val="fr-FR"/>
    </w:rPr>
  </w:style>
  <w:style w:type="paragraph" w:styleId="Pieddepage">
    <w:name w:val="footer"/>
    <w:basedOn w:val="Normal"/>
    <w:semiHidden/>
    <w:rsid w:val="006C73A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  <w:rsid w:val="006C73A5"/>
  </w:style>
  <w:style w:type="paragraph" w:styleId="En-tte">
    <w:name w:val="header"/>
    <w:basedOn w:val="Normal"/>
    <w:link w:val="En-tteCar"/>
    <w:uiPriority w:val="99"/>
    <w:unhideWhenUsed/>
    <w:rsid w:val="00F023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23B2"/>
    <w:rPr>
      <w:sz w:val="24"/>
      <w:szCs w:val="24"/>
      <w:lang w:val="en-GB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23B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3B2"/>
    <w:rPr>
      <w:rFonts w:ascii="Tahoma" w:hAnsi="Tahoma" w:cs="Tahoma"/>
      <w:sz w:val="16"/>
      <w:szCs w:val="16"/>
      <w:lang w:val="en-GB" w:eastAsia="en-US"/>
    </w:rPr>
  </w:style>
  <w:style w:type="paragraph" w:customStyle="1" w:styleId="P8">
    <w:name w:val="P8"/>
    <w:basedOn w:val="Normal"/>
    <w:rsid w:val="00D3054A"/>
    <w:pPr>
      <w:spacing w:line="360" w:lineRule="atLeast"/>
      <w:ind w:firstLine="1120"/>
      <w:jc w:val="both"/>
    </w:pPr>
    <w:rPr>
      <w:rFonts w:ascii="Times" w:hAnsi="Times"/>
      <w:lang w:val="fr-FR" w:eastAsia="fr-FR"/>
    </w:rPr>
  </w:style>
  <w:style w:type="paragraph" w:customStyle="1" w:styleId="P0">
    <w:name w:val="P0"/>
    <w:basedOn w:val="P8"/>
    <w:link w:val="P0Car"/>
    <w:rsid w:val="00D3054A"/>
    <w:pPr>
      <w:ind w:firstLine="0"/>
    </w:pPr>
  </w:style>
  <w:style w:type="paragraph" w:styleId="Paragraphedeliste">
    <w:name w:val="List Paragraph"/>
    <w:basedOn w:val="Normal"/>
    <w:uiPriority w:val="34"/>
    <w:qFormat/>
    <w:rsid w:val="001944C4"/>
    <w:pPr>
      <w:ind w:left="720"/>
      <w:contextualSpacing/>
    </w:pPr>
  </w:style>
  <w:style w:type="paragraph" w:customStyle="1" w:styleId="P3">
    <w:name w:val="P3"/>
    <w:basedOn w:val="Normal"/>
    <w:link w:val="P3Car"/>
    <w:rsid w:val="00C675E0"/>
    <w:pPr>
      <w:spacing w:line="360" w:lineRule="atLeast"/>
      <w:ind w:left="560"/>
      <w:jc w:val="both"/>
    </w:pPr>
    <w:rPr>
      <w:rFonts w:ascii="Times" w:hAnsi="Times"/>
      <w:lang w:val="fr-FR" w:eastAsia="fr-FR"/>
    </w:rPr>
  </w:style>
  <w:style w:type="character" w:customStyle="1" w:styleId="P3Car">
    <w:name w:val="P3 Car"/>
    <w:basedOn w:val="Policepardfaut"/>
    <w:link w:val="P3"/>
    <w:rsid w:val="00C675E0"/>
    <w:rPr>
      <w:rFonts w:ascii="Times" w:hAnsi="Times"/>
      <w:sz w:val="24"/>
      <w:szCs w:val="24"/>
    </w:rPr>
  </w:style>
  <w:style w:type="character" w:customStyle="1" w:styleId="P0Car">
    <w:name w:val="P0 Car"/>
    <w:basedOn w:val="P3Car"/>
    <w:link w:val="P0"/>
    <w:rsid w:val="00C675E0"/>
  </w:style>
  <w:style w:type="paragraph" w:styleId="Lgende">
    <w:name w:val="caption"/>
    <w:basedOn w:val="Normal"/>
    <w:next w:val="Normal"/>
    <w:uiPriority w:val="35"/>
    <w:unhideWhenUsed/>
    <w:qFormat/>
    <w:rsid w:val="001F40BF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7724"/>
    <w:rPr>
      <w:rFonts w:ascii="Times" w:hAnsi="Times"/>
      <w:sz w:val="24"/>
      <w:lang w:eastAsia="en-US"/>
    </w:rPr>
  </w:style>
  <w:style w:type="paragraph" w:styleId="Sansinterligne">
    <w:name w:val="No Spacing"/>
    <w:uiPriority w:val="1"/>
    <w:qFormat/>
    <w:rsid w:val="0054772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39E88-E4C7-4209-9768-44F7DCDD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Selon la théorie de la valence de Lucien TESNIERE, les verbes intransitifs comme dormir ou éternuer ne peuvent pas se mettre à</vt:lpstr>
      <vt:lpstr>Selon la théorie de la valence de Lucien TESNIERE, les verbes intransitifs comme dormir ou éternuer ne peuvent pas se mettre à</vt:lpstr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Selon la théorie de la valence de Lucien TESNIERE, les verbes intransitifs comme dormir ou éternuer ne peuvent pas se mettre à</dc:title>
  <dc:subject/>
  <dc:creator>Christophe CUSIMANO</dc:creator>
  <cp:keywords/>
  <dc:description/>
  <cp:lastModifiedBy>Cuzimano</cp:lastModifiedBy>
  <cp:revision>8</cp:revision>
  <cp:lastPrinted>2012-12-10T15:29:00Z</cp:lastPrinted>
  <dcterms:created xsi:type="dcterms:W3CDTF">2012-12-10T16:24:00Z</dcterms:created>
  <dcterms:modified xsi:type="dcterms:W3CDTF">2012-12-10T16:37:00Z</dcterms:modified>
</cp:coreProperties>
</file>