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15" w:rsidRDefault="00712D15" w:rsidP="00712D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eastAsia="cs-CZ"/>
        </w:rPr>
      </w:pPr>
    </w:p>
    <w:p w:rsidR="00712D15" w:rsidRPr="00C85B80" w:rsidRDefault="00712D15" w:rsidP="00712D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eastAsia="cs-CZ"/>
        </w:rPr>
      </w:pPr>
      <w:r w:rsidRPr="00C85B80">
        <w:rPr>
          <w:rFonts w:ascii="Times New Roman" w:hAnsi="Times New Roman"/>
          <w:b/>
          <w:sz w:val="40"/>
          <w:szCs w:val="40"/>
          <w:lang w:eastAsia="cs-CZ"/>
        </w:rPr>
        <w:t>Masarykova Univerzita</w:t>
      </w:r>
    </w:p>
    <w:p w:rsidR="00712D15" w:rsidRPr="00C85B80" w:rsidRDefault="00712D15" w:rsidP="00712D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eastAsia="cs-CZ"/>
        </w:rPr>
      </w:pPr>
      <w:r w:rsidRPr="00C85B80">
        <w:rPr>
          <w:rFonts w:ascii="Times New Roman" w:hAnsi="Times New Roman"/>
          <w:b/>
          <w:sz w:val="40"/>
          <w:szCs w:val="40"/>
          <w:lang w:eastAsia="cs-CZ"/>
        </w:rPr>
        <w:t>Filozofická fakulta</w:t>
      </w:r>
    </w:p>
    <w:p w:rsidR="00712D15" w:rsidRPr="00C85B80" w:rsidRDefault="0023346C" w:rsidP="00712D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  <w:lang w:eastAsia="cs-CZ"/>
        </w:rPr>
      </w:pPr>
      <w:r>
        <w:rPr>
          <w:rFonts w:ascii="Times New Roman" w:hAnsi="Times New Roman"/>
          <w:b/>
          <w:sz w:val="34"/>
          <w:szCs w:val="34"/>
          <w:lang w:eastAsia="cs-CZ"/>
        </w:rPr>
        <w:br/>
      </w:r>
      <w:r>
        <w:rPr>
          <w:rFonts w:ascii="Times New Roman" w:hAnsi="Times New Roman"/>
          <w:b/>
          <w:sz w:val="34"/>
          <w:szCs w:val="34"/>
          <w:lang w:eastAsia="cs-CZ"/>
        </w:rPr>
        <w:br/>
      </w:r>
    </w:p>
    <w:p w:rsidR="00712D15" w:rsidRPr="00C85B80" w:rsidRDefault="00712D15" w:rsidP="00712D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  <w:lang w:eastAsia="cs-CZ"/>
        </w:rPr>
      </w:pPr>
      <w:r>
        <w:rPr>
          <w:rFonts w:ascii="Times New Roman" w:hAnsi="Times New Roman"/>
          <w:noProof/>
          <w:sz w:val="32"/>
          <w:szCs w:val="32"/>
          <w:lang w:eastAsia="cs-CZ"/>
        </w:rPr>
        <w:drawing>
          <wp:inline distT="0" distB="0" distL="0" distR="0">
            <wp:extent cx="2771775" cy="2286000"/>
            <wp:effectExtent l="19050" t="0" r="952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D15" w:rsidRPr="00C85B80" w:rsidRDefault="00712D15" w:rsidP="00712D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  <w:lang w:eastAsia="cs-CZ"/>
        </w:rPr>
      </w:pPr>
    </w:p>
    <w:p w:rsidR="00712D15" w:rsidRDefault="00712D15" w:rsidP="00712D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0"/>
          <w:szCs w:val="30"/>
          <w:lang w:eastAsia="cs-CZ"/>
        </w:rPr>
      </w:pPr>
      <w:r>
        <w:rPr>
          <w:rFonts w:ascii="Times New Roman" w:hAnsi="Times New Roman"/>
          <w:sz w:val="30"/>
          <w:szCs w:val="30"/>
          <w:lang w:eastAsia="cs-CZ"/>
        </w:rPr>
        <w:t>Martin Horák</w:t>
      </w:r>
    </w:p>
    <w:p w:rsidR="00712D15" w:rsidRPr="00C85B80" w:rsidRDefault="00712D15" w:rsidP="00712D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0"/>
          <w:szCs w:val="30"/>
          <w:lang w:eastAsia="cs-CZ"/>
        </w:rPr>
      </w:pPr>
    </w:p>
    <w:p w:rsidR="00712D15" w:rsidRPr="0023346C" w:rsidRDefault="0023346C" w:rsidP="0023346C">
      <w:pPr>
        <w:autoSpaceDE w:val="0"/>
        <w:autoSpaceDN w:val="0"/>
        <w:adjustRightInd w:val="0"/>
        <w:spacing w:after="0" w:line="360" w:lineRule="auto"/>
        <w:jc w:val="center"/>
        <w:rPr>
          <w:rFonts w:ascii="Lucida Console" w:hAnsi="Lucida Console"/>
          <w:sz w:val="32"/>
          <w:szCs w:val="32"/>
        </w:rPr>
      </w:pPr>
      <w:r w:rsidRPr="0023346C">
        <w:rPr>
          <w:rFonts w:ascii="Lucida Console" w:hAnsi="Lucida Console"/>
          <w:sz w:val="32"/>
          <w:szCs w:val="32"/>
        </w:rPr>
        <w:t>Úvod do uměnovědných studií</w:t>
      </w:r>
    </w:p>
    <w:p w:rsidR="005A62B3" w:rsidRPr="00C85B80" w:rsidRDefault="005A62B3" w:rsidP="00643C2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  <w:lang w:eastAsia="cs-CZ"/>
        </w:rPr>
      </w:pPr>
    </w:p>
    <w:p w:rsidR="00643C2F" w:rsidRDefault="00915A4A" w:rsidP="00643C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0"/>
          <w:szCs w:val="30"/>
          <w:lang w:eastAsia="cs-CZ"/>
        </w:rPr>
      </w:pPr>
      <w:r>
        <w:rPr>
          <w:rFonts w:ascii="Times New Roman" w:hAnsi="Times New Roman"/>
          <w:sz w:val="30"/>
          <w:szCs w:val="30"/>
          <w:lang w:eastAsia="cs-CZ"/>
        </w:rPr>
        <w:t xml:space="preserve">Závěrečná </w:t>
      </w:r>
      <w:r w:rsidR="008B12DA">
        <w:rPr>
          <w:rFonts w:ascii="Times New Roman" w:hAnsi="Times New Roman"/>
          <w:sz w:val="30"/>
          <w:szCs w:val="30"/>
          <w:lang w:eastAsia="cs-CZ"/>
        </w:rPr>
        <w:t>esej</w:t>
      </w:r>
    </w:p>
    <w:p w:rsidR="00712D15" w:rsidRDefault="00712D15" w:rsidP="00712D15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cs-CZ"/>
        </w:rPr>
      </w:pPr>
    </w:p>
    <w:p w:rsidR="00643C2F" w:rsidRDefault="00643C2F" w:rsidP="00712D15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cs-CZ"/>
        </w:rPr>
      </w:pPr>
    </w:p>
    <w:p w:rsidR="005A62B3" w:rsidRDefault="005A62B3" w:rsidP="00712D15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cs-CZ"/>
        </w:rPr>
      </w:pPr>
    </w:p>
    <w:p w:rsidR="00712D15" w:rsidRDefault="00712D15" w:rsidP="00712D1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C85B80">
        <w:rPr>
          <w:rFonts w:ascii="Times New Roman" w:hAnsi="Times New Roman"/>
          <w:b/>
          <w:sz w:val="28"/>
          <w:szCs w:val="28"/>
          <w:lang w:eastAsia="cs-CZ"/>
        </w:rPr>
        <w:t>Brno 201</w:t>
      </w:r>
      <w:r>
        <w:rPr>
          <w:rFonts w:ascii="Times New Roman" w:hAnsi="Times New Roman"/>
          <w:b/>
          <w:sz w:val="28"/>
          <w:szCs w:val="28"/>
          <w:lang w:eastAsia="cs-CZ"/>
        </w:rPr>
        <w:t>2</w:t>
      </w:r>
    </w:p>
    <w:p w:rsidR="00712D15" w:rsidRDefault="00712D15" w:rsidP="00712D1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</w:p>
    <w:p w:rsidR="00712D15" w:rsidRDefault="00712D15" w:rsidP="00712D1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</w:p>
    <w:p w:rsidR="005A62B3" w:rsidRPr="005A62B3" w:rsidRDefault="005A62B3" w:rsidP="005A62B3"/>
    <w:p w:rsidR="005F018E" w:rsidRDefault="008B12DA" w:rsidP="009628F5">
      <w:pPr>
        <w:pStyle w:val="Nzev"/>
        <w:pBdr>
          <w:bottom w:val="single" w:sz="8" w:space="0" w:color="4F81BD" w:themeColor="accent1"/>
        </w:pBdr>
        <w:rPr>
          <w:sz w:val="56"/>
          <w:szCs w:val="56"/>
        </w:rPr>
      </w:pPr>
      <w:r>
        <w:rPr>
          <w:sz w:val="56"/>
          <w:szCs w:val="56"/>
        </w:rPr>
        <w:t>Umě</w:t>
      </w:r>
      <w:r w:rsidR="0023346C">
        <w:rPr>
          <w:sz w:val="56"/>
          <w:szCs w:val="56"/>
        </w:rPr>
        <w:t xml:space="preserve">lecké dílo </w:t>
      </w:r>
    </w:p>
    <w:p w:rsidR="009628F5" w:rsidRPr="009628F5" w:rsidRDefault="009628F5" w:rsidP="009628F5"/>
    <w:p w:rsidR="008B12DA" w:rsidRDefault="00A56805" w:rsidP="005F018E">
      <w:pPr>
        <w:pStyle w:val="Nadpis1"/>
      </w:pPr>
      <w:r>
        <w:t>Definice uměleckého díla</w:t>
      </w:r>
    </w:p>
    <w:p w:rsidR="00DE02E6" w:rsidRDefault="005E0BD1" w:rsidP="005E0BD1">
      <w:pPr>
        <w:pStyle w:val="Normlnweb"/>
        <w:spacing w:line="360" w:lineRule="auto"/>
        <w:jc w:val="both"/>
      </w:pPr>
      <w:r>
        <w:t xml:space="preserve">Už v úvodu musíme zdůraznit, že nevisituje jediná správná charakteristika uměleckého díla. </w:t>
      </w:r>
      <w:r w:rsidR="00A56805">
        <w:t>Arthur C. Danto</w:t>
      </w:r>
      <w:r>
        <w:t>,</w:t>
      </w:r>
      <w:r w:rsidR="00A56805">
        <w:t xml:space="preserve"> umělecký kritik</w:t>
      </w:r>
      <w:r>
        <w:t xml:space="preserve"> zmiňuje</w:t>
      </w:r>
      <w:r w:rsidR="003F2204">
        <w:rPr>
          <w:rStyle w:val="Znakapoznpodarou"/>
        </w:rPr>
        <w:footnoteReference w:id="2"/>
      </w:r>
      <w:r>
        <w:t xml:space="preserve"> konvenční definici uměleckého díla, </w:t>
      </w:r>
      <w:r w:rsidR="00A56805">
        <w:t>na pěti nutných a dostatečných podmínkách „uměleckosti“. Artefakt je uměleckým dílem tehdy a jen tehdy, pokud</w:t>
      </w:r>
      <w:r>
        <w:t>:</w:t>
      </w:r>
      <w:r>
        <w:br/>
        <w:t xml:space="preserve">1. </w:t>
      </w:r>
      <w:r w:rsidR="00A56805">
        <w:t>má</w:t>
      </w:r>
      <w:r>
        <w:t xml:space="preserve"> téma (podmínka „být o něčem“) </w:t>
      </w:r>
      <w:r>
        <w:tab/>
      </w:r>
      <w:r>
        <w:br/>
        <w:t>2.</w:t>
      </w:r>
      <w:r w:rsidR="00A56805">
        <w:t xml:space="preserve"> k tomuto tématu je přistoupeno z určité perspektivy či na základě urč</w:t>
      </w:r>
      <w:r>
        <w:t>itého postoje (podmínka stylu)</w:t>
      </w:r>
      <w:r>
        <w:br/>
        <w:t>3.</w:t>
      </w:r>
      <w:r w:rsidR="00A56805">
        <w:t xml:space="preserve"> tento přístup je zprostředkován rétorickou</w:t>
      </w:r>
      <w:r>
        <w:t xml:space="preserve"> elipsou (obvykle metaforickou)</w:t>
      </w:r>
      <w:r w:rsidR="00A56805">
        <w:t xml:space="preserve"> </w:t>
      </w:r>
      <w:r>
        <w:tab/>
      </w:r>
      <w:r w:rsidR="003F2204">
        <w:br/>
        <w:t xml:space="preserve">4. </w:t>
      </w:r>
      <w:r w:rsidR="00A56805">
        <w:t>tato elipsa vynucuje účast publika, které doplňuje to, co</w:t>
      </w:r>
      <w:r>
        <w:t xml:space="preserve"> v inferenční konstrukci chybí </w:t>
      </w:r>
      <w:r>
        <w:br/>
        <w:t xml:space="preserve">5. </w:t>
      </w:r>
      <w:r w:rsidR="00A56805">
        <w:t xml:space="preserve">existuje historický kontext, jenž přispívá ke konstituci daného uměleckého díla a k jeho interpretaci. </w:t>
      </w:r>
      <w:r w:rsidR="003F2204">
        <w:rPr>
          <w:rStyle w:val="Znakapoznpodarou"/>
        </w:rPr>
        <w:footnoteReference w:id="3"/>
      </w:r>
      <w:r>
        <w:br/>
      </w:r>
      <w:r w:rsidR="003F2204">
        <w:t xml:space="preserve">Druhá teorie, která vznikla právě z předchozí definice, se nazývá institucionální teorie, která je založena na premise, </w:t>
      </w:r>
      <w:r w:rsidR="00A56805">
        <w:t>že umělecké dílo je artefakt, vytvořený umělcem a prezentovaný publiku uměleckého světa.</w:t>
      </w:r>
      <w:r w:rsidR="003F2204">
        <w:t xml:space="preserve"> Autorem této teorie je </w:t>
      </w:r>
      <w:r w:rsidR="00DE02E6">
        <w:t>George Dickie.</w:t>
      </w:r>
      <w:r w:rsidR="00DE02E6">
        <w:rPr>
          <w:rStyle w:val="Znakapoznpodarou"/>
        </w:rPr>
        <w:footnoteReference w:id="4"/>
      </w:r>
      <w:r w:rsidR="00A56805">
        <w:t xml:space="preserve"> </w:t>
      </w:r>
      <w:r w:rsidR="00DE02E6">
        <w:t>Jeho teorie se rozvinula až do současné p</w:t>
      </w:r>
      <w:r w:rsidR="000276E9">
        <w:t>o</w:t>
      </w:r>
      <w:r w:rsidR="00DE02E6">
        <w:t>doby, která má rovněž pět bodů:</w:t>
      </w:r>
    </w:p>
    <w:p w:rsidR="00810674" w:rsidRDefault="00DE02E6" w:rsidP="005E0BD1">
      <w:pPr>
        <w:pStyle w:val="Normlnweb"/>
        <w:spacing w:line="360" w:lineRule="auto"/>
        <w:jc w:val="both"/>
      </w:pPr>
      <w:r>
        <w:t xml:space="preserve">1. </w:t>
      </w:r>
      <w:r w:rsidR="00A56805">
        <w:t>umělec je osoba, která s porozuměním vytváří umělecké dílo</w:t>
      </w:r>
      <w:r>
        <w:tab/>
      </w:r>
      <w:r>
        <w:br/>
        <w:t xml:space="preserve">2. </w:t>
      </w:r>
      <w:r w:rsidR="00A56805">
        <w:t>umělecké dílo je artefakt vytvořený za účelem jeho prezentování publiku uměleckého světa</w:t>
      </w:r>
      <w:r>
        <w:tab/>
      </w:r>
      <w:r>
        <w:br/>
        <w:t>3.</w:t>
      </w:r>
      <w:r w:rsidR="00A56805">
        <w:t xml:space="preserve"> publikum je seskupení osob, jehož členové jsou do určité míry připraveni porozumět objektu, kter</w:t>
      </w:r>
      <w:r>
        <w:t>ý jim je prezentován</w:t>
      </w:r>
      <w:r>
        <w:tab/>
      </w:r>
      <w:r>
        <w:br/>
        <w:t xml:space="preserve">4. </w:t>
      </w:r>
      <w:r w:rsidR="00A56805">
        <w:t>umělecký svět je totalitou všech systémů uměleckého světa</w:t>
      </w:r>
      <w:r>
        <w:tab/>
      </w:r>
      <w:r>
        <w:br/>
        <w:t xml:space="preserve">5. </w:t>
      </w:r>
      <w:r w:rsidR="00A56805">
        <w:t>systém uměleckého světa je rámec prezentace uměleckého díla u</w:t>
      </w:r>
      <w:r>
        <w:t>mělcem publiku uměleckého světa</w:t>
      </w:r>
      <w:r>
        <w:rPr>
          <w:rStyle w:val="Znakapoznpodarou"/>
        </w:rPr>
        <w:footnoteReference w:id="5"/>
      </w:r>
      <w:r>
        <w:br/>
      </w:r>
    </w:p>
    <w:p w:rsidR="000276E9" w:rsidRDefault="00810674" w:rsidP="005E0BD1">
      <w:pPr>
        <w:pStyle w:val="Normlnweb"/>
        <w:spacing w:line="360" w:lineRule="auto"/>
        <w:jc w:val="both"/>
      </w:pPr>
      <w:r>
        <w:t>Tato teorie se však dočkala velké kritiky,</w:t>
      </w:r>
      <w:r w:rsidR="00A56805">
        <w:t xml:space="preserve"> dokonce i Arthur Danto, považovaný za jejího otce, se od ní později distancoval. Jeden z nejsilnějších argumentů proti institucionální teorii zní, že umění vzniklé </w:t>
      </w:r>
      <w:r w:rsidR="00A56805">
        <w:lastRenderedPageBreak/>
        <w:t>mimo institucionální rámec – tzn. bez profesionálů a publika s určitou úrovní vědomostí o umění – se jeví nemožné, což tato definice ponechává stranou</w:t>
      </w:r>
      <w:r>
        <w:t>.</w:t>
      </w:r>
      <w:r>
        <w:rPr>
          <w:rStyle w:val="Znakapoznpodarou"/>
        </w:rPr>
        <w:footnoteReference w:id="6"/>
      </w:r>
      <w:r w:rsidR="00A56805">
        <w:t xml:space="preserve"> </w:t>
      </w:r>
    </w:p>
    <w:p w:rsidR="00810674" w:rsidRDefault="000276E9" w:rsidP="005E0BD1">
      <w:pPr>
        <w:pStyle w:val="Normlnweb"/>
        <w:spacing w:line="360" w:lineRule="auto"/>
        <w:jc w:val="both"/>
      </w:pPr>
      <w:r>
        <w:t>Jiný pohled, který lze využít pro definice uměleckého díla můžeme najít v knihze Myšlenky moderní malířů</w:t>
      </w:r>
      <w:r w:rsidR="00825306">
        <w:t>.</w:t>
      </w:r>
      <w:r>
        <w:rPr>
          <w:rStyle w:val="Znakapoznpodarou"/>
        </w:rPr>
        <w:footnoteReference w:id="7"/>
      </w:r>
      <w:r w:rsidR="00825306">
        <w:t xml:space="preserve"> Uvádí</w:t>
      </w:r>
      <w:r w:rsidR="00825306">
        <w:rPr>
          <w:rStyle w:val="Znakapoznpodarou"/>
        </w:rPr>
        <w:footnoteReference w:id="8"/>
      </w:r>
      <w:r w:rsidR="00825306">
        <w:t xml:space="preserve">, že umělecké dílo obsahuje tři zdroje. </w:t>
      </w:r>
      <w:r w:rsidR="00825306">
        <w:tab/>
      </w:r>
      <w:r w:rsidR="00825306">
        <w:br/>
      </w:r>
      <w:r w:rsidR="00825306">
        <w:br/>
        <w:t xml:space="preserve">1. Tradice </w:t>
      </w:r>
    </w:p>
    <w:p w:rsidR="00825306" w:rsidRDefault="00825306" w:rsidP="005E0BD1">
      <w:pPr>
        <w:pStyle w:val="Normlnweb"/>
        <w:spacing w:line="360" w:lineRule="auto"/>
        <w:jc w:val="both"/>
      </w:pPr>
      <w:r>
        <w:t>2. Skutečnost</w:t>
      </w:r>
    </w:p>
    <w:p w:rsidR="00825306" w:rsidRDefault="00825306" w:rsidP="005E0BD1">
      <w:pPr>
        <w:pStyle w:val="Normlnweb"/>
        <w:spacing w:line="360" w:lineRule="auto"/>
        <w:jc w:val="both"/>
      </w:pPr>
      <w:r>
        <w:t>3. Osobní jmenovatele</w:t>
      </w:r>
      <w:r>
        <w:tab/>
      </w:r>
      <w:r>
        <w:br/>
      </w:r>
      <w:r>
        <w:tab/>
      </w:r>
      <w:r>
        <w:br/>
        <w:t>Tyto tři aspekty se objevují ve všech velkých epochách kultury.</w:t>
      </w:r>
      <w:r>
        <w:tab/>
      </w:r>
      <w:r w:rsidR="002C33EF">
        <w:br/>
      </w:r>
      <w:r>
        <w:br/>
      </w:r>
      <w:r w:rsidR="002C33EF">
        <w:t>Samozřejmě, že je možné</w:t>
      </w:r>
      <w:r>
        <w:t xml:space="preserve"> uvést </w:t>
      </w:r>
      <w:r w:rsidR="004E69C5">
        <w:t xml:space="preserve">ještě </w:t>
      </w:r>
      <w:r>
        <w:t>mnoho dalších definic</w:t>
      </w:r>
      <w:r w:rsidR="004E69C5">
        <w:t>, ale jsme toho názoru, že to pro účel této práce není nutné</w:t>
      </w:r>
      <w:r>
        <w:t xml:space="preserve">. </w:t>
      </w:r>
      <w:r w:rsidR="004E69C5">
        <w:t>Tyto jsme uvedli</w:t>
      </w:r>
      <w:r>
        <w:t>, jelikož nám připadají jako</w:t>
      </w:r>
      <w:r w:rsidR="004E69C5">
        <w:t xml:space="preserve"> dost</w:t>
      </w:r>
      <w:r w:rsidR="002C33EF">
        <w:t>at</w:t>
      </w:r>
      <w:r w:rsidR="004E69C5">
        <w:t>ečně</w:t>
      </w:r>
      <w:r>
        <w:t xml:space="preserve"> vypovídající. </w:t>
      </w:r>
      <w:r>
        <w:tab/>
      </w:r>
      <w:r>
        <w:br/>
      </w:r>
    </w:p>
    <w:p w:rsidR="00825306" w:rsidRDefault="00825306" w:rsidP="00825306">
      <w:pPr>
        <w:pStyle w:val="Nadpis1"/>
      </w:pPr>
      <w:r>
        <w:t>Umělecká díla, která nejsou krásná – jsou uměním?</w:t>
      </w:r>
    </w:p>
    <w:p w:rsidR="009628F5" w:rsidRDefault="009628F5" w:rsidP="00962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2E1" w:rsidRDefault="009628F5" w:rsidP="005E0BD1">
      <w:pPr>
        <w:pStyle w:val="Normlnweb"/>
        <w:spacing w:line="360" w:lineRule="auto"/>
        <w:jc w:val="both"/>
      </w:pPr>
      <w:r>
        <w:t xml:space="preserve">V dnešní době </w:t>
      </w:r>
      <w:r w:rsidR="00FF5063">
        <w:t xml:space="preserve">nejsou výjimečná díla, která široké veřejnosti nepřipadají jako krásné a přesto jsou vystavována v uměleckých </w:t>
      </w:r>
      <w:r w:rsidR="002C33EF">
        <w:t>galeriích</w:t>
      </w:r>
      <w:r w:rsidR="00FF5063">
        <w:t>, jako exponáty s velkou uměleckou hodnotou. Právě široká veřejnost se často dovolává odpovědi na otázku „Jak mohou být uměním díla, která nejsou krásná?“</w:t>
      </w:r>
      <w:r w:rsidR="00EE3800">
        <w:br/>
        <w:t>Na první pohled se tato otázka může jevit ryze logicky, avšak už na ten druhý je zřejmé, že není položená zcela správně.</w:t>
      </w:r>
      <w:r w:rsidR="00EE3800">
        <w:tab/>
      </w:r>
      <w:r w:rsidR="00EE3800">
        <w:br/>
        <w:t xml:space="preserve">Jak můžeme tvrdit o některém díle, že není krásné? Rozpory o tom, jestli je krása vlastností předmětu, nebo je vnímání krásy obsaženo </w:t>
      </w:r>
      <w:r w:rsidR="00A8775E">
        <w:t>v subjektivním</w:t>
      </w:r>
      <w:r w:rsidR="006C42E1">
        <w:t xml:space="preserve"> vidění světa každého z nás, ponecháme stranou. Spíše si položme otázku</w:t>
      </w:r>
      <w:r w:rsidR="00A8775E">
        <w:t>, z</w:t>
      </w:r>
      <w:r w:rsidR="006C42E1">
        <w:t>da víme co to krása vlastně je. Její definice je velmi těžká. Věděl to už i Platón, který se o ni pře v dialogu</w:t>
      </w:r>
      <w:r w:rsidR="006C42E1">
        <w:rPr>
          <w:rStyle w:val="Znakapoznpodarou"/>
        </w:rPr>
        <w:footnoteReference w:id="9"/>
      </w:r>
      <w:r w:rsidR="006C42E1">
        <w:t xml:space="preserve"> s Hip</w:t>
      </w:r>
      <w:r w:rsidR="00A70EB1">
        <w:t>p</w:t>
      </w:r>
      <w:r w:rsidR="006C42E1">
        <w:t>iasem.  Hip</w:t>
      </w:r>
      <w:r w:rsidR="002C33EF">
        <w:t>p</w:t>
      </w:r>
      <w:r w:rsidR="006C42E1">
        <w:t xml:space="preserve">ias uvádí, že krásné je to, co je:  1. Vhodné, 2. Užitečné, </w:t>
      </w:r>
      <w:r w:rsidR="006C42E1">
        <w:lastRenderedPageBreak/>
        <w:t xml:space="preserve">3. Prospěšné, 4. Libé zraku a sluchu a za 5. Prospěšně libé. Platon v roli Socrata vyvrací všechny </w:t>
      </w:r>
      <w:r w:rsidR="00A70EB1">
        <w:t>Hipp</w:t>
      </w:r>
      <w:r w:rsidR="006C42E1">
        <w:t>iasove výměry krásna a nakonec se shodují,</w:t>
      </w:r>
      <w:r w:rsidR="00A8775E">
        <w:t xml:space="preserve"> že co je krásné</w:t>
      </w:r>
      <w:r w:rsidR="00A70EB1">
        <w:t>,</w:t>
      </w:r>
      <w:r w:rsidR="00A8775E">
        <w:t xml:space="preserve"> není snadné. </w:t>
      </w:r>
      <w:r w:rsidR="006C42E1">
        <w:t xml:space="preserve">Krása je </w:t>
      </w:r>
      <w:r w:rsidR="00A70EB1">
        <w:t xml:space="preserve"> </w:t>
      </w:r>
      <w:r w:rsidR="006C42E1">
        <w:t>nadsmyslová a její přesná definice není jasná ani estetikům. Může</w:t>
      </w:r>
      <w:r w:rsidR="00A8775E">
        <w:t xml:space="preserve">me tedy tvrdit, že nějaké dílo </w:t>
      </w:r>
      <w:r w:rsidR="006C42E1">
        <w:t>krásné</w:t>
      </w:r>
      <w:r w:rsidR="00A8775E">
        <w:t xml:space="preserve"> není</w:t>
      </w:r>
      <w:r w:rsidR="006C42E1">
        <w:t xml:space="preserve">? </w:t>
      </w:r>
      <w:r w:rsidR="00A70EB1">
        <w:t xml:space="preserve"> </w:t>
      </w:r>
    </w:p>
    <w:p w:rsidR="00810674" w:rsidRDefault="0080097E" w:rsidP="005E0BD1">
      <w:pPr>
        <w:pStyle w:val="Normlnweb"/>
        <w:spacing w:line="360" w:lineRule="auto"/>
        <w:jc w:val="both"/>
      </w:pPr>
      <w:r>
        <w:t>Ve výše uvedených definicích uměleckých děl není také krása vůbec zmíněná jak posuzující faktor pro definici uměleckého díla. Tomáš G. Masaryk uvádí</w:t>
      </w:r>
      <w:r>
        <w:rPr>
          <w:rStyle w:val="Znakapoznpodarou"/>
        </w:rPr>
        <w:footnoteReference w:id="10"/>
      </w:r>
      <w:r>
        <w:t xml:space="preserve"> v jeho díle O studiu děl básnických, že umělecké dílo je vyjádřením umělcova názoru na svět. Pokud tedy tento názor není krásný, tak logicky nemůže být ani dílo krásné. I přesto se však může jednat o umění. Správná otázka tedy není jestli jsou umělecká díla</w:t>
      </w:r>
      <w:r w:rsidR="00CA6D09">
        <w:t>,</w:t>
      </w:r>
      <w:r>
        <w:t xml:space="preserve"> která nejsou krásná uměním, ale z jakého důvodu tyto díla nejsou krásná. </w:t>
      </w:r>
    </w:p>
    <w:p w:rsidR="005F018E" w:rsidRDefault="005F018E" w:rsidP="00A56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870" w:rsidRDefault="00922870" w:rsidP="00922870">
      <w:pPr>
        <w:pStyle w:val="Nadpis1"/>
      </w:pPr>
      <w:r>
        <w:t>závěr</w:t>
      </w:r>
    </w:p>
    <w:p w:rsidR="00922870" w:rsidRDefault="00922870" w:rsidP="009228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0D7E79" w:rsidRDefault="00CA6D09" w:rsidP="00116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Definovali jsme umělecké dílo pomocí několika definic. A pokusili se dát odpověď na otázku, zda jsou umělecké díla, která nejsou krásná uměním. Domníváme se, že je to možné, protože za prvé nelze zcela určitě definovat krásu a tedy ji přisoudit nebo odebrat nějakému dílu a za druhé, absenci krásy může být umělcovým záměrem. </w:t>
      </w:r>
    </w:p>
    <w:p w:rsidR="00712D15" w:rsidRDefault="00712D15" w:rsidP="00712D15"/>
    <w:p w:rsidR="000938BC" w:rsidRDefault="000938BC" w:rsidP="00712D15"/>
    <w:p w:rsidR="000938BC" w:rsidRDefault="000938BC" w:rsidP="00712D15"/>
    <w:p w:rsidR="000938BC" w:rsidRDefault="000938BC" w:rsidP="00712D15"/>
    <w:p w:rsidR="00F148F2" w:rsidRDefault="00F148F2" w:rsidP="00712D15"/>
    <w:p w:rsidR="00F148F2" w:rsidRDefault="00F148F2" w:rsidP="00712D15"/>
    <w:p w:rsidR="00F148F2" w:rsidRDefault="00F148F2" w:rsidP="00712D15"/>
    <w:p w:rsidR="00F148F2" w:rsidRDefault="00F148F2" w:rsidP="00712D15"/>
    <w:p w:rsidR="00F148F2" w:rsidRDefault="00F148F2" w:rsidP="00712D15"/>
    <w:p w:rsidR="00F148F2" w:rsidRDefault="00F148F2" w:rsidP="00712D15"/>
    <w:p w:rsidR="00A92495" w:rsidRDefault="00A92495" w:rsidP="00712D15"/>
    <w:p w:rsidR="00A92495" w:rsidRDefault="00A92495" w:rsidP="00712D15"/>
    <w:p w:rsidR="00825306" w:rsidRDefault="00825306" w:rsidP="00712D15"/>
    <w:p w:rsidR="000938BC" w:rsidRDefault="00731813" w:rsidP="00BF2B2A">
      <w:pPr>
        <w:pStyle w:val="Nadpis2"/>
      </w:pPr>
      <w:r>
        <w:lastRenderedPageBreak/>
        <w:t xml:space="preserve">Zdroje  </w:t>
      </w:r>
    </w:p>
    <w:p w:rsidR="00BF2B2A" w:rsidRDefault="00BF2B2A" w:rsidP="00BF2B2A"/>
    <w:p w:rsidR="003F2204" w:rsidRDefault="003F2204" w:rsidP="00F27A48">
      <w:pPr>
        <w:ind w:left="708"/>
        <w:rPr>
          <w:rFonts w:ascii="Calibri" w:hAnsi="Calibri"/>
        </w:rPr>
      </w:pPr>
      <w:r w:rsidRPr="003F2204">
        <w:rPr>
          <w:rFonts w:ascii="Calibri" w:hAnsi="Calibri"/>
        </w:rPr>
        <w:t>D</w:t>
      </w:r>
      <w:r>
        <w:rPr>
          <w:rFonts w:ascii="Calibri" w:hAnsi="Calibri"/>
        </w:rPr>
        <w:t>ANTO</w:t>
      </w:r>
      <w:r w:rsidRPr="003F2204">
        <w:rPr>
          <w:rFonts w:ascii="Calibri" w:hAnsi="Calibri"/>
        </w:rPr>
        <w:t>, A. „The Artworld.“ Journal of Philosophy, 61 (1964).</w:t>
      </w:r>
    </w:p>
    <w:p w:rsidR="00825306" w:rsidRDefault="00825306" w:rsidP="00825306">
      <w:pPr>
        <w:ind w:left="705"/>
      </w:pPr>
      <w:r>
        <w:t xml:space="preserve">DICKIE, G. </w:t>
      </w:r>
      <w:r>
        <w:rPr>
          <w:rStyle w:val="Zvraznn"/>
        </w:rPr>
        <w:t>Art and the Aesthetic: An Institutional Analysis.</w:t>
      </w:r>
      <w:r>
        <w:t xml:space="preserve"> Ithaca: Cornell University Press, 1974.</w:t>
      </w:r>
    </w:p>
    <w:p w:rsidR="000276E9" w:rsidRDefault="000276E9" w:rsidP="00862B6A">
      <w:pPr>
        <w:ind w:left="705"/>
      </w:pPr>
      <w:r>
        <w:t xml:space="preserve">LAMAČ, Miroslav. </w:t>
      </w:r>
      <w:r>
        <w:rPr>
          <w:i/>
          <w:iCs/>
        </w:rPr>
        <w:t>Myšlenky moderních malířů: Od Cézanna po Dalího</w:t>
      </w:r>
      <w:r>
        <w:t>. 4. přepracované vyd. Praha: Odeon, 1989, 513 s. ISBN 80-207-0087-0.</w:t>
      </w:r>
    </w:p>
    <w:p w:rsidR="0080097E" w:rsidRDefault="0080097E" w:rsidP="00862B6A">
      <w:pPr>
        <w:ind w:left="705"/>
      </w:pPr>
      <w:r>
        <w:t xml:space="preserve">MASARYK, Tomáš G. </w:t>
      </w:r>
      <w:r>
        <w:rPr>
          <w:i/>
          <w:iCs/>
        </w:rPr>
        <w:t>O studiu děl básnických</w:t>
      </w:r>
      <w:r>
        <w:t>. Praha, 1926.</w:t>
      </w:r>
    </w:p>
    <w:p w:rsidR="00825306" w:rsidRDefault="00825306" w:rsidP="00825306">
      <w:pPr>
        <w:ind w:left="708"/>
      </w:pPr>
      <w:r>
        <w:t xml:space="preserve">MORARIU, Vlad. Transfigurace. In: [online]. [cit. 2012-12-31]. Dostupné z: http://www.monumenttotransformation.org/atlas-transformace/html/t/transfigurace/transfigurace.html </w:t>
      </w:r>
    </w:p>
    <w:p w:rsidR="006C42E1" w:rsidRDefault="006C42E1" w:rsidP="00825306">
      <w:pPr>
        <w:ind w:left="708"/>
      </w:pPr>
      <w:r>
        <w:t xml:space="preserve">PLATÓN,. </w:t>
      </w:r>
      <w:r>
        <w:rPr>
          <w:i/>
          <w:iCs/>
        </w:rPr>
        <w:t>Hippias Větší: Hippias Menší ; Ión ; Menexenos</w:t>
      </w:r>
      <w:r>
        <w:t>. 4. opr. vyd. Praha: Oikoymenh, 2010, 143 s. ISBN 978-807-2984-541.</w:t>
      </w:r>
    </w:p>
    <w:p w:rsidR="00825306" w:rsidRDefault="00825306" w:rsidP="00862B6A">
      <w:pPr>
        <w:ind w:left="705"/>
      </w:pPr>
    </w:p>
    <w:p w:rsidR="000938BC" w:rsidRDefault="000938BC" w:rsidP="00712D15"/>
    <w:p w:rsidR="000938BC" w:rsidRDefault="000938BC" w:rsidP="00712D15"/>
    <w:p w:rsidR="000938BC" w:rsidRDefault="000938BC" w:rsidP="00712D15"/>
    <w:p w:rsidR="00712D15" w:rsidRDefault="00712D15" w:rsidP="00712D15"/>
    <w:sectPr w:rsidR="00712D15" w:rsidSect="00A62179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8AE" w:rsidRDefault="00EE08AE" w:rsidP="00712D15">
      <w:pPr>
        <w:spacing w:after="0" w:line="240" w:lineRule="auto"/>
      </w:pPr>
      <w:r>
        <w:separator/>
      </w:r>
    </w:p>
  </w:endnote>
  <w:endnote w:type="continuationSeparator" w:id="1">
    <w:p w:rsidR="00EE08AE" w:rsidRDefault="00EE08AE" w:rsidP="0071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8AE" w:rsidRDefault="00EE08AE" w:rsidP="00712D15">
      <w:pPr>
        <w:spacing w:after="0" w:line="240" w:lineRule="auto"/>
      </w:pPr>
      <w:r>
        <w:separator/>
      </w:r>
    </w:p>
  </w:footnote>
  <w:footnote w:type="continuationSeparator" w:id="1">
    <w:p w:rsidR="00EE08AE" w:rsidRDefault="00EE08AE" w:rsidP="00712D15">
      <w:pPr>
        <w:spacing w:after="0" w:line="240" w:lineRule="auto"/>
      </w:pPr>
      <w:r>
        <w:continuationSeparator/>
      </w:r>
    </w:p>
  </w:footnote>
  <w:footnote w:id="2">
    <w:p w:rsidR="003F2204" w:rsidRDefault="003F22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2204">
        <w:t>Danto, A. „The Artworld.“ Journal of Philosophy, 61 (1964).</w:t>
      </w:r>
    </w:p>
  </w:footnote>
  <w:footnote w:id="3">
    <w:p w:rsidR="003F2204" w:rsidRDefault="003F2204" w:rsidP="003F2204">
      <w:pPr>
        <w:pStyle w:val="Textpoznpodarou"/>
      </w:pPr>
      <w:r>
        <w:rPr>
          <w:rStyle w:val="Znakapoznpodarou"/>
        </w:rPr>
        <w:footnoteRef/>
      </w:r>
      <w:r>
        <w:t xml:space="preserve"> MORARIU, Vlad. Transfigurace. In: [online]. [cit. 2012-12-31]. Dostupné z:  http://www.monumenttotransformation.org/atlas-transformace/html/t/transfigurace/transfigurace.html</w:t>
      </w:r>
    </w:p>
  </w:footnote>
  <w:footnote w:id="4">
    <w:p w:rsidR="00DE02E6" w:rsidRDefault="00DE02E6">
      <w:pPr>
        <w:pStyle w:val="Textpoznpodarou"/>
      </w:pPr>
      <w:r>
        <w:rPr>
          <w:rStyle w:val="Znakapoznpodarou"/>
        </w:rPr>
        <w:footnoteRef/>
      </w:r>
      <w:r>
        <w:t xml:space="preserve"> Dickie, G. </w:t>
      </w:r>
      <w:r>
        <w:rPr>
          <w:rStyle w:val="Zvraznn"/>
        </w:rPr>
        <w:t>Art and the Aesthetic: An Institutional Analysis.</w:t>
      </w:r>
      <w:r>
        <w:t xml:space="preserve"> Ithaca: Cornell University Press, 1974.</w:t>
      </w:r>
    </w:p>
  </w:footnote>
  <w:footnote w:id="5">
    <w:p w:rsidR="00DE02E6" w:rsidRDefault="00DE02E6">
      <w:pPr>
        <w:pStyle w:val="Textpoznpodarou"/>
      </w:pPr>
      <w:r>
        <w:rPr>
          <w:rStyle w:val="Znakapoznpodarou"/>
        </w:rPr>
        <w:footnoteRef/>
      </w:r>
      <w:r>
        <w:t xml:space="preserve"> Dickie, G. </w:t>
      </w:r>
      <w:r>
        <w:rPr>
          <w:rStyle w:val="Zvraznn"/>
        </w:rPr>
        <w:t>Art and the Aesthetic: An Institutional Analysis.</w:t>
      </w:r>
      <w:r>
        <w:t xml:space="preserve"> Ithaca: Cornell University Press, 1974.</w:t>
      </w:r>
    </w:p>
  </w:footnote>
  <w:footnote w:id="6">
    <w:p w:rsidR="00810674" w:rsidRDefault="00810674">
      <w:pPr>
        <w:pStyle w:val="Textpoznpodarou"/>
      </w:pPr>
      <w:r>
        <w:rPr>
          <w:rStyle w:val="Znakapoznpodarou"/>
        </w:rPr>
        <w:footnoteRef/>
      </w:r>
      <w:r>
        <w:t xml:space="preserve"> MORARIU, Vlad. Transfigurace. In: [online]. [cit. 2012-12-31]. Dostupné z:  http://www.monumenttotransformation.org/atlas-transformace/html/t/transfigurace/transfigurace.html</w:t>
      </w:r>
    </w:p>
  </w:footnote>
  <w:footnote w:id="7">
    <w:p w:rsidR="000276E9" w:rsidRDefault="000276E9">
      <w:pPr>
        <w:pStyle w:val="Textpoznpodarou"/>
      </w:pPr>
      <w:r>
        <w:rPr>
          <w:rStyle w:val="Znakapoznpodarou"/>
        </w:rPr>
        <w:footnoteRef/>
      </w:r>
      <w:r>
        <w:t xml:space="preserve"> LAMAČ, Miroslav. </w:t>
      </w:r>
      <w:r>
        <w:rPr>
          <w:i/>
          <w:iCs/>
        </w:rPr>
        <w:t>Myšlenky moderních malířů: Od Cézanna po Dalího</w:t>
      </w:r>
      <w:r>
        <w:t>. 4. přepracované vyd. Praha: Odeon, 1989, 513 s. ISBN 80-207-0087-0.</w:t>
      </w:r>
    </w:p>
  </w:footnote>
  <w:footnote w:id="8">
    <w:p w:rsidR="00825306" w:rsidRDefault="00825306">
      <w:pPr>
        <w:pStyle w:val="Textpoznpodarou"/>
      </w:pPr>
      <w:r>
        <w:rPr>
          <w:rStyle w:val="Znakapoznpodarou"/>
        </w:rPr>
        <w:footnoteRef/>
      </w:r>
      <w:r>
        <w:t xml:space="preserve"> LAMAČ, Miroslav. </w:t>
      </w:r>
      <w:r>
        <w:rPr>
          <w:i/>
          <w:iCs/>
        </w:rPr>
        <w:t>Myšlenky moderních malířů: Od Cézanna po Dalího</w:t>
      </w:r>
      <w:r>
        <w:t>. 4. přepracované vyd. Praha: Odeon, 1989,  75 s.</w:t>
      </w:r>
    </w:p>
  </w:footnote>
  <w:footnote w:id="9">
    <w:p w:rsidR="006C42E1" w:rsidRDefault="006C42E1">
      <w:pPr>
        <w:pStyle w:val="Textpoznpodarou"/>
      </w:pPr>
      <w:r>
        <w:rPr>
          <w:rStyle w:val="Znakapoznpodarou"/>
        </w:rPr>
        <w:footnoteRef/>
      </w:r>
      <w:r>
        <w:t xml:space="preserve"> PLATÓN,. </w:t>
      </w:r>
      <w:r>
        <w:rPr>
          <w:i/>
          <w:iCs/>
        </w:rPr>
        <w:t>Hippias Větší: Hippias Menší ; Ión ; Menexenos</w:t>
      </w:r>
      <w:r>
        <w:t>. 4. opr. vyd. Praha: Oikoymenh, 2010, 143 s. ISBN 978-807-2984-541.</w:t>
      </w:r>
    </w:p>
  </w:footnote>
  <w:footnote w:id="10">
    <w:p w:rsidR="0080097E" w:rsidRDefault="0080097E">
      <w:pPr>
        <w:pStyle w:val="Textpoznpodarou"/>
      </w:pPr>
      <w:r>
        <w:rPr>
          <w:rStyle w:val="Znakapoznpodarou"/>
        </w:rPr>
        <w:footnoteRef/>
      </w:r>
      <w:r>
        <w:t xml:space="preserve"> MASARYK, Tomáš G. </w:t>
      </w:r>
      <w:r>
        <w:rPr>
          <w:i/>
          <w:iCs/>
        </w:rPr>
        <w:t>O studiu děl básnických</w:t>
      </w:r>
      <w:r>
        <w:t>. Praha, 1926.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765"/>
    <w:multiLevelType w:val="hybridMultilevel"/>
    <w:tmpl w:val="AA68F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72A81"/>
    <w:multiLevelType w:val="hybridMultilevel"/>
    <w:tmpl w:val="C4E4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3C2"/>
    <w:multiLevelType w:val="hybridMultilevel"/>
    <w:tmpl w:val="F38E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622F2"/>
    <w:multiLevelType w:val="hybridMultilevel"/>
    <w:tmpl w:val="616E34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60584"/>
    <w:multiLevelType w:val="hybridMultilevel"/>
    <w:tmpl w:val="8DFA1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90AE2"/>
    <w:multiLevelType w:val="hybridMultilevel"/>
    <w:tmpl w:val="5252A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6481A"/>
    <w:multiLevelType w:val="hybridMultilevel"/>
    <w:tmpl w:val="96604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55EF7"/>
    <w:multiLevelType w:val="hybridMultilevel"/>
    <w:tmpl w:val="CC0A1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B3D6F"/>
    <w:multiLevelType w:val="hybridMultilevel"/>
    <w:tmpl w:val="C186E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81DCA"/>
    <w:multiLevelType w:val="hybridMultilevel"/>
    <w:tmpl w:val="FA923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D157E"/>
    <w:multiLevelType w:val="hybridMultilevel"/>
    <w:tmpl w:val="4E767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128F4"/>
    <w:multiLevelType w:val="hybridMultilevel"/>
    <w:tmpl w:val="A7E20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E75E0"/>
    <w:multiLevelType w:val="hybridMultilevel"/>
    <w:tmpl w:val="B032F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9186B"/>
    <w:multiLevelType w:val="hybridMultilevel"/>
    <w:tmpl w:val="0EC02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47ADB"/>
    <w:multiLevelType w:val="hybridMultilevel"/>
    <w:tmpl w:val="D38E9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B4675"/>
    <w:multiLevelType w:val="hybridMultilevel"/>
    <w:tmpl w:val="5746727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71D569A"/>
    <w:multiLevelType w:val="hybridMultilevel"/>
    <w:tmpl w:val="16BA4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34F16"/>
    <w:multiLevelType w:val="hybridMultilevel"/>
    <w:tmpl w:val="B8869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82FE0"/>
    <w:multiLevelType w:val="hybridMultilevel"/>
    <w:tmpl w:val="B5ECC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15"/>
  </w:num>
  <w:num w:numId="7">
    <w:abstractNumId w:val="5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4"/>
  </w:num>
  <w:num w:numId="14">
    <w:abstractNumId w:val="17"/>
  </w:num>
  <w:num w:numId="15">
    <w:abstractNumId w:val="12"/>
  </w:num>
  <w:num w:numId="16">
    <w:abstractNumId w:val="18"/>
  </w:num>
  <w:num w:numId="17">
    <w:abstractNumId w:val="16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A24"/>
    <w:rsid w:val="00004D7F"/>
    <w:rsid w:val="000276E9"/>
    <w:rsid w:val="00063DA1"/>
    <w:rsid w:val="00067550"/>
    <w:rsid w:val="00071129"/>
    <w:rsid w:val="000762D4"/>
    <w:rsid w:val="000938BC"/>
    <w:rsid w:val="000939D4"/>
    <w:rsid w:val="000B1125"/>
    <w:rsid w:val="000C5163"/>
    <w:rsid w:val="000C5BDC"/>
    <w:rsid w:val="000D45DB"/>
    <w:rsid w:val="000D7E79"/>
    <w:rsid w:val="000E5851"/>
    <w:rsid w:val="000E726B"/>
    <w:rsid w:val="000F1C3E"/>
    <w:rsid w:val="00100834"/>
    <w:rsid w:val="0010702E"/>
    <w:rsid w:val="00112B12"/>
    <w:rsid w:val="0011545E"/>
    <w:rsid w:val="00116037"/>
    <w:rsid w:val="0014221A"/>
    <w:rsid w:val="00157828"/>
    <w:rsid w:val="00193507"/>
    <w:rsid w:val="00194006"/>
    <w:rsid w:val="001A5123"/>
    <w:rsid w:val="001B417B"/>
    <w:rsid w:val="001C5004"/>
    <w:rsid w:val="001C7D26"/>
    <w:rsid w:val="001E125F"/>
    <w:rsid w:val="001F3B5F"/>
    <w:rsid w:val="001F7E6B"/>
    <w:rsid w:val="00207072"/>
    <w:rsid w:val="00215C95"/>
    <w:rsid w:val="0022054C"/>
    <w:rsid w:val="002312B3"/>
    <w:rsid w:val="0023346C"/>
    <w:rsid w:val="00234BDE"/>
    <w:rsid w:val="00237C9B"/>
    <w:rsid w:val="00251DDB"/>
    <w:rsid w:val="00252A3D"/>
    <w:rsid w:val="00255F8D"/>
    <w:rsid w:val="00282D9E"/>
    <w:rsid w:val="00283310"/>
    <w:rsid w:val="0028365E"/>
    <w:rsid w:val="00291CF5"/>
    <w:rsid w:val="0029415C"/>
    <w:rsid w:val="002A22DA"/>
    <w:rsid w:val="002A3E1B"/>
    <w:rsid w:val="002A774A"/>
    <w:rsid w:val="002B5CD1"/>
    <w:rsid w:val="002C33EF"/>
    <w:rsid w:val="002D1CBB"/>
    <w:rsid w:val="002D3871"/>
    <w:rsid w:val="002D3995"/>
    <w:rsid w:val="0030069E"/>
    <w:rsid w:val="00302C61"/>
    <w:rsid w:val="003318F8"/>
    <w:rsid w:val="00354BAE"/>
    <w:rsid w:val="003B4901"/>
    <w:rsid w:val="003C559B"/>
    <w:rsid w:val="003C746A"/>
    <w:rsid w:val="003E54AA"/>
    <w:rsid w:val="003E77E7"/>
    <w:rsid w:val="003F2204"/>
    <w:rsid w:val="003F5EE5"/>
    <w:rsid w:val="004053B6"/>
    <w:rsid w:val="0040656B"/>
    <w:rsid w:val="0041555D"/>
    <w:rsid w:val="00422720"/>
    <w:rsid w:val="00427E1D"/>
    <w:rsid w:val="00437418"/>
    <w:rsid w:val="00446734"/>
    <w:rsid w:val="004A2960"/>
    <w:rsid w:val="004E69C5"/>
    <w:rsid w:val="00515477"/>
    <w:rsid w:val="005173E8"/>
    <w:rsid w:val="0052598D"/>
    <w:rsid w:val="00527724"/>
    <w:rsid w:val="00540B99"/>
    <w:rsid w:val="00551EC0"/>
    <w:rsid w:val="005548CC"/>
    <w:rsid w:val="005555F9"/>
    <w:rsid w:val="0055583F"/>
    <w:rsid w:val="0057083A"/>
    <w:rsid w:val="0059139C"/>
    <w:rsid w:val="00594954"/>
    <w:rsid w:val="005954F8"/>
    <w:rsid w:val="005A62B3"/>
    <w:rsid w:val="005B0539"/>
    <w:rsid w:val="005C2413"/>
    <w:rsid w:val="005E0BD1"/>
    <w:rsid w:val="005F018E"/>
    <w:rsid w:val="006042E4"/>
    <w:rsid w:val="00611004"/>
    <w:rsid w:val="00630E35"/>
    <w:rsid w:val="00643C2F"/>
    <w:rsid w:val="006445B2"/>
    <w:rsid w:val="006529B6"/>
    <w:rsid w:val="00681AD2"/>
    <w:rsid w:val="006827CD"/>
    <w:rsid w:val="006A132F"/>
    <w:rsid w:val="006B5D76"/>
    <w:rsid w:val="006C42E1"/>
    <w:rsid w:val="006C5D26"/>
    <w:rsid w:val="0070378F"/>
    <w:rsid w:val="00703877"/>
    <w:rsid w:val="00704690"/>
    <w:rsid w:val="00712D15"/>
    <w:rsid w:val="00731813"/>
    <w:rsid w:val="00737F32"/>
    <w:rsid w:val="007419F2"/>
    <w:rsid w:val="00741FF2"/>
    <w:rsid w:val="00746435"/>
    <w:rsid w:val="00761E0F"/>
    <w:rsid w:val="007633ED"/>
    <w:rsid w:val="007770B9"/>
    <w:rsid w:val="0078132A"/>
    <w:rsid w:val="007A469B"/>
    <w:rsid w:val="007A5450"/>
    <w:rsid w:val="007C1A58"/>
    <w:rsid w:val="007C1A93"/>
    <w:rsid w:val="007C526E"/>
    <w:rsid w:val="007D5CD5"/>
    <w:rsid w:val="007E7921"/>
    <w:rsid w:val="007F5DE6"/>
    <w:rsid w:val="0080097E"/>
    <w:rsid w:val="008015A0"/>
    <w:rsid w:val="00810674"/>
    <w:rsid w:val="0081373E"/>
    <w:rsid w:val="00813E44"/>
    <w:rsid w:val="00825056"/>
    <w:rsid w:val="00825306"/>
    <w:rsid w:val="00831600"/>
    <w:rsid w:val="0084466D"/>
    <w:rsid w:val="00857A83"/>
    <w:rsid w:val="00862B6A"/>
    <w:rsid w:val="008846BE"/>
    <w:rsid w:val="00897035"/>
    <w:rsid w:val="008A5B39"/>
    <w:rsid w:val="008B0E3D"/>
    <w:rsid w:val="008B12DA"/>
    <w:rsid w:val="008B5F10"/>
    <w:rsid w:val="008B7A1C"/>
    <w:rsid w:val="008D2BB3"/>
    <w:rsid w:val="008D3E90"/>
    <w:rsid w:val="00904586"/>
    <w:rsid w:val="00911F68"/>
    <w:rsid w:val="00915A4A"/>
    <w:rsid w:val="00922870"/>
    <w:rsid w:val="00925982"/>
    <w:rsid w:val="00925A2C"/>
    <w:rsid w:val="00941148"/>
    <w:rsid w:val="00944AEF"/>
    <w:rsid w:val="009519ED"/>
    <w:rsid w:val="00951D8A"/>
    <w:rsid w:val="009628F5"/>
    <w:rsid w:val="00984F0C"/>
    <w:rsid w:val="009A08D2"/>
    <w:rsid w:val="009B32B2"/>
    <w:rsid w:val="009C3194"/>
    <w:rsid w:val="009D4CF3"/>
    <w:rsid w:val="009E1282"/>
    <w:rsid w:val="009E135E"/>
    <w:rsid w:val="009E3B01"/>
    <w:rsid w:val="009F2A64"/>
    <w:rsid w:val="00A03A2C"/>
    <w:rsid w:val="00A25E39"/>
    <w:rsid w:val="00A26BCA"/>
    <w:rsid w:val="00A56805"/>
    <w:rsid w:val="00A62179"/>
    <w:rsid w:val="00A67C51"/>
    <w:rsid w:val="00A70EB1"/>
    <w:rsid w:val="00A71157"/>
    <w:rsid w:val="00A767E6"/>
    <w:rsid w:val="00A77BDE"/>
    <w:rsid w:val="00A8775E"/>
    <w:rsid w:val="00A87E55"/>
    <w:rsid w:val="00A92495"/>
    <w:rsid w:val="00AA00DC"/>
    <w:rsid w:val="00AB67F4"/>
    <w:rsid w:val="00AE1676"/>
    <w:rsid w:val="00B24C90"/>
    <w:rsid w:val="00B35960"/>
    <w:rsid w:val="00B433A0"/>
    <w:rsid w:val="00B51BDB"/>
    <w:rsid w:val="00B536BC"/>
    <w:rsid w:val="00B67E0E"/>
    <w:rsid w:val="00B73685"/>
    <w:rsid w:val="00B811A5"/>
    <w:rsid w:val="00B914F7"/>
    <w:rsid w:val="00BA3511"/>
    <w:rsid w:val="00BD00DD"/>
    <w:rsid w:val="00BD43B5"/>
    <w:rsid w:val="00BF2B2A"/>
    <w:rsid w:val="00C031DC"/>
    <w:rsid w:val="00C070AC"/>
    <w:rsid w:val="00C11575"/>
    <w:rsid w:val="00C2007D"/>
    <w:rsid w:val="00C3719A"/>
    <w:rsid w:val="00C60854"/>
    <w:rsid w:val="00C65361"/>
    <w:rsid w:val="00C87FE0"/>
    <w:rsid w:val="00C90741"/>
    <w:rsid w:val="00CA6D09"/>
    <w:rsid w:val="00CD3DF2"/>
    <w:rsid w:val="00CE0EB0"/>
    <w:rsid w:val="00D12107"/>
    <w:rsid w:val="00D1338B"/>
    <w:rsid w:val="00D20421"/>
    <w:rsid w:val="00D431C4"/>
    <w:rsid w:val="00D449B0"/>
    <w:rsid w:val="00D45902"/>
    <w:rsid w:val="00D53405"/>
    <w:rsid w:val="00D565D1"/>
    <w:rsid w:val="00D57F59"/>
    <w:rsid w:val="00D92086"/>
    <w:rsid w:val="00DA767E"/>
    <w:rsid w:val="00DB0276"/>
    <w:rsid w:val="00DB4358"/>
    <w:rsid w:val="00DC0823"/>
    <w:rsid w:val="00DE02E6"/>
    <w:rsid w:val="00DF5A5B"/>
    <w:rsid w:val="00E14EA5"/>
    <w:rsid w:val="00E667C6"/>
    <w:rsid w:val="00E70A24"/>
    <w:rsid w:val="00E719FE"/>
    <w:rsid w:val="00E725AC"/>
    <w:rsid w:val="00E74CD1"/>
    <w:rsid w:val="00E90613"/>
    <w:rsid w:val="00EA091D"/>
    <w:rsid w:val="00EA0C52"/>
    <w:rsid w:val="00EC761D"/>
    <w:rsid w:val="00ED1879"/>
    <w:rsid w:val="00EE08AE"/>
    <w:rsid w:val="00EE3800"/>
    <w:rsid w:val="00EE3F23"/>
    <w:rsid w:val="00EE418B"/>
    <w:rsid w:val="00F148F2"/>
    <w:rsid w:val="00F27A48"/>
    <w:rsid w:val="00F97D4D"/>
    <w:rsid w:val="00FA585D"/>
    <w:rsid w:val="00FB0567"/>
    <w:rsid w:val="00FC6EC1"/>
    <w:rsid w:val="00FF5063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2B3"/>
  </w:style>
  <w:style w:type="paragraph" w:styleId="Nadpis1">
    <w:name w:val="heading 1"/>
    <w:basedOn w:val="Normln"/>
    <w:next w:val="Normln"/>
    <w:link w:val="Nadpis1Char"/>
    <w:uiPriority w:val="9"/>
    <w:qFormat/>
    <w:rsid w:val="00E70A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  <w:lang w:val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4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4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0A24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n-US" w:bidi="en-US"/>
    </w:rPr>
  </w:style>
  <w:style w:type="paragraph" w:styleId="Odstavecseseznamem">
    <w:name w:val="List Paragraph"/>
    <w:basedOn w:val="Normln"/>
    <w:uiPriority w:val="34"/>
    <w:qFormat/>
    <w:rsid w:val="00E70A24"/>
    <w:pPr>
      <w:spacing w:before="200"/>
      <w:ind w:left="720"/>
      <w:contextualSpacing/>
    </w:pPr>
    <w:rPr>
      <w:rFonts w:eastAsiaTheme="minorEastAsia"/>
      <w:sz w:val="20"/>
      <w:szCs w:val="20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1940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40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194006"/>
    <w:pPr>
      <w:spacing w:after="0" w:line="240" w:lineRule="auto"/>
    </w:pPr>
    <w:rPr>
      <w:rFonts w:ascii="Times New Roman" w:hAnsi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194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940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D15"/>
    <w:rPr>
      <w:rFonts w:ascii="Tahoma" w:hAnsi="Tahoma" w:cs="Tahoma"/>
      <w:sz w:val="16"/>
      <w:szCs w:val="16"/>
    </w:rPr>
  </w:style>
  <w:style w:type="character" w:styleId="Znakapoznpodarou">
    <w:name w:val="footnote reference"/>
    <w:basedOn w:val="Standardnpsmoodstavce"/>
    <w:semiHidden/>
    <w:unhideWhenUsed/>
    <w:rsid w:val="00712D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712D15"/>
    <w:pPr>
      <w:ind w:left="221" w:right="227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12D15"/>
    <w:rPr>
      <w:rFonts w:ascii="Calibri" w:eastAsia="Calibri" w:hAnsi="Calibri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5340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33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3346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568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7D30-2F17-4199-B93F-6C33A923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4365</Characters>
  <Application>Microsoft Office Word</Application>
  <DocSecurity>0</DocSecurity>
  <Lines>145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Michalka</dc:creator>
  <cp:lastModifiedBy>Uživatel</cp:lastModifiedBy>
  <cp:revision>2</cp:revision>
  <dcterms:created xsi:type="dcterms:W3CDTF">2012-12-31T16:39:00Z</dcterms:created>
  <dcterms:modified xsi:type="dcterms:W3CDTF">2012-12-31T16:39:00Z</dcterms:modified>
</cp:coreProperties>
</file>