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12" w:rsidRPr="00987B12" w:rsidRDefault="00987B12" w:rsidP="00987B12">
      <w:pPr>
        <w:shd w:val="clear" w:color="auto" w:fill="D8D6D6"/>
        <w:spacing w:after="0" w:line="360" w:lineRule="atLeast"/>
        <w:ind w:right="180"/>
        <w:textAlignment w:val="baseline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cs-CZ"/>
        </w:rPr>
      </w:pPr>
      <w:r w:rsidRPr="00987B12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cs-CZ"/>
        </w:rPr>
        <w:t>ETYMOLOGI</w:t>
      </w:r>
    </w:p>
    <w:p w:rsidR="00987B12" w:rsidRPr="00987B12" w:rsidRDefault="00987B12" w:rsidP="00987B12">
      <w:pP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987B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av</w:t>
      </w:r>
      <w:proofErr w:type="spellEnd"/>
      <w:r w:rsidRPr="00987B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987B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eng</w:t>
      </w:r>
      <w:proofErr w:type="spellEnd"/>
      <w:r w:rsidRPr="00987B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 </w:t>
      </w:r>
      <w:proofErr w:type="spellStart"/>
      <w:r w:rsidRPr="00987B1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cs-CZ"/>
        </w:rPr>
        <w:t>speech</w:t>
      </w:r>
      <w:proofErr w:type="spellEnd"/>
      <w:r w:rsidRPr="00987B1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987B1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cs-CZ"/>
        </w:rPr>
        <w:t>act</w:t>
      </w:r>
      <w:proofErr w:type="spellEnd"/>
    </w:p>
    <w:p w:rsidR="00987B12" w:rsidRDefault="00987B12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987B12" w:rsidRDefault="00987B12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987B12" w:rsidRPr="00987B12" w:rsidRDefault="00987B1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987B1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Talehandling</w:t>
      </w:r>
      <w:proofErr w:type="spellEnd"/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kan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best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beskrives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som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når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vi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sier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noe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gjør</w:t>
      </w:r>
      <w:proofErr w:type="spellEnd"/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vi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noe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slik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som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når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 prest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sier</w:t>
      </w:r>
      <w:proofErr w:type="spellEnd"/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jeg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erklærer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dere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herved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for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rette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ektefolk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å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være</w:t>
      </w:r>
      <w:proofErr w:type="spellEnd"/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eller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som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handling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utført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ved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hjelp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av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språket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eksempel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å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beskrive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noe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det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snør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stille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et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spørsmål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snør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det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?</w:t>
      </w:r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be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om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noe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eller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gi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ordre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kan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du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sende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saltet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?</w:t>
      </w:r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slipp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våpenet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ellers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skyter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jeg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deg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eller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å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gi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et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løfte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Jeg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lover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å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gi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det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tilbake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Andre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vanlige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eksempler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på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talehandlinger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å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hilse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å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unnskylde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seg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eller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å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fornærme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noen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).</w:t>
      </w:r>
    </w:p>
    <w:p w:rsidR="00987B12" w:rsidRPr="00987B12" w:rsidRDefault="00987B1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87B12" w:rsidRPr="00987B12" w:rsidRDefault="00987B1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87B12" w:rsidRPr="00987B12" w:rsidRDefault="00987B1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B2FA9" w:rsidRPr="00987B12" w:rsidRDefault="00987B1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En</w:t>
      </w:r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talehandling</w:t>
      </w:r>
      <w:proofErr w:type="spellEnd"/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engelsk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speech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act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et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sprogligt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udsagn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der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udfører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</w:t>
      </w:r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fldChar w:fldCharType="begin"/>
      </w:r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instrText xml:space="preserve"> HYPERLINK "http://da.wikipedia.org/wiki/Handling_(virke)" \o "Handling (virke)" </w:instrText>
      </w:r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fldChar w:fldCharType="separate"/>
      </w:r>
      <w:r w:rsidRPr="00987B12">
        <w:rPr>
          <w:rStyle w:val="Hypertextovodkaz"/>
          <w:rFonts w:ascii="Arial" w:hAnsi="Arial" w:cs="Arial"/>
          <w:i/>
          <w:iCs/>
          <w:color w:val="0B0080"/>
          <w:sz w:val="28"/>
          <w:szCs w:val="28"/>
          <w:u w:val="none"/>
          <w:shd w:val="clear" w:color="auto" w:fill="FFFFFF"/>
        </w:rPr>
        <w:t>handling</w:t>
      </w:r>
      <w:proofErr w:type="spellEnd"/>
      <w:r w:rsidRPr="00987B1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fldChar w:fldCharType="end"/>
      </w:r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med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ikke-sproglige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konsekvenser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Talehandlingsteorien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udvikledes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af</w:t>
      </w:r>
      <w:proofErr w:type="spellEnd"/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sz w:val="28"/>
          <w:szCs w:val="28"/>
        </w:rPr>
        <w:fldChar w:fldCharType="begin"/>
      </w:r>
      <w:r w:rsidRPr="00987B12">
        <w:rPr>
          <w:sz w:val="28"/>
          <w:szCs w:val="28"/>
        </w:rPr>
        <w:instrText xml:space="preserve"> HYPERLINK "http://da.wikipedia.org/wiki/Sprogfilosofi" \o "Sprogfilosofi" </w:instrText>
      </w:r>
      <w:r w:rsidRPr="00987B12">
        <w:rPr>
          <w:sz w:val="28"/>
          <w:szCs w:val="28"/>
        </w:rPr>
        <w:fldChar w:fldCharType="separate"/>
      </w:r>
      <w:r w:rsidRPr="00987B12">
        <w:rPr>
          <w:rStyle w:val="Hypertextovodkaz"/>
          <w:rFonts w:ascii="Arial" w:hAnsi="Arial" w:cs="Arial"/>
          <w:color w:val="0B0080"/>
          <w:sz w:val="28"/>
          <w:szCs w:val="28"/>
          <w:u w:val="none"/>
          <w:shd w:val="clear" w:color="auto" w:fill="FFFFFF"/>
        </w:rPr>
        <w:t>sprogfilosoffen</w:t>
      </w:r>
      <w:proofErr w:type="spellEnd"/>
      <w:r w:rsidRPr="00987B12">
        <w:rPr>
          <w:sz w:val="28"/>
          <w:szCs w:val="28"/>
        </w:rPr>
        <w:fldChar w:fldCharType="end"/>
      </w:r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5" w:tooltip="J. L. Austin (ikke skrevet endnu)" w:history="1">
        <w:r w:rsidRPr="00987B12">
          <w:rPr>
            <w:rStyle w:val="Hypertextovodkaz"/>
            <w:rFonts w:ascii="Arial" w:hAnsi="Arial" w:cs="Arial"/>
            <w:color w:val="A55858"/>
            <w:sz w:val="28"/>
            <w:szCs w:val="28"/>
            <w:u w:val="none"/>
            <w:shd w:val="clear" w:color="auto" w:fill="FFFFFF"/>
          </w:rPr>
          <w:t>J. L. Austin</w:t>
        </w:r>
      </w:hyperlink>
      <w:r w:rsidRPr="00987B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midt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det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tyvende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århundrede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Han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definerede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talehandlinger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som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former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udsagn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der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ikke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blot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refererer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til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virkeligheden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men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som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skaber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virkelighed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eller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som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handlinger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der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udføres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blot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ved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sige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noget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Eksempler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på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sådanne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handlinger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love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noget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navngive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noget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erklære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nogen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ægtefolk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og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så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videre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Fælles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talehandlinger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ikke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kan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beskrives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som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sande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eller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falsk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men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kun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vurderes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forhold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til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om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formår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udføre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den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tilsigtede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handling</w:t>
      </w:r>
      <w:proofErr w:type="spellEnd"/>
      <w:r w:rsidRPr="00987B1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987B12" w:rsidRPr="00987B12" w:rsidRDefault="00987B1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87B12" w:rsidRPr="00987B12" w:rsidRDefault="00987B1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87B12" w:rsidRPr="00987B12" w:rsidRDefault="00987B1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87B12" w:rsidRPr="00987B12" w:rsidRDefault="00987B12">
      <w:pPr>
        <w:rPr>
          <w:sz w:val="28"/>
          <w:szCs w:val="28"/>
        </w:rPr>
      </w:pPr>
    </w:p>
    <w:sectPr w:rsidR="00987B12" w:rsidRPr="0098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12"/>
    <w:rsid w:val="00987B12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87B12"/>
  </w:style>
  <w:style w:type="character" w:styleId="Hypertextovodkaz">
    <w:name w:val="Hyperlink"/>
    <w:basedOn w:val="Standardnpsmoodstavce"/>
    <w:uiPriority w:val="99"/>
    <w:semiHidden/>
    <w:unhideWhenUsed/>
    <w:rsid w:val="00987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87B12"/>
  </w:style>
  <w:style w:type="character" w:styleId="Hypertextovodkaz">
    <w:name w:val="Hyperlink"/>
    <w:basedOn w:val="Standardnpsmoodstavce"/>
    <w:uiPriority w:val="99"/>
    <w:semiHidden/>
    <w:unhideWhenUsed/>
    <w:rsid w:val="00987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.wikipedia.org/w/index.php?title=J._L._Austin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2013-10-15T06:14:00Z</dcterms:created>
  <dcterms:modified xsi:type="dcterms:W3CDTF">2013-10-15T06:17:00Z</dcterms:modified>
</cp:coreProperties>
</file>