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45" w:rsidRPr="002A05D2" w:rsidRDefault="00B07945" w:rsidP="00B079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cs-CZ"/>
        </w:rPr>
      </w:pPr>
      <w:proofErr w:type="spellStart"/>
      <w:r w:rsidRPr="002A05D2">
        <w:rPr>
          <w:rFonts w:ascii="Times New Roman" w:eastAsia="Times New Roman" w:hAnsi="Times New Roman"/>
          <w:b/>
          <w:bCs/>
          <w:kern w:val="36"/>
          <w:sz w:val="48"/>
          <w:szCs w:val="48"/>
          <w:lang w:eastAsia="cs-CZ"/>
        </w:rPr>
        <w:t>Regeln</w:t>
      </w:r>
      <w:proofErr w:type="spellEnd"/>
      <w:r w:rsidRPr="002A05D2">
        <w:rPr>
          <w:rFonts w:ascii="Times New Roman" w:eastAsia="Times New Roman" w:hAnsi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b/>
          <w:bCs/>
          <w:kern w:val="36"/>
          <w:sz w:val="48"/>
          <w:szCs w:val="48"/>
          <w:lang w:eastAsia="cs-CZ"/>
        </w:rPr>
        <w:t>und</w:t>
      </w:r>
      <w:proofErr w:type="spellEnd"/>
      <w:r w:rsidRPr="002A05D2">
        <w:rPr>
          <w:rFonts w:ascii="Times New Roman" w:eastAsia="Times New Roman" w:hAnsi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b/>
          <w:bCs/>
          <w:kern w:val="36"/>
          <w:sz w:val="48"/>
          <w:szCs w:val="48"/>
          <w:lang w:eastAsia="cs-CZ"/>
        </w:rPr>
        <w:t>Verfahren</w:t>
      </w:r>
      <w:proofErr w:type="spellEnd"/>
    </w:p>
    <w:p w:rsidR="00B07945" w:rsidRPr="002A05D2" w:rsidRDefault="00B07945" w:rsidP="00B079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Letzter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Stand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08/2014</w:t>
      </w:r>
    </w:p>
    <w:p w:rsidR="00B07945" w:rsidRPr="002A05D2" w:rsidRDefault="00B07945" w:rsidP="00B079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Mehr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als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250 000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öffentliche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Stellen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in der EU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geben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jedes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Jahr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ca. 18 % des BIP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für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den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Erwerb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von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Dienstleistungen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Bauarbeiten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und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Lieferungen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aus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Als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Unternehmen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mit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Sitz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in der EU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haben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Sie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das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Recht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sich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am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Wettbewerb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um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öffentliche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Aufträge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in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anderen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EU-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Ländern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zu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beteiligen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B07945" w:rsidRPr="002A05D2" w:rsidRDefault="00B07945" w:rsidP="00B079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Um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dabei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gleiche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Ausgangsbedingungen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für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alle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Unternehmen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in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ganz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Europa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zu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schaffen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sind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im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EU-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Recht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einheitliche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Mindestvorschriften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siehe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Richtlinien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zum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öffentlichen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Auftragswesen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)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festgelegt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Diese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Vorschriften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in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einzelstaatliches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Recht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umgesetzt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wurden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gelten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für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Ausschreibungen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deren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Auftragswert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einen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bestimmten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Betrag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siehe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hyperlink r:id="rId6" w:anchor="Thresholds-EU-rules" w:tooltip="Schwellenwerte" w:history="1">
        <w:proofErr w:type="spellStart"/>
        <w:r w:rsidRPr="002A05D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>Schwellenwerte</w:t>
        </w:r>
        <w:proofErr w:type="spellEnd"/>
      </w:hyperlink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)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überschreitet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. Bei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Ausschreibungen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den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Schwellenwert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übersteigen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wird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davon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ausgegangen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dass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sie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von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grenzübergreifendem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Interesse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sind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, d. h.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angesichts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des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Auftragsvolumens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lohnt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sich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für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Unternehmen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Abgabe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eines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Angebots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im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Ausland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B07945" w:rsidRPr="002A05D2" w:rsidRDefault="00B07945" w:rsidP="00B079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Für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Ausschreibungen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mit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niedrigerem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Auftragswert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gelten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nationale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Vorschriften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wobei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gleichwohl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allgemeine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Grundsätze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des EU-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Rechts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zu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beachten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sind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. Die „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unterschwelligen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"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Verfahren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können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einfacheren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Regeln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folgen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als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EU-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weiten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Ausschreibungen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B07945" w:rsidRPr="002A05D2" w:rsidRDefault="00B07945" w:rsidP="00B079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Für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Behörden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gilt</w:t>
      </w:r>
      <w:proofErr w:type="spellEnd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bei</w:t>
      </w:r>
      <w:proofErr w:type="spellEnd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sämtlichen</w:t>
      </w:r>
      <w:proofErr w:type="spellEnd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Ausschreibungen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:rsidR="00B07945" w:rsidRPr="002A05D2" w:rsidRDefault="00B07945" w:rsidP="00B079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Es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darf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keine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Diskriminierung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von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Unternehmen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aufgrund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ihrer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Eintragung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in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einem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anderen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EU-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Mitgliedstaat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geben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B07945" w:rsidRPr="002A05D2" w:rsidRDefault="00B07945" w:rsidP="00B079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Es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darf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keine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Bezugnahme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auf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bestimmte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Marken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Warenzeichen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und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Patente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bei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der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Beschreibung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der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gewünschten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Produkte oder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Dienstleistungen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erfolgen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B07945" w:rsidRPr="002A05D2" w:rsidRDefault="00B07945" w:rsidP="00B079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In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einem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anderen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EU-Land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erstellte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Unterlagen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Bescheinigungen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, Diplome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usw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.),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gleichwertige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Sicherheit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bieten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müssen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akzeptiert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werden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B07945" w:rsidRPr="002A05D2" w:rsidRDefault="00B07945" w:rsidP="00B079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Alle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Informationen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zu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Ausschreibungen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müssen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allen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interessierten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Unternehmen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unabhängig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vom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EU-Land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ihrer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Eintragung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zugänglich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sein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B07945" w:rsidRPr="002A05D2" w:rsidRDefault="00B07945" w:rsidP="00B079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Eine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Behörde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hat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das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Recht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Ihr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Unternehmen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von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einer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Ausschreibung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auszuschließen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wenn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eine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der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folgenden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Bedingungen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zutrifft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:rsidR="00B07945" w:rsidRPr="002A05D2" w:rsidRDefault="00B07945" w:rsidP="00B079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Ein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Konkursverfahren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ist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anhängig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B07945" w:rsidRPr="002A05D2" w:rsidRDefault="00B07945" w:rsidP="00B079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Die </w:t>
      </w:r>
      <w:proofErr w:type="spellStart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Geschäftstätigkeiten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sind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ausgesetzt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oder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werden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von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einem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Gericht</w:t>
      </w:r>
      <w:proofErr w:type="spellEnd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verwaltet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B07945" w:rsidRPr="002A05D2" w:rsidRDefault="00B07945" w:rsidP="00B079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Es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wurde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eine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schwere</w:t>
      </w:r>
      <w:proofErr w:type="spellEnd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Verfehlung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begangen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B07945" w:rsidRPr="002A05D2" w:rsidRDefault="00B07945" w:rsidP="00B079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Steuern</w:t>
      </w:r>
      <w:proofErr w:type="spellEnd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oder </w:t>
      </w:r>
      <w:proofErr w:type="spellStart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Sozialversicherungsbeiträge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wurden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nicht</w:t>
      </w:r>
      <w:proofErr w:type="spellEnd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gezahlt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B07945" w:rsidRPr="002A05D2" w:rsidRDefault="00B07945" w:rsidP="00B079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Es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wurden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falsche</w:t>
      </w:r>
      <w:proofErr w:type="spellEnd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Angaben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gegenüber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einer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Behörde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gemacht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B07945" w:rsidRPr="002A05D2" w:rsidRDefault="00B07945" w:rsidP="00B079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Behörden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dürfen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Aufträge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nur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in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bestimmten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Fällen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ohne </w:t>
      </w:r>
      <w:proofErr w:type="spellStart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vorherige</w:t>
      </w:r>
      <w:proofErr w:type="spellEnd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Ausschreibung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vergeben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:rsidR="00B07945" w:rsidRPr="002A05D2" w:rsidRDefault="00B07945" w:rsidP="00B079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in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Notfällen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aufgrund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nicht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voraussehbarer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Ereignisse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:rsidR="00B07945" w:rsidRPr="002A05D2" w:rsidRDefault="00B07945" w:rsidP="00B079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falls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Verträge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aus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technischen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Gründen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oder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aufgrund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ausschließlicher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Rechte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nur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von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einem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bestimmten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Unternehmen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ausgeführt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werden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können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:rsidR="00B07945" w:rsidRPr="002A05D2" w:rsidRDefault="00B07945" w:rsidP="00B079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falls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Aufträge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per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Gesetz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vom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öffentlichen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Auftragswesen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ausgenommen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sind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(Kauf/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Miete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bestehender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Gebäude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Beschäftigungsverträge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Rundfunkprogramme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usw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.).</w:t>
      </w:r>
    </w:p>
    <w:p w:rsidR="00B07945" w:rsidRPr="002A05D2" w:rsidRDefault="00B07945" w:rsidP="00B07945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07945" w:rsidRPr="002A05D2" w:rsidRDefault="00B07945" w:rsidP="00B079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  <w:proofErr w:type="spellStart"/>
      <w:r w:rsidRPr="002A05D2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Schwellenwerte</w:t>
      </w:r>
      <w:proofErr w:type="spellEnd"/>
      <w:r w:rsidRPr="002A05D2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für</w:t>
      </w:r>
      <w:proofErr w:type="spellEnd"/>
      <w:r w:rsidRPr="002A05D2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die</w:t>
      </w:r>
      <w:proofErr w:type="spellEnd"/>
      <w:r w:rsidRPr="002A05D2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Anwendung</w:t>
      </w:r>
      <w:proofErr w:type="spellEnd"/>
      <w:r w:rsidRPr="002A05D2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 xml:space="preserve"> EU-</w:t>
      </w:r>
      <w:proofErr w:type="spellStart"/>
      <w:r w:rsidRPr="002A05D2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weiter</w:t>
      </w:r>
      <w:proofErr w:type="spellEnd"/>
      <w:r w:rsidRPr="002A05D2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Vorschriften</w:t>
      </w:r>
      <w:proofErr w:type="spellEnd"/>
    </w:p>
    <w:p w:rsidR="00B07945" w:rsidRPr="002A05D2" w:rsidRDefault="00B07945" w:rsidP="00B079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Die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nachfolgenden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Beträge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enthalten</w:t>
      </w:r>
      <w:proofErr w:type="spellEnd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keine</w:t>
      </w:r>
      <w:proofErr w:type="spellEnd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Umsatzsteuer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und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gelten</w:t>
      </w:r>
      <w:proofErr w:type="spellEnd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ab dem 1. </w:t>
      </w:r>
      <w:proofErr w:type="spellStart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Januar</w:t>
      </w:r>
      <w:proofErr w:type="spellEnd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2014</w:t>
      </w:r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8296"/>
      </w:tblGrid>
      <w:tr w:rsidR="00B07945" w:rsidRPr="002A05D2" w:rsidTr="00815837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07945" w:rsidRPr="002A05D2" w:rsidRDefault="00B07945" w:rsidP="0081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2A0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Zentrale</w:t>
            </w:r>
            <w:proofErr w:type="spellEnd"/>
            <w:r w:rsidRPr="002A0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Regierungsbehörden</w:t>
            </w:r>
            <w:proofErr w:type="spellEnd"/>
          </w:p>
        </w:tc>
      </w:tr>
      <w:tr w:rsidR="00B07945" w:rsidRPr="002A05D2" w:rsidTr="008158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945" w:rsidRPr="002A05D2" w:rsidRDefault="00B07945" w:rsidP="0081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≥ 134 000 Euro</w:t>
            </w:r>
          </w:p>
        </w:tc>
        <w:tc>
          <w:tcPr>
            <w:tcW w:w="0" w:type="auto"/>
            <w:vAlign w:val="center"/>
            <w:hideMark/>
          </w:tcPr>
          <w:p w:rsidR="00B07945" w:rsidRPr="002A05D2" w:rsidRDefault="00B07945" w:rsidP="00B0794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Lieferaufträge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bei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Verteidigungsgütern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nur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die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in </w:t>
            </w:r>
            <w:hyperlink r:id="rId7" w:tgtFrame="_blank" w:tooltip="Anhang V" w:history="1">
              <w:proofErr w:type="spellStart"/>
              <w:r w:rsidRPr="002A05D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Anhang</w:t>
              </w:r>
              <w:proofErr w:type="spellEnd"/>
              <w:r w:rsidRPr="002A05D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V</w:t>
              </w:r>
            </w:hyperlink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2" name="Obrázek 12" descr="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 descr="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71450" cy="123825"/>
                  <wp:effectExtent l="0" t="0" r="0" b="9525"/>
                  <wp:docPr id="11" name="Obrázek 11" descr="http://europa.eu/wel/images/languages/lang_z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 descr="http://europa.eu/wel/images/languages/lang_z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[527 KB] der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Richtlinie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2004/18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aufgeführten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Erzeugnisse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</w:p>
          <w:p w:rsidR="00B07945" w:rsidRPr="002A05D2" w:rsidRDefault="00B07945" w:rsidP="00B0794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Aufträge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über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Dienstleistungen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gemäß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hyperlink r:id="rId10" w:tgtFrame="_blank" w:tooltip="Anhang II A" w:history="1">
              <w:proofErr w:type="spellStart"/>
              <w:r w:rsidRPr="002A05D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Anhang</w:t>
              </w:r>
              <w:proofErr w:type="spellEnd"/>
              <w:r w:rsidRPr="002A05D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II A</w:t>
              </w:r>
            </w:hyperlink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0" name="Obrázek 10" descr="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2" descr="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71450" cy="123825"/>
                  <wp:effectExtent l="0" t="0" r="0" b="9525"/>
                  <wp:docPr id="9" name="Obrázek 9" descr="http://europa.eu/wel/images/languages/lang_z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1" descr="http://europa.eu/wel/images/languages/lang_z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[527 KB] der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Richtlinie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2004/18 (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ausgenommen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Dienstleistungen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im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Zusammenhang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mit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FuE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und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Telekommunikation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sowie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Dienstleistungen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gemäß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hyperlink r:id="rId11" w:tgtFrame="_blank" w:tooltip="Anhang II B" w:history="1">
              <w:proofErr w:type="spellStart"/>
              <w:r w:rsidRPr="002A05D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Anhang</w:t>
              </w:r>
              <w:proofErr w:type="spellEnd"/>
              <w:r w:rsidRPr="002A05D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II B</w:t>
              </w:r>
            </w:hyperlink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8" name="Obrázek 8" descr="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0" descr="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71450" cy="123825"/>
                  <wp:effectExtent l="0" t="0" r="0" b="9525"/>
                  <wp:docPr id="7" name="Obrázek 7" descr="http://europa.eu/wel/images/languages/lang_z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9" descr="http://europa.eu/wel/images/languages/lang_z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[527 </w:t>
            </w:r>
            <w:proofErr w:type="gram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KB] )</w:t>
            </w:r>
            <w:proofErr w:type="gramEnd"/>
          </w:p>
        </w:tc>
      </w:tr>
      <w:tr w:rsidR="00B07945" w:rsidRPr="002A05D2" w:rsidTr="008158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945" w:rsidRPr="002A05D2" w:rsidRDefault="00B07945" w:rsidP="0081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≥ 207 000 Euro</w:t>
            </w:r>
          </w:p>
        </w:tc>
        <w:tc>
          <w:tcPr>
            <w:tcW w:w="0" w:type="auto"/>
            <w:vAlign w:val="center"/>
            <w:hideMark/>
          </w:tcPr>
          <w:p w:rsidR="00B07945" w:rsidRPr="002A05D2" w:rsidRDefault="00B07945" w:rsidP="00B0794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Lieferaufträge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über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nicht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in </w:t>
            </w:r>
            <w:hyperlink r:id="rId12" w:tgtFrame="_blank" w:tooltip="Anhang V" w:history="1">
              <w:proofErr w:type="spellStart"/>
              <w:r w:rsidRPr="002A05D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Anhang</w:t>
              </w:r>
              <w:proofErr w:type="spellEnd"/>
              <w:r w:rsidRPr="002A05D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V</w:t>
              </w:r>
            </w:hyperlink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6" name="Obrázek 6" descr="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8" descr="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71450" cy="123825"/>
                  <wp:effectExtent l="0" t="0" r="0" b="9525"/>
                  <wp:docPr id="5" name="Obrázek 5" descr="http://europa.eu/wel/images/languages/lang_z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7" descr="http://europa.eu/wel/images/languages/lang_z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[527 KB] der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Richtlinie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2004/18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aufgeführte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Verteidigungsgüter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</w:p>
          <w:p w:rsidR="00B07945" w:rsidRPr="002A05D2" w:rsidRDefault="00B07945" w:rsidP="00B0794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Verträge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über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Dienstleistungen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im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Zusammenhang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mit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FuE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und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Telekommunikation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sowie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Dienstleistungen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gemäß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hyperlink r:id="rId13" w:tgtFrame="_blank" w:tooltip="Anhang II B" w:history="1">
              <w:proofErr w:type="spellStart"/>
              <w:r w:rsidRPr="002A05D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>Anhang</w:t>
              </w:r>
              <w:proofErr w:type="spellEnd"/>
              <w:r w:rsidRPr="002A05D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II B</w:t>
              </w:r>
            </w:hyperlink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4" name="Obrázek 4" descr="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" descr="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71450" cy="123825"/>
                  <wp:effectExtent l="0" t="0" r="0" b="9525"/>
                  <wp:docPr id="3" name="Obrázek 3" descr="http://europa.eu/wel/images/languages/lang_z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 descr="http://europa.eu/wel/images/languages/lang_z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[527 KB] der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Richtlinie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2004/18</w:t>
            </w:r>
          </w:p>
        </w:tc>
      </w:tr>
      <w:tr w:rsidR="00B07945" w:rsidRPr="002A05D2" w:rsidTr="008158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945" w:rsidRPr="002A05D2" w:rsidRDefault="00B07945" w:rsidP="0081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≥ 5 186 000 Euro</w:t>
            </w:r>
          </w:p>
        </w:tc>
        <w:tc>
          <w:tcPr>
            <w:tcW w:w="0" w:type="auto"/>
            <w:vAlign w:val="center"/>
            <w:hideMark/>
          </w:tcPr>
          <w:p w:rsidR="00B07945" w:rsidRPr="002A05D2" w:rsidRDefault="00B07945" w:rsidP="0081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Alle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Bauaufträge</w:t>
            </w:r>
            <w:proofErr w:type="spellEnd"/>
          </w:p>
        </w:tc>
      </w:tr>
    </w:tbl>
    <w:p w:rsidR="00B07945" w:rsidRPr="002A05D2" w:rsidRDefault="00B07945" w:rsidP="00B07945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3961"/>
      </w:tblGrid>
      <w:tr w:rsidR="00B07945" w:rsidRPr="002A05D2" w:rsidTr="00815837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07945" w:rsidRPr="002A05D2" w:rsidRDefault="00B07945" w:rsidP="0081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2A0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Andere</w:t>
            </w:r>
            <w:proofErr w:type="spellEnd"/>
            <w:r w:rsidRPr="002A0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Behörden</w:t>
            </w:r>
            <w:proofErr w:type="spellEnd"/>
          </w:p>
        </w:tc>
      </w:tr>
      <w:tr w:rsidR="00B07945" w:rsidRPr="002A05D2" w:rsidTr="008158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945" w:rsidRPr="002A05D2" w:rsidRDefault="00B07945" w:rsidP="0081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≥ 207 000 Euro</w:t>
            </w:r>
          </w:p>
        </w:tc>
        <w:tc>
          <w:tcPr>
            <w:tcW w:w="0" w:type="auto"/>
            <w:vAlign w:val="center"/>
            <w:hideMark/>
          </w:tcPr>
          <w:p w:rsidR="00B07945" w:rsidRPr="002A05D2" w:rsidRDefault="00B07945" w:rsidP="0081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Alle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Liefer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-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und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Dienstleistungsaufträge</w:t>
            </w:r>
            <w:proofErr w:type="spellEnd"/>
          </w:p>
          <w:p w:rsidR="00B07945" w:rsidRPr="002A05D2" w:rsidRDefault="00B07945" w:rsidP="008158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B07945" w:rsidRPr="002A05D2" w:rsidTr="008158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945" w:rsidRPr="002A05D2" w:rsidRDefault="00B07945" w:rsidP="0081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≥ 5 186 000 Euro</w:t>
            </w:r>
          </w:p>
        </w:tc>
        <w:tc>
          <w:tcPr>
            <w:tcW w:w="0" w:type="auto"/>
            <w:vAlign w:val="center"/>
            <w:hideMark/>
          </w:tcPr>
          <w:p w:rsidR="00B07945" w:rsidRPr="002A05D2" w:rsidRDefault="00B07945" w:rsidP="0081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Alle</w:t>
            </w:r>
            <w:proofErr w:type="spellEnd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Bauaufträge</w:t>
            </w:r>
            <w:proofErr w:type="spellEnd"/>
          </w:p>
          <w:p w:rsidR="00B07945" w:rsidRPr="002A05D2" w:rsidRDefault="00B07945" w:rsidP="008158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05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B07945" w:rsidRPr="002A05D2" w:rsidRDefault="00B07945" w:rsidP="00B079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Für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Anbieter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öffentlicher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Dienstleistungen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im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Bereich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Wasser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und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Energieversorgung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sowie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Verkehrs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und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Postdienste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beträgt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der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Schwellenwert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für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Liefer</w:t>
      </w:r>
      <w:proofErr w:type="spellEnd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- </w:t>
      </w:r>
      <w:proofErr w:type="spellStart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und</w:t>
      </w:r>
      <w:proofErr w:type="spellEnd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Dienstleistungsaufträge</w:t>
      </w:r>
      <w:proofErr w:type="spellEnd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414 000 Euro</w:t>
      </w:r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Für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Bauaufträge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beträgt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der </w:t>
      </w:r>
      <w:proofErr w:type="spellStart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Schwellenwert</w:t>
      </w:r>
      <w:proofErr w:type="spellEnd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5 186 000 Euro</w:t>
      </w:r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B07945" w:rsidRPr="002A05D2" w:rsidRDefault="00B07945" w:rsidP="00B079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Für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EU-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Länder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außerhalb</w:t>
      </w:r>
      <w:proofErr w:type="spellEnd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des Euro-</w:t>
      </w:r>
      <w:proofErr w:type="spellStart"/>
      <w:r w:rsidRPr="002A05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Raums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gelten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die</w:t>
      </w:r>
      <w:proofErr w:type="spellEnd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hyperlink r:id="rId14" w:tgtFrame="_blank" w:tooltip="hier aufgeführten Schwellenwerte" w:history="1">
        <w:proofErr w:type="spellStart"/>
        <w:r w:rsidRPr="002A05D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>hier</w:t>
        </w:r>
        <w:proofErr w:type="spellEnd"/>
        <w:r w:rsidRPr="002A05D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2A05D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>aufgeführten</w:t>
        </w:r>
        <w:proofErr w:type="spellEnd"/>
        <w:r w:rsidRPr="002A05D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2A05D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>Schwellenwerte</w:t>
        </w:r>
        <w:proofErr w:type="spellEnd"/>
      </w:hyperlink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152400" cy="152400"/>
            <wp:effectExtent l="0" t="0" r="0" b="0"/>
            <wp:docPr id="2" name="Obrázek 2" descr="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171450" cy="123825"/>
            <wp:effectExtent l="0" t="0" r="0" b="9525"/>
            <wp:docPr id="1" name="Obrázek 1" descr="http://europa.eu/wel/images/languages/lang_z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http://europa.eu/wel/images/languages/lang_zz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 xml:space="preserve">[721 </w:t>
      </w:r>
      <w:proofErr w:type="gramStart"/>
      <w:r w:rsidRPr="002A05D2">
        <w:rPr>
          <w:rFonts w:ascii="Times New Roman" w:eastAsia="Times New Roman" w:hAnsi="Times New Roman"/>
          <w:sz w:val="24"/>
          <w:szCs w:val="24"/>
          <w:lang w:eastAsia="cs-CZ"/>
        </w:rPr>
        <w:t>KB] .</w:t>
      </w:r>
      <w:proofErr w:type="gramEnd"/>
    </w:p>
    <w:p w:rsidR="005A2FFF" w:rsidRPr="00B07945" w:rsidRDefault="005A2FFF" w:rsidP="00B07945">
      <w:bookmarkStart w:id="0" w:name="_GoBack"/>
      <w:bookmarkEnd w:id="0"/>
    </w:p>
    <w:sectPr w:rsidR="005A2FFF" w:rsidRPr="00B07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70A"/>
    <w:multiLevelType w:val="multilevel"/>
    <w:tmpl w:val="674E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46701"/>
    <w:multiLevelType w:val="multilevel"/>
    <w:tmpl w:val="9F50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E06B5"/>
    <w:multiLevelType w:val="multilevel"/>
    <w:tmpl w:val="1484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E37B3"/>
    <w:multiLevelType w:val="multilevel"/>
    <w:tmpl w:val="3D2A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B0E02"/>
    <w:multiLevelType w:val="multilevel"/>
    <w:tmpl w:val="21AE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45"/>
    <w:rsid w:val="0016502E"/>
    <w:rsid w:val="00321F39"/>
    <w:rsid w:val="004A28CC"/>
    <w:rsid w:val="004C1A15"/>
    <w:rsid w:val="00590B9B"/>
    <w:rsid w:val="005A2FFF"/>
    <w:rsid w:val="006027C5"/>
    <w:rsid w:val="007066E1"/>
    <w:rsid w:val="00777F53"/>
    <w:rsid w:val="00A214BB"/>
    <w:rsid w:val="00B07945"/>
    <w:rsid w:val="00B8510C"/>
    <w:rsid w:val="00DA2089"/>
    <w:rsid w:val="00E97B0E"/>
    <w:rsid w:val="00F4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945"/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0B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945"/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0B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ur-lex.europa.eu/LexUriServ/LexUriServ.do?uri=OJ:L:2004:134:0114:0240:de: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ur-lex.europa.eu/LexUriServ/LexUriServ.do?uri=OJ:L:2004:134:0114:0240:de:PDF" TargetMode="External"/><Relationship Id="rId12" Type="http://schemas.openxmlformats.org/officeDocument/2006/relationships/hyperlink" Target="http://eur-lex.europa.eu/LexUriServ/LexUriServ.do?uri=OJ:L:2004:134:0114:0240:de: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uropa.eu/youreurope/business/public-tenders/rules-procedures/index_de.htm" TargetMode="External"/><Relationship Id="rId11" Type="http://schemas.openxmlformats.org/officeDocument/2006/relationships/hyperlink" Target="http://eur-lex.europa.eu/LexUriServ/LexUriServ.do?uri=OJ:L:2004:134:0114:0240:de: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ur-lex.europa.eu/LexUriServ/LexUriServ.do?uri=OJ:L:2004:134:0114:0240:de: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eur-lex.europa.eu/LexUriServ/LexUriServ.do?uri=OJ:C:2013:366:0001:0002:de: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Mikulová</dc:creator>
  <cp:lastModifiedBy>Anna Mikulová</cp:lastModifiedBy>
  <cp:revision>1</cp:revision>
  <dcterms:created xsi:type="dcterms:W3CDTF">2014-10-08T12:33:00Z</dcterms:created>
  <dcterms:modified xsi:type="dcterms:W3CDTF">2014-10-08T12:34:00Z</dcterms:modified>
</cp:coreProperties>
</file>