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828" w:rsidRDefault="008F3B4C">
      <w:pPr>
        <w:pStyle w:val="Standard"/>
        <w:jc w:val="right"/>
      </w:pPr>
      <w:bookmarkStart w:id="0" w:name="_GoBack"/>
      <w:bookmarkEnd w:id="0"/>
      <w:r>
        <w:t>Vypracoval: Lukáš Hetmánek</w:t>
      </w:r>
    </w:p>
    <w:p w:rsidR="002F0828" w:rsidRDefault="008F3B4C">
      <w:pPr>
        <w:pStyle w:val="Standard"/>
        <w:jc w:val="right"/>
      </w:pPr>
      <w:r>
        <w:t>438553</w:t>
      </w:r>
    </w:p>
    <w:p w:rsidR="002F0828" w:rsidRDefault="008F3B4C">
      <w:pPr>
        <w:pStyle w:val="Standard"/>
        <w:jc w:val="center"/>
        <w:rPr>
          <w:sz w:val="56"/>
          <w:szCs w:val="56"/>
        </w:rPr>
      </w:pPr>
      <w:r>
        <w:rPr>
          <w:sz w:val="56"/>
          <w:szCs w:val="56"/>
        </w:rPr>
        <w:t>Stolní hry ve středověku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</w:pPr>
      <w:r>
        <w:t xml:space="preserve">Mezi jedny z nejoblíbenějších volnočasových aktivit člověka patří nepochybně hra. Hra a hraní si jde ruku v ruce s lidským </w:t>
      </w:r>
      <w:r>
        <w:t>bytím a za mnoho let jeho existence vyvinul člověk nespočet druhů her. Tento referát se bude zabývat hrami stolními ve středověku, z nichž většina z nich se hraje dodnes. Podívejme se tedy na výrobní postupy, hry samotné a jejich místo v historii.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Prameny</w:t>
      </w:r>
    </w:p>
    <w:p w:rsidR="002F0828" w:rsidRDefault="002F0828">
      <w:pPr>
        <w:pStyle w:val="Standard"/>
        <w:jc w:val="both"/>
        <w:rPr>
          <w:sz w:val="12"/>
          <w:szCs w:val="12"/>
        </w:rPr>
      </w:pPr>
    </w:p>
    <w:p w:rsidR="002F0828" w:rsidRDefault="008F3B4C">
      <w:pPr>
        <w:pStyle w:val="Standard"/>
        <w:jc w:val="both"/>
      </w:pPr>
      <w:r>
        <w:t>Důkazy o existenci her můžeme získat ze tří pramenů, tj. písemné prameny, ikonografické prameny a hmotné nálezy. Písemné prameny mohou krom popisu pravidel a zásad her, obsahovat i zcela odlišné informace. Četná jsou nařízení o zákazu nebo omezení her, d</w:t>
      </w:r>
      <w:r>
        <w:t>ále pak záznamy ze soudního procesu s tím, kdo tyto zákazy porušoval.</w:t>
      </w:r>
    </w:p>
    <w:p w:rsidR="002F0828" w:rsidRDefault="008F3B4C">
      <w:pPr>
        <w:pStyle w:val="Standard"/>
        <w:jc w:val="both"/>
      </w:pPr>
      <w:r>
        <w:t xml:space="preserve">Oproti písemným pramenům, nemají ty ikonografické ani samotné hmotné nálezy takovou vypovídací hodnotu. Dozvíme se vzhled a provedení her, někdy může obrázek doplnit nejasnosti v textu, </w:t>
      </w:r>
      <w:r>
        <w:t>tím to však končí.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Hry středověku</w:t>
      </w:r>
    </w:p>
    <w:p w:rsidR="002F0828" w:rsidRDefault="002F0828">
      <w:pPr>
        <w:pStyle w:val="Standard"/>
        <w:jc w:val="both"/>
        <w:rPr>
          <w:sz w:val="12"/>
          <w:szCs w:val="12"/>
        </w:rPr>
      </w:pPr>
    </w:p>
    <w:p w:rsidR="002F0828" w:rsidRDefault="008F3B4C">
      <w:pPr>
        <w:pStyle w:val="Standard"/>
        <w:jc w:val="both"/>
      </w:pPr>
      <w:r>
        <w:rPr>
          <w:color w:val="000000"/>
        </w:rPr>
        <w:t xml:space="preserve">Stolní hry můžeme dělit na hry agonální a aleatorické </w:t>
      </w:r>
      <w:r>
        <w:rPr>
          <w:rFonts w:eastAsia="Times New Roman" w:cs="Times New Roman"/>
          <w:i/>
          <w:iCs/>
          <w:color w:val="000000"/>
        </w:rPr>
        <w:t xml:space="preserve">(Caillois </w:t>
      </w:r>
      <w:r>
        <w:rPr>
          <w:rFonts w:eastAsia="Times New Roman" w:cs="Times New Roman"/>
          <w:i/>
          <w:iCs/>
        </w:rPr>
        <w:t>1998)</w:t>
      </w:r>
      <w:r>
        <w:rPr>
          <w:color w:val="000000"/>
        </w:rPr>
        <w:t>. Při agonálních hrách záleží vítězství jednoho či druhého na důvtipu, postřehu, obratnosti a síle, naopak u aleatorických her záleží čistě na náhodě,</w:t>
      </w:r>
      <w:r>
        <w:rPr>
          <w:color w:val="000000"/>
        </w:rPr>
        <w:t xml:space="preserve"> smůle či štěstí.</w:t>
      </w:r>
    </w:p>
    <w:p w:rsidR="002F0828" w:rsidRDefault="002F0828">
      <w:pPr>
        <w:pStyle w:val="Standard"/>
        <w:jc w:val="both"/>
        <w:rPr>
          <w:i/>
          <w:iCs/>
          <w:color w:val="000000"/>
        </w:rPr>
      </w:pPr>
    </w:p>
    <w:p w:rsidR="002F0828" w:rsidRDefault="008F3B4C">
      <w:pPr>
        <w:pStyle w:val="Standard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Mezi stolní </w:t>
      </w:r>
      <w:r>
        <w:rPr>
          <w:b/>
          <w:bCs/>
          <w:i/>
          <w:iCs/>
          <w:color w:val="000000"/>
        </w:rPr>
        <w:t xml:space="preserve">hry agonální </w:t>
      </w:r>
      <w:r>
        <w:rPr>
          <w:i/>
          <w:iCs/>
          <w:color w:val="000000"/>
        </w:rPr>
        <w:t>patří:</w:t>
      </w:r>
    </w:p>
    <w:p w:rsidR="002F0828" w:rsidRDefault="002F0828">
      <w:pPr>
        <w:pStyle w:val="Standard"/>
        <w:jc w:val="both"/>
        <w:rPr>
          <w:i/>
          <w:iCs/>
          <w:color w:val="000000"/>
        </w:rPr>
      </w:pPr>
    </w:p>
    <w:p w:rsidR="002F0828" w:rsidRDefault="008F3B4C">
      <w:pPr>
        <w:pStyle w:val="Standard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Dáma</w:t>
      </w:r>
    </w:p>
    <w:p w:rsidR="002F0828" w:rsidRDefault="008F3B4C">
      <w:pPr>
        <w:pStyle w:val="Standard"/>
        <w:jc w:val="both"/>
      </w:pPr>
      <w:r>
        <w:rPr>
          <w:i/>
          <w:iCs/>
          <w:color w:val="000000"/>
        </w:rPr>
        <w:t xml:space="preserve">Dva hráči hrají na šachovnici s kruhovými hracími kameny. První partie dámy byla odehrána na jihu Francie snad někdy ve 13.století, své předchůdce však měla již ve starověkém Egyptě (sennet). </w:t>
      </w:r>
      <w:r>
        <w:rPr>
          <w:i/>
          <w:iCs/>
          <w:color w:val="000000"/>
        </w:rPr>
        <w:t>Variant hry je mnoho, liší se jak počtem hracích kamenů, tak i počtem polí na šachovnici. Na naše území proniká dáma až ve 2.polovině 16.století.</w:t>
      </w: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8F3B4C">
      <w:pPr>
        <w:pStyle w:val="Standard"/>
        <w:jc w:val="both"/>
        <w:rPr>
          <w:rFonts w:eastAsia="LidoSTF-Italic" w:cs="LidoSTF-Italic"/>
          <w:i/>
          <w:iCs/>
          <w:color w:val="000000"/>
        </w:rPr>
      </w:pPr>
      <w:r>
        <w:rPr>
          <w:rFonts w:eastAsia="LidoSTF-Italic" w:cs="LidoSTF-Italic"/>
          <w:i/>
          <w:iCs/>
          <w:color w:val="000000"/>
        </w:rPr>
        <w:t>Šachy</w:t>
      </w:r>
    </w:p>
    <w:p w:rsidR="002F0828" w:rsidRDefault="008F3B4C">
      <w:pPr>
        <w:pStyle w:val="Standard"/>
        <w:jc w:val="both"/>
        <w:rPr>
          <w:rFonts w:eastAsia="LidoSTF-Italic" w:cs="LidoSTF-Italic"/>
          <w:color w:val="000000"/>
        </w:rPr>
      </w:pPr>
      <w:r>
        <w:rPr>
          <w:rFonts w:eastAsia="LidoSTF-Italic" w:cs="LidoSTF-Italic"/>
          <w:color w:val="000000"/>
        </w:rPr>
        <w:t>Hra je pro dva hráče, každý hráč disponuje na začátku hry 16 figurkami o různých vlastnostech. Hrací de</w:t>
      </w:r>
      <w:r>
        <w:rPr>
          <w:rFonts w:eastAsia="LidoSTF-Italic" w:cs="LidoSTF-Italic"/>
          <w:color w:val="000000"/>
        </w:rPr>
        <w:t>ska je stejná jako u Dámy, šachovnice rozdělená na 8x8 polí. Čas vzniku této hry nelze jednoznačně určit, nejčastěji se uvádí 6.století n.l. v Indii. Odtud se šíří dále do světa, až se v 11.století přes jižní Evropu dostává i do českého knížectví. Šachy te</w:t>
      </w:r>
      <w:r>
        <w:rPr>
          <w:rFonts w:eastAsia="LidoSTF-Italic" w:cs="LidoSTF-Italic"/>
          <w:color w:val="000000"/>
        </w:rPr>
        <w:t xml:space="preserve">hdy zmiňuje veršovaná latinská vojtěšská legenda. Dalším dokladem této hry u nás je nález šesti nestejně vyřezávaných figurek ve studni </w:t>
      </w:r>
      <w:r>
        <w:rPr>
          <w:rFonts w:eastAsia="Times New Roman" w:cs="Arial"/>
          <w:color w:val="000000"/>
          <w:lang w:eastAsia="cs-CZ"/>
        </w:rPr>
        <w:t>benediktinského proboštství v Brně Komárově.</w:t>
      </w:r>
    </w:p>
    <w:p w:rsidR="002F0828" w:rsidRDefault="008F3B4C">
      <w:pPr>
        <w:pStyle w:val="Standard"/>
        <w:jc w:val="both"/>
        <w:rPr>
          <w:rFonts w:eastAsia="LidoSTF-Italic" w:cs="LidoSTF-Italic"/>
          <w:color w:val="000000"/>
        </w:rPr>
      </w:pPr>
      <w:r>
        <w:rPr>
          <w:rFonts w:eastAsia="LidoSTF-Italic" w:cs="LidoSTF-Italic"/>
          <w:color w:val="000000"/>
        </w:rPr>
        <w:t>Velikou oblibu v šachu si našla středověká šlechta. Nebyly to však šachy ja</w:t>
      </w:r>
      <w:r>
        <w:rPr>
          <w:rFonts w:eastAsia="LidoSTF-Italic" w:cs="LidoSTF-Italic"/>
          <w:color w:val="000000"/>
        </w:rPr>
        <w:t>k je známe dnes. Z Indie do Evropy je to dlouhá cesta, při které šachy ovlivnila řada kultur. Měnila se podoba i názvy figurek. Dnešní podoba šachu se zrodila v období renesance na přelomu 15. a 16.století.</w:t>
      </w: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2F0828">
      <w:pPr>
        <w:pStyle w:val="Standard"/>
        <w:jc w:val="both"/>
        <w:rPr>
          <w:rFonts w:eastAsia="LidoSTF-Italic" w:cs="LidoSTF-Italic"/>
          <w:i/>
          <w:iCs/>
          <w:color w:val="000000"/>
        </w:rPr>
      </w:pPr>
    </w:p>
    <w:p w:rsidR="002F0828" w:rsidRDefault="008F3B4C">
      <w:pPr>
        <w:pStyle w:val="Standard"/>
        <w:jc w:val="both"/>
        <w:rPr>
          <w:rFonts w:eastAsia="LidoSTF-Italic" w:cs="LidoSTF-Italic"/>
          <w:i/>
          <w:iCs/>
          <w:color w:val="000000"/>
        </w:rPr>
      </w:pPr>
      <w:r>
        <w:rPr>
          <w:rFonts w:eastAsia="LidoSTF-Italic" w:cs="LidoSTF-Italic"/>
          <w:i/>
          <w:iCs/>
          <w:color w:val="000000"/>
        </w:rPr>
        <w:lastRenderedPageBreak/>
        <w:t>Vrhcáby (obr.1)</w:t>
      </w:r>
    </w:p>
    <w:p w:rsidR="002F0828" w:rsidRDefault="008F3B4C">
      <w:pPr>
        <w:pStyle w:val="Standard"/>
        <w:jc w:val="both"/>
        <w:rPr>
          <w:rFonts w:eastAsia="LidoSTF-Italic" w:cs="LidoSTF-Italic"/>
        </w:rPr>
      </w:pPr>
      <w:r>
        <w:rPr>
          <w:rFonts w:eastAsia="LidoSTF-Italic" w:cs="LidoSTF-Italic"/>
          <w:color w:val="000000"/>
        </w:rPr>
        <w:t xml:space="preserve">Složením německého </w:t>
      </w:r>
      <w:r>
        <w:rPr>
          <w:rFonts w:eastAsia="LidoSTF-Italic" w:cs="LidoSTF-Italic"/>
          <w:i/>
          <w:iCs/>
          <w:color w:val="000000"/>
        </w:rPr>
        <w:t>Wurf</w:t>
      </w:r>
      <w:r>
        <w:rPr>
          <w:rFonts w:eastAsia="LidoSTF-Italic" w:cs="LidoSTF-Italic"/>
          <w:color w:val="000000"/>
        </w:rPr>
        <w:t xml:space="preserve"> </w:t>
      </w:r>
      <w:r>
        <w:rPr>
          <w:rFonts w:eastAsia="LidoSTF-Italic" w:cs="LidoSTF-Italic"/>
          <w:i/>
          <w:iCs/>
          <w:color w:val="000000"/>
        </w:rPr>
        <w:t>(v</w:t>
      </w:r>
      <w:r>
        <w:rPr>
          <w:rFonts w:eastAsia="LidoSTF-Italic" w:cs="LidoSTF-Italic"/>
          <w:i/>
          <w:iCs/>
          <w:color w:val="000000"/>
        </w:rPr>
        <w:t xml:space="preserve">rh) </w:t>
      </w:r>
      <w:r>
        <w:rPr>
          <w:rFonts w:eastAsia="LidoSTF-Italic" w:cs="LidoSTF-Italic"/>
          <w:color w:val="000000"/>
        </w:rPr>
        <w:t xml:space="preserve">a </w:t>
      </w:r>
      <w:r>
        <w:rPr>
          <w:rFonts w:eastAsia="LidoSTF-Italic" w:cs="LidoSTF-Italic"/>
          <w:i/>
          <w:iCs/>
          <w:color w:val="000000"/>
        </w:rPr>
        <w:t>Zabel</w:t>
      </w:r>
      <w:r>
        <w:rPr>
          <w:rFonts w:eastAsia="LidoSTF-Italic" w:cs="LidoSTF-Italic"/>
          <w:color w:val="000000"/>
        </w:rPr>
        <w:t xml:space="preserve"> (poněmčené </w:t>
      </w:r>
      <w:r>
        <w:rPr>
          <w:rFonts w:eastAsia="LidoSTF-Italic" w:cs="LidoSTF-Italic"/>
          <w:i/>
          <w:iCs/>
          <w:color w:val="000000"/>
        </w:rPr>
        <w:t>tabula</w:t>
      </w:r>
      <w:r>
        <w:rPr>
          <w:rFonts w:eastAsia="LidoSTF-Italic" w:cs="LidoSTF-Italic"/>
          <w:color w:val="000000"/>
        </w:rPr>
        <w:t xml:space="preserve">=lat. deska) vzniká slovo </w:t>
      </w:r>
      <w:r>
        <w:rPr>
          <w:rFonts w:eastAsia="LidoSTF-Italic" w:cs="LidoSTF-Italic"/>
          <w:i/>
          <w:iCs/>
          <w:color w:val="000000"/>
        </w:rPr>
        <w:t>vrhcáb.</w:t>
      </w:r>
    </w:p>
    <w:p w:rsidR="002F0828" w:rsidRDefault="008F3B4C">
      <w:pPr>
        <w:pStyle w:val="Standard"/>
        <w:jc w:val="both"/>
        <w:rPr>
          <w:rFonts w:eastAsia="LidoSTF-Italic" w:cs="LidoSTF-Italic"/>
          <w:color w:val="000000"/>
        </w:rPr>
      </w:pPr>
      <w:r>
        <w:rPr>
          <w:rFonts w:eastAsia="LidoSTF-Italic" w:cs="LidoSTF-Italic"/>
          <w:color w:val="000000"/>
        </w:rPr>
        <w:t xml:space="preserve">Někdy nesprávně zvané </w:t>
      </w:r>
      <w:r>
        <w:rPr>
          <w:rFonts w:eastAsia="LidoSTF-Italic" w:cs="LidoSTF-Italic"/>
          <w:i/>
          <w:iCs/>
          <w:color w:val="000000"/>
        </w:rPr>
        <w:t>vrchcáby</w:t>
      </w:r>
      <w:r>
        <w:rPr>
          <w:rFonts w:eastAsia="LidoSTF-Italic" w:cs="LidoSTF-Italic"/>
          <w:color w:val="000000"/>
        </w:rPr>
        <w:t xml:space="preserve">, jsou jednou z nejstarších her lidstva hranou ve starověké Persii, Egyptě a Sumeru. Oproti dvěma výše zmíněným hrám nejsou Vrhcáby ryze agonální, před každým </w:t>
      </w:r>
      <w:r>
        <w:rPr>
          <w:rFonts w:eastAsia="LidoSTF-Italic" w:cs="LidoSTF-Italic"/>
          <w:color w:val="000000"/>
        </w:rPr>
        <w:t>tahem hazí hráč kostkou která určuje o kolik polí posune svůj kámen. Je tu tak určitý prvek náhody, svoji roli ale hraje i schopnost hráčů. Ke hře je třeba 15 hracích kamenů na jednoho hráče, hrací deska složena z 24 polí rozdělených do 4 sektorů a dvě šes</w:t>
      </w:r>
      <w:r>
        <w:rPr>
          <w:rFonts w:eastAsia="LidoSTF-Italic" w:cs="LidoSTF-Italic"/>
          <w:color w:val="000000"/>
        </w:rPr>
        <w:t>tistěnné kostky. První nálezy hracích kamenů v českých zemích pochází z počátku středověku, hra byla velmi populární ve 13.a 14. století.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  <w:rPr>
          <w:b/>
          <w:bCs/>
        </w:rPr>
      </w:pPr>
      <w:r>
        <w:rPr>
          <w:b/>
          <w:bCs/>
        </w:rPr>
        <w:t>Hry aleatorické:</w:t>
      </w:r>
    </w:p>
    <w:p w:rsidR="002F0828" w:rsidRDefault="002F0828">
      <w:pPr>
        <w:pStyle w:val="Standard"/>
        <w:jc w:val="both"/>
        <w:rPr>
          <w:i/>
          <w:iCs/>
        </w:rPr>
      </w:pPr>
    </w:p>
    <w:p w:rsidR="002F0828" w:rsidRDefault="008F3B4C">
      <w:pPr>
        <w:pStyle w:val="Standard"/>
        <w:jc w:val="both"/>
        <w:rPr>
          <w:i/>
          <w:iCs/>
        </w:rPr>
      </w:pPr>
      <w:r>
        <w:rPr>
          <w:i/>
          <w:iCs/>
        </w:rPr>
        <w:t>Kostky (obr.2)</w:t>
      </w:r>
    </w:p>
    <w:p w:rsidR="002F0828" w:rsidRDefault="008F3B4C">
      <w:pPr>
        <w:pStyle w:val="Standard"/>
        <w:jc w:val="both"/>
      </w:pPr>
      <w:r>
        <w:t>Kostky slouží mnoha hrám jako hrací pomůcka, dají se však hrát i hry, ke kterým nepo</w:t>
      </w:r>
      <w:r>
        <w:t>třebujete nic jiného než dvě kostky. Kostkami se hází, přičemž vyhrává ten, kdo hodí buď nejvyšší počet bodů nebo určitou kombinaci bodů na kostkách. Právě nenáročnost této hry a jejich pravidel vedla k velké oblibě a rozšíření. Kostky však byly ztělesnění</w:t>
      </w:r>
      <w:r>
        <w:t>m hazardu a takové hry byly středověké církvi trnem v patě. V očích duchovních otců to byla činnost nudná, hříšná a okrádala lidi o peníze a čas, který mohli strávit modlitbou nebo prací. Také tu byly</w:t>
      </w:r>
      <w:r>
        <w:rPr>
          <w:color w:val="000000"/>
        </w:rPr>
        <w:t xml:space="preserve"> </w:t>
      </w:r>
      <w:r>
        <w:rPr>
          <w:color w:val="000000"/>
        </w:rPr>
        <w:t>obavy před pácháním násilné a majetkové trestné činnost</w:t>
      </w:r>
      <w:r>
        <w:rPr>
          <w:color w:val="000000"/>
        </w:rPr>
        <w:t>i spojené s poměrně velkým obratem peněz.</w:t>
      </w:r>
      <w:r>
        <w:t xml:space="preserve"> Odezva v podobě civilních zákazů na sebe nenechala dlouho čekat. Hrálo se ale překvapivě dál. I v samotném kruhu církve se našlo pár černých ovcí. Možnost oddychnout si od každodenních starostí nebo vyhrát sázku a </w:t>
      </w:r>
      <w:r>
        <w:t xml:space="preserve">dostat se lehce k penězům byla pro některé až příliš lákavá. Soubor 22 hracích kostek byl nalezen při výzkumu náměstí Republiky v Praze </w:t>
      </w:r>
      <w:r>
        <w:rPr>
          <w:i/>
          <w:iCs/>
        </w:rPr>
        <w:t>(obr.3).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center"/>
        <w:rPr>
          <w:sz w:val="44"/>
          <w:szCs w:val="44"/>
        </w:rPr>
      </w:pPr>
    </w:p>
    <w:p w:rsidR="002F0828" w:rsidRDefault="002F0828">
      <w:pPr>
        <w:pStyle w:val="Standard"/>
        <w:jc w:val="center"/>
        <w:rPr>
          <w:sz w:val="44"/>
          <w:szCs w:val="44"/>
        </w:rPr>
      </w:pPr>
    </w:p>
    <w:p w:rsidR="002F0828" w:rsidRDefault="008F3B4C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Výroba herních pomůcek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</w:pPr>
      <w:r>
        <w:t>Nejvíce nalezených hracích figurek, kamenů a kostek je vyrobeno z kosti nebo parohu.</w:t>
      </w:r>
      <w:r>
        <w:t xml:space="preserve"> Materiál je to velmi odolný a stálý, v surovém stavu je ale díky své tvrdosti potíž se zpracováním. Požadované měkkosti se docílilo máčením a louhováním ve výtažcích z rostlin (př.: šťovík). Optimální kyselost pro měkčení je 4 pH. Dobře funguje i dlouhé v</w:t>
      </w:r>
      <w:r>
        <w:t>aření ve vodě.</w:t>
      </w:r>
    </w:p>
    <w:p w:rsidR="002F0828" w:rsidRDefault="008F3B4C">
      <w:pPr>
        <w:pStyle w:val="Standard"/>
        <w:jc w:val="both"/>
      </w:pPr>
      <w:r>
        <w:t xml:space="preserve">Po takovéto přípravě lze kost či paroh opracovávat podobně lehce jako dřevo. Nejčastěji se používala metapodia velkých kopytníků. Pilkou se odřízlo distální a proximální zakončení kosti. Půlením a čtvrcením střední části </w:t>
      </w:r>
      <w:r>
        <w:rPr>
          <w:i/>
          <w:iCs/>
        </w:rPr>
        <w:t xml:space="preserve">(obr.4) </w:t>
      </w:r>
      <w:r>
        <w:t>vznikl polot</w:t>
      </w:r>
      <w:r>
        <w:t>ovar tvaru tyčinky, například k tvorbě kostek. Vrtáky a kružidli se po vyleštění kostky vytvořili body na plochách.</w:t>
      </w:r>
    </w:p>
    <w:p w:rsidR="002F0828" w:rsidRDefault="008F3B4C">
      <w:pPr>
        <w:pStyle w:val="Standard"/>
        <w:jc w:val="both"/>
      </w:pPr>
      <w:r>
        <w:t xml:space="preserve">Výroba plochých hracích kamenů </w:t>
      </w:r>
      <w:r>
        <w:rPr>
          <w:i/>
          <w:iCs/>
        </w:rPr>
        <w:t>(obr.5)</w:t>
      </w:r>
      <w:r>
        <w:t xml:space="preserve"> je téměř stejná, jen se místo tyčinek nařežou z kosti destičky. Jeden oválný žeton se našel na hradě </w:t>
      </w:r>
      <w:r>
        <w:t xml:space="preserve">z 1.poloviny 13.století jménem Cvilín. Další příklady, ať už oválného či čtvercového půdorysu kamene, známe z Prahy, Opavy, Mostu, Mstěnic. K dekoraci  se používaly vrtáky, rydla, dlátka a nože. To všechno se jistě vyrábělo i z méně trvanlivého dřeva nebo </w:t>
      </w:r>
      <w:r>
        <w:t>hlíny.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</w:pPr>
      <w:r>
        <w:t xml:space="preserve"> </w:t>
      </w:r>
    </w:p>
    <w:p w:rsidR="002F0828" w:rsidRDefault="008F3B4C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Obrazová příloha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82080</wp:posOffset>
            </wp:positionV>
            <wp:extent cx="3318479" cy="3052440"/>
            <wp:effectExtent l="0" t="0" r="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479" cy="305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</w:rPr>
        <w:t xml:space="preserve"> Obr.1: Hráči vrhcáb u stolu, vyobrazení</w:t>
      </w: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</w:rPr>
        <w:t xml:space="preserve">  z rukopisu z roku 1479, Kostnice</w:t>
      </w: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21719" cy="3477960"/>
            <wp:effectExtent l="0" t="0" r="0" b="8190"/>
            <wp:wrapTopAndBottom/>
            <wp:docPr id="2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719" cy="347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</w:rPr>
        <w:t>Obr.2: Nešťastný konec hry v kostky, Brno-město 2.pol. 15.stol.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center"/>
        <w:rPr>
          <w:i/>
          <w:iCs/>
        </w:rPr>
      </w:pP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935280</wp:posOffset>
            </wp:positionH>
            <wp:positionV relativeFrom="paragraph">
              <wp:posOffset>133200</wp:posOffset>
            </wp:positionV>
            <wp:extent cx="4250160" cy="2295360"/>
            <wp:effectExtent l="0" t="0" r="0" b="0"/>
            <wp:wrapTopAndBottom/>
            <wp:docPr id="3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160" cy="22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Obr.3: Výběr ze souboru kostek z náměstí Republiky v Praze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20360" cy="2938320"/>
            <wp:effectExtent l="0" t="0" r="0" b="0"/>
            <wp:wrapTopAndBottom/>
            <wp:docPr id="4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60" cy="29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</w:rPr>
        <w:t xml:space="preserve">Obr.4: </w:t>
      </w:r>
      <w:r>
        <w:rPr>
          <w:i/>
          <w:iCs/>
        </w:rPr>
        <w:t>Postup zpracování od neopracované kosti po jednotlivé hrací kostky (kreslil M. Vyšohlíd)</w:t>
      </w:r>
    </w:p>
    <w:p w:rsidR="002F0828" w:rsidRDefault="002F0828">
      <w:pPr>
        <w:pStyle w:val="Standard"/>
        <w:jc w:val="both"/>
        <w:rPr>
          <w:i/>
          <w:iCs/>
        </w:rPr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  <w:noProof/>
          <w:lang w:eastAsia="cs-CZ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228600</wp:posOffset>
            </wp:positionV>
            <wp:extent cx="4345200" cy="5366520"/>
            <wp:effectExtent l="0" t="0" r="0" b="5580"/>
            <wp:wrapTopAndBottom/>
            <wp:docPr id="5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828" w:rsidRDefault="008F3B4C">
      <w:pPr>
        <w:pStyle w:val="Standard"/>
        <w:jc w:val="center"/>
        <w:rPr>
          <w:i/>
          <w:iCs/>
        </w:rPr>
      </w:pPr>
      <w:r>
        <w:rPr>
          <w:i/>
          <w:iCs/>
        </w:rPr>
        <w:t>Obr.5: Příklady hracích kamenů (kreslili L. Jechová, S. Svatošová)</w:t>
      </w: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p w:rsidR="002F0828" w:rsidRDefault="002F0828">
      <w:pPr>
        <w:pStyle w:val="Standard"/>
        <w:jc w:val="both"/>
      </w:pPr>
    </w:p>
    <w:sectPr w:rsidR="002F0828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B4C" w:rsidRDefault="008F3B4C">
      <w:r>
        <w:separator/>
      </w:r>
    </w:p>
  </w:endnote>
  <w:endnote w:type="continuationSeparator" w:id="0">
    <w:p w:rsidR="008F3B4C" w:rsidRDefault="008F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doSTF-Italic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B4C" w:rsidRDefault="008F3B4C">
      <w:r>
        <w:rPr>
          <w:color w:val="000000"/>
        </w:rPr>
        <w:separator/>
      </w:r>
    </w:p>
  </w:footnote>
  <w:footnote w:type="continuationSeparator" w:id="0">
    <w:p w:rsidR="008F3B4C" w:rsidRDefault="008F3B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F0828"/>
    <w:rsid w:val="002F0828"/>
    <w:rsid w:val="008F3B4C"/>
    <w:rsid w:val="00FC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5BEC26-2C34-4664-A0F2-502E42F4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2015-12-15T08:17:00Z</dcterms:created>
  <dcterms:modified xsi:type="dcterms:W3CDTF">2015-12-15T08:17:00Z</dcterms:modified>
</cp:coreProperties>
</file>