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92" w:rsidRDefault="00053F98">
      <w:pPr>
        <w:rPr>
          <w:b/>
        </w:rPr>
      </w:pPr>
      <w:r w:rsidRPr="00303D3C">
        <w:rPr>
          <w:b/>
        </w:rPr>
        <w:t>Varianty – dublety v české substantivní flexi</w:t>
      </w:r>
    </w:p>
    <w:p w:rsidR="005C0674" w:rsidRPr="005C0674" w:rsidRDefault="005C0674" w:rsidP="005C0674">
      <w:pPr>
        <w:rPr>
          <w:b/>
        </w:rPr>
      </w:pPr>
      <w:r w:rsidRPr="005C0674">
        <w:rPr>
          <w:b/>
        </w:rPr>
        <w:t xml:space="preserve">Má-li slovní tvar téhož slova dvojí různou podobu, takže jeho </w:t>
      </w:r>
      <w:proofErr w:type="gramStart"/>
      <w:r w:rsidRPr="005C0674">
        <w:rPr>
          <w:b/>
          <w:bCs/>
        </w:rPr>
        <w:t xml:space="preserve">synonymní </w:t>
      </w:r>
      <w:r w:rsidRPr="005C0674">
        <w:rPr>
          <w:b/>
        </w:rPr>
        <w:t xml:space="preserve"> (</w:t>
      </w:r>
      <w:r w:rsidRPr="005C0674">
        <w:rPr>
          <w:b/>
          <w:bCs/>
        </w:rPr>
        <w:t>polymorfní</w:t>
      </w:r>
      <w:proofErr w:type="gramEnd"/>
      <w:r w:rsidRPr="005C0674">
        <w:rPr>
          <w:b/>
        </w:rPr>
        <w:t xml:space="preserve">) tvarotvorné formanty se mohou navzájem zaměňovat, mluvíme o </w:t>
      </w:r>
      <w:r w:rsidRPr="005C0674">
        <w:rPr>
          <w:b/>
          <w:bCs/>
          <w:i/>
          <w:iCs/>
        </w:rPr>
        <w:t>tvaru variantním</w:t>
      </w:r>
      <w:r>
        <w:rPr>
          <w:b/>
          <w:bCs/>
          <w:i/>
          <w:iCs/>
        </w:rPr>
        <w:t>/dubletním</w:t>
      </w:r>
      <w:r w:rsidRPr="005C0674">
        <w:rPr>
          <w:b/>
        </w:rPr>
        <w:t>.</w:t>
      </w:r>
    </w:p>
    <w:p w:rsidR="00000000" w:rsidRPr="005C0674" w:rsidRDefault="005C0674" w:rsidP="005C0674">
      <w:pPr>
        <w:numPr>
          <w:ilvl w:val="0"/>
          <w:numId w:val="2"/>
        </w:numPr>
        <w:rPr>
          <w:b/>
          <w:lang w:val="en-GB"/>
        </w:rPr>
      </w:pPr>
      <w:r w:rsidRPr="005C0674">
        <w:rPr>
          <w:b/>
        </w:rPr>
        <w:t>rovnocenné – volně zaměnitelné</w:t>
      </w:r>
    </w:p>
    <w:p w:rsidR="00000000" w:rsidRPr="005C0674" w:rsidRDefault="005C0674" w:rsidP="005C0674">
      <w:pPr>
        <w:numPr>
          <w:ilvl w:val="0"/>
          <w:numId w:val="2"/>
        </w:numPr>
        <w:rPr>
          <w:b/>
          <w:lang w:val="en-GB"/>
        </w:rPr>
      </w:pPr>
      <w:r w:rsidRPr="005C0674">
        <w:rPr>
          <w:b/>
        </w:rPr>
        <w:t>diferencované - nelze volně zaměnit</w:t>
      </w:r>
    </w:p>
    <w:p w:rsidR="005C0674" w:rsidRPr="00303D3C" w:rsidRDefault="005C0674">
      <w:pPr>
        <w:rPr>
          <w:b/>
        </w:rPr>
      </w:pPr>
      <w:bookmarkStart w:id="0" w:name="_GoBack"/>
      <w:bookmarkEnd w:id="0"/>
    </w:p>
    <w:p w:rsidR="00053F98" w:rsidRDefault="00053F98">
      <w:r>
        <w:t xml:space="preserve">Jak definovat </w:t>
      </w:r>
      <w:r w:rsidRPr="00303D3C">
        <w:rPr>
          <w:b/>
        </w:rPr>
        <w:t>vzor a podvzor</w:t>
      </w:r>
    </w:p>
    <w:p w:rsidR="00053F98" w:rsidRDefault="00053F98" w:rsidP="00053F98">
      <w:r w:rsidRPr="00303D3C">
        <w:rPr>
          <w:b/>
        </w:rPr>
        <w:t>Vzor:</w:t>
      </w:r>
      <w:r>
        <w:t xml:space="preserve"> (1) rod + (2) zakončení v </w:t>
      </w:r>
      <w:proofErr w:type="spellStart"/>
      <w:r>
        <w:t>nom</w:t>
      </w:r>
      <w:proofErr w:type="spellEnd"/>
      <w:r>
        <w:t xml:space="preserve">. </w:t>
      </w:r>
      <w:proofErr w:type="spellStart"/>
      <w:r>
        <w:t>sg</w:t>
      </w:r>
      <w:proofErr w:type="spellEnd"/>
      <w:r>
        <w:t xml:space="preserve">. a gen. </w:t>
      </w:r>
      <w:proofErr w:type="spellStart"/>
      <w:proofErr w:type="gramStart"/>
      <w:r>
        <w:t>sg</w:t>
      </w:r>
      <w:proofErr w:type="spellEnd"/>
      <w:proofErr w:type="gramEnd"/>
      <w:r>
        <w:t xml:space="preserve">. + (3) tvar </w:t>
      </w:r>
      <w:proofErr w:type="spellStart"/>
      <w:r>
        <w:t>nom</w:t>
      </w:r>
      <w:proofErr w:type="spellEnd"/>
      <w:r>
        <w:t xml:space="preserve">. = tvaru </w:t>
      </w:r>
      <w:proofErr w:type="spellStart"/>
      <w:r>
        <w:t>ak</w:t>
      </w:r>
      <w:proofErr w:type="spellEnd"/>
      <w:r>
        <w:t xml:space="preserve">. /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≠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/>
    <w:p w:rsidR="00053F98" w:rsidRDefault="00053F98" w:rsidP="00053F98">
      <w:r>
        <w:t xml:space="preserve">M: ten + -0/-a, -0/-e, -a/-y, -e/-e +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≠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 w:rsidP="00053F98">
      <w:r>
        <w:t xml:space="preserve">I: ten + -0/-a, -0/-e + tvar </w:t>
      </w:r>
      <w:proofErr w:type="spellStart"/>
      <w:r>
        <w:t>nom</w:t>
      </w:r>
      <w:proofErr w:type="spellEnd"/>
      <w:r>
        <w:t xml:space="preserve">. </w:t>
      </w:r>
      <w:r>
        <w:rPr>
          <w:rFonts w:cstheme="minorHAnsi"/>
        </w:rPr>
        <w:t>=</w:t>
      </w:r>
      <w:r>
        <w:t xml:space="preserve"> tvaru </w:t>
      </w:r>
      <w:proofErr w:type="spellStart"/>
      <w:r>
        <w:t>ak</w:t>
      </w:r>
      <w:proofErr w:type="spellEnd"/>
      <w:r>
        <w:t>.</w:t>
      </w:r>
    </w:p>
    <w:p w:rsidR="00053F98" w:rsidRDefault="00053F98" w:rsidP="00053F98">
      <w:r>
        <w:t>F: ta + -a/-y, -e/-e, -0/-e, -0/-i</w:t>
      </w:r>
    </w:p>
    <w:p w:rsidR="00053F98" w:rsidRDefault="00053F98" w:rsidP="00053F98">
      <w:r>
        <w:t>N: to + -o/-a, -e/-e, -e/-et-e, -í/-í</w:t>
      </w:r>
    </w:p>
    <w:p w:rsidR="00053F98" w:rsidRPr="00303D3C" w:rsidRDefault="00053F98" w:rsidP="00053F98">
      <w:pPr>
        <w:rPr>
          <w:b/>
        </w:rPr>
      </w:pPr>
      <w:r w:rsidRPr="00303D3C">
        <w:rPr>
          <w:b/>
        </w:rPr>
        <w:t>Podvzor:</w:t>
      </w:r>
    </w:p>
    <w:p w:rsidR="00053F98" w:rsidRDefault="00053F98" w:rsidP="00053F98">
      <w:r>
        <w:t xml:space="preserve">v některých tvarech se liší, má tvary navíc, má tvary podle více </w:t>
      </w:r>
      <w:proofErr w:type="gramStart"/>
      <w:r>
        <w:t>vzorů, ...</w:t>
      </w:r>
      <w:proofErr w:type="gramEnd"/>
    </w:p>
    <w:p w:rsidR="000813B0" w:rsidRDefault="000813B0" w:rsidP="00053F98">
      <w:pPr>
        <w:rPr>
          <w:color w:val="FF0000"/>
        </w:rPr>
      </w:pPr>
      <w:r w:rsidRPr="000813B0">
        <w:rPr>
          <w:color w:val="FF0000"/>
        </w:rPr>
        <w:t xml:space="preserve">Čím se řídí distribuce variantní koncovky </w:t>
      </w:r>
      <w:r>
        <w:rPr>
          <w:color w:val="FF0000"/>
        </w:rPr>
        <w:t>-</w:t>
      </w:r>
      <w:r w:rsidRPr="000813B0">
        <w:rPr>
          <w:color w:val="FF0000"/>
        </w:rPr>
        <w:t xml:space="preserve">e/-u ve vokativu </w:t>
      </w:r>
      <w:proofErr w:type="spellStart"/>
      <w:r w:rsidRPr="000813B0">
        <w:rPr>
          <w:color w:val="FF0000"/>
        </w:rPr>
        <w:t>sg</w:t>
      </w:r>
      <w:proofErr w:type="spellEnd"/>
      <w:r w:rsidRPr="000813B0">
        <w:rPr>
          <w:color w:val="FF0000"/>
        </w:rPr>
        <w:t xml:space="preserve">. vzoru </w:t>
      </w:r>
      <w:r w:rsidRPr="000813B0">
        <w:rPr>
          <w:i/>
          <w:color w:val="FF0000"/>
        </w:rPr>
        <w:t>pán?</w:t>
      </w:r>
    </w:p>
    <w:p w:rsidR="000813B0" w:rsidRPr="000813B0" w:rsidRDefault="000813B0" w:rsidP="00053F98">
      <w:pPr>
        <w:rPr>
          <w:color w:val="FF0000"/>
        </w:rPr>
      </w:pPr>
      <w:r>
        <w:rPr>
          <w:color w:val="FF0000"/>
        </w:rPr>
        <w:t xml:space="preserve">Koncovku </w:t>
      </w:r>
      <w:r>
        <w:rPr>
          <w:i/>
          <w:color w:val="FF0000"/>
        </w:rPr>
        <w:t>-u</w:t>
      </w:r>
      <w:r>
        <w:rPr>
          <w:color w:val="FF0000"/>
        </w:rPr>
        <w:t xml:space="preserve"> mají substantiva skloňovaná podle podvzoru </w:t>
      </w:r>
      <w:r>
        <w:rPr>
          <w:i/>
          <w:color w:val="FF0000"/>
        </w:rPr>
        <w:t>hoch</w:t>
      </w:r>
      <w:r>
        <w:rPr>
          <w:color w:val="FF0000"/>
        </w:rPr>
        <w:t>.</w:t>
      </w:r>
    </w:p>
    <w:p w:rsidR="00053F98" w:rsidRDefault="00053F98" w:rsidP="00053F98">
      <w:r>
        <w:t>Nestačí znát podvzor, je třeba umět jej definovat</w:t>
      </w:r>
      <w:r w:rsidR="000813B0">
        <w:t>.</w:t>
      </w:r>
    </w:p>
    <w:p w:rsidR="00053F98" w:rsidRDefault="00053F98" w:rsidP="00053F98">
      <w:r>
        <w:t xml:space="preserve">Např. nestačí vědět, že u vzoru </w:t>
      </w:r>
      <w:r>
        <w:rPr>
          <w:i/>
        </w:rPr>
        <w:t>pán</w:t>
      </w:r>
      <w:r>
        <w:t xml:space="preserve"> je uveden v gramatice podvzor </w:t>
      </w:r>
      <w:r>
        <w:rPr>
          <w:i/>
        </w:rPr>
        <w:t>hoch</w:t>
      </w:r>
      <w:r>
        <w:t xml:space="preserve">, ale je třeba umět říci, která substantiva tvoří tvary podle podvzoru </w:t>
      </w:r>
      <w:r w:rsidRPr="00053F98">
        <w:rPr>
          <w:i/>
        </w:rPr>
        <w:t>hoch</w:t>
      </w:r>
      <w:r>
        <w:t>.</w:t>
      </w:r>
    </w:p>
    <w:p w:rsidR="00053F98" w:rsidRDefault="00F74E5C" w:rsidP="00053F98">
      <w:r>
        <w:t xml:space="preserve">Podvzor můžeme definovat buď jako </w:t>
      </w:r>
      <w:r w:rsidRPr="00F74E5C">
        <w:rPr>
          <w:color w:val="FF0000"/>
        </w:rPr>
        <w:t>pravidlo</w:t>
      </w:r>
      <w:r>
        <w:t xml:space="preserve">, např. </w:t>
      </w:r>
      <w:r w:rsidRPr="00F74E5C">
        <w:rPr>
          <w:color w:val="FF0000"/>
        </w:rPr>
        <w:t>všechna substantiva, která mají danou vlastnost (formu, většinou zakončení před pádovou koncovkou) tvoří tvary podle příslušného podvzoru</w:t>
      </w:r>
      <w:r>
        <w:t>.</w:t>
      </w:r>
    </w:p>
    <w:p w:rsidR="00F74E5C" w:rsidRDefault="00F74E5C" w:rsidP="00053F98">
      <w:r>
        <w:t xml:space="preserve">Některé podvzory zahrnují pouze </w:t>
      </w:r>
      <w:r w:rsidRPr="00F74E5C">
        <w:rPr>
          <w:color w:val="FF0000"/>
        </w:rPr>
        <w:t>uzavřené skupiny slov</w:t>
      </w:r>
      <w:r>
        <w:t xml:space="preserve">. Definujeme je </w:t>
      </w:r>
      <w:r w:rsidRPr="00F74E5C">
        <w:rPr>
          <w:color w:val="FF0000"/>
        </w:rPr>
        <w:t>výčtem</w:t>
      </w:r>
      <w:r>
        <w:t>.</w:t>
      </w:r>
    </w:p>
    <w:p w:rsidR="00F74E5C" w:rsidRDefault="00F74E5C" w:rsidP="00053F98">
      <w:r w:rsidRPr="00F74E5C">
        <w:rPr>
          <w:color w:val="FF0000"/>
        </w:rPr>
        <w:t>Z pravidel existují výjimky, které se definují jako výčet</w:t>
      </w:r>
      <w:r>
        <w:t>.</w:t>
      </w:r>
    </w:p>
    <w:p w:rsidR="00F74E5C" w:rsidRDefault="00F74E5C" w:rsidP="00053F98"/>
    <w:p w:rsidR="00F74E5C" w:rsidRDefault="00F74E5C" w:rsidP="00053F98">
      <w:r>
        <w:t xml:space="preserve">Příklad: Podle vzoru </w:t>
      </w:r>
      <w:r w:rsidRPr="00F74E5C">
        <w:rPr>
          <w:i/>
          <w:color w:val="FF0000"/>
        </w:rPr>
        <w:t>hoch</w:t>
      </w:r>
      <w:r>
        <w:rPr>
          <w:i/>
        </w:rPr>
        <w:t xml:space="preserve"> </w:t>
      </w:r>
      <w:r>
        <w:t xml:space="preserve">tvoří tvary vokativu singuláru (5. pádu) maskulina skloňovaná podle vzoru </w:t>
      </w:r>
      <w:r>
        <w:rPr>
          <w:i/>
        </w:rPr>
        <w:t>pán</w:t>
      </w:r>
      <w:r>
        <w:t xml:space="preserve">, která končí na </w:t>
      </w:r>
      <w:r w:rsidRPr="00F74E5C">
        <w:rPr>
          <w:color w:val="FF0000"/>
        </w:rPr>
        <w:t>veláru</w:t>
      </w:r>
      <w:r>
        <w:t xml:space="preserve">. Tato mají </w:t>
      </w:r>
      <w:r w:rsidRPr="00F74E5C">
        <w:rPr>
          <w:color w:val="FF0000"/>
        </w:rPr>
        <w:t xml:space="preserve">ve </w:t>
      </w:r>
      <w:proofErr w:type="spellStart"/>
      <w:r w:rsidRPr="00F74E5C">
        <w:rPr>
          <w:color w:val="FF0000"/>
        </w:rPr>
        <w:t>vok</w:t>
      </w:r>
      <w:proofErr w:type="spellEnd"/>
      <w:r w:rsidRPr="00F74E5C">
        <w:rPr>
          <w:color w:val="FF0000"/>
        </w:rPr>
        <w:t xml:space="preserve">. </w:t>
      </w:r>
      <w:proofErr w:type="spellStart"/>
      <w:r w:rsidRPr="00F74E5C">
        <w:rPr>
          <w:color w:val="FF0000"/>
        </w:rPr>
        <w:t>sg</w:t>
      </w:r>
      <w:proofErr w:type="spellEnd"/>
      <w:r w:rsidRPr="00F74E5C">
        <w:rPr>
          <w:color w:val="FF0000"/>
        </w:rPr>
        <w:t xml:space="preserve">. </w:t>
      </w:r>
      <w:proofErr w:type="gramStart"/>
      <w:r w:rsidRPr="00F74E5C">
        <w:rPr>
          <w:color w:val="FF0000"/>
        </w:rPr>
        <w:t xml:space="preserve">koncovku </w:t>
      </w:r>
      <w:r w:rsidRPr="00F74E5C">
        <w:rPr>
          <w:i/>
          <w:color w:val="FF0000"/>
        </w:rPr>
        <w:t>–u</w:t>
      </w:r>
      <w:r w:rsidRPr="00F74E5C">
        <w:rPr>
          <w:color w:val="FF0000"/>
        </w:rPr>
        <w:t xml:space="preserve"> </w:t>
      </w:r>
      <w:r>
        <w:t>na</w:t>
      </w:r>
      <w:proofErr w:type="gramEnd"/>
      <w:r>
        <w:t xml:space="preserve"> rozdíl od koncovky </w:t>
      </w:r>
      <w:r>
        <w:rPr>
          <w:i/>
        </w:rPr>
        <w:t>–e</w:t>
      </w:r>
      <w:r>
        <w:t xml:space="preserve">. Existují ovšem i výjimečné případy, kdy substantiva </w:t>
      </w:r>
      <w:r w:rsidRPr="00F74E5C">
        <w:rPr>
          <w:color w:val="FF0000"/>
        </w:rPr>
        <w:t xml:space="preserve">zakončená na veláru </w:t>
      </w:r>
      <w:r>
        <w:t xml:space="preserve">tvoří tvary vokativu podle vzoru </w:t>
      </w:r>
      <w:r>
        <w:rPr>
          <w:i/>
        </w:rPr>
        <w:t>pán</w:t>
      </w:r>
      <w:r>
        <w:t xml:space="preserve">, tedy pomocí </w:t>
      </w:r>
      <w:proofErr w:type="gramStart"/>
      <w:r w:rsidRPr="00F74E5C">
        <w:rPr>
          <w:color w:val="FF0000"/>
        </w:rPr>
        <w:t xml:space="preserve">koncovky </w:t>
      </w:r>
      <w:r w:rsidRPr="00F74E5C">
        <w:rPr>
          <w:i/>
          <w:color w:val="FF0000"/>
        </w:rPr>
        <w:t>–e</w:t>
      </w:r>
      <w:r>
        <w:t>, která</w:t>
      </w:r>
      <w:proofErr w:type="gramEnd"/>
      <w:r>
        <w:t xml:space="preserve"> způsobuje </w:t>
      </w:r>
      <w:r w:rsidRPr="00F74E5C">
        <w:rPr>
          <w:color w:val="FF0000"/>
        </w:rPr>
        <w:t>alternaci</w:t>
      </w:r>
      <w:r>
        <w:t xml:space="preserve">, a také výjimečné případy koncovky </w:t>
      </w:r>
      <w:r w:rsidRPr="00F74E5C">
        <w:rPr>
          <w:i/>
          <w:color w:val="FF0000"/>
        </w:rPr>
        <w:t>–u</w:t>
      </w:r>
      <w:r w:rsidRPr="00F74E5C">
        <w:rPr>
          <w:color w:val="FF0000"/>
        </w:rPr>
        <w:t xml:space="preserve"> ve vokativu </w:t>
      </w:r>
      <w:r>
        <w:t xml:space="preserve">substantiv, která </w:t>
      </w:r>
      <w:r w:rsidRPr="00F74E5C">
        <w:rPr>
          <w:color w:val="FF0000"/>
        </w:rPr>
        <w:t>na veláru nekončí</w:t>
      </w:r>
      <w:r>
        <w:t>.</w:t>
      </w:r>
    </w:p>
    <w:p w:rsidR="00F74E5C" w:rsidRDefault="00F74E5C" w:rsidP="00053F98">
      <w:pPr>
        <w:rPr>
          <w:i/>
        </w:rPr>
      </w:pPr>
      <w:r>
        <w:t xml:space="preserve">Typicky: </w:t>
      </w:r>
      <w:r>
        <w:rPr>
          <w:i/>
        </w:rPr>
        <w:t>vlku, vrahu, brachu, Georgu</w:t>
      </w:r>
    </w:p>
    <w:p w:rsidR="0028004D" w:rsidRDefault="00F74E5C" w:rsidP="00053F98">
      <w:pPr>
        <w:rPr>
          <w:i/>
        </w:rPr>
      </w:pPr>
      <w:r>
        <w:t xml:space="preserve">výjimky: </w:t>
      </w:r>
      <w:r>
        <w:rPr>
          <w:i/>
        </w:rPr>
        <w:t xml:space="preserve">člověče, Bože, </w:t>
      </w:r>
      <w:proofErr w:type="spellStart"/>
      <w:r>
        <w:rPr>
          <w:i/>
        </w:rPr>
        <w:t>Vojtěše</w:t>
      </w:r>
      <w:proofErr w:type="spellEnd"/>
      <w:r w:rsidR="0028004D">
        <w:rPr>
          <w:i/>
        </w:rPr>
        <w:t xml:space="preserve">, </w:t>
      </w:r>
      <w:proofErr w:type="spellStart"/>
      <w:r w:rsidR="0028004D">
        <w:rPr>
          <w:i/>
        </w:rPr>
        <w:t>nešťastníče</w:t>
      </w:r>
      <w:proofErr w:type="spellEnd"/>
    </w:p>
    <w:p w:rsidR="0028004D" w:rsidRDefault="0028004D" w:rsidP="00053F98">
      <w:pPr>
        <w:rPr>
          <w:i/>
        </w:rPr>
      </w:pPr>
      <w:r>
        <w:rPr>
          <w:i/>
        </w:rPr>
        <w:tab/>
        <w:t>synu</w:t>
      </w:r>
    </w:p>
    <w:p w:rsidR="000813B0" w:rsidRDefault="000813B0" w:rsidP="00053F98">
      <w:pPr>
        <w:rPr>
          <w:i/>
        </w:rPr>
      </w:pPr>
    </w:p>
    <w:p w:rsidR="00053F98" w:rsidRDefault="00303D3C" w:rsidP="00053F98">
      <w:r>
        <w:rPr>
          <w:noProof/>
          <w:lang w:val="en-GB" w:eastAsia="en-GB"/>
        </w:rPr>
        <w:lastRenderedPageBreak/>
        <w:drawing>
          <wp:inline distT="0" distB="0" distL="0" distR="0" wp14:anchorId="3755F032" wp14:editId="6C60D211">
            <wp:extent cx="5381625" cy="3876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303D3C" w:rsidP="00053F98">
      <w:r>
        <w:t xml:space="preserve">Kdy dochází k alternaci </w:t>
      </w:r>
      <w:r w:rsidRPr="00303D3C">
        <w:rPr>
          <w:b/>
          <w:i/>
        </w:rPr>
        <w:t>r&gt;ř</w:t>
      </w:r>
      <w:r>
        <w:rPr>
          <w:b/>
        </w:rPr>
        <w:t xml:space="preserve"> </w:t>
      </w:r>
      <w:r w:rsidRPr="00303D3C">
        <w:t>v</w:t>
      </w:r>
      <w:r>
        <w:t xml:space="preserve"> kontextu </w:t>
      </w:r>
      <w:proofErr w:type="gramStart"/>
      <w:r>
        <w:t xml:space="preserve">vokativního </w:t>
      </w:r>
      <w:r>
        <w:rPr>
          <w:i/>
        </w:rPr>
        <w:t>–e</w:t>
      </w:r>
      <w:r>
        <w:t xml:space="preserve"> u maskulin</w:t>
      </w:r>
      <w:proofErr w:type="gramEnd"/>
      <w:r>
        <w:t xml:space="preserve"> životných?</w:t>
      </w:r>
    </w:p>
    <w:p w:rsidR="00303D3C" w:rsidRDefault="00303D3C" w:rsidP="00053F98">
      <w:r>
        <w:rPr>
          <w:noProof/>
          <w:lang w:val="en-GB" w:eastAsia="en-GB"/>
        </w:rPr>
        <w:drawing>
          <wp:inline distT="0" distB="0" distL="0" distR="0" wp14:anchorId="7B5ABE3B" wp14:editId="46C6531A">
            <wp:extent cx="5467350" cy="4314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303D3C" w:rsidP="00053F98"/>
    <w:p w:rsidR="00303D3C" w:rsidRDefault="00303D3C" w:rsidP="00053F98">
      <w:r>
        <w:t>Jak byste hodnotili následující užití tvarů substantiv?</w:t>
      </w:r>
    </w:p>
    <w:p w:rsidR="000813B0" w:rsidRDefault="000813B0" w:rsidP="00053F98">
      <w:r>
        <w:rPr>
          <w:noProof/>
          <w:lang w:val="en-GB" w:eastAsia="en-GB"/>
        </w:rPr>
        <w:drawing>
          <wp:inline distT="0" distB="0" distL="0" distR="0" wp14:anchorId="3A77E60D" wp14:editId="693304D0">
            <wp:extent cx="5760720" cy="276399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C" w:rsidRDefault="00C012F5" w:rsidP="00053F98">
      <w:r>
        <w:rPr>
          <w:noProof/>
          <w:lang w:val="en-GB" w:eastAsia="en-GB"/>
        </w:rPr>
        <w:drawing>
          <wp:inline distT="0" distB="0" distL="0" distR="0" wp14:anchorId="4B337FCD" wp14:editId="331188FF">
            <wp:extent cx="5760720" cy="16634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F5" w:rsidRDefault="00C012F5" w:rsidP="00053F98">
      <w:r>
        <w:rPr>
          <w:noProof/>
          <w:lang w:val="en-GB" w:eastAsia="en-GB"/>
        </w:rPr>
        <w:drawing>
          <wp:inline distT="0" distB="0" distL="0" distR="0" wp14:anchorId="11662981" wp14:editId="5D07AA77">
            <wp:extent cx="5760720" cy="99462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Default="00231078" w:rsidP="00053F98">
      <w:r>
        <w:rPr>
          <w:noProof/>
          <w:lang w:val="en-GB" w:eastAsia="en-GB"/>
        </w:rPr>
        <w:drawing>
          <wp:inline distT="0" distB="0" distL="0" distR="0" wp14:anchorId="09EF90A4" wp14:editId="7B227A85">
            <wp:extent cx="5760720" cy="893567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Default="00231078" w:rsidP="00053F98">
      <w:r>
        <w:rPr>
          <w:noProof/>
          <w:lang w:val="en-GB" w:eastAsia="en-GB"/>
        </w:rPr>
        <w:drawing>
          <wp:inline distT="0" distB="0" distL="0" distR="0" wp14:anchorId="2BD2653A" wp14:editId="6870A269">
            <wp:extent cx="5760720" cy="110976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78" w:rsidRPr="000813B0" w:rsidRDefault="000813B0" w:rsidP="00053F98">
      <w:r>
        <w:t xml:space="preserve">Pokuste se podobným způsobem definovat distribuci </w:t>
      </w:r>
      <w:proofErr w:type="gramStart"/>
      <w:r>
        <w:t>koncovek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i/-e</w:t>
      </w:r>
      <w:proofErr w:type="gramEnd"/>
      <w:r>
        <w:t xml:space="preserve"> u vokativu substantiv vzoru </w:t>
      </w:r>
      <w:r>
        <w:rPr>
          <w:i/>
        </w:rPr>
        <w:t>muž</w:t>
      </w:r>
      <w:r>
        <w:t>.</w:t>
      </w:r>
    </w:p>
    <w:p w:rsidR="000813B0" w:rsidRDefault="000813B0" w:rsidP="000813B0">
      <w:pPr>
        <w:rPr>
          <w:color w:val="FF0000"/>
        </w:rPr>
      </w:pPr>
      <w:r w:rsidRPr="000813B0">
        <w:rPr>
          <w:color w:val="FF0000"/>
        </w:rPr>
        <w:t xml:space="preserve">Čím se řídí distribuce variantní koncovky </w:t>
      </w:r>
      <w:r>
        <w:rPr>
          <w:color w:val="FF0000"/>
        </w:rPr>
        <w:t>-i</w:t>
      </w:r>
      <w:r w:rsidRPr="000813B0">
        <w:rPr>
          <w:color w:val="FF0000"/>
        </w:rPr>
        <w:t>/</w:t>
      </w:r>
      <w:r>
        <w:rPr>
          <w:color w:val="FF0000"/>
        </w:rPr>
        <w:t>-e</w:t>
      </w:r>
      <w:r w:rsidRPr="000813B0">
        <w:rPr>
          <w:color w:val="FF0000"/>
        </w:rPr>
        <w:t xml:space="preserve"> ve vokativu </w:t>
      </w:r>
      <w:proofErr w:type="spellStart"/>
      <w:r w:rsidRPr="000813B0">
        <w:rPr>
          <w:color w:val="FF0000"/>
        </w:rPr>
        <w:t>sg</w:t>
      </w:r>
      <w:proofErr w:type="spellEnd"/>
      <w:r w:rsidRPr="000813B0">
        <w:rPr>
          <w:color w:val="FF0000"/>
        </w:rPr>
        <w:t xml:space="preserve">. vzoru </w:t>
      </w:r>
      <w:r>
        <w:rPr>
          <w:i/>
          <w:color w:val="FF0000"/>
        </w:rPr>
        <w:t>muž</w:t>
      </w:r>
      <w:r w:rsidRPr="000813B0">
        <w:rPr>
          <w:i/>
          <w:color w:val="FF0000"/>
        </w:rPr>
        <w:t>?</w:t>
      </w:r>
    </w:p>
    <w:p w:rsidR="000813B0" w:rsidRDefault="000813B0" w:rsidP="000813B0">
      <w:pPr>
        <w:rPr>
          <w:color w:val="FF0000"/>
        </w:rPr>
      </w:pPr>
      <w:r>
        <w:rPr>
          <w:color w:val="FF0000"/>
        </w:rPr>
        <w:t xml:space="preserve">Koncovku </w:t>
      </w:r>
      <w:r>
        <w:rPr>
          <w:i/>
          <w:color w:val="FF0000"/>
        </w:rPr>
        <w:t>-e</w:t>
      </w:r>
      <w:r>
        <w:rPr>
          <w:color w:val="FF0000"/>
        </w:rPr>
        <w:t xml:space="preserve"> mají substantiva skloňovaná podle podvzoru </w:t>
      </w:r>
      <w:r>
        <w:rPr>
          <w:i/>
          <w:color w:val="FF0000"/>
        </w:rPr>
        <w:t>otec</w:t>
      </w:r>
      <w:r>
        <w:rPr>
          <w:color w:val="FF0000"/>
        </w:rPr>
        <w:t>.</w:t>
      </w:r>
    </w:p>
    <w:p w:rsidR="000813B0" w:rsidRDefault="000813B0" w:rsidP="000813B0">
      <w:r>
        <w:t>Nestačí znát podvzor, je třeba umět jej definovat.</w:t>
      </w:r>
    </w:p>
    <w:p w:rsidR="000813B0" w:rsidRDefault="000813B0" w:rsidP="000813B0">
      <w:r>
        <w:rPr>
          <w:noProof/>
          <w:lang w:val="en-GB" w:eastAsia="en-GB"/>
        </w:rPr>
        <w:drawing>
          <wp:inline distT="0" distB="0" distL="0" distR="0" wp14:anchorId="3E09C92E" wp14:editId="1877ADD3">
            <wp:extent cx="5760720" cy="61789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4" w:rsidRDefault="000D37B4" w:rsidP="000813B0"/>
    <w:p w:rsidR="000D37B4" w:rsidRDefault="000D37B4" w:rsidP="000813B0">
      <w:r>
        <w:rPr>
          <w:noProof/>
          <w:lang w:val="en-GB" w:eastAsia="en-GB"/>
        </w:rPr>
        <w:drawing>
          <wp:inline distT="0" distB="0" distL="0" distR="0" wp14:anchorId="1A26BE07" wp14:editId="2D7D7A21">
            <wp:extent cx="5760720" cy="2568622"/>
            <wp:effectExtent l="0" t="0" r="0" b="317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B4" w:rsidRDefault="00607E9D" w:rsidP="000813B0">
      <w:r>
        <w:rPr>
          <w:noProof/>
          <w:lang w:val="en-GB" w:eastAsia="en-GB"/>
        </w:rPr>
        <w:drawing>
          <wp:inline distT="0" distB="0" distL="0" distR="0" wp14:anchorId="63592E58" wp14:editId="56C5E7F8">
            <wp:extent cx="5760720" cy="96032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BC4" w:rsidRDefault="00B93BC4" w:rsidP="000813B0">
      <w:r>
        <w:rPr>
          <w:noProof/>
          <w:lang w:val="en-GB" w:eastAsia="en-GB"/>
        </w:rPr>
        <w:drawing>
          <wp:inline distT="0" distB="0" distL="0" distR="0" wp14:anchorId="6DBCD6DB" wp14:editId="237AFB69">
            <wp:extent cx="5760720" cy="6629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9D" w:rsidRDefault="00607E9D" w:rsidP="000813B0">
      <w:r>
        <w:rPr>
          <w:noProof/>
          <w:lang w:val="en-GB" w:eastAsia="en-GB"/>
        </w:rPr>
        <w:drawing>
          <wp:inline distT="0" distB="0" distL="0" distR="0" wp14:anchorId="56FC9B78" wp14:editId="35D04290">
            <wp:extent cx="5760720" cy="2971003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02" w:rsidRDefault="00811F02" w:rsidP="00811F02">
      <w:r>
        <w:t xml:space="preserve">Pokuste se podobným způsobem definovat distribuci </w:t>
      </w:r>
      <w:proofErr w:type="gramStart"/>
      <w:r>
        <w:t>koncovek</w:t>
      </w:r>
      <w:proofErr w:type="gramEnd"/>
      <w:r>
        <w:t xml:space="preserve"> </w:t>
      </w:r>
      <w:r>
        <w:rPr>
          <w:i/>
        </w:rPr>
        <w:t>–</w:t>
      </w:r>
      <w:proofErr w:type="gramStart"/>
      <w:r>
        <w:rPr>
          <w:i/>
        </w:rPr>
        <w:t>0/</w:t>
      </w:r>
      <w:proofErr w:type="gramEnd"/>
      <w:r>
        <w:rPr>
          <w:i/>
        </w:rPr>
        <w:t>-í</w:t>
      </w:r>
      <w:r>
        <w:t xml:space="preserve"> u genitivu </w:t>
      </w:r>
      <w:proofErr w:type="spellStart"/>
      <w:r>
        <w:t>pl</w:t>
      </w:r>
      <w:proofErr w:type="spellEnd"/>
      <w:r>
        <w:t xml:space="preserve">. substantiv vzoru </w:t>
      </w:r>
      <w:r>
        <w:rPr>
          <w:i/>
        </w:rPr>
        <w:t>růže</w:t>
      </w:r>
      <w:r>
        <w:t xml:space="preserve"> (podvzor </w:t>
      </w:r>
      <w:r>
        <w:rPr>
          <w:i/>
        </w:rPr>
        <w:t>ulice</w:t>
      </w:r>
      <w:r>
        <w:t>).</w:t>
      </w:r>
    </w:p>
    <w:p w:rsidR="00C94954" w:rsidRDefault="00C94954" w:rsidP="00811F02">
      <w:r>
        <w:rPr>
          <w:noProof/>
          <w:lang w:val="en-GB" w:eastAsia="en-GB"/>
        </w:rPr>
        <w:drawing>
          <wp:inline distT="0" distB="0" distL="0" distR="0" wp14:anchorId="74B76637" wp14:editId="3D499907">
            <wp:extent cx="5760720" cy="760867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954" w:rsidRDefault="00C94954" w:rsidP="00811F02"/>
    <w:p w:rsidR="00C94954" w:rsidRPr="00811F02" w:rsidRDefault="00C94954" w:rsidP="00811F02"/>
    <w:p w:rsidR="00053F98" w:rsidRDefault="00053F98"/>
    <w:sectPr w:rsidR="0005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03CC"/>
    <w:multiLevelType w:val="hybridMultilevel"/>
    <w:tmpl w:val="ADC85A9E"/>
    <w:lvl w:ilvl="0" w:tplc="D6CE28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885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E63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AFF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8E5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C3D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CB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E1F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2CE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13B0C"/>
    <w:multiLevelType w:val="hybridMultilevel"/>
    <w:tmpl w:val="09CC52F4"/>
    <w:lvl w:ilvl="0" w:tplc="DB6EBB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4C4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05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C52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E4CF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43D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E4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020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260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98"/>
    <w:rsid w:val="00053F98"/>
    <w:rsid w:val="000813B0"/>
    <w:rsid w:val="000D37B4"/>
    <w:rsid w:val="00231078"/>
    <w:rsid w:val="0028004D"/>
    <w:rsid w:val="00303D3C"/>
    <w:rsid w:val="005C0674"/>
    <w:rsid w:val="00607E9D"/>
    <w:rsid w:val="00680B92"/>
    <w:rsid w:val="00811F02"/>
    <w:rsid w:val="00B93BC4"/>
    <w:rsid w:val="00C012F5"/>
    <w:rsid w:val="00C94954"/>
    <w:rsid w:val="00F7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685EB-E001-458C-8246-F44DCBF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9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petr</cp:lastModifiedBy>
  <cp:revision>5</cp:revision>
  <dcterms:created xsi:type="dcterms:W3CDTF">2016-10-11T10:38:00Z</dcterms:created>
  <dcterms:modified xsi:type="dcterms:W3CDTF">2016-10-17T09:05:00Z</dcterms:modified>
</cp:coreProperties>
</file>