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CA" w:rsidRPr="00D72C92" w:rsidRDefault="00AC68CA" w:rsidP="00AC68CA">
      <w:pPr>
        <w:rPr>
          <w:b/>
        </w:rPr>
      </w:pPr>
      <w:r w:rsidRPr="00D72C92">
        <w:rPr>
          <w:b/>
        </w:rPr>
        <w:t>Identitární vzorce ve francouzsko-kanadské kultuře a literatuře</w:t>
      </w:r>
    </w:p>
    <w:p w:rsidR="00AC68CA" w:rsidRPr="00D72C92" w:rsidRDefault="00AC68CA" w:rsidP="00AC68C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2"/>
        <w:gridCol w:w="1309"/>
        <w:gridCol w:w="910"/>
        <w:gridCol w:w="1325"/>
        <w:gridCol w:w="1544"/>
        <w:gridCol w:w="1475"/>
        <w:gridCol w:w="1225"/>
      </w:tblGrid>
      <w:tr w:rsidR="00AC68CA" w:rsidRPr="00D72C92" w:rsidTr="009C3E9E">
        <w:trPr>
          <w:cantSplit/>
        </w:trPr>
        <w:tc>
          <w:tcPr>
            <w:tcW w:w="1282" w:type="dxa"/>
          </w:tcPr>
          <w:p w:rsidR="00AC68CA" w:rsidRPr="00D72C92" w:rsidRDefault="00AC68CA" w:rsidP="009C3E9E">
            <w:pPr>
              <w:keepNext/>
              <w:rPr>
                <w:b/>
                <w:bCs/>
                <w:caps/>
                <w:sz w:val="16"/>
                <w:szCs w:val="16"/>
              </w:rPr>
            </w:pPr>
            <w:r w:rsidRPr="00D72C92">
              <w:rPr>
                <w:b/>
                <w:bCs/>
                <w:caps/>
                <w:sz w:val="16"/>
                <w:szCs w:val="16"/>
              </w:rPr>
              <w:t>Paradigma identitární-ho vzorce</w:t>
            </w:r>
          </w:p>
        </w:tc>
        <w:tc>
          <w:tcPr>
            <w:tcW w:w="3544" w:type="dxa"/>
            <w:gridSpan w:val="3"/>
          </w:tcPr>
          <w:p w:rsidR="00AC68CA" w:rsidRPr="00D72C92" w:rsidRDefault="00AC68CA" w:rsidP="009C3E9E">
            <w:pPr>
              <w:keepNext/>
              <w:rPr>
                <w:b/>
                <w:bCs/>
                <w:caps/>
                <w:sz w:val="16"/>
                <w:szCs w:val="16"/>
              </w:rPr>
            </w:pPr>
            <w:r w:rsidRPr="00D72C92">
              <w:rPr>
                <w:b/>
                <w:bCs/>
                <w:caps/>
                <w:sz w:val="16"/>
                <w:szCs w:val="16"/>
              </w:rPr>
              <w:t>Komponenty</w:t>
            </w:r>
          </w:p>
        </w:tc>
        <w:tc>
          <w:tcPr>
            <w:tcW w:w="1544" w:type="dxa"/>
          </w:tcPr>
          <w:p w:rsidR="00AC68CA" w:rsidRPr="00D72C92" w:rsidRDefault="00AC68CA" w:rsidP="009C3E9E">
            <w:pPr>
              <w:keepNext/>
              <w:rPr>
                <w:b/>
                <w:bCs/>
                <w:caps/>
                <w:sz w:val="16"/>
                <w:szCs w:val="16"/>
              </w:rPr>
            </w:pPr>
            <w:r w:rsidRPr="00D72C92">
              <w:rPr>
                <w:b/>
                <w:bCs/>
                <w:caps/>
                <w:sz w:val="16"/>
                <w:szCs w:val="16"/>
              </w:rPr>
              <w:t xml:space="preserve">Vztahové procesy </w:t>
            </w:r>
          </w:p>
        </w:tc>
        <w:tc>
          <w:tcPr>
            <w:tcW w:w="1475" w:type="dxa"/>
          </w:tcPr>
          <w:p w:rsidR="00AC68CA" w:rsidRPr="00D72C92" w:rsidRDefault="00AC68CA" w:rsidP="009C3E9E">
            <w:pPr>
              <w:keepNext/>
              <w:rPr>
                <w:b/>
                <w:bCs/>
                <w:caps/>
                <w:sz w:val="16"/>
                <w:szCs w:val="16"/>
              </w:rPr>
            </w:pPr>
            <w:r w:rsidRPr="00D72C92">
              <w:rPr>
                <w:b/>
                <w:bCs/>
                <w:caps/>
                <w:sz w:val="16"/>
                <w:szCs w:val="16"/>
              </w:rPr>
              <w:t>topika</w:t>
            </w:r>
          </w:p>
        </w:tc>
        <w:tc>
          <w:tcPr>
            <w:tcW w:w="1225" w:type="dxa"/>
          </w:tcPr>
          <w:p w:rsidR="00AC68CA" w:rsidRPr="00D72C92" w:rsidRDefault="00AC68CA" w:rsidP="009C3E9E">
            <w:pPr>
              <w:keepNext/>
              <w:rPr>
                <w:b/>
                <w:bCs/>
                <w:caps/>
                <w:sz w:val="16"/>
                <w:szCs w:val="16"/>
              </w:rPr>
            </w:pPr>
            <w:r w:rsidRPr="00D72C92">
              <w:rPr>
                <w:b/>
                <w:bCs/>
                <w:caps/>
                <w:sz w:val="16"/>
                <w:szCs w:val="16"/>
              </w:rPr>
              <w:t>Komplemen-tární faktory</w:t>
            </w:r>
          </w:p>
        </w:tc>
      </w:tr>
      <w:tr w:rsidR="00AC68CA" w:rsidRPr="00D72C92" w:rsidTr="009C3E9E">
        <w:tc>
          <w:tcPr>
            <w:tcW w:w="1282" w:type="dxa"/>
          </w:tcPr>
          <w:p w:rsidR="00AC68CA" w:rsidRPr="00D72C92" w:rsidRDefault="00AC68CA" w:rsidP="009C3E9E">
            <w:pPr>
              <w:keepNext/>
              <w:rPr>
                <w:b/>
                <w:bCs/>
                <w:sz w:val="16"/>
                <w:szCs w:val="16"/>
              </w:rPr>
            </w:pPr>
            <w:r w:rsidRPr="00D72C92">
              <w:rPr>
                <w:b/>
                <w:bCs/>
                <w:sz w:val="16"/>
                <w:szCs w:val="16"/>
              </w:rPr>
              <w:t>doba vzniku</w:t>
            </w:r>
          </w:p>
        </w:tc>
        <w:tc>
          <w:tcPr>
            <w:tcW w:w="1309" w:type="dxa"/>
          </w:tcPr>
          <w:p w:rsidR="00AC68CA" w:rsidRPr="00D72C92" w:rsidRDefault="00AC68CA" w:rsidP="009C3E9E">
            <w:pPr>
              <w:keepNext/>
              <w:rPr>
                <w:b/>
                <w:bCs/>
                <w:sz w:val="16"/>
                <w:szCs w:val="16"/>
              </w:rPr>
            </w:pPr>
            <w:r w:rsidRPr="00D72C92">
              <w:rPr>
                <w:b/>
                <w:bCs/>
                <w:sz w:val="16"/>
                <w:szCs w:val="16"/>
              </w:rPr>
              <w:t>subjektální pozice</w:t>
            </w:r>
          </w:p>
        </w:tc>
        <w:tc>
          <w:tcPr>
            <w:tcW w:w="910" w:type="dxa"/>
          </w:tcPr>
          <w:p w:rsidR="00AC68CA" w:rsidRPr="00D72C92" w:rsidRDefault="00AC68CA" w:rsidP="009C3E9E">
            <w:pPr>
              <w:keepNext/>
              <w:rPr>
                <w:b/>
                <w:bCs/>
                <w:sz w:val="16"/>
                <w:szCs w:val="16"/>
              </w:rPr>
            </w:pPr>
            <w:r w:rsidRPr="00D72C92">
              <w:rPr>
                <w:b/>
                <w:bCs/>
                <w:sz w:val="16"/>
                <w:szCs w:val="16"/>
              </w:rPr>
              <w:t>objektální pozice</w:t>
            </w:r>
          </w:p>
        </w:tc>
        <w:tc>
          <w:tcPr>
            <w:tcW w:w="1325" w:type="dxa"/>
          </w:tcPr>
          <w:p w:rsidR="00AC68CA" w:rsidRPr="00D72C92" w:rsidRDefault="00AC68CA" w:rsidP="009C3E9E">
            <w:pPr>
              <w:keepNext/>
              <w:rPr>
                <w:b/>
                <w:bCs/>
                <w:sz w:val="16"/>
                <w:szCs w:val="16"/>
              </w:rPr>
            </w:pPr>
            <w:r w:rsidRPr="00D72C92">
              <w:rPr>
                <w:b/>
                <w:bCs/>
                <w:sz w:val="16"/>
                <w:szCs w:val="16"/>
              </w:rPr>
              <w:t xml:space="preserve">jazyk </w:t>
            </w:r>
          </w:p>
          <w:p w:rsidR="00AC68CA" w:rsidRPr="00D72C92" w:rsidRDefault="00AC68CA" w:rsidP="009C3E9E">
            <w:pPr>
              <w:keepNext/>
              <w:rPr>
                <w:b/>
                <w:bCs/>
                <w:sz w:val="16"/>
                <w:szCs w:val="16"/>
              </w:rPr>
            </w:pPr>
            <w:r w:rsidRPr="00D72C92">
              <w:rPr>
                <w:b/>
                <w:bCs/>
                <w:sz w:val="16"/>
                <w:szCs w:val="16"/>
              </w:rPr>
              <w:t>diskurzivní status</w:t>
            </w:r>
          </w:p>
        </w:tc>
        <w:tc>
          <w:tcPr>
            <w:tcW w:w="1544" w:type="dxa"/>
          </w:tcPr>
          <w:p w:rsidR="00AC68CA" w:rsidRPr="00D72C92" w:rsidRDefault="00AC68CA" w:rsidP="009C3E9E">
            <w:pPr>
              <w:keepNext/>
              <w:rPr>
                <w:b/>
                <w:bCs/>
                <w:sz w:val="16"/>
                <w:szCs w:val="16"/>
              </w:rPr>
            </w:pPr>
            <w:r w:rsidRPr="00D72C92">
              <w:rPr>
                <w:b/>
                <w:bCs/>
                <w:sz w:val="16"/>
                <w:szCs w:val="16"/>
              </w:rPr>
              <w:t>dominantní vztah</w:t>
            </w:r>
          </w:p>
        </w:tc>
        <w:tc>
          <w:tcPr>
            <w:tcW w:w="1475" w:type="dxa"/>
          </w:tcPr>
          <w:p w:rsidR="00AC68CA" w:rsidRPr="00D72C92" w:rsidRDefault="00AC68CA" w:rsidP="009C3E9E">
            <w:pPr>
              <w:keepNext/>
              <w:rPr>
                <w:b/>
                <w:bCs/>
                <w:sz w:val="16"/>
                <w:szCs w:val="16"/>
              </w:rPr>
            </w:pPr>
            <w:r w:rsidRPr="00D72C92">
              <w:rPr>
                <w:b/>
                <w:bCs/>
                <w:sz w:val="16"/>
                <w:szCs w:val="16"/>
              </w:rPr>
              <w:t>identitární topika (národní)</w:t>
            </w:r>
          </w:p>
        </w:tc>
        <w:tc>
          <w:tcPr>
            <w:tcW w:w="1225" w:type="dxa"/>
          </w:tcPr>
          <w:p w:rsidR="00AC68CA" w:rsidRPr="00D72C92" w:rsidRDefault="00AC68CA" w:rsidP="009C3E9E">
            <w:pPr>
              <w:keepNext/>
              <w:rPr>
                <w:b/>
                <w:bCs/>
                <w:sz w:val="16"/>
                <w:szCs w:val="16"/>
              </w:rPr>
            </w:pPr>
            <w:r w:rsidRPr="00D72C92">
              <w:rPr>
                <w:b/>
                <w:bCs/>
                <w:sz w:val="16"/>
                <w:szCs w:val="16"/>
              </w:rPr>
              <w:t>territorializace</w:t>
            </w:r>
          </w:p>
        </w:tc>
      </w:tr>
      <w:tr w:rsidR="00AC68CA" w:rsidRPr="00D72C92" w:rsidTr="009C3E9E">
        <w:tc>
          <w:tcPr>
            <w:tcW w:w="1282" w:type="dxa"/>
          </w:tcPr>
          <w:p w:rsidR="00AC68CA" w:rsidRPr="00D72C92" w:rsidRDefault="00AC68CA" w:rsidP="009C3E9E">
            <w:pPr>
              <w:keepNext/>
              <w:jc w:val="left"/>
              <w:rPr>
                <w:b/>
                <w:bCs/>
                <w:sz w:val="16"/>
                <w:szCs w:val="16"/>
              </w:rPr>
            </w:pPr>
            <w:r w:rsidRPr="00D72C92">
              <w:rPr>
                <w:b/>
                <w:bCs/>
                <w:sz w:val="16"/>
                <w:szCs w:val="16"/>
              </w:rPr>
              <w:t>protonacionální</w:t>
            </w:r>
          </w:p>
          <w:p w:rsidR="00AC68CA" w:rsidRPr="00D72C92" w:rsidRDefault="00AC68CA" w:rsidP="009C3E9E">
            <w:pPr>
              <w:keepNext/>
              <w:jc w:val="left"/>
              <w:rPr>
                <w:b/>
                <w:bCs/>
                <w:sz w:val="16"/>
                <w:szCs w:val="16"/>
              </w:rPr>
            </w:pPr>
            <w:r w:rsidRPr="00D72C92">
              <w:rPr>
                <w:b/>
                <w:bCs/>
                <w:sz w:val="16"/>
                <w:szCs w:val="16"/>
              </w:rPr>
              <w:t>(osvícenský)</w:t>
            </w:r>
          </w:p>
          <w:p w:rsidR="00AC68CA" w:rsidRPr="00D72C92" w:rsidRDefault="00AC68CA" w:rsidP="009C3E9E">
            <w:pPr>
              <w:keepNext/>
              <w:jc w:val="left"/>
              <w:rPr>
                <w:b/>
                <w:bCs/>
                <w:sz w:val="16"/>
                <w:szCs w:val="16"/>
              </w:rPr>
            </w:pPr>
          </w:p>
          <w:p w:rsidR="00AC68CA" w:rsidRPr="00D72C92" w:rsidRDefault="00AC68CA" w:rsidP="009C3E9E">
            <w:pPr>
              <w:keepNext/>
              <w:jc w:val="left"/>
              <w:rPr>
                <w:b/>
                <w:bCs/>
                <w:sz w:val="16"/>
                <w:szCs w:val="16"/>
              </w:rPr>
            </w:pPr>
            <w:r w:rsidRPr="00D72C92">
              <w:rPr>
                <w:b/>
                <w:bCs/>
                <w:sz w:val="16"/>
                <w:szCs w:val="16"/>
              </w:rPr>
              <w:t>1760-1800</w:t>
            </w:r>
          </w:p>
        </w:tc>
        <w:tc>
          <w:tcPr>
            <w:tcW w:w="1309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 xml:space="preserve">otevřená; </w:t>
            </w:r>
          </w:p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indiv. já/ veřejné my nejsou v opozici</w:t>
            </w:r>
          </w:p>
        </w:tc>
        <w:tc>
          <w:tcPr>
            <w:tcW w:w="910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otevřená,</w:t>
            </w:r>
          </w:p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alterita tolerována</w:t>
            </w:r>
          </w:p>
        </w:tc>
        <w:tc>
          <w:tcPr>
            <w:tcW w:w="1325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univerzálnost</w:t>
            </w:r>
          </w:p>
        </w:tc>
        <w:tc>
          <w:tcPr>
            <w:tcW w:w="1544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inkluze</w:t>
            </w:r>
          </w:p>
        </w:tc>
        <w:tc>
          <w:tcPr>
            <w:tcW w:w="1475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bezpříznaková</w:t>
            </w:r>
          </w:p>
        </w:tc>
        <w:tc>
          <w:tcPr>
            <w:tcW w:w="1225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bezpříznaková,</w:t>
            </w:r>
          </w:p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reálná</w:t>
            </w:r>
          </w:p>
        </w:tc>
      </w:tr>
      <w:tr w:rsidR="00AC68CA" w:rsidRPr="00D72C92" w:rsidTr="009C3E9E">
        <w:tc>
          <w:tcPr>
            <w:tcW w:w="1282" w:type="dxa"/>
          </w:tcPr>
          <w:p w:rsidR="00AC68CA" w:rsidRPr="00D72C92" w:rsidRDefault="00AC68CA" w:rsidP="009C3E9E">
            <w:pPr>
              <w:keepNext/>
              <w:jc w:val="left"/>
              <w:rPr>
                <w:b/>
                <w:bCs/>
                <w:sz w:val="16"/>
                <w:szCs w:val="16"/>
              </w:rPr>
            </w:pPr>
            <w:r w:rsidRPr="00D72C92">
              <w:rPr>
                <w:b/>
                <w:bCs/>
                <w:sz w:val="16"/>
                <w:szCs w:val="16"/>
              </w:rPr>
              <w:t xml:space="preserve">národně emancipační </w:t>
            </w:r>
          </w:p>
          <w:p w:rsidR="00AC68CA" w:rsidRPr="00D72C92" w:rsidRDefault="00AC68CA" w:rsidP="009C3E9E">
            <w:pPr>
              <w:keepNext/>
              <w:jc w:val="left"/>
              <w:rPr>
                <w:b/>
                <w:bCs/>
                <w:sz w:val="16"/>
                <w:szCs w:val="16"/>
              </w:rPr>
            </w:pPr>
          </w:p>
          <w:p w:rsidR="00AC68CA" w:rsidRPr="00D72C92" w:rsidRDefault="00AC68CA" w:rsidP="009C3E9E">
            <w:pPr>
              <w:keepNext/>
              <w:jc w:val="left"/>
              <w:rPr>
                <w:b/>
                <w:bCs/>
                <w:sz w:val="16"/>
                <w:szCs w:val="16"/>
              </w:rPr>
            </w:pPr>
            <w:r w:rsidRPr="00D72C92">
              <w:rPr>
                <w:b/>
                <w:bCs/>
                <w:sz w:val="16"/>
                <w:szCs w:val="16"/>
              </w:rPr>
              <w:t>1800-1840</w:t>
            </w:r>
          </w:p>
        </w:tc>
        <w:tc>
          <w:tcPr>
            <w:tcW w:w="1309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otevřená,</w:t>
            </w:r>
          </w:p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opozice já/my (národní společenství)</w:t>
            </w:r>
          </w:p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my rozrůzněné</w:t>
            </w:r>
          </w:p>
        </w:tc>
        <w:tc>
          <w:tcPr>
            <w:tcW w:w="910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 xml:space="preserve">otevřená, alterita přijímána </w:t>
            </w:r>
          </w:p>
        </w:tc>
        <w:tc>
          <w:tcPr>
            <w:tcW w:w="1325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partikularizující</w:t>
            </w:r>
          </w:p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univerzálnost</w:t>
            </w:r>
          </w:p>
        </w:tc>
        <w:tc>
          <w:tcPr>
            <w:tcW w:w="1544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inkluze rozdílnosti,</w:t>
            </w:r>
          </w:p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mediace</w:t>
            </w:r>
          </w:p>
        </w:tc>
        <w:tc>
          <w:tcPr>
            <w:tcW w:w="1475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příznaková</w:t>
            </w:r>
          </w:p>
        </w:tc>
        <w:tc>
          <w:tcPr>
            <w:tcW w:w="1225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příznaková, reálná, afirmace národní specifičnosti</w:t>
            </w:r>
          </w:p>
        </w:tc>
      </w:tr>
      <w:tr w:rsidR="00AC68CA" w:rsidRPr="00D72C92" w:rsidTr="009C3E9E">
        <w:tc>
          <w:tcPr>
            <w:tcW w:w="1282" w:type="dxa"/>
          </w:tcPr>
          <w:p w:rsidR="00AC68CA" w:rsidRPr="00D72C92" w:rsidRDefault="00AC68CA" w:rsidP="009C3E9E">
            <w:pPr>
              <w:keepNext/>
              <w:jc w:val="left"/>
              <w:rPr>
                <w:b/>
                <w:bCs/>
                <w:sz w:val="16"/>
                <w:szCs w:val="16"/>
              </w:rPr>
            </w:pPr>
            <w:r w:rsidRPr="00D72C92">
              <w:rPr>
                <w:b/>
                <w:bCs/>
                <w:sz w:val="16"/>
                <w:szCs w:val="16"/>
              </w:rPr>
              <w:t>národně obranný – konzervativní pozice</w:t>
            </w:r>
          </w:p>
          <w:p w:rsidR="00AC68CA" w:rsidRPr="00D72C92" w:rsidRDefault="00AC68CA" w:rsidP="009C3E9E">
            <w:pPr>
              <w:keepNext/>
              <w:jc w:val="left"/>
              <w:rPr>
                <w:b/>
                <w:bCs/>
                <w:sz w:val="16"/>
                <w:szCs w:val="16"/>
              </w:rPr>
            </w:pPr>
          </w:p>
          <w:p w:rsidR="00AC68CA" w:rsidRPr="00D72C92" w:rsidRDefault="00AC68CA" w:rsidP="009C3E9E">
            <w:pPr>
              <w:keepNext/>
              <w:jc w:val="left"/>
              <w:rPr>
                <w:b/>
                <w:bCs/>
                <w:sz w:val="16"/>
                <w:szCs w:val="16"/>
              </w:rPr>
            </w:pPr>
            <w:r w:rsidRPr="00D72C92">
              <w:rPr>
                <w:b/>
                <w:bCs/>
                <w:sz w:val="16"/>
                <w:szCs w:val="16"/>
              </w:rPr>
              <w:t>po 1840</w:t>
            </w:r>
          </w:p>
        </w:tc>
        <w:tc>
          <w:tcPr>
            <w:tcW w:w="1309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uzavřená,</w:t>
            </w:r>
          </w:p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kompaktní my národního společenství</w:t>
            </w:r>
          </w:p>
        </w:tc>
        <w:tc>
          <w:tcPr>
            <w:tcW w:w="910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uzavřená,</w:t>
            </w:r>
          </w:p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alterita odmítána</w:t>
            </w:r>
          </w:p>
        </w:tc>
        <w:tc>
          <w:tcPr>
            <w:tcW w:w="1325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 xml:space="preserve">partikularita národního společenství </w:t>
            </w:r>
          </w:p>
        </w:tc>
        <w:tc>
          <w:tcPr>
            <w:tcW w:w="1544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exkluze</w:t>
            </w:r>
          </w:p>
        </w:tc>
        <w:tc>
          <w:tcPr>
            <w:tcW w:w="1475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příznaková,</w:t>
            </w:r>
          </w:p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silná dichotomická strukturace</w:t>
            </w:r>
          </w:p>
        </w:tc>
        <w:tc>
          <w:tcPr>
            <w:tcW w:w="1225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příznaková, nereálná,</w:t>
            </w:r>
          </w:p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„pays</w:t>
            </w:r>
            <w:r>
              <w:rPr>
                <w:sz w:val="16"/>
                <w:szCs w:val="16"/>
              </w:rPr>
              <w:t xml:space="preserve"> </w:t>
            </w:r>
            <w:r w:rsidRPr="00D72C92">
              <w:rPr>
                <w:sz w:val="16"/>
                <w:szCs w:val="16"/>
              </w:rPr>
              <w:t>incertain“, utopická země, vysněná země</w:t>
            </w:r>
          </w:p>
        </w:tc>
      </w:tr>
      <w:tr w:rsidR="00AC68CA" w:rsidRPr="00D72C92" w:rsidTr="009C3E9E">
        <w:tc>
          <w:tcPr>
            <w:tcW w:w="1282" w:type="dxa"/>
          </w:tcPr>
          <w:p w:rsidR="00AC68CA" w:rsidRPr="00D72C92" w:rsidRDefault="00AC68CA" w:rsidP="009C3E9E">
            <w:pPr>
              <w:keepNext/>
              <w:jc w:val="left"/>
              <w:rPr>
                <w:b/>
                <w:bCs/>
                <w:sz w:val="16"/>
                <w:szCs w:val="16"/>
              </w:rPr>
            </w:pPr>
            <w:r w:rsidRPr="00D72C92">
              <w:rPr>
                <w:b/>
                <w:bCs/>
                <w:sz w:val="16"/>
                <w:szCs w:val="16"/>
              </w:rPr>
              <w:t>národně obranný – liberální pozice</w:t>
            </w:r>
          </w:p>
          <w:p w:rsidR="00AC68CA" w:rsidRPr="00D72C92" w:rsidRDefault="00AC68CA" w:rsidP="009C3E9E">
            <w:pPr>
              <w:keepNext/>
              <w:jc w:val="left"/>
              <w:rPr>
                <w:b/>
                <w:bCs/>
                <w:sz w:val="16"/>
                <w:szCs w:val="16"/>
              </w:rPr>
            </w:pPr>
          </w:p>
          <w:p w:rsidR="00AC68CA" w:rsidRPr="00D72C92" w:rsidRDefault="00AC68CA" w:rsidP="009C3E9E">
            <w:pPr>
              <w:keepNext/>
              <w:jc w:val="left"/>
              <w:rPr>
                <w:b/>
                <w:bCs/>
                <w:sz w:val="16"/>
                <w:szCs w:val="16"/>
              </w:rPr>
            </w:pPr>
            <w:r w:rsidRPr="00D72C92">
              <w:rPr>
                <w:b/>
                <w:bCs/>
                <w:sz w:val="16"/>
                <w:szCs w:val="16"/>
              </w:rPr>
              <w:t>po 1840</w:t>
            </w:r>
          </w:p>
        </w:tc>
        <w:tc>
          <w:tcPr>
            <w:tcW w:w="1309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uzavřená (oslabená uzavřenost),</w:t>
            </w:r>
          </w:p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opozice já/my (národní společenství)</w:t>
            </w:r>
          </w:p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my rozrůzněné</w:t>
            </w:r>
          </w:p>
        </w:tc>
        <w:tc>
          <w:tcPr>
            <w:tcW w:w="910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uzavřená (oslabená uzavřenost),</w:t>
            </w:r>
          </w:p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alterita odmítána</w:t>
            </w:r>
          </w:p>
        </w:tc>
        <w:tc>
          <w:tcPr>
            <w:tcW w:w="1325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partikularita národního společenství</w:t>
            </w:r>
          </w:p>
        </w:tc>
        <w:tc>
          <w:tcPr>
            <w:tcW w:w="1544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exkluze,</w:t>
            </w:r>
          </w:p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mediace</w:t>
            </w:r>
          </w:p>
        </w:tc>
        <w:tc>
          <w:tcPr>
            <w:tcW w:w="1475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příznaková,</w:t>
            </w:r>
          </w:p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 xml:space="preserve">oslabená dichotomická strukturace </w:t>
            </w:r>
          </w:p>
        </w:tc>
        <w:tc>
          <w:tcPr>
            <w:tcW w:w="1225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příznaková, nereálná,</w:t>
            </w:r>
          </w:p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„paysincertain“, utopická země, vysněná země</w:t>
            </w:r>
          </w:p>
        </w:tc>
      </w:tr>
      <w:tr w:rsidR="00AC68CA" w:rsidRPr="00D72C92" w:rsidTr="009C3E9E">
        <w:tc>
          <w:tcPr>
            <w:tcW w:w="1282" w:type="dxa"/>
          </w:tcPr>
          <w:p w:rsidR="00AC68CA" w:rsidRPr="00D72C92" w:rsidRDefault="00AC68CA" w:rsidP="009C3E9E">
            <w:pPr>
              <w:keepNext/>
              <w:jc w:val="left"/>
              <w:rPr>
                <w:b/>
                <w:bCs/>
                <w:sz w:val="16"/>
                <w:szCs w:val="16"/>
              </w:rPr>
            </w:pPr>
            <w:r w:rsidRPr="00D72C92">
              <w:rPr>
                <w:b/>
                <w:bCs/>
                <w:sz w:val="16"/>
                <w:szCs w:val="16"/>
              </w:rPr>
              <w:t>postnacionální</w:t>
            </w:r>
          </w:p>
          <w:p w:rsidR="00AC68CA" w:rsidRPr="00D72C92" w:rsidRDefault="00AC68CA" w:rsidP="009C3E9E">
            <w:pPr>
              <w:keepNext/>
              <w:jc w:val="left"/>
              <w:rPr>
                <w:b/>
                <w:bCs/>
                <w:sz w:val="16"/>
                <w:szCs w:val="16"/>
              </w:rPr>
            </w:pPr>
          </w:p>
          <w:p w:rsidR="00AC68CA" w:rsidRPr="00D72C92" w:rsidRDefault="00AC68CA" w:rsidP="009C3E9E">
            <w:pPr>
              <w:keepNext/>
              <w:jc w:val="left"/>
              <w:rPr>
                <w:b/>
                <w:bCs/>
                <w:sz w:val="16"/>
                <w:szCs w:val="16"/>
              </w:rPr>
            </w:pPr>
            <w:r w:rsidRPr="00D72C92">
              <w:rPr>
                <w:b/>
                <w:bCs/>
                <w:sz w:val="16"/>
                <w:szCs w:val="16"/>
              </w:rPr>
              <w:t>po 1980</w:t>
            </w:r>
          </w:p>
        </w:tc>
        <w:tc>
          <w:tcPr>
            <w:tcW w:w="1309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otevřená,</w:t>
            </w:r>
          </w:p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plurální já</w:t>
            </w:r>
          </w:p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identita/ipseita</w:t>
            </w:r>
          </w:p>
        </w:tc>
        <w:tc>
          <w:tcPr>
            <w:tcW w:w="910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otevřená,</w:t>
            </w:r>
          </w:p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alterita přijímána</w:t>
            </w:r>
          </w:p>
        </w:tc>
        <w:tc>
          <w:tcPr>
            <w:tcW w:w="1325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individuální partikularita</w:t>
            </w:r>
          </w:p>
        </w:tc>
        <w:tc>
          <w:tcPr>
            <w:tcW w:w="1544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inkluze, hybridnost, juxtapozice hodnot</w:t>
            </w:r>
          </w:p>
        </w:tc>
        <w:tc>
          <w:tcPr>
            <w:tcW w:w="1475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bez pertinence</w:t>
            </w:r>
          </w:p>
        </w:tc>
        <w:tc>
          <w:tcPr>
            <w:tcW w:w="1225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bez pertinence</w:t>
            </w:r>
          </w:p>
        </w:tc>
      </w:tr>
    </w:tbl>
    <w:p w:rsidR="00AC68CA" w:rsidRPr="00D72C92" w:rsidRDefault="00AC68CA" w:rsidP="00AC68CA"/>
    <w:p w:rsidR="00AC68CA" w:rsidRPr="00D72C92" w:rsidRDefault="00AC68CA" w:rsidP="00AC68CA"/>
    <w:p w:rsidR="00F21DD7" w:rsidRDefault="00F21DD7" w:rsidP="00AC68CA">
      <w:pPr>
        <w:spacing w:after="200" w:line="276" w:lineRule="auto"/>
        <w:jc w:val="left"/>
      </w:pPr>
      <w:bookmarkStart w:id="0" w:name="_GoBack"/>
      <w:bookmarkEnd w:id="0"/>
    </w:p>
    <w:sectPr w:rsidR="00F21DD7" w:rsidSect="00554A4E">
      <w:footerReference w:type="default" r:id="rId5"/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924721"/>
      <w:docPartObj>
        <w:docPartGallery w:val="Page Numbers (Bottom of Page)"/>
        <w:docPartUnique/>
      </w:docPartObj>
    </w:sdtPr>
    <w:sdtEndPr/>
    <w:sdtContent>
      <w:p w:rsidR="008A6BCA" w:rsidRDefault="00AC68C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C68CA">
          <w:rPr>
            <w:noProof/>
            <w:lang w:val="cs-CZ"/>
          </w:rPr>
          <w:t>2</w:t>
        </w:r>
        <w:r>
          <w:fldChar w:fldCharType="end"/>
        </w:r>
      </w:p>
    </w:sdtContent>
  </w:sdt>
  <w:p w:rsidR="008A6BCA" w:rsidRDefault="00AC68CA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CA"/>
    <w:rsid w:val="001E0B85"/>
    <w:rsid w:val="0031611D"/>
    <w:rsid w:val="004965D7"/>
    <w:rsid w:val="004A0D08"/>
    <w:rsid w:val="004B1CAC"/>
    <w:rsid w:val="00554A4E"/>
    <w:rsid w:val="008E00F9"/>
    <w:rsid w:val="009773DD"/>
    <w:rsid w:val="00A11470"/>
    <w:rsid w:val="00A438CB"/>
    <w:rsid w:val="00A84834"/>
    <w:rsid w:val="00AC68CA"/>
    <w:rsid w:val="00AD649C"/>
    <w:rsid w:val="00DE3F94"/>
    <w:rsid w:val="00F2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CJ"/>
    <w:qFormat/>
    <w:rsid w:val="00AC68CA"/>
    <w:pPr>
      <w:spacing w:after="0" w:line="240" w:lineRule="auto"/>
      <w:jc w:val="both"/>
    </w:pPr>
    <w:rPr>
      <w:rFonts w:ascii="Times New Roman" w:hAnsi="Times New Roman"/>
      <w:sz w:val="24"/>
      <w:lang w:val="pl-PL"/>
    </w:rPr>
  </w:style>
  <w:style w:type="paragraph" w:styleId="Nadpis1">
    <w:name w:val="heading 1"/>
    <w:aliases w:val="CitaceFJ"/>
    <w:basedOn w:val="Normln"/>
    <w:next w:val="Normln"/>
    <w:link w:val="Nadpis1Char"/>
    <w:uiPriority w:val="9"/>
    <w:qFormat/>
    <w:rsid w:val="009773DD"/>
    <w:pPr>
      <w:keepNext/>
      <w:keepLines/>
      <w:ind w:left="567" w:right="567"/>
      <w:outlineLvl w:val="0"/>
    </w:pPr>
    <w:rPr>
      <w:rFonts w:eastAsiaTheme="majorEastAsia" w:cstheme="majorBidi"/>
      <w:bCs/>
      <w:sz w:val="20"/>
      <w:szCs w:val="28"/>
      <w:lang w:val="fr-C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1470"/>
    <w:pPr>
      <w:spacing w:after="0" w:line="240" w:lineRule="auto"/>
      <w:ind w:left="567" w:right="567"/>
      <w:jc w:val="both"/>
    </w:pPr>
    <w:rPr>
      <w:rFonts w:ascii="Times New Roman" w:hAnsi="Times New Roman"/>
      <w:sz w:val="20"/>
      <w:lang w:val="fr-CA"/>
    </w:rPr>
  </w:style>
  <w:style w:type="paragraph" w:customStyle="1" w:styleId="OdsFJ">
    <w:name w:val="OdsFJ"/>
    <w:basedOn w:val="Normln"/>
    <w:qFormat/>
    <w:rsid w:val="004A0D08"/>
    <w:pPr>
      <w:widowControl w:val="0"/>
      <w:autoSpaceDE w:val="0"/>
      <w:autoSpaceDN w:val="0"/>
      <w:adjustRightInd w:val="0"/>
      <w:ind w:left="567" w:right="567"/>
    </w:pPr>
    <w:rPr>
      <w:rFonts w:eastAsia="Times New Roman" w:cs="Courier"/>
      <w:sz w:val="20"/>
      <w:szCs w:val="24"/>
      <w:lang w:val="fr-CA" w:eastAsia="cs-CZ"/>
    </w:rPr>
  </w:style>
  <w:style w:type="character" w:customStyle="1" w:styleId="Nadpis1Char">
    <w:name w:val="Nadpis 1 Char"/>
    <w:aliases w:val="CitaceFJ Char"/>
    <w:basedOn w:val="Standardnpsmoodstavce"/>
    <w:link w:val="Nadpis1"/>
    <w:uiPriority w:val="9"/>
    <w:rsid w:val="009773DD"/>
    <w:rPr>
      <w:rFonts w:ascii="Times New Roman" w:eastAsiaTheme="majorEastAsia" w:hAnsi="Times New Roman" w:cstheme="majorBidi"/>
      <w:bCs/>
      <w:sz w:val="20"/>
      <w:szCs w:val="28"/>
      <w:lang w:val="fr-CA"/>
    </w:rPr>
  </w:style>
  <w:style w:type="paragraph" w:styleId="Citt">
    <w:name w:val="Quote"/>
    <w:aliases w:val="Citát FJ"/>
    <w:basedOn w:val="Normln"/>
    <w:next w:val="Normln"/>
    <w:link w:val="CittChar"/>
    <w:uiPriority w:val="29"/>
    <w:qFormat/>
    <w:rsid w:val="008E00F9"/>
    <w:pPr>
      <w:widowControl w:val="0"/>
      <w:autoSpaceDE w:val="0"/>
      <w:autoSpaceDN w:val="0"/>
      <w:adjustRightInd w:val="0"/>
      <w:ind w:left="567" w:right="567"/>
    </w:pPr>
    <w:rPr>
      <w:iCs/>
      <w:color w:val="000000" w:themeColor="text1"/>
      <w:sz w:val="20"/>
      <w:szCs w:val="20"/>
    </w:rPr>
  </w:style>
  <w:style w:type="character" w:customStyle="1" w:styleId="CittChar">
    <w:name w:val="Citát Char"/>
    <w:aliases w:val="Citát FJ Char"/>
    <w:basedOn w:val="Standardnpsmoodstavce"/>
    <w:link w:val="Citt"/>
    <w:uiPriority w:val="29"/>
    <w:rsid w:val="008E00F9"/>
    <w:rPr>
      <w:rFonts w:ascii="Times New Roman" w:hAnsi="Times New Roman"/>
      <w:iCs/>
      <w:color w:val="000000" w:themeColor="text1"/>
      <w:sz w:val="20"/>
      <w:szCs w:val="20"/>
    </w:rPr>
  </w:style>
  <w:style w:type="paragraph" w:customStyle="1" w:styleId="FJ">
    <w:name w:val="FJ"/>
    <w:basedOn w:val="Normln"/>
    <w:qFormat/>
    <w:rsid w:val="0031611D"/>
    <w:pPr>
      <w:widowControl w:val="0"/>
      <w:autoSpaceDE w:val="0"/>
      <w:autoSpaceDN w:val="0"/>
      <w:adjustRightInd w:val="0"/>
    </w:pPr>
    <w:rPr>
      <w:rFonts w:eastAsia="Times New Roman" w:cs="Courier"/>
      <w:szCs w:val="24"/>
      <w:lang w:val="fr-CA" w:eastAsia="cs-CZ"/>
    </w:rPr>
  </w:style>
  <w:style w:type="paragraph" w:styleId="Zpat">
    <w:name w:val="footer"/>
    <w:basedOn w:val="Normln"/>
    <w:link w:val="ZpatChar"/>
    <w:uiPriority w:val="99"/>
    <w:unhideWhenUsed/>
    <w:rsid w:val="00AC68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68CA"/>
    <w:rPr>
      <w:rFonts w:ascii="Times New Roman" w:hAnsi="Times New Roman"/>
      <w:sz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CJ"/>
    <w:qFormat/>
    <w:rsid w:val="00AC68CA"/>
    <w:pPr>
      <w:spacing w:after="0" w:line="240" w:lineRule="auto"/>
      <w:jc w:val="both"/>
    </w:pPr>
    <w:rPr>
      <w:rFonts w:ascii="Times New Roman" w:hAnsi="Times New Roman"/>
      <w:sz w:val="24"/>
      <w:lang w:val="pl-PL"/>
    </w:rPr>
  </w:style>
  <w:style w:type="paragraph" w:styleId="Nadpis1">
    <w:name w:val="heading 1"/>
    <w:aliases w:val="CitaceFJ"/>
    <w:basedOn w:val="Normln"/>
    <w:next w:val="Normln"/>
    <w:link w:val="Nadpis1Char"/>
    <w:uiPriority w:val="9"/>
    <w:qFormat/>
    <w:rsid w:val="009773DD"/>
    <w:pPr>
      <w:keepNext/>
      <w:keepLines/>
      <w:ind w:left="567" w:right="567"/>
      <w:outlineLvl w:val="0"/>
    </w:pPr>
    <w:rPr>
      <w:rFonts w:eastAsiaTheme="majorEastAsia" w:cstheme="majorBidi"/>
      <w:bCs/>
      <w:sz w:val="20"/>
      <w:szCs w:val="28"/>
      <w:lang w:val="fr-C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1470"/>
    <w:pPr>
      <w:spacing w:after="0" w:line="240" w:lineRule="auto"/>
      <w:ind w:left="567" w:right="567"/>
      <w:jc w:val="both"/>
    </w:pPr>
    <w:rPr>
      <w:rFonts w:ascii="Times New Roman" w:hAnsi="Times New Roman"/>
      <w:sz w:val="20"/>
      <w:lang w:val="fr-CA"/>
    </w:rPr>
  </w:style>
  <w:style w:type="paragraph" w:customStyle="1" w:styleId="OdsFJ">
    <w:name w:val="OdsFJ"/>
    <w:basedOn w:val="Normln"/>
    <w:qFormat/>
    <w:rsid w:val="004A0D08"/>
    <w:pPr>
      <w:widowControl w:val="0"/>
      <w:autoSpaceDE w:val="0"/>
      <w:autoSpaceDN w:val="0"/>
      <w:adjustRightInd w:val="0"/>
      <w:ind w:left="567" w:right="567"/>
    </w:pPr>
    <w:rPr>
      <w:rFonts w:eastAsia="Times New Roman" w:cs="Courier"/>
      <w:sz w:val="20"/>
      <w:szCs w:val="24"/>
      <w:lang w:val="fr-CA" w:eastAsia="cs-CZ"/>
    </w:rPr>
  </w:style>
  <w:style w:type="character" w:customStyle="1" w:styleId="Nadpis1Char">
    <w:name w:val="Nadpis 1 Char"/>
    <w:aliases w:val="CitaceFJ Char"/>
    <w:basedOn w:val="Standardnpsmoodstavce"/>
    <w:link w:val="Nadpis1"/>
    <w:uiPriority w:val="9"/>
    <w:rsid w:val="009773DD"/>
    <w:rPr>
      <w:rFonts w:ascii="Times New Roman" w:eastAsiaTheme="majorEastAsia" w:hAnsi="Times New Roman" w:cstheme="majorBidi"/>
      <w:bCs/>
      <w:sz w:val="20"/>
      <w:szCs w:val="28"/>
      <w:lang w:val="fr-CA"/>
    </w:rPr>
  </w:style>
  <w:style w:type="paragraph" w:styleId="Citt">
    <w:name w:val="Quote"/>
    <w:aliases w:val="Citát FJ"/>
    <w:basedOn w:val="Normln"/>
    <w:next w:val="Normln"/>
    <w:link w:val="CittChar"/>
    <w:uiPriority w:val="29"/>
    <w:qFormat/>
    <w:rsid w:val="008E00F9"/>
    <w:pPr>
      <w:widowControl w:val="0"/>
      <w:autoSpaceDE w:val="0"/>
      <w:autoSpaceDN w:val="0"/>
      <w:adjustRightInd w:val="0"/>
      <w:ind w:left="567" w:right="567"/>
    </w:pPr>
    <w:rPr>
      <w:iCs/>
      <w:color w:val="000000" w:themeColor="text1"/>
      <w:sz w:val="20"/>
      <w:szCs w:val="20"/>
    </w:rPr>
  </w:style>
  <w:style w:type="character" w:customStyle="1" w:styleId="CittChar">
    <w:name w:val="Citát Char"/>
    <w:aliases w:val="Citát FJ Char"/>
    <w:basedOn w:val="Standardnpsmoodstavce"/>
    <w:link w:val="Citt"/>
    <w:uiPriority w:val="29"/>
    <w:rsid w:val="008E00F9"/>
    <w:rPr>
      <w:rFonts w:ascii="Times New Roman" w:hAnsi="Times New Roman"/>
      <w:iCs/>
      <w:color w:val="000000" w:themeColor="text1"/>
      <w:sz w:val="20"/>
      <w:szCs w:val="20"/>
    </w:rPr>
  </w:style>
  <w:style w:type="paragraph" w:customStyle="1" w:styleId="FJ">
    <w:name w:val="FJ"/>
    <w:basedOn w:val="Normln"/>
    <w:qFormat/>
    <w:rsid w:val="0031611D"/>
    <w:pPr>
      <w:widowControl w:val="0"/>
      <w:autoSpaceDE w:val="0"/>
      <w:autoSpaceDN w:val="0"/>
      <w:adjustRightInd w:val="0"/>
    </w:pPr>
    <w:rPr>
      <w:rFonts w:eastAsia="Times New Roman" w:cs="Courier"/>
      <w:szCs w:val="24"/>
      <w:lang w:val="fr-CA" w:eastAsia="cs-CZ"/>
    </w:rPr>
  </w:style>
  <w:style w:type="paragraph" w:styleId="Zpat">
    <w:name w:val="footer"/>
    <w:basedOn w:val="Normln"/>
    <w:link w:val="ZpatChar"/>
    <w:uiPriority w:val="99"/>
    <w:unhideWhenUsed/>
    <w:rsid w:val="00AC68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68CA"/>
    <w:rPr>
      <w:rFonts w:ascii="Times New Roman" w:hAnsi="Times New Roman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Kyloušek</dc:creator>
  <cp:keywords/>
  <dc:description/>
  <cp:lastModifiedBy>Kyloušek</cp:lastModifiedBy>
  <cp:revision>1</cp:revision>
  <dcterms:created xsi:type="dcterms:W3CDTF">2016-10-03T17:26:00Z</dcterms:created>
  <dcterms:modified xsi:type="dcterms:W3CDTF">2016-10-03T17:27:00Z</dcterms:modified>
</cp:coreProperties>
</file>