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25" w:rsidRPr="003B3325" w:rsidRDefault="003B3325" w:rsidP="003B3325">
      <w:pPr>
        <w:rPr>
          <w:sz w:val="32"/>
        </w:rPr>
      </w:pPr>
      <w:r w:rsidRPr="003B3325">
        <w:rPr>
          <w:sz w:val="32"/>
        </w:rPr>
        <w:t>Syntax</w:t>
      </w:r>
    </w:p>
    <w:p w:rsidR="008E7680" w:rsidRDefault="008E7680">
      <w:r>
        <w:t>Četba odborného textu v norštině</w:t>
      </w:r>
    </w:p>
    <w:p w:rsidR="008E7680" w:rsidRDefault="008E7680">
      <w:r>
        <w:t>70 stran celkem</w:t>
      </w:r>
      <w:r w:rsidR="003B3325">
        <w:t xml:space="preserve"> – slovník: 70</w:t>
      </w:r>
    </w:p>
    <w:p w:rsidR="008E7680" w:rsidRDefault="008E7680">
      <w:r>
        <w:t>Bibliografická informace</w:t>
      </w:r>
      <w:r w:rsidR="003B3325">
        <w:t xml:space="preserve"> – přehled</w:t>
      </w:r>
    </w:p>
    <w:p w:rsidR="003B3325" w:rsidRDefault="003B3325">
      <w:r>
        <w:t>Pozor: diplomové práce se sem nepočítají</w:t>
      </w:r>
    </w:p>
    <w:p w:rsidR="003B3325" w:rsidRPr="003B3325" w:rsidRDefault="003B3325" w:rsidP="003B3325">
      <w:pPr>
        <w:rPr>
          <w:u w:val="single"/>
        </w:rPr>
      </w:pPr>
      <w:r w:rsidRPr="003B3325">
        <w:rPr>
          <w:u w:val="single"/>
        </w:rPr>
        <w:t xml:space="preserve">40 stran k 30. listopadu </w:t>
      </w:r>
      <w:r>
        <w:rPr>
          <w:u w:val="single"/>
        </w:rPr>
        <w:t xml:space="preserve">prezentovat </w:t>
      </w:r>
      <w:r w:rsidRPr="003B3325">
        <w:rPr>
          <w:u w:val="single"/>
        </w:rPr>
        <w:t>ústně</w:t>
      </w:r>
      <w:r>
        <w:rPr>
          <w:u w:val="single"/>
        </w:rPr>
        <w:t>/ slovník 40</w:t>
      </w:r>
    </w:p>
    <w:p w:rsidR="008E7680" w:rsidRDefault="008E7680">
      <w:r>
        <w:t>Slovník nových, odborn</w:t>
      </w:r>
      <w:r w:rsidR="003B3325">
        <w:t>ých</w:t>
      </w:r>
      <w:r>
        <w:t xml:space="preserve"> slov:</w:t>
      </w:r>
    </w:p>
    <w:p w:rsidR="008E7680" w:rsidRDefault="008E7680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555"/>
      </w:tblGrid>
      <w:tr w:rsidR="008E7680" w:rsidTr="008E7680">
        <w:tc>
          <w:tcPr>
            <w:tcW w:w="2303" w:type="dxa"/>
          </w:tcPr>
          <w:p w:rsidR="008E7680" w:rsidRPr="008E7680" w:rsidRDefault="008E7680">
            <w:pPr>
              <w:rPr>
                <w:lang w:val="nb-NO"/>
              </w:rPr>
            </w:pPr>
            <w:r>
              <w:rPr>
                <w:lang w:val="nb-NO"/>
              </w:rPr>
              <w:t>slovo</w:t>
            </w:r>
          </w:p>
        </w:tc>
        <w:tc>
          <w:tcPr>
            <w:tcW w:w="2303" w:type="dxa"/>
          </w:tcPr>
          <w:p w:rsidR="008E7680" w:rsidRDefault="008E7680">
            <w:r>
              <w:t>Sémantický význam, překlad</w:t>
            </w:r>
          </w:p>
        </w:tc>
        <w:tc>
          <w:tcPr>
            <w:tcW w:w="2303" w:type="dxa"/>
          </w:tcPr>
          <w:p w:rsidR="008E7680" w:rsidRDefault="008E7680">
            <w:r>
              <w:t>Gramatický popis</w:t>
            </w:r>
          </w:p>
        </w:tc>
        <w:tc>
          <w:tcPr>
            <w:tcW w:w="2555" w:type="dxa"/>
          </w:tcPr>
          <w:p w:rsidR="008E7680" w:rsidRDefault="008E7680">
            <w:r>
              <w:t xml:space="preserve">Kolokace, fráze: </w:t>
            </w:r>
          </w:p>
        </w:tc>
      </w:tr>
      <w:tr w:rsidR="008E7680" w:rsidTr="008E7680">
        <w:tc>
          <w:tcPr>
            <w:tcW w:w="2303" w:type="dxa"/>
          </w:tcPr>
          <w:p w:rsidR="008E7680" w:rsidRDefault="008E7680">
            <w:r>
              <w:rPr>
                <w:lang w:val="nb-NO"/>
              </w:rPr>
              <w:t>Værmelding, en</w:t>
            </w:r>
          </w:p>
        </w:tc>
        <w:tc>
          <w:tcPr>
            <w:tcW w:w="2303" w:type="dxa"/>
          </w:tcPr>
          <w:p w:rsidR="008E7680" w:rsidRDefault="008E7680">
            <w:r>
              <w:t>Předpověď počasí</w:t>
            </w:r>
          </w:p>
        </w:tc>
        <w:tc>
          <w:tcPr>
            <w:tcW w:w="2303" w:type="dxa"/>
          </w:tcPr>
          <w:p w:rsidR="008E7680" w:rsidRDefault="008E7680">
            <w:r>
              <w:t xml:space="preserve">Substantiv, </w:t>
            </w:r>
            <w:proofErr w:type="spellStart"/>
            <w:r>
              <w:t>sammensetning</w:t>
            </w:r>
            <w:proofErr w:type="spellEnd"/>
          </w:p>
        </w:tc>
        <w:tc>
          <w:tcPr>
            <w:tcW w:w="2555" w:type="dxa"/>
          </w:tcPr>
          <w:p w:rsidR="008E7680" w:rsidRDefault="008E7680">
            <w:r>
              <w:t>Vypsat větu, nebo najít možná spojení</w:t>
            </w:r>
          </w:p>
        </w:tc>
      </w:tr>
    </w:tbl>
    <w:p w:rsidR="008E7680" w:rsidRDefault="008E7680"/>
    <w:p w:rsidR="008E7680" w:rsidRDefault="008E7680"/>
    <w:p w:rsidR="00466C67" w:rsidRPr="00466C67" w:rsidRDefault="00466C67" w:rsidP="00466C67">
      <w:pPr>
        <w:spacing w:line="360" w:lineRule="auto"/>
        <w:rPr>
          <w:color w:val="222222"/>
          <w:shd w:val="clear" w:color="auto" w:fill="FFFFFF"/>
          <w:vertAlign w:val="superscript"/>
        </w:rPr>
      </w:pPr>
      <w:r w:rsidRPr="00466C67">
        <w:rPr>
          <w:b/>
          <w:bCs/>
          <w:color w:val="222222"/>
          <w:shd w:val="clear" w:color="auto" w:fill="FFFFFF"/>
        </w:rPr>
        <w:t>Syntax</w:t>
      </w:r>
      <w:r w:rsidRPr="00466C67">
        <w:rPr>
          <w:color w:val="222222"/>
          <w:shd w:val="clear" w:color="auto" w:fill="FFFFFF"/>
        </w:rPr>
        <w:t> neboli </w:t>
      </w:r>
      <w:r w:rsidRPr="00466C67">
        <w:rPr>
          <w:b/>
          <w:bCs/>
          <w:color w:val="222222"/>
          <w:shd w:val="clear" w:color="auto" w:fill="FFFFFF"/>
        </w:rPr>
        <w:t>skladba</w:t>
      </w:r>
      <w:r w:rsidRPr="00466C67">
        <w:rPr>
          <w:color w:val="222222"/>
          <w:shd w:val="clear" w:color="auto" w:fill="FFFFFF"/>
        </w:rPr>
        <w:t> (zastarale </w:t>
      </w:r>
      <w:proofErr w:type="spellStart"/>
      <w:r w:rsidRPr="00466C67">
        <w:rPr>
          <w:b/>
          <w:bCs/>
          <w:i/>
          <w:iCs/>
          <w:color w:val="222222"/>
          <w:shd w:val="clear" w:color="auto" w:fill="FFFFFF"/>
        </w:rPr>
        <w:t>větosloví</w:t>
      </w:r>
      <w:proofErr w:type="spellEnd"/>
      <w:r w:rsidRPr="00466C67">
        <w:rPr>
          <w:color w:val="222222"/>
          <w:shd w:val="clear" w:color="auto" w:fill="FFFFFF"/>
          <w:vertAlign w:val="superscript"/>
        </w:rPr>
        <w:fldChar w:fldCharType="begin"/>
      </w:r>
      <w:r w:rsidRPr="00466C67">
        <w:rPr>
          <w:color w:val="222222"/>
          <w:shd w:val="clear" w:color="auto" w:fill="FFFFFF"/>
          <w:vertAlign w:val="superscript"/>
        </w:rPr>
        <w:instrText xml:space="preserve"> HYPERLINK "https://cs.wikipedia.org/wiki/Syntax" \l "cite_note-1" </w:instrText>
      </w:r>
      <w:r w:rsidRPr="00466C67">
        <w:rPr>
          <w:color w:val="222222"/>
          <w:shd w:val="clear" w:color="auto" w:fill="FFFFFF"/>
          <w:vertAlign w:val="superscript"/>
        </w:rPr>
        <w:fldChar w:fldCharType="separate"/>
      </w:r>
      <w:r w:rsidRPr="00466C67">
        <w:rPr>
          <w:rStyle w:val="Hypertextovodkaz"/>
          <w:color w:val="0B0080"/>
          <w:u w:val="none"/>
          <w:shd w:val="clear" w:color="auto" w:fill="FFFFFF"/>
          <w:vertAlign w:val="superscript"/>
        </w:rPr>
        <w:t>[1]</w:t>
      </w:r>
      <w:r w:rsidRPr="00466C67">
        <w:rPr>
          <w:color w:val="222222"/>
          <w:shd w:val="clear" w:color="auto" w:fill="FFFFFF"/>
          <w:vertAlign w:val="superscript"/>
        </w:rPr>
        <w:fldChar w:fldCharType="end"/>
      </w:r>
      <w:hyperlink r:id="rId5" w:anchor="cite_note-2" w:history="1">
        <w:r w:rsidRPr="00466C67">
          <w:rPr>
            <w:rStyle w:val="Hypertextovodkaz"/>
            <w:color w:val="0B0080"/>
            <w:u w:val="none"/>
            <w:shd w:val="clear" w:color="auto" w:fill="FFFFFF"/>
            <w:vertAlign w:val="superscript"/>
          </w:rPr>
          <w:t>[2]</w:t>
        </w:r>
      </w:hyperlink>
      <w:r w:rsidRPr="00466C67">
        <w:rPr>
          <w:color w:val="222222"/>
          <w:shd w:val="clear" w:color="auto" w:fill="FFFFFF"/>
        </w:rPr>
        <w:t>) je </w:t>
      </w:r>
      <w:hyperlink r:id="rId6" w:tooltip="Lingvistika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lingvistická</w:t>
        </w:r>
      </w:hyperlink>
      <w:r w:rsidRPr="00466C67">
        <w:rPr>
          <w:color w:val="222222"/>
          <w:shd w:val="clear" w:color="auto" w:fill="FFFFFF"/>
        </w:rPr>
        <w:t> disciplína zabývající se vztahy mezi slovy ve </w:t>
      </w:r>
      <w:hyperlink r:id="rId7" w:tooltip="Věta (lingvistika)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větě</w:t>
        </w:r>
      </w:hyperlink>
      <w:r w:rsidRPr="00466C67">
        <w:rPr>
          <w:color w:val="222222"/>
          <w:shd w:val="clear" w:color="auto" w:fill="FFFFFF"/>
        </w:rPr>
        <w:t> (mj. </w:t>
      </w:r>
      <w:hyperlink r:id="rId8" w:tooltip="Větný člen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větnými členy</w:t>
        </w:r>
      </w:hyperlink>
      <w:r w:rsidRPr="00466C67">
        <w:rPr>
          <w:color w:val="222222"/>
          <w:shd w:val="clear" w:color="auto" w:fill="FFFFFF"/>
        </w:rPr>
        <w:t>), správným tvořením větných konstrukcí a </w:t>
      </w:r>
      <w:hyperlink r:id="rId9" w:tooltip="Slovosled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slovosledem</w:t>
        </w:r>
      </w:hyperlink>
      <w:r w:rsidRPr="00466C67">
        <w:rPr>
          <w:color w:val="222222"/>
          <w:shd w:val="clear" w:color="auto" w:fill="FFFFFF"/>
        </w:rPr>
        <w:t>. V tradičním pojetí je spolu s </w:t>
      </w:r>
      <w:hyperlink r:id="rId10" w:tooltip="Morfologie (lingvistika)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morfologií</w:t>
        </w:r>
      </w:hyperlink>
      <w:r w:rsidRPr="00466C67">
        <w:rPr>
          <w:color w:val="222222"/>
          <w:shd w:val="clear" w:color="auto" w:fill="FFFFFF"/>
        </w:rPr>
        <w:t> součástí </w:t>
      </w:r>
      <w:hyperlink r:id="rId11" w:tooltip="" w:history="1">
        <w:r w:rsidRPr="00466C67">
          <w:rPr>
            <w:rStyle w:val="Hypertextovodkaz"/>
            <w:color w:val="FAA700"/>
            <w:shd w:val="clear" w:color="auto" w:fill="FFFFFF"/>
          </w:rPr>
          <w:t>gramatiky</w:t>
        </w:r>
      </w:hyperlink>
      <w:r w:rsidRPr="00466C67">
        <w:rPr>
          <w:color w:val="222222"/>
          <w:shd w:val="clear" w:color="auto" w:fill="FFFFFF"/>
        </w:rPr>
        <w:t>; vedle toho je (podle </w:t>
      </w:r>
      <w:proofErr w:type="spellStart"/>
      <w:r w:rsidRPr="00466C67">
        <w:fldChar w:fldCharType="begin"/>
      </w:r>
      <w:r w:rsidRPr="00466C67">
        <w:instrText xml:space="preserve"> HYPERLINK "https://cs.wikipedia.org/wiki/Rudolf_Carnap" \o "Rudolf Carnap" </w:instrText>
      </w:r>
      <w:r w:rsidRPr="00466C67">
        <w:fldChar w:fldCharType="separate"/>
      </w:r>
      <w:r w:rsidRPr="00466C67">
        <w:rPr>
          <w:rStyle w:val="Hypertextovodkaz"/>
          <w:color w:val="0B0080"/>
          <w:u w:val="none"/>
          <w:shd w:val="clear" w:color="auto" w:fill="FFFFFF"/>
        </w:rPr>
        <w:t>Carnapovy</w:t>
      </w:r>
      <w:proofErr w:type="spellEnd"/>
      <w:r w:rsidRPr="00466C67">
        <w:fldChar w:fldCharType="end"/>
      </w:r>
      <w:r w:rsidRPr="00466C67">
        <w:rPr>
          <w:color w:val="222222"/>
          <w:shd w:val="clear" w:color="auto" w:fill="FFFFFF"/>
        </w:rPr>
        <w:t> a </w:t>
      </w:r>
      <w:proofErr w:type="spellStart"/>
      <w:r w:rsidRPr="00466C67">
        <w:fldChar w:fldCharType="begin"/>
      </w:r>
      <w:r w:rsidRPr="00466C67">
        <w:instrText xml:space="preserve"> HYPERLINK "https://cs.wikipedia.org/wiki/Charles_W._Morris" \o "Charles W. Morris" </w:instrText>
      </w:r>
      <w:r w:rsidRPr="00466C67">
        <w:fldChar w:fldCharType="separate"/>
      </w:r>
      <w:r w:rsidRPr="00466C67">
        <w:rPr>
          <w:rStyle w:val="Hypertextovodkaz"/>
          <w:color w:val="0B0080"/>
          <w:u w:val="none"/>
          <w:shd w:val="clear" w:color="auto" w:fill="FFFFFF"/>
        </w:rPr>
        <w:t>Morrisovy</w:t>
      </w:r>
      <w:proofErr w:type="spellEnd"/>
      <w:r w:rsidRPr="00466C67">
        <w:fldChar w:fldCharType="end"/>
      </w:r>
      <w:r w:rsidRPr="00466C67">
        <w:rPr>
          <w:color w:val="222222"/>
          <w:shd w:val="clear" w:color="auto" w:fill="FFFFFF"/>
        </w:rPr>
        <w:t> definice) spolu se </w:t>
      </w:r>
      <w:hyperlink r:id="rId12" w:tooltip="Sémantika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sémantikou</w:t>
        </w:r>
      </w:hyperlink>
      <w:r w:rsidRPr="00466C67">
        <w:rPr>
          <w:color w:val="222222"/>
          <w:shd w:val="clear" w:color="auto" w:fill="FFFFFF"/>
        </w:rPr>
        <w:t> a </w:t>
      </w:r>
      <w:hyperlink r:id="rId13" w:tooltip="Pragmatika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pragmatikou</w:t>
        </w:r>
      </w:hyperlink>
      <w:r w:rsidRPr="00466C67">
        <w:rPr>
          <w:color w:val="222222"/>
          <w:shd w:val="clear" w:color="auto" w:fill="FFFFFF"/>
        </w:rPr>
        <w:t> součástí </w:t>
      </w:r>
      <w:hyperlink r:id="rId14" w:tooltip="Sémiotika" w:history="1">
        <w:r w:rsidRPr="00466C67">
          <w:rPr>
            <w:rStyle w:val="Hypertextovodkaz"/>
            <w:color w:val="0B0080"/>
            <w:u w:val="none"/>
            <w:shd w:val="clear" w:color="auto" w:fill="FFFFFF"/>
          </w:rPr>
          <w:t>sémiotiky</w:t>
        </w:r>
      </w:hyperlink>
      <w:r w:rsidRPr="00466C67">
        <w:rPr>
          <w:color w:val="222222"/>
          <w:shd w:val="clear" w:color="auto" w:fill="FFFFFF"/>
        </w:rPr>
        <w:t>.</w:t>
      </w:r>
      <w:hyperlink r:id="rId15" w:anchor="cite_note-3" w:history="1">
        <w:r w:rsidRPr="00466C67">
          <w:rPr>
            <w:rStyle w:val="Hypertextovodkaz"/>
            <w:color w:val="0B0080"/>
            <w:u w:val="none"/>
            <w:shd w:val="clear" w:color="auto" w:fill="FFFFFF"/>
            <w:vertAlign w:val="superscript"/>
          </w:rPr>
          <w:t>[3]</w:t>
        </w:r>
      </w:hyperlink>
    </w:p>
    <w:p w:rsidR="00466C67" w:rsidRPr="00466C67" w:rsidRDefault="00466C67" w:rsidP="00466C67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="Tahoma" w:hAnsi="Tahoma" w:cs="Tahoma"/>
          <w:color w:val="222222"/>
        </w:rPr>
      </w:pPr>
      <w:r w:rsidRPr="00466C67">
        <w:rPr>
          <w:rFonts w:ascii="Tahoma" w:hAnsi="Tahoma" w:cs="Tahoma"/>
          <w:b/>
          <w:bCs/>
          <w:color w:val="222222"/>
        </w:rPr>
        <w:t>Tradiční (složková) syntax</w:t>
      </w:r>
      <w:r w:rsidRPr="00466C67">
        <w:rPr>
          <w:rFonts w:ascii="Tahoma" w:hAnsi="Tahoma" w:cs="Tahoma"/>
          <w:color w:val="222222"/>
        </w:rPr>
        <w:t> představuje popis skladebních vztahů a </w:t>
      </w:r>
      <w:hyperlink r:id="rId16" w:tooltip="Větný člen" w:history="1">
        <w:r w:rsidRPr="00466C67">
          <w:rPr>
            <w:rStyle w:val="Hypertextovodkaz"/>
            <w:rFonts w:ascii="Tahoma" w:hAnsi="Tahoma" w:cs="Tahoma"/>
            <w:color w:val="0B0080"/>
          </w:rPr>
          <w:t>větných členů</w:t>
        </w:r>
      </w:hyperlink>
      <w:r w:rsidRPr="00466C67">
        <w:rPr>
          <w:rFonts w:ascii="Tahoma" w:hAnsi="Tahoma" w:cs="Tahoma"/>
          <w:color w:val="222222"/>
        </w:rPr>
        <w:t>, rozdělila věty na jednočlenné a dvojčlenné, rozlišila </w:t>
      </w:r>
      <w:hyperlink r:id="rId17" w:tooltip="Souvětí" w:history="1">
        <w:r w:rsidRPr="00466C67">
          <w:rPr>
            <w:rStyle w:val="Hypertextovodkaz"/>
            <w:rFonts w:ascii="Tahoma" w:hAnsi="Tahoma" w:cs="Tahoma"/>
            <w:color w:val="0B0080"/>
          </w:rPr>
          <w:t>souvětí</w:t>
        </w:r>
      </w:hyperlink>
      <w:r w:rsidRPr="00466C67">
        <w:rPr>
          <w:rFonts w:ascii="Tahoma" w:hAnsi="Tahoma" w:cs="Tahoma"/>
          <w:color w:val="222222"/>
        </w:rPr>
        <w:t> </w:t>
      </w:r>
      <w:hyperlink r:id="rId18" w:tooltip="Parataxe" w:history="1">
        <w:r w:rsidRPr="00466C67">
          <w:rPr>
            <w:rStyle w:val="Hypertextovodkaz"/>
            <w:rFonts w:ascii="Tahoma" w:hAnsi="Tahoma" w:cs="Tahoma"/>
            <w:color w:val="0B0080"/>
          </w:rPr>
          <w:t>souřadné</w:t>
        </w:r>
      </w:hyperlink>
      <w:r w:rsidRPr="00466C67">
        <w:rPr>
          <w:rFonts w:ascii="Tahoma" w:hAnsi="Tahoma" w:cs="Tahoma"/>
          <w:color w:val="222222"/>
        </w:rPr>
        <w:t> a </w:t>
      </w:r>
      <w:hyperlink r:id="rId19" w:tooltip="Hypotaxe" w:history="1">
        <w:r w:rsidRPr="00466C67">
          <w:rPr>
            <w:rStyle w:val="Hypertextovodkaz"/>
            <w:rFonts w:ascii="Tahoma" w:hAnsi="Tahoma" w:cs="Tahoma"/>
            <w:color w:val="0B0080"/>
          </w:rPr>
          <w:t>podřadné</w:t>
        </w:r>
      </w:hyperlink>
      <w:r w:rsidRPr="00466C67">
        <w:rPr>
          <w:rFonts w:ascii="Tahoma" w:hAnsi="Tahoma" w:cs="Tahoma"/>
          <w:color w:val="222222"/>
        </w:rPr>
        <w:t>.</w:t>
      </w:r>
    </w:p>
    <w:p w:rsidR="00466C67" w:rsidRPr="00466C67" w:rsidRDefault="00466C67" w:rsidP="00466C67">
      <w:pPr>
        <w:pStyle w:val="Normlnweb"/>
        <w:shd w:val="clear" w:color="auto" w:fill="FFFFFF"/>
        <w:spacing w:before="120" w:beforeAutospacing="0" w:after="120" w:afterAutospacing="0" w:line="360" w:lineRule="auto"/>
        <w:rPr>
          <w:rFonts w:ascii="Tahoma" w:hAnsi="Tahoma" w:cs="Tahoma"/>
          <w:color w:val="222222"/>
        </w:rPr>
      </w:pPr>
      <w:hyperlink r:id="rId20" w:tooltip="Valence (lingvistika)" w:history="1">
        <w:r w:rsidRPr="00466C67">
          <w:rPr>
            <w:rStyle w:val="Hypertextovodkaz"/>
            <w:rFonts w:ascii="Tahoma" w:hAnsi="Tahoma" w:cs="Tahoma"/>
            <w:b/>
            <w:bCs/>
            <w:color w:val="0B0080"/>
          </w:rPr>
          <w:t>Valenční</w:t>
        </w:r>
      </w:hyperlink>
      <w:r w:rsidRPr="00466C67">
        <w:rPr>
          <w:rFonts w:ascii="Tahoma" w:hAnsi="Tahoma" w:cs="Tahoma"/>
          <w:b/>
          <w:bCs/>
          <w:color w:val="222222"/>
        </w:rPr>
        <w:t> syntax</w:t>
      </w:r>
      <w:r w:rsidRPr="00466C67">
        <w:rPr>
          <w:rFonts w:ascii="Tahoma" w:hAnsi="Tahoma" w:cs="Tahoma"/>
          <w:color w:val="222222"/>
        </w:rPr>
        <w:t> se zakládá na valenci, to jest schopnosti slov, hlavně </w:t>
      </w:r>
      <w:hyperlink r:id="rId21" w:tooltip="Sloveso" w:history="1">
        <w:r w:rsidRPr="00466C67">
          <w:rPr>
            <w:rStyle w:val="Hypertextovodkaz"/>
            <w:rFonts w:ascii="Tahoma" w:hAnsi="Tahoma" w:cs="Tahoma"/>
            <w:color w:val="0B0080"/>
          </w:rPr>
          <w:t>sloves</w:t>
        </w:r>
      </w:hyperlink>
      <w:r w:rsidRPr="00466C67">
        <w:rPr>
          <w:rFonts w:ascii="Tahoma" w:hAnsi="Tahoma" w:cs="Tahoma"/>
          <w:color w:val="222222"/>
        </w:rPr>
        <w:t>, vázat na sebe významově těsně jiné výrazy. Základové větné struktury jsou nejjednodušší taková spojení dávající smysl a s plnou mluvnickou funkčností, z nichž se dají vytvořit gramatické větné vzorce. Hlavní soustředění valenční skladby spadá na proces tvoření věty.</w:t>
      </w:r>
    </w:p>
    <w:p w:rsidR="00466C67" w:rsidRDefault="00466C67" w:rsidP="00466C67">
      <w:pPr>
        <w:spacing w:line="360" w:lineRule="auto"/>
      </w:pPr>
    </w:p>
    <w:p w:rsidR="008E7680" w:rsidRDefault="008E7680" w:rsidP="00466C67">
      <w:pPr>
        <w:spacing w:line="360" w:lineRule="auto"/>
      </w:pPr>
    </w:p>
    <w:p w:rsidR="008E7680" w:rsidRDefault="008E7680" w:rsidP="00466C67">
      <w:pPr>
        <w:spacing w:line="360" w:lineRule="auto"/>
      </w:pPr>
    </w:p>
    <w:p w:rsidR="008E7680" w:rsidRDefault="008E7680" w:rsidP="00466C67">
      <w:pPr>
        <w:spacing w:line="360" w:lineRule="auto"/>
      </w:pPr>
    </w:p>
    <w:p w:rsidR="003B3325" w:rsidRDefault="003B3325" w:rsidP="003B3325">
      <w:pPr>
        <w:spacing w:line="480" w:lineRule="auto"/>
      </w:pPr>
    </w:p>
    <w:p w:rsidR="008E7680" w:rsidRDefault="008E7680" w:rsidP="003B3325">
      <w:pPr>
        <w:spacing w:line="480" w:lineRule="auto"/>
      </w:pPr>
      <w:bookmarkStart w:id="0" w:name="_GoBack"/>
      <w:bookmarkEnd w:id="0"/>
      <w:r>
        <w:t>Konzultace k diplomové práci</w:t>
      </w:r>
      <w:r w:rsidR="003929D4">
        <w:t>, nikoliv k</w:t>
      </w:r>
      <w:r w:rsidR="003B3325">
        <w:t> </w:t>
      </w:r>
      <w:r w:rsidR="003929D4">
        <w:t>oborové</w:t>
      </w:r>
      <w:r w:rsidR="003B3325">
        <w:t>, tam stačí písemná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4"/>
        <w:gridCol w:w="4633"/>
        <w:gridCol w:w="21"/>
      </w:tblGrid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2/10 v 15.15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2/10</w:t>
            </w:r>
            <w:r>
              <w:t xml:space="preserve"> v 15.45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2/10 v 16.15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Středa</w:t>
            </w:r>
            <w:r>
              <w:t xml:space="preserve"> 4/10: 9.00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Středa 4/10: 9.30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Středa 4/10: 10.00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Středa 4/10: 10.30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rPr>
          <w:gridAfter w:val="1"/>
          <w:wAfter w:w="21" w:type="dxa"/>
        </w:trPr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Středa 4/10: 11.00</w:t>
            </w:r>
          </w:p>
        </w:tc>
        <w:tc>
          <w:tcPr>
            <w:tcW w:w="4633" w:type="dxa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9/10: 15.00</w:t>
            </w:r>
          </w:p>
        </w:tc>
        <w:tc>
          <w:tcPr>
            <w:tcW w:w="4654" w:type="dxa"/>
            <w:gridSpan w:val="2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9/10: 15.30</w:t>
            </w:r>
          </w:p>
        </w:tc>
        <w:tc>
          <w:tcPr>
            <w:tcW w:w="4654" w:type="dxa"/>
            <w:gridSpan w:val="2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9/10: 16.00</w:t>
            </w:r>
          </w:p>
        </w:tc>
        <w:tc>
          <w:tcPr>
            <w:tcW w:w="4654" w:type="dxa"/>
            <w:gridSpan w:val="2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9/10: 16.30</w:t>
            </w:r>
          </w:p>
        </w:tc>
        <w:tc>
          <w:tcPr>
            <w:tcW w:w="4654" w:type="dxa"/>
            <w:gridSpan w:val="2"/>
          </w:tcPr>
          <w:p w:rsidR="003929D4" w:rsidRDefault="003929D4" w:rsidP="003B3325">
            <w:pPr>
              <w:spacing w:line="480" w:lineRule="auto"/>
            </w:pPr>
          </w:p>
        </w:tc>
      </w:tr>
      <w:tr w:rsidR="003929D4" w:rsidTr="003929D4">
        <w:tc>
          <w:tcPr>
            <w:tcW w:w="4634" w:type="dxa"/>
          </w:tcPr>
          <w:p w:rsidR="003929D4" w:rsidRDefault="003929D4" w:rsidP="003B3325">
            <w:pPr>
              <w:spacing w:line="480" w:lineRule="auto"/>
            </w:pPr>
            <w:r>
              <w:t>Pondělí 9/10: 17.00</w:t>
            </w:r>
          </w:p>
        </w:tc>
        <w:tc>
          <w:tcPr>
            <w:tcW w:w="4654" w:type="dxa"/>
            <w:gridSpan w:val="2"/>
          </w:tcPr>
          <w:p w:rsidR="003929D4" w:rsidRDefault="003929D4" w:rsidP="003B3325">
            <w:pPr>
              <w:spacing w:line="480" w:lineRule="auto"/>
            </w:pPr>
          </w:p>
        </w:tc>
      </w:tr>
    </w:tbl>
    <w:p w:rsidR="008E7680" w:rsidRDefault="008E7680" w:rsidP="003B3325">
      <w:pPr>
        <w:spacing w:line="480" w:lineRule="auto"/>
      </w:pPr>
    </w:p>
    <w:p w:rsidR="008E7680" w:rsidRPr="00466C67" w:rsidRDefault="008E7680" w:rsidP="003B3325">
      <w:pPr>
        <w:spacing w:line="480" w:lineRule="auto"/>
      </w:pPr>
    </w:p>
    <w:sectPr w:rsidR="008E7680" w:rsidRPr="0046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67"/>
    <w:rsid w:val="003929D4"/>
    <w:rsid w:val="003B3325"/>
    <w:rsid w:val="00466C67"/>
    <w:rsid w:val="008E7680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6C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6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E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6C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6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E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%C4%9Btn%C3%BD_%C4%8Dlen" TargetMode="External"/><Relationship Id="rId13" Type="http://schemas.openxmlformats.org/officeDocument/2006/relationships/hyperlink" Target="https://cs.wikipedia.org/wiki/Pragmatika" TargetMode="External"/><Relationship Id="rId18" Type="http://schemas.openxmlformats.org/officeDocument/2006/relationships/hyperlink" Target="https://cs.wikipedia.org/wiki/Paratax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Sloveso" TargetMode="External"/><Relationship Id="rId7" Type="http://schemas.openxmlformats.org/officeDocument/2006/relationships/hyperlink" Target="https://cs.wikipedia.org/wiki/V%C4%9Bta_(lingvistika)" TargetMode="External"/><Relationship Id="rId12" Type="http://schemas.openxmlformats.org/officeDocument/2006/relationships/hyperlink" Target="https://cs.wikipedia.org/wiki/S%C3%A9mantika" TargetMode="External"/><Relationship Id="rId17" Type="http://schemas.openxmlformats.org/officeDocument/2006/relationships/hyperlink" Target="https://cs.wikipedia.org/wiki/Souv%C4%9Bt%C3%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s.wikipedia.org/wiki/V%C4%9Btn%C3%BD_%C4%8Dlen" TargetMode="External"/><Relationship Id="rId20" Type="http://schemas.openxmlformats.org/officeDocument/2006/relationships/hyperlink" Target="https://cs.wikipedia.org/wiki/Valence_(lingvistika)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Lingvistika" TargetMode="External"/><Relationship Id="rId11" Type="http://schemas.openxmlformats.org/officeDocument/2006/relationships/hyperlink" Target="https://cs.wikipedia.org/wiki/Gramatika" TargetMode="External"/><Relationship Id="rId5" Type="http://schemas.openxmlformats.org/officeDocument/2006/relationships/hyperlink" Target="https://cs.wikipedia.org/wiki/Syntax" TargetMode="External"/><Relationship Id="rId15" Type="http://schemas.openxmlformats.org/officeDocument/2006/relationships/hyperlink" Target="https://cs.wikipedia.org/wiki/Synta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Morfologie_(lingvistika)" TargetMode="External"/><Relationship Id="rId19" Type="http://schemas.openxmlformats.org/officeDocument/2006/relationships/hyperlink" Target="https://cs.wikipedia.org/wiki/Hypota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lovosled" TargetMode="External"/><Relationship Id="rId14" Type="http://schemas.openxmlformats.org/officeDocument/2006/relationships/hyperlink" Target="https://cs.wikipedia.org/wiki/S%C3%A9miotik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2017-09-19T05:35:00Z</dcterms:created>
  <dcterms:modified xsi:type="dcterms:W3CDTF">2017-09-19T07:00:00Z</dcterms:modified>
</cp:coreProperties>
</file>