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FF23CC" w:rsidRDefault="003531EB" w:rsidP="00FF23CC">
      <w:pPr>
        <w:spacing w:line="240" w:lineRule="auto"/>
        <w:rPr>
          <w:sz w:val="22"/>
        </w:rPr>
      </w:pPr>
      <w:r w:rsidRPr="00FF23CC">
        <w:rPr>
          <w:sz w:val="22"/>
        </w:rPr>
        <w:t xml:space="preserve">Konverzace </w:t>
      </w:r>
      <w:r w:rsidR="00FF23CC">
        <w:rPr>
          <w:sz w:val="22"/>
        </w:rPr>
        <w:t xml:space="preserve">II. </w:t>
      </w:r>
      <w:bookmarkStart w:id="0" w:name="_GoBack"/>
      <w:bookmarkEnd w:id="0"/>
      <w:r w:rsidRPr="00FF23CC">
        <w:rPr>
          <w:sz w:val="22"/>
        </w:rPr>
        <w:t>BOLIG</w:t>
      </w:r>
    </w:p>
    <w:p w:rsidR="003531EB" w:rsidRPr="00FF23CC" w:rsidRDefault="00FF23CC" w:rsidP="00FF23CC">
      <w:pPr>
        <w:spacing w:line="240" w:lineRule="auto"/>
        <w:rPr>
          <w:sz w:val="22"/>
        </w:rPr>
      </w:pPr>
      <w:hyperlink r:id="rId6" w:history="1">
        <w:r w:rsidR="003531EB" w:rsidRPr="00FF23CC">
          <w:rPr>
            <w:rStyle w:val="Hypertextovodkaz"/>
            <w:sz w:val="22"/>
          </w:rPr>
          <w:t>http://www.aftenposten.no/bolig/Vurderer-du-a-leie-ut-bolig-eller-hytte-i-sommer-Sa-mye-kan-du-ta-780008_1.snd</w:t>
        </w:r>
      </w:hyperlink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Med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tjenester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Airbnb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Wimdu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Flipkey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CouchSurfing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hele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din.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Utleieinntekter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skattefrie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hvis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eier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bruker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minst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halvparten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til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egen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bruk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begin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instrText xml:space="preserve"> HYPERLINK "http://beta.skatteetaten.no/tag/airbnb/" </w:instrText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separate"/>
      </w:r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Skatteetaten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end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eksempel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: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proofErr w:type="gram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proofErr w:type="gram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ett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soverom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skattefritt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hvis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hele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større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inntil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20.000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kroner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løpet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et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år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Overstiger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beløpet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20.000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kroner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blir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alle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utleieinntektene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skattepliktige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Fritidsbolig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skattefritt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opp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til 10.000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kroner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Overstiger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leieinntektene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10.000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kroner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proofErr w:type="gram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år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proofErr w:type="gram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skatte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85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prosent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overskytende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beløp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Denne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inntekten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skattlegges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kapitalinntekt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med 27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prosent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ligger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mye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død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kapital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alle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hyttene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står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tomme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store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deler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året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: 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begin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instrText xml:space="preserve"> HYPERLINK "http://www.aftenposten.no/bolig/Slik-leier-du-ut-hytta-549798_1.snd" </w:instrText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separate"/>
      </w:r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Slik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leier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hytta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end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</w:t>
      </w:r>
    </w:p>
    <w:p w:rsidR="003531EB" w:rsidRPr="00FF23CC" w:rsidRDefault="003531EB" w:rsidP="00FF23CC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Hvor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mye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skal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ta?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Sammenlign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din med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annonsører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før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setter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pris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Vurder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egen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beliggenhet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standard.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Antall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kvadratmeter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soverom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uteplass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spiller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prisen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Airbnb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anbefaler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ny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vert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setter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konkurransedyktig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pris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litt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lavere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pris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heves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når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får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flere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anmeldelser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Og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her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de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smarteste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stedene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:</w:t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 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begin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instrText xml:space="preserve"> HYPERLINK "http://www.aftenposten.no/bolig/Dette-er-de-dummeste-stedene-a-gjemme-husnokkelen-779601_1.snd" </w:instrText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separate"/>
      </w:r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Dette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de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dummeste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stedene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å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gjemme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husnøkkelen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end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</w:t>
      </w:r>
    </w:p>
    <w:p w:rsidR="003531EB" w:rsidRPr="00FF23CC" w:rsidRDefault="003531EB" w:rsidP="00FF23CC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Sameie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borettslag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: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Har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gram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lov</w:t>
      </w:r>
      <w:proofErr w:type="gram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?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Sameie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:</w:t>
      </w:r>
    </w:p>
    <w:p w:rsidR="003531EB" w:rsidRPr="00FF23CC" w:rsidRDefault="00FF23CC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hyperlink r:id="rId7" w:tgtFrame="_blank" w:history="1"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Det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er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som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hovedregel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fritt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frem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å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leie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ut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egen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eierseksjon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i et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sameie</w:t>
        </w:r>
        <w:proofErr w:type="spellEnd"/>
      </w:hyperlink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men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finnes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unntak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fra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hovedregelen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Anders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Leisner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leder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juridisk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avdeling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Huseiernes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Landsforbund</w:t>
      </w:r>
      <w:proofErr w:type="spellEnd"/>
      <w:r w:rsidR="003531EB"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lastRenderedPageBreak/>
        <w:t>Unntak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sameiet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vedtektsfestede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grenser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sameiet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eksempel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være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60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år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gården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styret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godkjenne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skal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imidlertid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sjelden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lager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slike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vedtekter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alle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seksjonseierne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være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enige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dem.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være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strid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med loven å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kjøpe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leilighet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utelukkende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bruke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den til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døgnbasert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næringsvirksomhet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Man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dessuten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plikt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bruke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seksjonen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sin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måte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ikke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til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ulempe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samme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bygg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Borettslag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: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strengere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regler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andelsleiligheter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Unntaket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såkalt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hybelutleie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fritt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hybel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ett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rom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plass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sofaen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Terje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Sjøvold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leder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juridisk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avdeling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Obos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Unntaket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hele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leiligheten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gang. Da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fall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søke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styret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godkjenning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borettslagsloven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Borettslaget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neppe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hjemmel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til å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nekte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via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eksempel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Airbnb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Sjøvold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fall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omfanget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utleien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mye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ulemper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ved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utleievirksomheten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3531EB" w:rsidRPr="00FF23CC" w:rsidRDefault="003531EB" w:rsidP="00FF23CC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Har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vurdert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å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refinansiere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:</w:t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 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begin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instrText xml:space="preserve"> HYPERLINK "http://www.aftenposten.no/bolig/Regnestykket-som-kan-spare-deg-for-flere-tusen-i-aret-771891_1.snd" </w:instrText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separate"/>
      </w:r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Regnestykket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spare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deg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flere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tusen</w:t>
      </w:r>
      <w:proofErr w:type="spellEnd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året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end"/>
      </w: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</w:t>
      </w:r>
    </w:p>
    <w:p w:rsidR="003531EB" w:rsidRPr="00FF23CC" w:rsidRDefault="003531EB" w:rsidP="00FF23CC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Hvor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mye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ta i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utleie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for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hytta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29"/>
          <w:lang w:eastAsia="cs-CZ"/>
        </w:rPr>
        <w:t>?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Vurder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andre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fritidsboliger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på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nettet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hvis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tvil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leiesummen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Finner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hytter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sammenlignes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med din,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hva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tar de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per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uke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?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faktorer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spiller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når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vurderer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leiesum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Trine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Andreassen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markedskoordinator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Novasol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:</w:t>
      </w:r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Hyttas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beliggenhet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Avstand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til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fiskemulighet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Antall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sengeplasser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Fasiliteter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huset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Standarden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Aktiviteter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området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rundt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Boblebad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badstue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innendørs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basseng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kan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trekke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opp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utleien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huset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du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leier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høysesong</w:t>
      </w:r>
      <w:proofErr w:type="spellEnd"/>
    </w:p>
    <w:p w:rsidR="003531EB" w:rsidRPr="00FF23CC" w:rsidRDefault="003531EB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Interessert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i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boligmarkedet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? </w:t>
      </w:r>
      <w:proofErr w:type="spellStart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>Mer</w:t>
      </w:r>
      <w:proofErr w:type="spellEnd"/>
      <w:r w:rsidRPr="00FF23CC">
        <w:rPr>
          <w:rFonts w:ascii="Georgia" w:eastAsia="Times New Roman" w:hAnsi="Georgia" w:cs="Times New Roman"/>
          <w:b/>
          <w:bCs/>
          <w:color w:val="333333"/>
          <w:sz w:val="28"/>
          <w:szCs w:val="30"/>
          <w:lang w:eastAsia="cs-CZ"/>
        </w:rPr>
        <w:t xml:space="preserve"> her:</w:t>
      </w:r>
    </w:p>
    <w:p w:rsidR="003531EB" w:rsidRPr="00FF23CC" w:rsidRDefault="00FF23CC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hyperlink r:id="rId8" w:history="1"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Hver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femte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kjøper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angrer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på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det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siste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budet</w:t>
        </w:r>
        <w:proofErr w:type="spellEnd"/>
      </w:hyperlink>
    </w:p>
    <w:p w:rsidR="003531EB" w:rsidRPr="00FF23CC" w:rsidRDefault="00FF23CC" w:rsidP="00FF23CC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hyperlink r:id="rId9" w:history="1"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Rentekart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: Er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du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sikker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på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at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du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har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den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beste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renten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du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kan </w:t>
        </w:r>
        <w:proofErr w:type="spellStart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få</w:t>
        </w:r>
        <w:proofErr w:type="spellEnd"/>
        <w:r w:rsidR="003531EB" w:rsidRPr="00FF23CC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?</w:t>
        </w:r>
      </w:hyperlink>
    </w:p>
    <w:p w:rsidR="003531EB" w:rsidRDefault="003531EB"/>
    <w:sectPr w:rsidR="0035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5485"/>
    <w:multiLevelType w:val="multilevel"/>
    <w:tmpl w:val="957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271CC"/>
    <w:multiLevelType w:val="multilevel"/>
    <w:tmpl w:val="C97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072B9"/>
    <w:multiLevelType w:val="multilevel"/>
    <w:tmpl w:val="F47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EB"/>
    <w:rsid w:val="003531EB"/>
    <w:rsid w:val="009B2F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tenposten.no/bolig/Hver-femte-kjoper-angrer-pa-det-siste-budet-666591_1.s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ftenposten.no/bolig/Har-du-lov-til-a-leie-ut-leiligheten-via-Airbnb-717797_1.snd?spid_rel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tenposten.no/bolig/Vurderer-du-a-leie-ut-bolig-eller-hytte-i-sommer-Sa-mye-kan-du-ta-780008_1.sn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ftenposten.no/bolig/Rentekart-Er-du-sikker-pa-at-du-har-den-beste-renten-du-kan-fa-656807_1.sn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Hvor mye skal du ta?</vt:lpstr>
      <vt:lpstr>    Sameie eller borettslag: Har du lov?</vt:lpstr>
      <vt:lpstr>    Hvor mye kan du ta i utleie for hytta?</vt:lpstr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2016-07-15T18:44:00Z</dcterms:created>
  <dcterms:modified xsi:type="dcterms:W3CDTF">2018-09-16T18:26:00Z</dcterms:modified>
</cp:coreProperties>
</file>