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1C2" w:rsidRPr="004201C2" w:rsidRDefault="004201C2" w:rsidP="004201C2">
      <w:pPr>
        <w:shd w:val="clear" w:color="auto" w:fill="FFFFFF"/>
        <w:spacing w:after="150" w:line="45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cs-CZ"/>
        </w:rPr>
      </w:pPr>
      <w:r w:rsidRPr="004201C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cs-CZ"/>
        </w:rPr>
        <w:t xml:space="preserve">UDC 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cs-CZ"/>
        </w:rPr>
        <w:t>Structure</w:t>
      </w:r>
      <w:proofErr w:type="spellEnd"/>
      <w:r w:rsidRPr="004201C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cs-CZ"/>
        </w:rPr>
        <w:t xml:space="preserve"> &amp; 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cs-CZ"/>
        </w:rPr>
        <w:t>Tables</w:t>
      </w:r>
      <w:proofErr w:type="spellEnd"/>
    </w:p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1"/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</w:pP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Principle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of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Organization</w:t>
      </w:r>
      <w:proofErr w:type="spellEnd"/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organization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knowledge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discipline-based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means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concepts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subsumed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placed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field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under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which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studied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particular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feature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usually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implemented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UDC by re-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same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concept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various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combinations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with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e.g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code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language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common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auxiliaries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language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derive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ethnic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grouping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individual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languages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linguistics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individual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literatures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Or,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code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auxiliaries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place,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e.g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(410) United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Kingdom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uniquely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representing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concept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United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Kingdom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express 911(410)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Regional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geography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United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Kingdom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94(410)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History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United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Kingdom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1"/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</w:pPr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UDC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Hierarchic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Structure</w:t>
      </w:r>
      <w:proofErr w:type="spellEnd"/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UDC's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most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innovative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influential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feature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ability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express not just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simple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but relations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between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facility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added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hierarchic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structure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which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knowledge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divided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into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ten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each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subdivided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into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logical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parts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each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subdivision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further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subdivided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and so on.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more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detailed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subdivision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longer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represents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made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possible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by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decimal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hyperlink r:id="rId4" w:history="1">
        <w:r w:rsidRPr="004201C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cs-CZ"/>
          </w:rPr>
          <w:t xml:space="preserve">UDC </w:t>
        </w:r>
        <w:proofErr w:type="spellStart"/>
        <w:r w:rsidRPr="004201C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cs-CZ"/>
          </w:rPr>
          <w:t>notational</w:t>
        </w:r>
        <w:proofErr w:type="spellEnd"/>
        <w:r w:rsidRPr="004201C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Pr="004201C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cs-CZ"/>
          </w:rPr>
          <w:t>system</w:t>
        </w:r>
        <w:proofErr w:type="spellEnd"/>
      </w:hyperlink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990"/>
      </w:tblGrid>
      <w:tr w:rsidR="004201C2" w:rsidRPr="004201C2" w:rsidTr="004201C2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Notation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Description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Natural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Physical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nature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matter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Nuclear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Atomic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Molecular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539.12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Elementary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particles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charge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3)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539.120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Theoretical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problems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elementary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particles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539.120.8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Strong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interaction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including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539.120.81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chromodynamics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539.120.811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Lattice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QCD</w:t>
            </w:r>
          </w:p>
        </w:tc>
      </w:tr>
    </w:tbl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In UDC,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universe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information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recorded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knowledge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treated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coherent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system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built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related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parts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contrast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specialised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classification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which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related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treated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subsidiary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even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though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their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own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right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major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importance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Thus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specialists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often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led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related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information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which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would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otherwise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have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unaware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1"/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</w:pPr>
      <w:r w:rsidRPr="004201C2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lastRenderedPageBreak/>
        <w:t xml:space="preserve">UDC 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Tables</w:t>
      </w:r>
      <w:proofErr w:type="spellEnd"/>
    </w:p>
    <w:p w:rsidR="004201C2" w:rsidRPr="004201C2" w:rsidRDefault="004201C2" w:rsidP="00420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>There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>two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>kinds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>tables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t xml:space="preserve"> in UDC:</w:t>
      </w:r>
    </w:p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2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</w:pPr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 xml:space="preserve">1.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>Main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>tables</w:t>
      </w:r>
      <w:proofErr w:type="spellEnd"/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called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'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schedules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', these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contain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outline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various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disciplines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knowledge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arranged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10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hierarchically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divided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(as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explained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'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Structure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'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above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). They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0 to 9.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9006"/>
      </w:tblGrid>
      <w:tr w:rsidR="004201C2" w:rsidRPr="004201C2" w:rsidTr="004201C2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Notation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Description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Science and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Knowledge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Computer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Science.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Science.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Documentation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Librarianship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Publications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Philosophy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Psychology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Religion.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Theology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vacant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Natural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Applied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Medicine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Technology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Entertainment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Sport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Linguistics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Literature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Geography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History</w:t>
            </w:r>
            <w:proofErr w:type="spellEnd"/>
          </w:p>
        </w:tc>
      </w:tr>
    </w:tbl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Each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contain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tables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called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special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auxiliaries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special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which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express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aspects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recurrent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but in a limited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range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These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usually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facets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concepts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related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operations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techniques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processes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materials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agents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etc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They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listed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only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particular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sections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tables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Special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recognized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begin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with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one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these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three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specific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symbols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/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indicators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: .0 (point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nought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), -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hyphen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'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apostrophe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). Any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beginning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with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any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these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symbols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combined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with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any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other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designated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application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2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</w:pPr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 xml:space="preserve">2.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>Common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>auxiliary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cs-CZ"/>
        </w:rPr>
        <w:t>tables</w:t>
      </w:r>
      <w:proofErr w:type="spellEnd"/>
    </w:p>
    <w:p w:rsidR="004201C2" w:rsidRPr="004201C2" w:rsidRDefault="004201C2" w:rsidP="00420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These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tables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contain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common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signs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common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3"/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</w:pPr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lastRenderedPageBreak/>
        <w:t xml:space="preserve">2.1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>Common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>Auxiliary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>Signs</w:t>
      </w:r>
      <w:proofErr w:type="spellEnd"/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signs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e.g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plus,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stroke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colon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link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two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more)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so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relations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various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kinds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between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two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more)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400"/>
      </w:tblGrid>
      <w:tr w:rsidR="004201C2" w:rsidRPr="004201C2" w:rsidTr="004201C2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Notation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Description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Coordination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Addition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(plus sign).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  <w:proofErr w:type="gram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Consecutive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extension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oblique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stroke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sign).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  <w:proofErr w:type="gram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relation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sign).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1b</w:t>
            </w:r>
            <w:proofErr w:type="gram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Order-fixing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(double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sign).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1b</w:t>
            </w:r>
            <w:proofErr w:type="gram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[]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Subgrouping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(square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brackets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1b</w:t>
            </w:r>
            <w:proofErr w:type="gram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non-UDC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notation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asterisk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1h</w:t>
            </w:r>
            <w:proofErr w:type="gram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A/Z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Direct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alphabetical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specification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1h</w:t>
            </w:r>
            <w:proofErr w:type="gramEnd"/>
          </w:p>
        </w:tc>
      </w:tr>
    </w:tbl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3"/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</w:pPr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 xml:space="preserve">2.2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>Common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>Auxiliary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cs-CZ"/>
        </w:rPr>
        <w:t>Numbers</w:t>
      </w:r>
      <w:proofErr w:type="spellEnd"/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These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tables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enumerating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concepts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denote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recurrent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characteristics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applicable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over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range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;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simply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added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end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Common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auxiliaries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applicable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throughout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tables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represent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such as place,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language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text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physical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document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which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occur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almost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any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9006"/>
      </w:tblGrid>
      <w:tr w:rsidR="004201C2" w:rsidRPr="004201C2" w:rsidTr="004201C2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Notation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Description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Table 1c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(0...)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1d</w:t>
            </w:r>
            <w:proofErr w:type="gramEnd"/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(1/9)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place. Table 1e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(=...)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ancestry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ethnic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grouping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nationality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Table 1f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"..."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Table </w:t>
            </w:r>
            <w:proofErr w:type="gram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1g</w:t>
            </w:r>
            <w:proofErr w:type="gram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helps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make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minute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division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e.g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.: "1993-1996"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-0...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characteristics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Properties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Relations/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Persons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Table 1k.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properties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Table 1k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Table 1k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relations,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operations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Table 1k</w:t>
            </w:r>
          </w:p>
        </w:tc>
      </w:tr>
      <w:tr w:rsidR="004201C2" w:rsidRPr="004201C2" w:rsidTr="004201C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201C2" w:rsidRPr="004201C2" w:rsidRDefault="004201C2" w:rsidP="004201C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auxiliaries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persons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personal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characteristics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Table 1k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table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repeated</w:t>
            </w:r>
            <w:proofErr w:type="spellEnd"/>
          </w:p>
        </w:tc>
      </w:tr>
    </w:tbl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1"/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</w:pPr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UDC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Synthetic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Structure</w:t>
      </w:r>
      <w:proofErr w:type="spellEnd"/>
    </w:p>
    <w:p w:rsidR="004201C2" w:rsidRPr="004201C2" w:rsidRDefault="004201C2" w:rsidP="00420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analytico-synthetic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and/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faceted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classification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It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allows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unlimited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combination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attributes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relationships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between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codes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different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tables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combined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present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various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aspects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document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content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e.g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94(410)"19"(075)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History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main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subject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United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Kingdom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(place) in 20th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century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time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),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textbook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document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). Or: 37:2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Relationship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between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Education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Religion.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Complex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accurately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parsed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into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constituent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elements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Pr="004201C2" w:rsidRDefault="004201C2" w:rsidP="00420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Example</w:t>
      </w:r>
      <w:proofErr w:type="spellEnd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:</w:t>
      </w:r>
    </w:p>
    <w:p w:rsidR="004201C2" w:rsidRPr="004201C2" w:rsidRDefault="004201C2" w:rsidP="004201C2">
      <w:p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Tourist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maps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Grafton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County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(USA, Maine)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gram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1970s</w:t>
      </w:r>
      <w:proofErr w:type="gram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pdf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file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will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combination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simple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follows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</w:t>
      </w:r>
    </w:p>
    <w:p w:rsidR="004201C2" w:rsidRPr="004201C2" w:rsidRDefault="004201C2" w:rsidP="004201C2">
      <w:p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348.48(734.211.4)"197"(</w:t>
      </w:r>
      <w:proofErr w:type="gramStart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084.3)(</w:t>
      </w:r>
      <w:proofErr w:type="gramEnd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0.034.2PDF)</w:t>
      </w:r>
    </w:p>
    <w:p w:rsidR="004201C2" w:rsidRPr="004201C2" w:rsidRDefault="004201C2" w:rsidP="004201C2">
      <w:pPr>
        <w:shd w:val="clear" w:color="auto" w:fill="FFFFFF"/>
        <w:spacing w:after="150" w:line="240" w:lineRule="auto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created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following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simple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</w:t>
      </w:r>
    </w:p>
    <w:p w:rsidR="004201C2" w:rsidRPr="004201C2" w:rsidRDefault="004201C2" w:rsidP="004201C2">
      <w:pPr>
        <w:shd w:val="clear" w:color="auto" w:fill="FFFFFF"/>
        <w:spacing w:line="240" w:lineRule="auto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348.48</w:t>
      </w: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Tourism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(734.211.4)</w:t>
      </w: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place: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Grafton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County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[USA, Maine]</w:t>
      </w: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"197"</w:t>
      </w: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time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gram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1970s</w:t>
      </w:r>
      <w:proofErr w:type="gram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(084.3)</w:t>
      </w: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- map</w:t>
      </w: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(0.034.2)</w:t>
      </w: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auxiliary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-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carrier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-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digital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file</w:t>
      </w:r>
      <w:proofErr w:type="spellEnd"/>
    </w:p>
    <w:p w:rsidR="004201C2" w:rsidRPr="004201C2" w:rsidRDefault="004201C2" w:rsidP="004201C2">
      <w:pPr>
        <w:shd w:val="clear" w:color="auto" w:fill="FFFFFF"/>
        <w:spacing w:after="150" w:line="45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cs-CZ"/>
        </w:rPr>
      </w:pPr>
      <w:r w:rsidRPr="004201C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cs-CZ"/>
        </w:rPr>
        <w:t xml:space="preserve">UDC 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cs-CZ"/>
        </w:rPr>
        <w:t>Notation</w:t>
      </w:r>
      <w:proofErr w:type="spellEnd"/>
    </w:p>
    <w:p w:rsidR="004201C2" w:rsidRPr="004201C2" w:rsidRDefault="004201C2" w:rsidP="00420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symbols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chosen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language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independent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universally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proofErr w:type="gram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recognizable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-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proofErr w:type="gram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arabic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numerals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supplemented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by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few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other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signs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familiar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mathematics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ordinary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punctuation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signs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symbols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UDC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break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sequence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allow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separation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i.e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parsing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pre-combined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concepts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into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constituent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simple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concepts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decimal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hierarchically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syntactically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1"/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</w:pP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Decimal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notation</w:t>
      </w:r>
      <w:proofErr w:type="spellEnd"/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arrangement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based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decimal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system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: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every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thought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decimal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fraction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with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initial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point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omitted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determines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filing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order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but,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ease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reading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usually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punctuated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after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every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third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digit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Thus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after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61 '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Medical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sciences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'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subdivisions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611 to 619;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under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611 'Anatomy'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subdivisions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611.1 to 611.9;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under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611.1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come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subdivisions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before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611.2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occurs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and so on;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after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619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One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advantage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system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infinitely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extensible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when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new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subdivisions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introduced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not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disturb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existing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allocation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1"/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</w:pP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Hierarchically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expressive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notation</w:t>
      </w:r>
      <w:proofErr w:type="spellEnd"/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hierarchically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Hierarchically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mirrors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hierarchy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each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digit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letter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will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represent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one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level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division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deeper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hierarchy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concept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longer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Classifications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with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hierarchically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much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friendlier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navigate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use.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When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presenting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classification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hierarchy in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print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online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will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show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indentation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subordinate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will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obvious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itself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e.g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990"/>
      </w:tblGrid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599.74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Carnivora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carnivorans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599.744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Canidae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Ursidae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Musteloidea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599.744.2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Ursidae</w:t>
            </w:r>
            <w:proofErr w:type="spellEnd"/>
          </w:p>
        </w:tc>
      </w:tr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599.744.21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Ursus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(genus)</w:t>
            </w:r>
          </w:p>
        </w:tc>
      </w:tr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599.744.211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Brown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bears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(grizzly)</w:t>
            </w:r>
          </w:p>
        </w:tc>
      </w:tr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599.744.212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bears</w:t>
            </w:r>
            <w:proofErr w:type="spellEnd"/>
          </w:p>
        </w:tc>
      </w:tr>
    </w:tbl>
    <w:p w:rsidR="004201C2" w:rsidRPr="004201C2" w:rsidRDefault="004201C2" w:rsidP="004201C2">
      <w:pPr>
        <w:shd w:val="clear" w:color="auto" w:fill="FFFFFF"/>
        <w:spacing w:before="150" w:after="150" w:line="450" w:lineRule="atLeast"/>
        <w:outlineLvl w:val="1"/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</w:pP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Syntactically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expressive</w:t>
      </w:r>
      <w:proofErr w:type="spellEnd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 xml:space="preserve"> </w:t>
      </w:r>
      <w:proofErr w:type="spellStart"/>
      <w:r w:rsidRPr="004201C2">
        <w:rPr>
          <w:rFonts w:ascii="inherit" w:eastAsia="Times New Roman" w:hAnsi="inherit" w:cs="Arial"/>
          <w:b/>
          <w:bCs/>
          <w:color w:val="333333"/>
          <w:sz w:val="31"/>
          <w:szCs w:val="31"/>
          <w:lang w:eastAsia="cs-CZ"/>
        </w:rPr>
        <w:t>notation</w:t>
      </w:r>
      <w:proofErr w:type="spellEnd"/>
    </w:p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analytico-synthetic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classification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means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individual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classmarks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build more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complex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similar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way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use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words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create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complex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sentences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Special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symbols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used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connect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start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end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simple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enable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parsing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understanding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complex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type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system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called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syntactically-expressive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synthesis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follow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fixed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syntactic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rules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that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are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valid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applied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to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entire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system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Because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syntactic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rules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and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strict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application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notational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symbols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complex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expressions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deconstructed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accurately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into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simple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UDC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4996"/>
      </w:tblGrid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599.744.212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(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main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number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)</w:t>
            </w:r>
          </w:p>
        </w:tc>
      </w:tr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57.017.7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Respiration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Metabolism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(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special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auxiliary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number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)</w:t>
            </w:r>
          </w:p>
        </w:tc>
      </w:tr>
      <w:tr w:rsidR="004201C2" w:rsidRPr="004201C2" w:rsidTr="004201C2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r w:rsidRPr="004201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t>"327.502"</w:t>
            </w:r>
          </w:p>
        </w:tc>
        <w:tc>
          <w:tcPr>
            <w:tcW w:w="0" w:type="auto"/>
            <w:shd w:val="clear" w:color="auto" w:fill="auto"/>
            <w:hideMark/>
          </w:tcPr>
          <w:p w:rsidR="004201C2" w:rsidRPr="004201C2" w:rsidRDefault="004201C2" w:rsidP="0042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February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(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common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auxiliary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number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of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time</w:t>
            </w:r>
            <w:proofErr w:type="spellEnd"/>
            <w:r w:rsidRPr="004201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)</w:t>
            </w:r>
          </w:p>
        </w:tc>
      </w:tr>
    </w:tbl>
    <w:p w:rsidR="004201C2" w:rsidRPr="004201C2" w:rsidRDefault="004201C2" w:rsidP="004201C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This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be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combined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as </w:t>
      </w:r>
      <w:r w:rsidRPr="004201C2">
        <w:rPr>
          <w:rFonts w:ascii="Arial" w:eastAsia="Times New Roman" w:hAnsi="Arial" w:cs="Arial"/>
          <w:color w:val="FF0000"/>
          <w:sz w:val="21"/>
          <w:szCs w:val="21"/>
          <w:lang w:eastAsia="cs-CZ"/>
        </w:rPr>
        <w:t>599.744.212</w:t>
      </w:r>
      <w:r w:rsidRPr="004201C2">
        <w:rPr>
          <w:rFonts w:ascii="Arial" w:eastAsia="Times New Roman" w:hAnsi="Arial" w:cs="Arial"/>
          <w:color w:val="008000"/>
          <w:sz w:val="21"/>
          <w:szCs w:val="21"/>
          <w:lang w:eastAsia="cs-CZ"/>
        </w:rPr>
        <w:t>.017.7</w:t>
      </w:r>
      <w:r w:rsidRPr="004201C2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"327.502</w:t>
      </w:r>
      <w:proofErr w:type="gramStart"/>
      <w:r w:rsidRPr="004201C2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"</w:t>
      </w:r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,</w:t>
      </w:r>
      <w:proofErr w:type="gram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meaning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 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polar</w:t>
      </w:r>
      <w:proofErr w:type="spellEnd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bears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- 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metabolism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- 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month</w:t>
      </w:r>
      <w:proofErr w:type="spellEnd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of</w:t>
      </w:r>
      <w:proofErr w:type="spellEnd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420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February</w:t>
      </w:r>
      <w:proofErr w:type="spellEnd"/>
      <w:r w:rsidRPr="004201C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01C2" w:rsidRDefault="004201C2"/>
    <w:sectPr w:rsidR="0042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C2"/>
    <w:rsid w:val="0042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0B39-36A1-4D7E-9489-1896A011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20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0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201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01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01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0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01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01C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201C2"/>
    <w:rPr>
      <w:b/>
      <w:bCs/>
    </w:rPr>
  </w:style>
  <w:style w:type="character" w:customStyle="1" w:styleId="style1">
    <w:name w:val="style1"/>
    <w:basedOn w:val="Standardnpsmoodstavce"/>
    <w:rsid w:val="0042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8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55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61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72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758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2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dcc.org/index.php/site/page?view=about_nota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Kubisová</dc:creator>
  <cp:keywords/>
  <dc:description/>
  <cp:lastModifiedBy>Sabina Kubisová</cp:lastModifiedBy>
  <cp:revision>1</cp:revision>
  <dcterms:created xsi:type="dcterms:W3CDTF">2020-05-13T11:11:00Z</dcterms:created>
  <dcterms:modified xsi:type="dcterms:W3CDTF">2020-05-13T11:13:00Z</dcterms:modified>
</cp:coreProperties>
</file>