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62" w:rsidRPr="008760EF" w:rsidRDefault="00A92662" w:rsidP="00BC5828">
      <w:pPr>
        <w:spacing w:after="14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  <w:t>Formální pravidla písemných prací</w:t>
      </w:r>
    </w:p>
    <w:p w:rsidR="00A92662" w:rsidRPr="008760EF" w:rsidRDefault="00A92662" w:rsidP="00BC5828">
      <w:pPr>
        <w:spacing w:after="14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Ústav filmu a audiovizuální kultury FF MU</w:t>
      </w:r>
    </w:p>
    <w:p w:rsidR="00A92662" w:rsidRPr="008760EF" w:rsidRDefault="00A92662" w:rsidP="00BC5828">
      <w:pPr>
        <w:spacing w:after="14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(verze 2019)</w:t>
      </w:r>
    </w:p>
    <w:p w:rsidR="00A92662" w:rsidRPr="008760EF" w:rsidRDefault="00A9266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Všeobecné technické náležitosti školních prací: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Všechny školní práce na našem Ústavu obsahují vlastní název a plné jméno autora. Absolventské a závěrečné seminární práce obsahují samostatnou titulní stranu.</w:t>
      </w:r>
    </w:p>
    <w:p w:rsidR="00A92662" w:rsidRPr="00983ABE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983ABE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Povinný (minimální) rozsah udáváme v normostranách (NS), 1 NS = 1800 znaků včetně mezer.</w:t>
      </w:r>
    </w:p>
    <w:p w:rsidR="00A92662" w:rsidRPr="00983ABE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983ABE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Povinný rozsah se váže pouze k samotnému pojednání včetně poznámek pod čarou; nepočítáme do něj soupisy zdrojů ani případnou dokumentační přílohu.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Stránky číslujeme na dolním okraji, a to až od úvodní kapitoly. U první číslované strany nicméně zohledňujeme i ty předchozí, takže se nezačíná od strany 1, ale třeba až od strany 5.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Tělo práce zarovnáváme do bloku (v MS Word Ctrl + J)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 jednoduchým řádkováním. Jednopísmenné spojky a předložky na konci řádku odsazujeme na řádek nový pomocí tzv.</w:t>
      </w:r>
      <w:r w:rsidR="00E51DBD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tvrdé mezery za spojkou/předložkou (Ctrl + Shift + Space).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Písmo používáme patkové; v hlavním textu o velikosti číslo 12 a v poznámkovém aparátu o velikosti číslo 10.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983ABE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 xml:space="preserve">Hlavní názvy (tj. názvy filmů, seriálů, knih, časopisů atp.) píšeme </w:t>
      </w:r>
      <w:r w:rsidRPr="00983ABE">
        <w:rPr>
          <w:rFonts w:ascii="Cambria" w:eastAsia="Times New Roman" w:hAnsi="Cambria" w:cs="Times New Roman"/>
          <w:i/>
          <w:iCs/>
          <w:color w:val="000000"/>
          <w:sz w:val="24"/>
          <w:szCs w:val="24"/>
          <w:highlight w:val="yellow"/>
          <w:lang w:eastAsia="cs-CZ"/>
        </w:rPr>
        <w:t>kurzívou</w:t>
      </w:r>
      <w:r w:rsidRPr="0002250B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, vedlejší názvy (tj. názvy dílčích částí vyššího celku, jako jsou články v časopise, kapitoly v knize, epizody v seriálu atp.) píšeme obyčejně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 dáváme do </w:t>
      </w:r>
      <w:r w:rsidR="00162C6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dvojitých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uvozovek</w:t>
      </w:r>
      <w:r w:rsidR="00162C6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nahoře a dole („“)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Audiovizuální dílo uvádíme primárně podle plného oficiálního českého názvu (u prací psaných ve slovenštině pak slovenského názvu; což platí i pro následující případy, v nichž se odkazuje ke slovenské alternativě); v případě zahraničního díla je určující distribuční název, a to v preferovaném pořadí: název v kinech, název při uvedení v televizi, název na domácích nosičích, název při uvedení na festivalu, název v textu důvěryhodného autora, např. v katalogu, referátu z festivalu, knihy apod. Pokud není možné dohledat název ani v</w:t>
      </w:r>
      <w:r w:rsidR="005425E9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jednom z uvedených zdrojů, doporučujeme se obrátit k zavedenému, všeobecně přijímanému mezinárodnímu názvu, existuje-li. Nenajdeme-li ani takový, zpravidla volíme pouze originální titul.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Za prvním výskytem audiovizuálního díla </w:t>
      </w:r>
      <w:r w:rsidR="00C865C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 práci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uvádíme do kulatých závorek rok výroby, nikoli tedy rok uvedení (primárním zdrojem je copyright v závěrečných titulcích, teprve pak přistupujeme k dalším spolehlivým zdrojům). Např. píšeme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Prstýnek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(1944), ačkoli byl uveden až v roce 1945. Pouze v případě takových děl, u nichž není možné rok výroby zjistit nebo jednoznačně určit, zapisujeme rok prvního uvedení. U </w:t>
      </w:r>
      <w:r w:rsidR="00162C6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televizních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seriálových děl o více sezónách uvádíme rok začátku a konce výroby. Např.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Kriminálka Las Vegas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(2000–2015). Pokud seriálové dílo ještě ukončeno není, píšeme na místo druhého data za pomlčku otazník. Např.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Ulice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(2005–?).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Názvy internetových stránek uvádíme ve formě oficiálního názvu v kurzívě, tedy nikoliv ve formě internetové adresy, jež slouží až jako zdroj uvedený v souladu s pravidly dále. Např.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The Internet Movie Database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Zóna – Netuctové filmy (nejen) na DVD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Česko-Slovenská filmová databáze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Názvy institucí uvádíme v plném oficiálním znění. Chceme-li dále v textu používat zkratku, zavedeme ji souběžně s prvním výskytem instituce v závorce. Např. Národní filmový archiv (NFA).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Jména osob uvádíme při prvním výskytu v úplném znění, tj. včetně křestního jména.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Jména osob a názvy děl v evropských jazycích nepíšících latinkou přepisujeme výhradně podle závazné české transkripce (tj. například Andrej Tarkovskij</w:t>
      </w:r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Jurij Tyňanov</w:t>
      </w:r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 Sergej M. </w:t>
      </w:r>
      <w:proofErr w:type="spellStart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Ejzenštejn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nikoli Andrey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Tarkovsky</w:t>
      </w:r>
      <w:proofErr w:type="spellEnd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Yuri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Tynianov</w:t>
      </w:r>
      <w:proofErr w:type="spellEnd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Sergei</w:t>
      </w:r>
      <w:proofErr w:type="spellEnd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M. </w:t>
      </w:r>
      <w:proofErr w:type="spellStart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Eisenstein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). U asijských jazyků vyžadujeme zachování jednotného transkripčního systému napříč celou prací (tj.</w:t>
      </w:r>
      <w:r w:rsidR="0089210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buď českou, nebo anglickou).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Citace píšeme obyčejným písmem (tj. ne kurzívou). Označujeme je dvojitými uvozovkami nahoře a dole („XYZ“)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citace v citacích pak tamtéž uvozovkami jednoduchými. Příklad:</w:t>
      </w:r>
      <w:r w:rsidR="00EB5D5B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Filmový badatel A ve své knize píše: „Lze do jisté míry souhlasit s analytikem B, který o tomto filmu tvrdí, že ‚svým přístupem k výstavbě filmového prostoru reprezentuje spíše evropskou tradici němého filmu než tu americkou‘. Píši do jisté míry, protože jeho tvrzení nezohledňuje naopak zcela hollywoodsky pojatou úvodní montáž.“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Pokud citaci krátíme, potom vynechanou část vyznačíme pomocí hranatých závorek s</w:t>
      </w:r>
      <w:r w:rsidR="00EB5D5B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třemi tečkami […]. Krátíme-li začátek věty, a tak potřebujeme napsat velké písmeno na místě, kde bylo původně malé, napíšeme je v hranatých závorkách jako velké. A naopak, pokud z úplné citované věty s velkým písmenem na začátku potřebujeme udělat součást své věty, píšeme původně velké písmeno v hranatých závorkách jako malé. Hranaté závorky vytvoříme v MS Word klávesovými zkratkami Ctrl + Alt + F / Ctrl + Alt + G. Příklady: André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Bazin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o Williamu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Wylerovi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píše, že „[n]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ikoliv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estetickou, nýbrž řemeslnou průpravou ve filmovém oboru se stal vyspělým umělcem […].“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Wellesovo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používání hloubky pole je podle Bazina primárně esteticky motivované, zatímco u Wylera pro ni nachází klasičtější odůvodnění: „[Z]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ůstává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podřízena dramatickým požadavkům režie a</w:t>
      </w:r>
      <w:r w:rsidR="00EB5D5B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zejména jasnosti vyprávění.“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cyan"/>
          <w:lang w:eastAsia="cs-CZ"/>
        </w:rPr>
        <w:t>Citace uvádíme či uzavíráme referencí k jejich původci, čímž se stávají jasnou součástí výkladu.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Příklad: Janet Staigerová přichází s tezí, že „každé historické období […] je spojeno s několika mody filmového oslovení, několika mody předvádění a několika mody recepce.”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Případné gramatické chyby či překlepy v citacích neopravujeme a chceme-li na chybu upozornit, píšeme za ní v hranatých závorkách v kurzívě latinské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sic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Příklad: </w:t>
      </w:r>
      <w:r w:rsidR="000F00F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„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Roku 1993 měl premiéru film režiséra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Stephena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[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sic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] Spielberga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Jurský park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</w:t>
      </w:r>
      <w:r w:rsidR="000F00F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“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Delší citace </w:t>
      </w:r>
      <w:r w:rsidR="000F7D8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 pěti řádků výše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zpravidla odsazujeme jako tzv. citační odstavec psaný menším písmem než hlavní text, nicméně stále v uvozovkách.</w:t>
      </w:r>
    </w:p>
    <w:p w:rsidR="00A92662" w:rsidRPr="00A7266C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 xml:space="preserve">Citace ze zdroje v jakémkoli jiném jazyce než v jazyce práce vždy překládáme, nicméně do poznámky pod čarou je potřeba bezprostředně za bibliografický zápis uvést jméno </w:t>
      </w:r>
      <w:r w:rsidR="004531C5"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překládající</w:t>
      </w: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 xml:space="preserve"> osoby. Je-li jí sám autor práce, postačí iniciály. Příklad: Přel. TB.</w:t>
      </w:r>
    </w:p>
    <w:p w:rsidR="00C93864" w:rsidRPr="00C93864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cyan"/>
          <w:lang w:eastAsia="cs-CZ"/>
        </w:rPr>
        <w:t>Citace používáme účelně pro účely argumentace vlastního výkladu, nikoli náhradou za ni, přičemž je vždy třeba uvést zdroj. Stejně tak pracujeme i s parafrázemi, které sice neuvádíme v uvozovkách, ale i v jejich případě považujeme za žádoucí užívat jich striktně pro potřeby svého výkladu a samozřejmě vždy uvést zdroj.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Totéž se ostatně týká zcela jakéhokoli tvrzení, které jsme převzali od někoho jiného: textu, dokumentu, přednášky či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soukromé korespondence. Pokud se něco píše v učebnici či zazní na přednášce, nejde o</w:t>
      </w:r>
      <w:r w:rsidR="00C70EBA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veřejné vlastnictví, a tak považujeme za naprosto nezbytné uvést příslušný zdroj.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 xml:space="preserve">(Příklad: Vycházím z analýzy stylu filmu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Utrpení Panny orleánské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jak ji prezentoval Casper Tybjerg v rámci svého přednáškového cyklu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Danish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Silent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Cinema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and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Historiography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Film Style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a sice 20. listopadu 2014 v Brně na Ústavu filmu a</w:t>
      </w:r>
      <w:r w:rsidR="00DD3E0E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audiovizuální kultury FF MU.) </w:t>
      </w:r>
    </w:p>
    <w:p w:rsidR="00F655A2" w:rsidRPr="00F655A2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 případě přednášky pr</w:t>
      </w:r>
      <w:r w:rsidR="00C9386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ezentující originální výzkum je</w:t>
      </w:r>
      <w:r w:rsidR="00DD3E0E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nezbytné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si dohledat, zda přednášející látku někde nepublikoval, a </w:t>
      </w:r>
      <w:r w:rsidR="00C9386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následně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pokud možno následně vycházet z</w:t>
      </w:r>
      <w:r w:rsidR="007A5309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původního zdroje, je-li dostupný. Zdrojování pod čarou se nicméně týká i </w:t>
      </w:r>
      <w:r w:rsidR="00DC3E0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mnohých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pojmů, konceptů a tvrzení, které se </w:t>
      </w:r>
      <w:r w:rsidR="00F655A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u nás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vyučují v přehledových kurzech, a mohou proto působit jako všeobecně známé, leč vycházejí z původního výzkumu přednášející/ho</w:t>
      </w:r>
      <w:r w:rsidR="00F655A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Je tedy třeba je rovněž citovat, respektive citovat jejich původní publikovaný zdroj.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F655A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To se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naopak netýká znalostí, které jsou opravdu všeobecně známé, jako třeba datum bitvy na Bílé hoře, první český prezident</w:t>
      </w:r>
      <w:r w:rsidR="00F655A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či hlavní město Velké Británie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Citace, parafráze i odkazy k dalším zdrojům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–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uvozené formulemi jako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k tomu též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viz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či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srov.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–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musejí obsahovat přesnou a úplnou bibliografickou citaci.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Jakékoli zdroje a prameny (viz dále) uvádíme v poznámce pod čarou, již v MS Word vytvoříme klávesovou zkratkou Shift + Alt + B. </w:t>
      </w: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Číselný odkaz na poznámku pod čarou vkládáme až po interpunkci (např. za čárku, tečku či uvozovky) bez mezery, která naopak následuje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Příklad: Když Andrej Tarkovskij ve svých „Přednáškách o filmové režii“ tvrdí, že „[c]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esta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od zrození záměru k ukončení filmu v míchačkách se [...] zdá mnohem složitější než u ostatních druhů umění“,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vertAlign w:val="superscript"/>
          <w:lang w:eastAsia="cs-CZ"/>
        </w:rPr>
        <w:t>1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nemá tím na mysli jen dlouhou dobu vzniku, ale především množství lidí, které tento proces ovlivňuje.</w:t>
      </w:r>
      <w:r w:rsidR="00B1784B">
        <w:rPr>
          <w:rFonts w:ascii="Cambria" w:eastAsia="Times New Roman" w:hAnsi="Cambria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Obrázky citujeme standardně jako archivní či nearchivní zdroj. Zvláštní kategorii tvoří citovaná okénka z audiovizuálních děl. Není třeba identifikovat každé zvlášť, ale u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každého jednoho musí ze souvislostí jednoznačně vyplývat, z jakého audiovizuálního díla pocházejí a jak slouží argumentaci práce. Každé citované okénko je třeba pomocí číselného odkazu spojit s místem v textu, kde se s nimi pracuje. Příklad: Jakmile to hrdinka vysloví, z distancovaného velkého celku (obr. 26) se po ose nastřihne na její detail (obr.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27). [Jelikož čtenář tatáž čísla najde i pod příslušnými okénky, je výklad přehledný a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okénka z analyzovaného díla jasně identifikovatelná.]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Pokud pracujeme s přílohami, které nepředstavují součást hlavního textu (např. fotografie, grafy, tabulky), vytváříme ještě zvláštní sekci dokumentační přílohy, s níž je třeba pracovat tak, aby bylo možno ke každé příloze přehledně odkazovat z hlavního textu (z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poznámky pod čarou).</w:t>
      </w:r>
    </w:p>
    <w:p w:rsidR="00A92662" w:rsidRPr="008760EF" w:rsidRDefault="00A9266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Specifické technické náležitosti absolventských prací: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Povinný (minimální) rozsah absolventských prací je u nás následovný: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Bakalářská diplomová práce: 40 normostran (72 000 znaků včetně mezer)     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Bakalářská oborová práce: 23 normostran (40 000 znaků včetně mezer)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Magisterská diplomová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práce: 80 normostran (144 000 znaků včetně mezer)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Magisterská oborová práce: 45 normostran (80 000 znaků včetně mezer)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Disertační práce: 120 normostran (216 000 znaků včetně mezer)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Pod minimální rozsah spadá samotný text výkladu od úvodu do závěru. Nezahrnuje soupis zdrojů, anglické resumé ani přílohy.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Diplomová práce se u nás povinně odevzdává ve dvou výtiscích v pevné vazbě. Preferujeme jednostranný tisk.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Oborová práce se u nás povinně odevzdává jen v jednom výtisku v kroužkové nebo pevné vazbě. Preferujeme jednostranný tisk.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 absolventských prací vyžadujeme následující uspořádání: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Titulní strana.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Prohlášení o původnosti: „Prohlašuji, že jsem pracoval/a samostatně a použil/a jen uvedených zdrojů.“ K tomu připojit datum a podpis. (Dáváme na samostatný list na spodní část stránky.)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Poděkování vedoucí/mu práce a konzultantům. (Dáváme na samostatný list na spodní část stránky.)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Obsah: Jde o strukturovaný soupis názvů kapitol, podkapitol a jejich stránkových údajů (v MS Word se generuje pomocí funkce “osnova”).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Úvod: Úvodní kapitola či kapitoly, představující vstup do zkoumané problematiky, cílů práce, badatelských nástrojů a pozadí výkladu.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Vlastní pojednání: Je tematicky členěno do číslovaných kapitol, případně podkapitol.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Závěr: Rekapitulují se dílčí závěry a navrhnou možnosti jejich zobecnění.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Anglické resumé: Jeho rozsah je určen nároky práce, ale nemělo by být kratší než 2 normostrany.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Primární a sekundární zdroje: Prameny (tj. strukturovaný soupis písemných a</w:t>
      </w:r>
      <w:r w:rsidR="002C21B0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tištěných primárních zdrojů, další rozlišení viz níže); Bibliografie (tj.</w:t>
      </w:r>
      <w:r w:rsidR="002C21B0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strukturovaný soupis písemných a tištěných sekundárních zdrojů, další rozlišení viz níže); Audiovizuální díla (tj. strukturovaný soupis analyzovaných a</w:t>
      </w:r>
      <w:r w:rsidR="00D51130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citovaných audiovizuálních děl); podle potřeby doplňujeme rovněž seznam používaných zkratek. V rámci těchto celků řadíme zdroje podle abecedy.</w:t>
      </w:r>
    </w:p>
    <w:p w:rsidR="00A92662" w:rsidRPr="008760EF" w:rsidRDefault="00A9266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Práce s nearchivními zdroji: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Odkazování formou bibliografického zápisu na použité zdroje tvoří nezbytnou součást každého odborného textu.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 každé citace, parafráze či odkazu vyžadujeme v bibliografickém zápisu přesné uvedení strany, na níž se příslušná pasáž nacházela.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Bibliografický zápis zdroje uvádíme zásadně v úplném znění, nejde-li o opakování zdroje v téže či bezprostředně následující poznámce pod čarou. Pak připouštíme zkrácený odkaz s uvedením strany: Tamtéž, s. 42.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Údaje pro bibliografický zápis přebíráme striktně z citovaného či parafrázovaného zdroje, tedy z dokumentu, s nímž jsme pracovali.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02250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Pořadí a forma údajů jsou přesně stanoveny normou;</w:t>
      </w:r>
      <w:bookmarkStart w:id="0" w:name="_GoBack"/>
      <w:bookmarkEnd w:id="0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pokud některý z údajů v samotném zdroji chybí, doplňujeme je z jiného zdroje (např. bibliografických databází Národní knihovny) či jej odhadujeme z obecnějších souvislostí (např. ze znalosti sídla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nakladatelství), používáme hranaté závorky; není-li chybějící údaj dohledatelný, používáme jako poslední možnosti prázdné hranaté závorky.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Údaje nepočešťujeme a zapisujeme je v jazyce odkazovaného dokumentu. Např.</w:t>
      </w:r>
      <w:r w:rsidR="0064773C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nepřepisujeme místo vydání z London na Londýn či nepřechylujeme ženská příjmení, pokud je zapisujeme ze zdroje v cizím jazyce, a naopak ponecháváme v</w:t>
      </w:r>
      <w:r w:rsidR="00AF126E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přechýlené podobě, jde-li o český nebo slovenský zdroj. Výjimku tvoří prvky v jiném než latinském písmu, které v souladu s pravidly transliterujeme či transkribujeme.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Pro všechny typy zdrojování užíváme poznámky pod čarou (viz výše).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Modelové příklady bibliografických citací knih a seriálů (noviny, časopisy…), přičemž uvádíme nejčastější výskyty, pro specifičtější příklady či normy citování viz interpretace ČSN ISO 690: 2011 (vynecháváme některé položky, např. vydání nebo ISBN):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Monografie: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PŘÍJMENÍ, Jméno.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Hlavní název: Podnázev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Místo publikování: Nakladatel, Rok vydání [v případě citace, parafráze a v případě potřeby i odkazu stránková identifikace].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SKOPAL, Pavel.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Filmová kultura severního trojúhelníku: Filmy, kina a</w:t>
      </w:r>
      <w:r w:rsidR="00A41179"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 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diváci českých zemí, NDR a Polska 1945–1970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Brno: Host, 2014.</w:t>
      </w:r>
    </w:p>
    <w:p w:rsidR="0004766E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BORDWELL, David, Janet STAIGER a Kristin THOMPSON.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The Classical Hollywood Cinema: Film Style &amp; Mode of Production to 1960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Routledge: London, 1985.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Školní práce: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PŘÍJMENÍ, Jméno.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Název: Podnázev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Místo publikování, Rok odevzdání. Charakteristika školní práce. Název instituce, kde byla práce napsána. Vedoucí práce Jméno Příjmení.</w:t>
      </w:r>
    </w:p>
    <w:p w:rsidR="0004766E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BLAŽEJOVSKÝ, Jaromír.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Vývoj a proměny českého filmového scénáře 1930–1945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Brno, 1981. Diplomová práce. Filozofická fakulta Univerzity J. E. Purkyně v Brně. Vedoucí práce Milan Suchomel.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THOMPSON, Kristin Marie.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Form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and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Material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in Ivan the Terrible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Madison, 1977. Disertační práce.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Communication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Arts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at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University of Wisconsin</w:t>
      </w:r>
      <w:r w:rsidR="00A41179"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–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Madison. Vedoucí práce Russell Merritt.</w:t>
      </w:r>
    </w:p>
    <w:p w:rsidR="00A92662" w:rsidRPr="00A7266C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Sborník, kolektivní monografie či antologie: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PŘÍJMENÍ, Jméno tvůrce příspěvku. Název příspěvku</w:t>
      </w:r>
      <w:r w:rsidR="00BF709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 Podnázev příspěvku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In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: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Jméno Příjmení tvůrce mateřského dokumentu [je-li editor, následuje za jménem zkratka (ed.), v případě více editorů (eds.); je-li totožný s autorem příspěvku, uvádí se Týž].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Název mateřského dokumentu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Místo publikování: Nakladatel, Datum publikování, Rozsah stran příspěvku [oddělený dlouhou pomlčkou, nikoli spojovníkem; v případě citace, parafráze a v případě potřeby i odkazu stránková identifikace]. 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LOVEJOY, Alice. Československý armádní film a plánované hospo</w:t>
      </w:r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dářství. In: Pavel Skopal (ed.).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Naplánovaná kinematografie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Praha: Academia, 2012, s. 232–251.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lastRenderedPageBreak/>
        <w:t xml:space="preserve">BORDWELL, David.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Mizoguchi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and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Evolution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of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Film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Language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In:</w:t>
      </w:r>
      <w:r w:rsidR="0053680B"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 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Stephen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Heath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a Patricia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Mellenc</w:t>
      </w:r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amp</w:t>
      </w:r>
      <w:proofErr w:type="spellEnd"/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(</w:t>
      </w:r>
      <w:proofErr w:type="spellStart"/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eds</w:t>
      </w:r>
      <w:proofErr w:type="spellEnd"/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.).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Cinema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and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Language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Los Angeles: The American Film Institute, 1983, s.</w:t>
      </w:r>
      <w:r w:rsidR="00A41179"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107–117.</w:t>
      </w:r>
    </w:p>
    <w:p w:rsidR="00A92662" w:rsidRPr="00D43C32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MUKAŘOVSKÝ, Jan. Estetická funkce, norma a hodno</w:t>
      </w:r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ta jako sociální fakty. In: Týž.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Studie z estetiky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Praha. Odeon, 1966, s. 17–54.</w:t>
      </w:r>
    </w:p>
    <w:p w:rsidR="00A92662" w:rsidRPr="00A7266C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Příspěvek v periodiku (seriálové publikaci):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PŘÍJMENÍ, Jméno autora příspěvku. Název příspěvku: </w:t>
      </w:r>
      <w:r w:rsidR="00BF709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odnázev příspěvku.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Název periodika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Datum publikování, Ročník, Číslo, Rozsah stran příspěvku [oddělený dlouhou pomlčkou, nikoli spojovníkem; v případě citace, parafráze a v případě potřeby i odkazu stránková identifikace].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GMITERKOVÁ, Šárka. Filmová ctnost je blond: Jiřina Štěpničková (1930–1945).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Iluminace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2012, roč. 24, č. 1, s. 45–68.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BLAŽEJOVSKÝ, Jaromír. Přes hranice času i žánru.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Rovnost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11. srpna 1977, roč. 92, č. 188, s. 5.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Elektronická verze tištěného zdroje: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Citace je identická jako u tištěného zdroje (ať už jde o monografii, školní práci, příspěvek ve sborníku nebo příspěvek v periodiku), nicméně přidává se několik údajů navíc za tečku: V hranatých závorkách druh nosiče – např. [Online databáze] či [DVD], Datum </w:t>
      </w:r>
      <w:r w:rsidR="0023024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online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publikování [je-li známo, za zkratkou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Pub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.].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BURNETT, Colin. </w:t>
      </w:r>
      <w:proofErr w:type="spellStart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The</w:t>
      </w:r>
      <w:proofErr w:type="spellEnd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</w:t>
      </w:r>
      <w:proofErr w:type="spellStart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Invention</w:t>
      </w:r>
      <w:proofErr w:type="spellEnd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</w:t>
      </w:r>
      <w:proofErr w:type="spellStart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of</w:t>
      </w:r>
      <w:proofErr w:type="spellEnd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Robert </w:t>
      </w:r>
      <w:proofErr w:type="spellStart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Bresson</w:t>
      </w:r>
      <w:proofErr w:type="spellEnd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: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Auteur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and His Market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Bloomington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: Indiana University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Press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, 2017. [Online databáze EBSCO],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Pub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2017.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DVOŘÁČKOVÁ, Markéta. Město a film - prostor města jako rozdělený, přidělený a vlastněný. Brno, 2001. Diplomová práce. Filozofická fakulta Masarykovy univerzity. Vedoucí práce Jaromír Blažejovský. [Online archiv závěrečných prací MU],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Pub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2008.</w:t>
      </w:r>
    </w:p>
    <w:p w:rsidR="00A92662" w:rsidRPr="00161E76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RÁDL, Otto. Pro mluvený film. </w:t>
      </w:r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Studio: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Měsíční revue pro filmové umění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3. 4. 1930, Roč. 2, č. 3, s. 65–68. [Online databáze Kramerius NFA].</w:t>
      </w:r>
    </w:p>
    <w:p w:rsidR="00A92662" w:rsidRPr="008760EF" w:rsidRDefault="00161E76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Webové stránky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PŘÍJMENÍ, Jméno autora příspěvku [je-li znám]. Název příspěvku: Podnázev příspěvku [jde-li o příspěvek].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Název webové stránky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Datum publikování [je-li známo, za zkratkou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Pub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.], Datum aktualizace [je-li známo, za zkratkou Akt.]</w:t>
      </w:r>
      <w:r w:rsidR="00161E7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[</w:t>
      </w:r>
      <w:r w:rsidR="00F85B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Vid</w:t>
      </w:r>
      <w:r w:rsidR="00161E7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DD. MM. RRRR]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="00161E7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Dostupné z</w:t>
      </w:r>
      <w:r w:rsidR="00CC3A95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: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ú</w:t>
      </w:r>
      <w:r w:rsidR="00CC3A95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plný odkaz na webovou stránku</w:t>
      </w:r>
      <w:r w:rsidR="00D41A5E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[je-li dostupný odkaz na číslo DOI, preferujeme ten]</w:t>
      </w:r>
    </w:p>
    <w:p w:rsidR="00C865C0" w:rsidRPr="00E963B0" w:rsidRDefault="00C865C0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KOKEŠ, Radomír D. </w:t>
      </w:r>
      <w:r w:rsidRPr="00E963B0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Počítadlo filmových záběrů / Film-Shot-</w:t>
      </w:r>
      <w:proofErr w:type="spellStart"/>
      <w:r w:rsidRPr="00E963B0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Counter</w:t>
      </w:r>
      <w:proofErr w:type="spellEnd"/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Akt. 11. 8. 2019 [Cit. 28. 8. 2019]. Dostupné z: www.douglaskokes.cz/pdz/ </w:t>
      </w:r>
    </w:p>
    <w:p w:rsidR="00A92662" w:rsidRPr="0057534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BORDWELL, David. Nolan vs. Nolan. </w:t>
      </w:r>
      <w:r w:rsidRPr="00E963B0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Observations on Film Art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</w:t>
      </w:r>
      <w:proofErr w:type="spellStart"/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Pub</w:t>
      </w:r>
      <w:proofErr w:type="spellEnd"/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19.</w:t>
      </w:r>
      <w:r w:rsidR="007F26EC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 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8. 2012, Akt. 27. 8. 2012</w:t>
      </w:r>
      <w:r w:rsidR="00161E76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[</w:t>
      </w:r>
      <w:r w:rsidR="00F85BED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Vid</w:t>
      </w:r>
      <w:r w:rsidR="00161E76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28. 8. 2019]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</w:t>
      </w:r>
      <w:r w:rsidR="0023024D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Dostupné z: 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http://www.davidbordwell.net/</w:t>
      </w:r>
      <w:r w:rsidR="0023024D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blog/2012/08/19/nolan-vs-nolan/</w:t>
      </w:r>
    </w:p>
    <w:p w:rsidR="0057534F" w:rsidRPr="00E963B0" w:rsidRDefault="0057534F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>
        <w:rPr>
          <w:rFonts w:ascii="Cambria" w:eastAsia="Times New Roman" w:hAnsi="Cambria" w:cs="Times New Roman"/>
          <w:sz w:val="23"/>
          <w:szCs w:val="23"/>
          <w:lang w:eastAsia="cs-CZ"/>
        </w:rPr>
        <w:lastRenderedPageBreak/>
        <w:t xml:space="preserve">HEFTBERGER, </w:t>
      </w:r>
      <w:proofErr w:type="spellStart"/>
      <w:r>
        <w:rPr>
          <w:rFonts w:ascii="Cambria" w:eastAsia="Times New Roman" w:hAnsi="Cambria" w:cs="Times New Roman"/>
          <w:sz w:val="23"/>
          <w:szCs w:val="23"/>
          <w:lang w:eastAsia="cs-CZ"/>
        </w:rPr>
        <w:t>Adelheid</w:t>
      </w:r>
      <w:proofErr w:type="spellEnd"/>
      <w:r>
        <w:rPr>
          <w:rFonts w:ascii="Cambria" w:eastAsia="Times New Roman" w:hAnsi="Cambria" w:cs="Times New Roman"/>
          <w:sz w:val="23"/>
          <w:szCs w:val="23"/>
          <w:lang w:eastAsia="cs-CZ"/>
        </w:rPr>
        <w:t xml:space="preserve">. </w:t>
      </w:r>
      <w:proofErr w:type="spellStart"/>
      <w:r w:rsidRPr="0057534F">
        <w:rPr>
          <w:rFonts w:ascii="Cambria" w:eastAsia="Times New Roman" w:hAnsi="Cambria" w:cs="Times New Roman"/>
          <w:i/>
          <w:sz w:val="23"/>
          <w:szCs w:val="23"/>
          <w:lang w:eastAsia="cs-CZ"/>
        </w:rPr>
        <w:t>Stekliannyi</w:t>
      </w:r>
      <w:proofErr w:type="spellEnd"/>
      <w:r w:rsidRPr="0057534F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 </w:t>
      </w:r>
      <w:proofErr w:type="spellStart"/>
      <w:r w:rsidRPr="0057534F">
        <w:rPr>
          <w:rFonts w:ascii="Cambria" w:eastAsia="Times New Roman" w:hAnsi="Cambria" w:cs="Times New Roman"/>
          <w:i/>
          <w:sz w:val="23"/>
          <w:szCs w:val="23"/>
          <w:lang w:eastAsia="cs-CZ"/>
        </w:rPr>
        <w:t>Glaz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(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The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Glass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Eye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) and </w:t>
      </w:r>
      <w:proofErr w:type="spellStart"/>
      <w:r w:rsidRPr="0057534F">
        <w:rPr>
          <w:rFonts w:ascii="Cambria" w:eastAsia="Times New Roman" w:hAnsi="Cambria" w:cs="Times New Roman"/>
          <w:i/>
          <w:sz w:val="23"/>
          <w:szCs w:val="23"/>
          <w:lang w:eastAsia="cs-CZ"/>
        </w:rPr>
        <w:t>Karmen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–</w:t>
      </w:r>
      <w:r>
        <w:rPr>
          <w:rFonts w:ascii="Cambria" w:eastAsia="Times New Roman" w:hAnsi="Cambria" w:cs="Times New Roman"/>
          <w:sz w:val="23"/>
          <w:szCs w:val="23"/>
          <w:lang w:eastAsia="cs-CZ"/>
        </w:rPr>
        <w:t> 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The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Actress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, Editor and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Director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Lilia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Brik</w:t>
      </w:r>
      <w:proofErr w:type="spellEnd"/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 xml:space="preserve">. </w:t>
      </w:r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Apparatus</w:t>
      </w:r>
      <w:r w:rsidR="00212942">
        <w:rPr>
          <w:rFonts w:ascii="Cambria" w:eastAsia="Times New Roman" w:hAnsi="Cambria" w:cs="Times New Roman"/>
          <w:i/>
          <w:sz w:val="23"/>
          <w:szCs w:val="23"/>
          <w:lang w:eastAsia="cs-CZ"/>
        </w:rPr>
        <w:t>:</w:t>
      </w:r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Film, Media and Digital </w:t>
      </w:r>
      <w:proofErr w:type="spellStart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Cultures</w:t>
      </w:r>
      <w:proofErr w:type="spellEnd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 in </w:t>
      </w:r>
      <w:proofErr w:type="spellStart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Central</w:t>
      </w:r>
      <w:proofErr w:type="spellEnd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 and </w:t>
      </w:r>
      <w:proofErr w:type="spellStart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Eastern</w:t>
      </w:r>
      <w:proofErr w:type="spellEnd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 </w:t>
      </w:r>
      <w:proofErr w:type="spellStart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Europe</w:t>
      </w:r>
      <w:proofErr w:type="spellEnd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.</w:t>
      </w:r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proofErr w:type="spellStart"/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>Pub</w:t>
      </w:r>
      <w:proofErr w:type="spellEnd"/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 xml:space="preserve">. 2018 (č. 6) </w:t>
      </w:r>
      <w:r w:rsidR="00E65595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[</w:t>
      </w:r>
      <w:r w:rsidR="00E65595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Vid</w:t>
      </w:r>
      <w:r w:rsidR="00E65595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28. 8. 2019].</w:t>
      </w:r>
      <w:r w:rsidR="00E65595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Dostupné z: </w:t>
      </w:r>
      <w:r w:rsidR="00E65595" w:rsidRPr="00E65595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http://dx.doi.org/10.17892/app.2018.0006.121</w:t>
      </w:r>
    </w:p>
    <w:p w:rsidR="00A92662" w:rsidRPr="00E963B0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E963B0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Metodika tvorby bibliografických citací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</w:t>
      </w:r>
      <w:r w:rsidR="00161E76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[</w:t>
      </w:r>
      <w:r w:rsidR="00F85BED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Vid</w:t>
      </w:r>
      <w:r w:rsidR="00161E76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28. 8. 2019] Dostupné z</w:t>
      </w:r>
      <w:r w:rsidR="0023024D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: 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https://is.muni.cz/do/rect/el/estud/prif/ps11/metodika/web/ebook_citace_2011.html#</w:t>
      </w:r>
    </w:p>
    <w:p w:rsidR="00D43C32" w:rsidRPr="008760EF" w:rsidRDefault="00D43C3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Práce s archivními zdroji: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Odkaz na archivní zdroje vpisujeme stejně jako </w:t>
      </w:r>
      <w:r w:rsidR="00D41A5E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odkaz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nearchivní zdroje do poznámky pod čarou.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Struktura odkazu na archivní zdroj ze zpracovaného fondu:</w:t>
      </w:r>
    </w:p>
    <w:p w:rsidR="00A92662" w:rsidRPr="001624ED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Oficiální jméno archivu, a to při prvním výskytu celým názvem, dále v zavedené zkratce</w:t>
      </w:r>
      <w:r w:rsid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[viz níže]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za zkratkou „f.“ </w:t>
      </w:r>
      <w:r w:rsidR="0004448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Název fondu 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dle oficiálního označení </w:t>
      </w:r>
      <w:r w:rsidR="0004448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–</w:t>
      </w:r>
      <w:r w:rsidR="00885FD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</w:t>
      </w:r>
      <w:r w:rsidR="0004448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zpracovaných fondů bý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vá uvedeno v inventáři], č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íslo kartonu za zkratkou „k.“, příp. ještě upřesňující informaci o jeho části, např.</w:t>
      </w:r>
      <w:r w:rsidR="00945C15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složce, i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nventární číslo „</w:t>
      </w:r>
      <w:proofErr w:type="spellStart"/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</w:t>
      </w:r>
      <w:proofErr w:type="spellEnd"/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č.“ nebo jednací číslo „čj.“ nebo „č.“ 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dle značení v dan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ém archivu], 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Název či popis dokumentu, místo, datace, u korespondence kdo komu, u 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rozhovoru kdo s kým.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 případě, že se odkazuje na dokument z nezpracovaného archivního fondu, uvádí se dle možností co nejúplnější údaje (dle výše uvedeného vzoru). Údaj, že jde o</w:t>
      </w:r>
      <w:r w:rsidR="00970364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nezpracovaný fond, se (obvykle) uvádí jako systémový údaj v bibliografickém soupisu (nikoli v každém odkazu v textu, viz dále).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Praxe v jednotlivých archivech se liší, proto platí klíčová zásada: používáme vždy přesně takového značení a v takovém pořadí, jak je vedeno v daném archivu. Například může jedno jednací číslo obsahovat více kartonů, a tudíž se píše nejprve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inv.č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/ čj. a až poté k., nebo za názvem/číslem fondu následuje signatura „sign.“ apod.</w:t>
      </w:r>
    </w:p>
    <w:p w:rsidR="00A92662" w:rsidRPr="001624ED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Povinnými údaji jsou archiv a fond; další údaje se mohou vyskytovat ve více alternativách (k., čj., sign.), nebo mohou na straně archivu chybět.</w:t>
      </w:r>
    </w:p>
    <w:p w:rsidR="001624ED" w:rsidRPr="008760EF" w:rsidRDefault="001624ED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Některé zavedené zkratky archivů jsou: 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NFA = Národní filmový archiv, NA</w:t>
      </w:r>
      <w:r w:rsidR="00F91E53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=</w:t>
      </w:r>
      <w:r w:rsidR="00F91E53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Národní archiv (dříve SÚA = Státní ústřední archiv), SOA = Státní oblastní archiv, </w:t>
      </w:r>
      <w:proofErr w:type="spellStart"/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SOkA</w:t>
      </w:r>
      <w:proofErr w:type="spellEnd"/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= Státní okresní archiv, MZA = Moravský zemský archiv (Brno), AMB = Archiv města Brna, AMV = Archiv ministerstva vnitra, AMZV = Archiv ministerstva zahraničních věcí, APF ČT = Archiv programových fondů České televize, aj.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Následují příklady: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NFA, f. Slaviafilm a.s., k. 1., sign. I/c - Protokoly valných hromad,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č. 11, Protokol z IX. valné hromady, 17. 12. 1931.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SOkA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f. Městský národní výbor Prostějov [nezpracováno], Kino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Palace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č. 2062, k. 3167/217.</w:t>
      </w:r>
    </w:p>
    <w:p w:rsidR="00D41A5E" w:rsidRPr="00D41A5E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AMZV, III. sekce 1918–1939, k. 400, složka Osvěta, čj. 13.602/1934, Dopis ministerstva obchodu prezidiu ministerstva vnitra, Praha, 27. 1. 1934.</w:t>
      </w:r>
    </w:p>
    <w:p w:rsidR="00D41A5E" w:rsidRDefault="00D41A5E" w:rsidP="00BC5828">
      <w:pPr>
        <w:spacing w:after="0" w:line="240" w:lineRule="auto"/>
        <w:ind w:left="-426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lastRenderedPageBreak/>
        <w:t>Rozlišení primárních a sekundárních zdrojů v jejich závěrečném soupisu: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 závěrečném soupisu zdrojů rozlišujeme mezi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zdroji primárními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(předmět výzkumu) a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zdroji sekundárními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(odborná literatura využitá k výzkumu).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Primární zdroje rozlišujeme na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archivní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publikované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audiovizuální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Primární zdroje budeme pro zjednodušení označovat a v soupisu zdrojů i řadit jako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Prameny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 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Archivními prameny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míníme dokumenty z veřejných archivů, případně další nepublikované či veřejně nepřístupné zdroje (audiovizuálně, zvukově či písemně zaznamenaný osobní rozhovor, korespondence, materiály ze soukromé sbírky, apod.). Podle potřeby se člení do dílčích kategorií: archivy a archivní fondy a sbírky (míněny veřejné oficiální archivy), soukromé sbírky, orální prameny, atd.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Publikovanými prameny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rozumíme prameny zveřejněné v kritických edicích v</w:t>
      </w:r>
      <w:r w:rsidR="001F65A9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odborných časopisech, knihách či v absolventských pracích, umělecké texty, zákony, statistiky, technické příručky, dobový periodický tisk a za určitých okolností i jednotlivé články v novinách a odborných časopisech (používáme-li je jako součást zkoumaného vzorku, a nikoli jako sekundární zdroje k výzkumu) nebo knihy, a dále zdroje obecně informativní </w:t>
      </w:r>
      <w:r w:rsidR="0027341A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–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bibliografické či filmografické databáze. Podle potřeby se člení do dílčích kategorií: edice, periodika, databáze ad. Publikované prameny a online zdroje zapisujeme podle pravidel výše.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Audiovizuálními prameny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jsou chápána audiovizuální díla, která posloužila jako předmět výzkumu či byla v této souvislosti zmíněna. Jde tedy o veškerá analyzovaná  či citovaná díla v práci, která jen zřídkakdy plní funkci sekundárních zdrojů (např. dokumenty o dějinách kinemat</w:t>
      </w:r>
      <w:r w:rsidR="00C6382A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ografie). Představují nicméně v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našem oboru natolik specifickou kategorii, že je řadíme samostatně až za bibliografii (viz níže) jakožto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Audiovizuální díla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(viz níže).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Zápis archivních pramenů z veřejných archivů v závěrečném soupisu obsahuje: oficiální plný název archivu a za ním po čárce následuje oficiální plný název fondu, případně i jeho části (nikoli již jednotlivé dokumenty z těchto fondů, které mají být uvedeny v poznámkách pod čarou v textu). Pokud používáme audiovizuální dokumenty z veřejného archivu, platí zde stejná pravidla jako pro písemné archivní dokumenty.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Zápis orálních pramenů v závěrečném soupisu primárních zdrojů uvádíme v</w:t>
      </w:r>
      <w:r w:rsidR="00332E64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samostatné kategorii. Nutno vždy uvést, jak je daný rozhovor zachycen a</w:t>
      </w:r>
      <w:r w:rsidR="00C84B51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uchován (například zvukový záznam či audiovizuální záznam) a kde je daný pramen uložen.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 případě nezpracovaných fondů tento údaj uvádíme do hranaté závorky za provizorní nebo popisný název fondu ve formě: [nezpracováno].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Uvádíme-li více fondů z jednoho archivu, název archivu napíšeme jednou jako nadpis a dále již jen vypisujeme jednotlivé fondy, jež podřadíme abecedně.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Konkrétní příklady zápisů z archivních fondů:</w:t>
      </w:r>
    </w:p>
    <w:p w:rsidR="00A92662" w:rsidRPr="00BC5828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Moravský zemský archiv (MZA), Brno (pracoviště Zlín), fond Baťa, a. s. Zlín, Osobní oddělení, II/6 – Publikace, tiskoviny.</w:t>
      </w:r>
    </w:p>
    <w:p w:rsidR="00BC5828" w:rsidRDefault="00BC5828" w:rsidP="00BC5828">
      <w:pPr>
        <w:pStyle w:val="Odstavecseseznamem"/>
        <w:spacing w:after="140" w:line="240" w:lineRule="auto"/>
        <w:ind w:left="1440"/>
        <w:contextualSpacing w:val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:rsidR="00BC5828" w:rsidRPr="008760EF" w:rsidRDefault="00BC5828" w:rsidP="00BC5828">
      <w:pPr>
        <w:pStyle w:val="Odstavecseseznamem"/>
        <w:spacing w:after="140" w:line="240" w:lineRule="auto"/>
        <w:ind w:left="1440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Národní filmový archiv (NFA), Praha</w:t>
      </w:r>
    </w:p>
    <w:p w:rsidR="00A92662" w:rsidRPr="008760EF" w:rsidRDefault="00A92662" w:rsidP="00BC5828">
      <w:pPr>
        <w:spacing w:after="140" w:line="240" w:lineRule="auto"/>
        <w:ind w:left="216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f. Prag-Film A. G. (A-B, akciové filmové továrny, a. s.), k.  16, sign. III/e - Filmový ateliér Barrandov (1931-červenec 1939).</w:t>
      </w:r>
    </w:p>
    <w:p w:rsidR="00A92662" w:rsidRPr="008760EF" w:rsidRDefault="00A92662" w:rsidP="00BC5828">
      <w:pPr>
        <w:spacing w:after="140" w:line="240" w:lineRule="auto"/>
        <w:ind w:left="216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f. Český dokumentární film I, 1898–1991.</w:t>
      </w:r>
    </w:p>
    <w:p w:rsidR="00A92662" w:rsidRPr="008760EF" w:rsidRDefault="00A92662" w:rsidP="00BC5828">
      <w:pPr>
        <w:pStyle w:val="Odstavecseseznamem"/>
        <w:numPr>
          <w:ilvl w:val="0"/>
          <w:numId w:val="1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Příklad NFA ukazuje, jak postupovat v případě, že z jednoho archivu uvádíme více fondů – název archivu netřeba opakovat u každé položky zvlášť, stačí jej uvést v záhlaví jednou.</w:t>
      </w:r>
    </w:p>
    <w:p w:rsidR="00F54564" w:rsidRPr="008760EF" w:rsidRDefault="00F54564" w:rsidP="00BC5828">
      <w:pPr>
        <w:pStyle w:val="Odstavecseseznamem"/>
        <w:numPr>
          <w:ilvl w:val="1"/>
          <w:numId w:val="14"/>
        </w:numPr>
        <w:spacing w:after="140" w:line="240" w:lineRule="auto"/>
        <w:ind w:left="709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Konkrétní příklad zápisu z mimoarchivních fondů (včetně soukromých):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Osobní fond Vojtěcha Jasného, uloženo na Ústavu filmu a audiovizuální kultury, Masarykova univerzita – Filozofická fakulta, Brno.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Konkrétní příklad zápisu orálních pramenů (osobního rozhovoru):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HACKENSCHMIED, Alexander: 21. září 2000 (New York), rozhovor vedl Jiří Voráč (zvukový záznam je uložen ve sbírce Filmový exil na Ústavu filmu a</w:t>
      </w:r>
      <w:r w:rsidR="00CA5B2C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="009732E8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udiovizuální kultury, Masarykova univerzita – Filozofická fakulta, Brno) [nezpracováno].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Konkrétní příklad zápisu právního nařízení: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Vyhláška ministra průmyslu, obchodu a živností ze dne 9. listopadu 1931, č.j. 129/606/31, o přeřazení dovozu osvětlených kinematografických hraných zvukových filmů sazeb. čís. ex 361c) do povolovacího řízení. In:</w:t>
      </w:r>
      <w:r w:rsidR="009732E8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ěstník ministerstva průmyslu, obchodu a živností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1931, č. 12, s. 22.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Konkrétní příklady zápisu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rešeršovaných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periodik: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Filmový kurýr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1929–1935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Film a doba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1960–1969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Sekundárními zdroji je zpravidla míněna odborná literatura (včetně elektronických zdrojů), a tak hovoříme o sekci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Bibliografie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již dále dělíme a v bibliografii i rozlišujeme na</w:t>
      </w:r>
      <w:r w:rsidR="00F54564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Citovanou literaturu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na kterou je v práci výslovně odkazováno, tj. je využita k</w:t>
      </w:r>
      <w:r w:rsidR="00E507A7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citaci, parafrázi či uvedena jako další zdroj informací ke zkoumanému problému.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Konzultovanou literaturu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která byla autorem práce prostudovaná a při vlastním výzkumu využitá, ačkoli nakonec není v práci výslovně citována či parafrázována.</w:t>
      </w:r>
    </w:p>
    <w:p w:rsidR="00A92662" w:rsidRPr="008760EF" w:rsidRDefault="00A9266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Zápis analyzovaných či citovaných audiovizuálních děl v závěrečném soupisu zdrojů: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Abecedně řazený seznam musí obsahovat všechny tituly (včetně dokumentů typu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making-of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propagačního videa, videoklipu ap.), které jsou v textu analyzovány či citovány.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Seznam audiovizuálních děl dělíme na dvě části.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Analyzovaná audiovizuální díla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 dílo či díla, která se staly předmětem soustředěnější analýzy, se uvádějí s podrobnými filmografickými údaji.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Citovaná audiovizuální díla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 všechny ostatní</w:t>
      </w:r>
      <w:r w:rsidR="0033193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v textu zmiňované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tituly se uvádějí ve formátu jen se základními údaji.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Díla řadíme pod tím titulem, který je používán v textu. Obvykle tedy pod českým (či slovenským) distribučním (nebo zavedeným) názvem, nebo pod názvem originálním.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Jak již bylo řečeno, distribuční název cizojazyčného díla zjišťujeme v tomto pořadí: 1)</w:t>
      </w:r>
      <w:r w:rsidR="00F54564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název z tuzemské kinodistribuce; 2)</w:t>
      </w:r>
      <w:r w:rsidR="008829F9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televizní název; 3)</w:t>
      </w:r>
      <w:r w:rsidR="008829F9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název z videodistribuce; 4)</w:t>
      </w:r>
      <w:r w:rsidR="00F54564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festivalový název. Pomocně nám může sloužit i název zavedený v textu důvěryhodného autora, v katalogu, referátu z festivalu, knihy apod. Pokud není možné dohledat název ani v jednom z uvedených zdrojů, doporučujeme se obrátit k zavedenému, všeobecně přijímanému mezinárodnímu názvu, existuje-li. Nenajdeme-li ani takový, zpravidla volíme pouze originální titul.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Jména osob a názvy institucí apod. vypisujeme v úplném znění; názvy států vypisujeme v</w:t>
      </w:r>
      <w:r w:rsidR="00DF196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českém (v případě prací ve slovenštině slovenském) zkráceném znění (Velká Británie, Maďarsko, Tchaj-wan) zkratky používáme jen ve zcela jasně zavedených případech (ČR, USA apod.).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Jako rok v případě audiovizuálních děl uvádíme rok ukončení výroby (primárně na základě copyrightu, viz výše). Pouze v případě děl, u nichž není možné rok výroby zjistit nebo jednoznačně určit, uvádíme rok prvního uvedení. U seriálových děl o více sezónách uvádíme rok začátku a konce výroby. Pokud seriálové dílo ještě ukončeno není, píšeme na místo druhého data za pomlčku otazník.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Jako formát uvádíme v případě analyzovaného díla základní technický popis obrazu a/nebo zvuku. V případě archivních filmů se popis týká konkrétní použité kopie (viz např.</w:t>
      </w:r>
      <w:r w:rsidR="00707587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katalog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Český hraný film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Délku filmu uvádíme striktně na základě verze, s níž jsme pracovali. Údaje o počtu minut tedy nepřebíráme z jiných zdrojů, jako jsou např. internetové databáze.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Audiovizuální analyzovaná či citovaná díla, v nichž se neuvádějí obvyklé filmografické údaje (například jméno režiséra v případě reklam, videoklipů, televizního zpravodajství či televizních seriálů), podle možností zapisujeme tak, aby struktura hesla odpovídala co nejvíce standardní podobě.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Formát zápisu analyzovaného díla (na příkladu díla filmového)</w:t>
      </w:r>
    </w:p>
    <w:p w:rsidR="00A92662" w:rsidRPr="008760EF" w:rsidRDefault="007E7B77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i/>
          <w:color w:val="000000"/>
          <w:sz w:val="24"/>
          <w:szCs w:val="24"/>
          <w:lang w:eastAsia="cs-CZ"/>
        </w:rPr>
        <w:t>Český d</w:t>
      </w:r>
      <w:r w:rsidR="00A92662" w:rsidRPr="00440BD3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cs-CZ"/>
        </w:rPr>
        <w:t>istribuční název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92662" w:rsidRPr="00175A4B">
        <w:rPr>
          <w:rFonts w:ascii="Cambria" w:eastAsia="Times New Roman" w:hAnsi="Cambria" w:cs="Times New Roman"/>
          <w:b/>
          <w:bCs/>
          <w:i/>
          <w:color w:val="000000"/>
          <w:sz w:val="24"/>
          <w:szCs w:val="24"/>
          <w:lang w:eastAsia="cs-CZ"/>
        </w:rPr>
        <w:t>tučnou kurzívou</w:t>
      </w:r>
      <w:r w:rsidR="00A92662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(</w:t>
      </w:r>
      <w:r w:rsidR="00A92662" w:rsidRPr="00BC5828">
        <w:rPr>
          <w:rFonts w:ascii="Cambria" w:eastAsia="Times New Roman" w:hAnsi="Cambria" w:cs="Times New Roman"/>
          <w:bCs/>
          <w:i/>
          <w:color w:val="000000"/>
          <w:sz w:val="24"/>
          <w:szCs w:val="24"/>
          <w:lang w:eastAsia="cs-CZ"/>
        </w:rPr>
        <w:t>původní název kurzívou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,</w:t>
      </w:r>
      <w:r w:rsidR="00A92662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Z</w:t>
      </w:r>
      <w:r w:rsidR="00A92662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emě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,</w:t>
      </w:r>
      <w:r w:rsidR="00A92662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rok výroby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)</w:t>
      </w:r>
    </w:p>
    <w:p w:rsidR="00A92662" w:rsidRPr="00BC5828" w:rsidRDefault="00A92662" w:rsidP="00BC5828">
      <w:pPr>
        <w:spacing w:after="14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Je-li dílo známo pod více zavedenými názvy, uvedou se další názvy za zkratkou </w:t>
      </w:r>
      <w:r w:rsidRPr="00BC582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„Aka“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na zvláštní řádek</w:t>
      </w:r>
      <w:r w:rsid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A92662" w:rsidRPr="008760EF" w:rsidRDefault="00BC5828" w:rsidP="00BC5828">
      <w:pPr>
        <w:spacing w:after="14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828">
        <w:rPr>
          <w:rFonts w:ascii="Cambria" w:eastAsia="Times New Roman" w:hAnsi="Cambria" w:cs="Times New Roman"/>
          <w:b/>
          <w:color w:val="000000"/>
          <w:sz w:val="24"/>
          <w:szCs w:val="24"/>
          <w:lang w:eastAsia="cs-CZ"/>
        </w:rPr>
        <w:t>R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ežie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N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ámět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cénář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K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amera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H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udba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: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S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třih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: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BC5828">
        <w:rPr>
          <w:rFonts w:ascii="Cambria" w:eastAsia="Times New Roman" w:hAnsi="Cambria" w:cs="Times New Roman"/>
          <w:b/>
          <w:color w:val="000000"/>
          <w:sz w:val="24"/>
          <w:szCs w:val="24"/>
          <w:lang w:eastAsia="cs-CZ"/>
        </w:rPr>
        <w:t>H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rají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Jméno Příjmení herce či herečky (Jméno Příjmení postavy), Jméno Příjmení herce či herečky (Jméno Příjmení postavy) [Modelově uvedeny pouze dvě role,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 zápisu bude jejich v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ýčet přiměřený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potřebám konkrétního díla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Pořadí je třeba odvozovat od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 důležitosti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postav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ve filmu,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tedy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nekopírovat mechanicky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jména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 internetových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databází.]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421B5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Výroba:</w:t>
      </w:r>
      <w:r w:rsidR="00421B52" w:rsidRPr="00421B52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 w:rsidR="00421B52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N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ázev produkční společnosti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či názvy produkčních společností oddělených čárkou.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E52030" w:rsidRPr="00E52030">
        <w:rPr>
          <w:rFonts w:ascii="Cambria" w:eastAsia="Times New Roman" w:hAnsi="Cambria" w:cs="Times New Roman"/>
          <w:b/>
          <w:color w:val="000000"/>
          <w:sz w:val="24"/>
          <w:szCs w:val="24"/>
          <w:lang w:eastAsia="cs-CZ"/>
        </w:rPr>
        <w:t>F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ormát</w:t>
      </w:r>
      <w:r w:rsidR="00E5203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: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formát, na němž byl film natočen </w:t>
      </w:r>
      <w:r w:rsidR="003D3B7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[např. 16mm, 35mm, 70mm,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3D3B7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digitální formát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případně více formátů oddělených čárkou</w:t>
      </w:r>
      <w:r w:rsidR="003D3B7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kopie, s níž badatel pracoval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[např. DVD</w:t>
      </w:r>
      <w:r w:rsidR="004D6AA9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– nutno rozlišit PAL/NTSC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Blu-</w:t>
      </w:r>
      <w:r w:rsidR="00AE6B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r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ay, VHS, VOD, záznam z TV vysílání],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bar. / </w:t>
      </w:r>
      <w:proofErr w:type="spellStart"/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čb</w:t>
      </w:r>
      <w:proofErr w:type="spellEnd"/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barevný</w:t>
      </w:r>
      <w:r w:rsidR="00AE6B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/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černobílý obraz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poměr stran obrazu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výška: šířka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formát zvukového záznamu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 xml:space="preserve">jazyková verze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[v níž byl film natočen] nebo jazyk mezititulků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[v kopii, s níž badatel pracoval],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stopáž v minutách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[v kopii, s níž badatel pracoval;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 případě němého filmu doplnit do závorky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navíc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známou metráž kopie, případně i rychlost projekce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].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1509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remiéra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datum 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– místo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bylo-li dílo nejdříve uvedeno na festivalu, uvádíme nejdříve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datum 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 místo tohoto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uvedení a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až následně za čárku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datum 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a místo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distribučního uvedení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Následuj</w:t>
      </w:r>
      <w:r w:rsidR="00702B8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í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konkrétní příklad</w:t>
      </w:r>
      <w:r w:rsidR="00702B8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zápis</w:t>
      </w:r>
      <w:r w:rsidR="00702B8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analyzovan</w:t>
      </w:r>
      <w:r w:rsidR="00702B8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ého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filmov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ého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d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íla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10444B" w:rsidRPr="0010444B" w:rsidRDefault="00A92662" w:rsidP="0010444B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cs-CZ"/>
        </w:rPr>
        <w:t>Rudé písmeno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(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Scarlett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Letter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USA, 1926)</w:t>
      </w:r>
      <w:r w:rsid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</w:p>
    <w:p w:rsidR="00A92662" w:rsidRPr="0010444B" w:rsidRDefault="00A92662" w:rsidP="0010444B">
      <w:pPr>
        <w:pStyle w:val="Odstavecseseznamem"/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Režie: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Victor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Sjöström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(jako Victor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Seastrom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Námět: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Nathaniel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Hawthorne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(román </w:t>
      </w:r>
      <w:r w:rsidRPr="0010444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Šarlatové písmeno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Scénář: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Frances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Marionová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Kamera: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Hendrik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Sartov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Střih: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Hugh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Wynn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Hrají: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Lillian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Gishová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Hester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Prynnová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), Lars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Hanson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(reverend Arthur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Dimmesdale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), Henry B.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Walthall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(Roger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Prynne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), Karl Dane (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Giles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), William H.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Tooker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(guvernér). </w:t>
      </w:r>
      <w:r w:rsidR="00AE6BEF"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Výroba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Metro-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Goldwyn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-Mayer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Pictures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Formát: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35 mm</w:t>
      </w:r>
      <w:r w:rsidR="00A15096"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: </w:t>
      </w:r>
      <w:r w:rsidR="004D6AA9"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PAL  </w:t>
      </w:r>
      <w:r w:rsidR="00A15096"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DVD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čb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., 1: 1,37, němý, anglické mezititulky, 98 minut (2352 metrů při rychlosti projekce 21 okének za </w:t>
      </w:r>
      <w:r w:rsidR="00835315"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sekundu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Premiéra: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9. srpna 1926 –</w:t>
      </w:r>
      <w:r w:rsidR="008867F5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New York.</w:t>
      </w:r>
    </w:p>
    <w:p w:rsidR="00903A98" w:rsidRDefault="0010444B" w:rsidP="00254593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903A98">
        <w:rPr>
          <w:rFonts w:ascii="Cambria" w:eastAsia="Times New Roman" w:hAnsi="Cambria" w:cs="Times New Roman"/>
          <w:b/>
          <w:i/>
          <w:sz w:val="24"/>
          <w:szCs w:val="24"/>
          <w:lang w:eastAsia="cs-CZ"/>
        </w:rPr>
        <w:t>Bournův mýtus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r w:rsidRPr="00903A98">
        <w:rPr>
          <w:rFonts w:ascii="Cambria" w:eastAsia="Times New Roman" w:hAnsi="Cambria" w:cs="Times New Roman"/>
          <w:i/>
          <w:sz w:val="24"/>
          <w:szCs w:val="24"/>
          <w:lang w:eastAsia="cs-CZ"/>
        </w:rPr>
        <w:t>The Bourne Supremacy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, USA, 2004)</w:t>
      </w:r>
    </w:p>
    <w:p w:rsidR="004D6AA9" w:rsidRDefault="0010444B" w:rsidP="00903A98">
      <w:pPr>
        <w:pStyle w:val="Odstavecseseznamem"/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Režie: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Paul Greengrass.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Námět: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Robert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Ludlum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(román </w:t>
      </w:r>
      <w:proofErr w:type="spellStart"/>
      <w:r w:rsidRPr="00903A98">
        <w:rPr>
          <w:rFonts w:ascii="Cambria" w:eastAsia="Times New Roman" w:hAnsi="Cambria" w:cs="Times New Roman"/>
          <w:i/>
          <w:sz w:val="24"/>
          <w:szCs w:val="24"/>
          <w:lang w:eastAsia="cs-CZ"/>
        </w:rPr>
        <w:t>Bournův</w:t>
      </w:r>
      <w:proofErr w:type="spellEnd"/>
      <w:r w:rsidRPr="00903A98">
        <w:rPr>
          <w:rFonts w:ascii="Cambria" w:eastAsia="Times New Roman" w:hAnsi="Cambria" w:cs="Times New Roman"/>
          <w:i/>
          <w:sz w:val="24"/>
          <w:szCs w:val="24"/>
          <w:lang w:eastAsia="cs-CZ"/>
        </w:rPr>
        <w:t xml:space="preserve"> mýtus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Scénář: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Tony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Gilroy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Kamera: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Oliver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Wood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Střih: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Richard Pearson, Christopher Rouse.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Hrají: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Matt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Damon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Jason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Bourne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Franka Potenteová (Marie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Kreutzová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Joan Allenová (Pamela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Landyová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Brian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Cox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Ward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Abbott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Julie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Stilesová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Nicolette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"Nicky"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Parsonsová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Karel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Roden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(Jurij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Gretkov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), Karl Urban (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Kirill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Gabriel Mann (Danny Zorn).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Výroba: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Universal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Pictures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.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Formát: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35mm: Blu-ray, bar., 1: 2,39, anglicky,</w:t>
      </w:r>
      <w:r w:rsidR="00903A98"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rusky, německy,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108 minut (při rychlosti projekce 24 okének za sekundu, bez závěrečných titulků 101 minut).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Premiéra: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15. července 2004 – Los Angeles.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Následují konkrétní případy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citovaných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filmových děl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Občan Kane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(Citizen Kane; Orson Welles, USA, 1941)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Pro hrst dolarů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(Per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pugno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di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dollari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; Sergio Leone, Itálie, 1964)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Všichni dobří rodáci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(Vojtěch Jasný, Československo, 1968)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Následují konkrétní případy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citovaných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televizních seriálových děl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Dobrodružství kriminalistiky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(Československo / Západní Německo / Francie, 1989–1993)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Kriminálka Las Vegas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(CSI: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Crime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Scene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Investigation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; USA, 2000–2015)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Ulice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(Česká republika, 2005–?)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Následují konkrétní případy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citovaných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videoklipů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Jiří Suchý: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Včera neděle byla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(Ján Kadár, Československo, 1960)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Omega: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Gyöngyhajú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lány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(Maďarsko, 1969)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Aphex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Twin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Come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to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Daddy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Chris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Cunningham, Velká Británie, 1997)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Následuje konkrétní případ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citovaného televizního šotu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380282" w:rsidRPr="003A36DA" w:rsidRDefault="00A92662" w:rsidP="0000187B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3A36DA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Události v regionech</w:t>
      </w:r>
      <w:r w:rsidRPr="003A36DA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(ČT1, 26. června 2007, 19:25–19:40)</w:t>
      </w:r>
    </w:p>
    <w:sectPr w:rsidR="00380282" w:rsidRPr="003A36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797" w:rsidRDefault="00997797" w:rsidP="00724676">
      <w:pPr>
        <w:spacing w:after="0" w:line="240" w:lineRule="auto"/>
      </w:pPr>
      <w:r>
        <w:separator/>
      </w:r>
    </w:p>
  </w:endnote>
  <w:endnote w:type="continuationSeparator" w:id="0">
    <w:p w:rsidR="00997797" w:rsidRDefault="00997797" w:rsidP="0072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-733698165"/>
      <w:docPartObj>
        <w:docPartGallery w:val="Page Numbers (Bottom of Page)"/>
        <w:docPartUnique/>
      </w:docPartObj>
    </w:sdtPr>
    <w:sdtEndPr/>
    <w:sdtContent>
      <w:p w:rsidR="00724676" w:rsidRPr="008760EF" w:rsidRDefault="00724676">
        <w:pPr>
          <w:pStyle w:val="Zpat"/>
          <w:jc w:val="center"/>
          <w:rPr>
            <w:rFonts w:ascii="Cambria" w:hAnsi="Cambria"/>
          </w:rPr>
        </w:pPr>
        <w:r w:rsidRPr="008760EF">
          <w:rPr>
            <w:rFonts w:ascii="Cambria" w:hAnsi="Cambria"/>
          </w:rPr>
          <w:fldChar w:fldCharType="begin"/>
        </w:r>
        <w:r w:rsidRPr="008760EF">
          <w:rPr>
            <w:rFonts w:ascii="Cambria" w:hAnsi="Cambria"/>
          </w:rPr>
          <w:instrText>PAGE   \* MERGEFORMAT</w:instrText>
        </w:r>
        <w:r w:rsidRPr="008760EF">
          <w:rPr>
            <w:rFonts w:ascii="Cambria" w:hAnsi="Cambria"/>
          </w:rPr>
          <w:fldChar w:fldCharType="separate"/>
        </w:r>
        <w:r w:rsidR="00212942">
          <w:rPr>
            <w:rFonts w:ascii="Cambria" w:hAnsi="Cambria"/>
            <w:noProof/>
          </w:rPr>
          <w:t>8</w:t>
        </w:r>
        <w:r w:rsidRPr="008760EF">
          <w:rPr>
            <w:rFonts w:ascii="Cambria" w:hAnsi="Cambria"/>
          </w:rPr>
          <w:fldChar w:fldCharType="end"/>
        </w:r>
      </w:p>
    </w:sdtContent>
  </w:sdt>
  <w:p w:rsidR="00724676" w:rsidRPr="008760EF" w:rsidRDefault="00724676">
    <w:pPr>
      <w:pStyle w:val="Zpa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797" w:rsidRDefault="00997797" w:rsidP="00724676">
      <w:pPr>
        <w:spacing w:after="0" w:line="240" w:lineRule="auto"/>
      </w:pPr>
      <w:r>
        <w:separator/>
      </w:r>
    </w:p>
  </w:footnote>
  <w:footnote w:type="continuationSeparator" w:id="0">
    <w:p w:rsidR="00997797" w:rsidRDefault="00997797" w:rsidP="00724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EAA"/>
    <w:multiLevelType w:val="hybridMultilevel"/>
    <w:tmpl w:val="6CE04EC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50E6"/>
    <w:multiLevelType w:val="hybridMultilevel"/>
    <w:tmpl w:val="AAE46288"/>
    <w:lvl w:ilvl="0" w:tplc="EBBAE34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" w15:restartNumberingAfterBreak="0">
    <w:nsid w:val="13140DDA"/>
    <w:multiLevelType w:val="hybridMultilevel"/>
    <w:tmpl w:val="1B76D9B8"/>
    <w:lvl w:ilvl="0" w:tplc="EBBAE3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26C65"/>
    <w:multiLevelType w:val="hybridMultilevel"/>
    <w:tmpl w:val="E0AA87A2"/>
    <w:lvl w:ilvl="0" w:tplc="EBBAE3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410DF"/>
    <w:multiLevelType w:val="hybridMultilevel"/>
    <w:tmpl w:val="B69E6382"/>
    <w:lvl w:ilvl="0" w:tplc="65F0182E">
      <w:numFmt w:val="bullet"/>
      <w:lvlText w:val="-"/>
      <w:lvlJc w:val="left"/>
      <w:pPr>
        <w:ind w:left="-360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B2ADC"/>
    <w:multiLevelType w:val="hybridMultilevel"/>
    <w:tmpl w:val="D41CD79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3766687"/>
    <w:multiLevelType w:val="hybridMultilevel"/>
    <w:tmpl w:val="20B2C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41714"/>
    <w:multiLevelType w:val="hybridMultilevel"/>
    <w:tmpl w:val="39B6563E"/>
    <w:lvl w:ilvl="0" w:tplc="8F9CDC96">
      <w:numFmt w:val="bullet"/>
      <w:lvlText w:val="·"/>
      <w:lvlJc w:val="left"/>
      <w:pPr>
        <w:ind w:left="1776" w:hanging="360"/>
      </w:pPr>
      <w:rPr>
        <w:rFonts w:ascii="Cambria" w:eastAsia="Times New Roman" w:hAnsi="Cambria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8" w15:restartNumberingAfterBreak="0">
    <w:nsid w:val="426D08F2"/>
    <w:multiLevelType w:val="hybridMultilevel"/>
    <w:tmpl w:val="CBF4F0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63ABC"/>
    <w:multiLevelType w:val="hybridMultilevel"/>
    <w:tmpl w:val="E8521322"/>
    <w:lvl w:ilvl="0" w:tplc="65F0182E">
      <w:numFmt w:val="bullet"/>
      <w:lvlText w:val="-"/>
      <w:lvlJc w:val="left"/>
      <w:pPr>
        <w:ind w:left="-360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574E9"/>
    <w:multiLevelType w:val="hybridMultilevel"/>
    <w:tmpl w:val="D0E22692"/>
    <w:lvl w:ilvl="0" w:tplc="8F9CDC96">
      <w:numFmt w:val="bullet"/>
      <w:lvlText w:val="·"/>
      <w:lvlJc w:val="left"/>
      <w:pPr>
        <w:ind w:left="1776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1" w15:restartNumberingAfterBreak="0">
    <w:nsid w:val="484C5897"/>
    <w:multiLevelType w:val="hybridMultilevel"/>
    <w:tmpl w:val="A0B00F20"/>
    <w:lvl w:ilvl="0" w:tplc="0405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E12B5D"/>
    <w:multiLevelType w:val="hybridMultilevel"/>
    <w:tmpl w:val="0866A304"/>
    <w:lvl w:ilvl="0" w:tplc="65F0182E">
      <w:numFmt w:val="bullet"/>
      <w:lvlText w:val="-"/>
      <w:lvlJc w:val="left"/>
      <w:pPr>
        <w:ind w:left="0" w:hanging="360"/>
      </w:pPr>
      <w:rPr>
        <w:rFonts w:ascii="Cambria" w:eastAsia="Times New Roman" w:hAnsi="Cambria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D3E2F36">
      <w:numFmt w:val="bullet"/>
      <w:lvlText w:val="·"/>
      <w:lvlJc w:val="left"/>
      <w:pPr>
        <w:ind w:left="2880" w:hanging="360"/>
      </w:pPr>
      <w:rPr>
        <w:rFonts w:ascii="Cambria" w:eastAsia="Times New Roman" w:hAnsi="Cambria" w:cs="Times New Roman" w:hint="default"/>
        <w:color w:val="000000"/>
        <w:sz w:val="24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7A7A20"/>
    <w:multiLevelType w:val="hybridMultilevel"/>
    <w:tmpl w:val="F500B360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8602B62"/>
    <w:multiLevelType w:val="hybridMultilevel"/>
    <w:tmpl w:val="1FB2611A"/>
    <w:lvl w:ilvl="0" w:tplc="EBBAE3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73291"/>
    <w:multiLevelType w:val="hybridMultilevel"/>
    <w:tmpl w:val="464407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596DAD"/>
    <w:multiLevelType w:val="hybridMultilevel"/>
    <w:tmpl w:val="914C863E"/>
    <w:lvl w:ilvl="0" w:tplc="8F9CDC96">
      <w:numFmt w:val="bullet"/>
      <w:lvlText w:val="·"/>
      <w:lvlJc w:val="left"/>
      <w:pPr>
        <w:ind w:left="2160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410CB"/>
    <w:multiLevelType w:val="hybridMultilevel"/>
    <w:tmpl w:val="AD24AF24"/>
    <w:lvl w:ilvl="0" w:tplc="EBBAE3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7D55"/>
    <w:multiLevelType w:val="hybridMultilevel"/>
    <w:tmpl w:val="04BE63EA"/>
    <w:lvl w:ilvl="0" w:tplc="8F9CDC96">
      <w:numFmt w:val="bullet"/>
      <w:lvlText w:val="·"/>
      <w:lvlJc w:val="left"/>
      <w:pPr>
        <w:ind w:left="2160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9493653"/>
    <w:multiLevelType w:val="hybridMultilevel"/>
    <w:tmpl w:val="8BB6706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2"/>
  </w:num>
  <w:num w:numId="5">
    <w:abstractNumId w:val="3"/>
  </w:num>
  <w:num w:numId="6">
    <w:abstractNumId w:val="2"/>
  </w:num>
  <w:num w:numId="7">
    <w:abstractNumId w:val="19"/>
  </w:num>
  <w:num w:numId="8">
    <w:abstractNumId w:val="0"/>
  </w:num>
  <w:num w:numId="9">
    <w:abstractNumId w:val="13"/>
  </w:num>
  <w:num w:numId="10">
    <w:abstractNumId w:val="18"/>
  </w:num>
  <w:num w:numId="11">
    <w:abstractNumId w:val="7"/>
  </w:num>
  <w:num w:numId="12">
    <w:abstractNumId w:val="16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9"/>
  </w:num>
  <w:num w:numId="18">
    <w:abstractNumId w:val="15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zMDQxMzK1NDS0sDRR0lEKTi0uzszPAykwrwUAhjZazCwAAAA="/>
  </w:docVars>
  <w:rsids>
    <w:rsidRoot w:val="00A92662"/>
    <w:rsid w:val="00004514"/>
    <w:rsid w:val="00004E55"/>
    <w:rsid w:val="0002250B"/>
    <w:rsid w:val="0003253F"/>
    <w:rsid w:val="00044480"/>
    <w:rsid w:val="00044625"/>
    <w:rsid w:val="0004766E"/>
    <w:rsid w:val="00061703"/>
    <w:rsid w:val="000D1DD9"/>
    <w:rsid w:val="000F00F0"/>
    <w:rsid w:val="000F7D87"/>
    <w:rsid w:val="001012C3"/>
    <w:rsid w:val="0010444B"/>
    <w:rsid w:val="00161E76"/>
    <w:rsid w:val="001624ED"/>
    <w:rsid w:val="00162C67"/>
    <w:rsid w:val="00175A4B"/>
    <w:rsid w:val="00176799"/>
    <w:rsid w:val="00180078"/>
    <w:rsid w:val="00180E2B"/>
    <w:rsid w:val="001A52A2"/>
    <w:rsid w:val="001F27B9"/>
    <w:rsid w:val="001F65A9"/>
    <w:rsid w:val="002125E5"/>
    <w:rsid w:val="00212942"/>
    <w:rsid w:val="00226014"/>
    <w:rsid w:val="0023024D"/>
    <w:rsid w:val="00233FD4"/>
    <w:rsid w:val="002353BA"/>
    <w:rsid w:val="00245952"/>
    <w:rsid w:val="0027341A"/>
    <w:rsid w:val="002C21B0"/>
    <w:rsid w:val="002C3CAD"/>
    <w:rsid w:val="002F760A"/>
    <w:rsid w:val="00320D92"/>
    <w:rsid w:val="0033193B"/>
    <w:rsid w:val="00332E64"/>
    <w:rsid w:val="00341135"/>
    <w:rsid w:val="003743B6"/>
    <w:rsid w:val="00380282"/>
    <w:rsid w:val="00396218"/>
    <w:rsid w:val="003A2230"/>
    <w:rsid w:val="003A36DA"/>
    <w:rsid w:val="003D3B71"/>
    <w:rsid w:val="00407AE2"/>
    <w:rsid w:val="00421B52"/>
    <w:rsid w:val="00433DB9"/>
    <w:rsid w:val="00440BD3"/>
    <w:rsid w:val="004531C5"/>
    <w:rsid w:val="0045542E"/>
    <w:rsid w:val="00481FB4"/>
    <w:rsid w:val="004900F2"/>
    <w:rsid w:val="0049163B"/>
    <w:rsid w:val="004A47FC"/>
    <w:rsid w:val="004C5FB4"/>
    <w:rsid w:val="004D530C"/>
    <w:rsid w:val="004D6AA9"/>
    <w:rsid w:val="004D7CEC"/>
    <w:rsid w:val="004E371C"/>
    <w:rsid w:val="00532DAF"/>
    <w:rsid w:val="0053680B"/>
    <w:rsid w:val="005425E9"/>
    <w:rsid w:val="00554474"/>
    <w:rsid w:val="005640E1"/>
    <w:rsid w:val="0057534F"/>
    <w:rsid w:val="005A224F"/>
    <w:rsid w:val="005A7BE4"/>
    <w:rsid w:val="005E0E4E"/>
    <w:rsid w:val="00647266"/>
    <w:rsid w:val="0064773C"/>
    <w:rsid w:val="00661750"/>
    <w:rsid w:val="006638BD"/>
    <w:rsid w:val="006754AD"/>
    <w:rsid w:val="00695369"/>
    <w:rsid w:val="006A77C3"/>
    <w:rsid w:val="006C5E90"/>
    <w:rsid w:val="006D04D9"/>
    <w:rsid w:val="006D7696"/>
    <w:rsid w:val="00702B84"/>
    <w:rsid w:val="00707587"/>
    <w:rsid w:val="00716A35"/>
    <w:rsid w:val="00724676"/>
    <w:rsid w:val="00732489"/>
    <w:rsid w:val="00734151"/>
    <w:rsid w:val="00735214"/>
    <w:rsid w:val="00751880"/>
    <w:rsid w:val="0077119A"/>
    <w:rsid w:val="00790001"/>
    <w:rsid w:val="007A5309"/>
    <w:rsid w:val="007A7600"/>
    <w:rsid w:val="007E7B77"/>
    <w:rsid w:val="007F26EC"/>
    <w:rsid w:val="008152B7"/>
    <w:rsid w:val="00823319"/>
    <w:rsid w:val="00835315"/>
    <w:rsid w:val="00871FD0"/>
    <w:rsid w:val="008760EF"/>
    <w:rsid w:val="008829F9"/>
    <w:rsid w:val="00885FD8"/>
    <w:rsid w:val="008867F5"/>
    <w:rsid w:val="00887E2A"/>
    <w:rsid w:val="00892102"/>
    <w:rsid w:val="00894E0B"/>
    <w:rsid w:val="008A18ED"/>
    <w:rsid w:val="008B1783"/>
    <w:rsid w:val="008B59C2"/>
    <w:rsid w:val="0090063D"/>
    <w:rsid w:val="00903A98"/>
    <w:rsid w:val="00941B62"/>
    <w:rsid w:val="00945C15"/>
    <w:rsid w:val="00951F1A"/>
    <w:rsid w:val="00957A2E"/>
    <w:rsid w:val="00970364"/>
    <w:rsid w:val="009732E8"/>
    <w:rsid w:val="00983ABE"/>
    <w:rsid w:val="00997797"/>
    <w:rsid w:val="009B1722"/>
    <w:rsid w:val="009C33BB"/>
    <w:rsid w:val="009D4AD1"/>
    <w:rsid w:val="009E7585"/>
    <w:rsid w:val="009E7DA5"/>
    <w:rsid w:val="009F23B3"/>
    <w:rsid w:val="00A12456"/>
    <w:rsid w:val="00A1334E"/>
    <w:rsid w:val="00A15096"/>
    <w:rsid w:val="00A41179"/>
    <w:rsid w:val="00A52B6D"/>
    <w:rsid w:val="00A7266C"/>
    <w:rsid w:val="00A92662"/>
    <w:rsid w:val="00AA2765"/>
    <w:rsid w:val="00AC1D8B"/>
    <w:rsid w:val="00AC52E6"/>
    <w:rsid w:val="00AE6BEF"/>
    <w:rsid w:val="00AF126E"/>
    <w:rsid w:val="00AF129C"/>
    <w:rsid w:val="00B11C13"/>
    <w:rsid w:val="00B1784B"/>
    <w:rsid w:val="00B32E20"/>
    <w:rsid w:val="00B4302E"/>
    <w:rsid w:val="00B854CF"/>
    <w:rsid w:val="00BB1695"/>
    <w:rsid w:val="00BC0A32"/>
    <w:rsid w:val="00BC4230"/>
    <w:rsid w:val="00BC5828"/>
    <w:rsid w:val="00BD0FFF"/>
    <w:rsid w:val="00BE4C5B"/>
    <w:rsid w:val="00BE5154"/>
    <w:rsid w:val="00BF332A"/>
    <w:rsid w:val="00BF7098"/>
    <w:rsid w:val="00BF733D"/>
    <w:rsid w:val="00C021EF"/>
    <w:rsid w:val="00C2736F"/>
    <w:rsid w:val="00C52AFC"/>
    <w:rsid w:val="00C6382A"/>
    <w:rsid w:val="00C70EBA"/>
    <w:rsid w:val="00C806D4"/>
    <w:rsid w:val="00C84B51"/>
    <w:rsid w:val="00C865C0"/>
    <w:rsid w:val="00C93864"/>
    <w:rsid w:val="00CA5B2C"/>
    <w:rsid w:val="00CC3A95"/>
    <w:rsid w:val="00CC63CD"/>
    <w:rsid w:val="00D20BC9"/>
    <w:rsid w:val="00D41A5E"/>
    <w:rsid w:val="00D43C32"/>
    <w:rsid w:val="00D51130"/>
    <w:rsid w:val="00D74F66"/>
    <w:rsid w:val="00DC3E00"/>
    <w:rsid w:val="00DD3190"/>
    <w:rsid w:val="00DD3E0E"/>
    <w:rsid w:val="00DD6F28"/>
    <w:rsid w:val="00DF1965"/>
    <w:rsid w:val="00DF6F7D"/>
    <w:rsid w:val="00E331ED"/>
    <w:rsid w:val="00E507A7"/>
    <w:rsid w:val="00E51A5C"/>
    <w:rsid w:val="00E51DBD"/>
    <w:rsid w:val="00E52030"/>
    <w:rsid w:val="00E52E0D"/>
    <w:rsid w:val="00E60F28"/>
    <w:rsid w:val="00E65595"/>
    <w:rsid w:val="00E86602"/>
    <w:rsid w:val="00E87B4A"/>
    <w:rsid w:val="00E963B0"/>
    <w:rsid w:val="00EA577F"/>
    <w:rsid w:val="00EB5D5B"/>
    <w:rsid w:val="00EC436E"/>
    <w:rsid w:val="00F54564"/>
    <w:rsid w:val="00F655A2"/>
    <w:rsid w:val="00F762A6"/>
    <w:rsid w:val="00F82FE9"/>
    <w:rsid w:val="00F85BED"/>
    <w:rsid w:val="00F86AED"/>
    <w:rsid w:val="00F91E53"/>
    <w:rsid w:val="00F94E41"/>
    <w:rsid w:val="00FA7CCD"/>
    <w:rsid w:val="00F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13D45-F444-4624-B142-E042927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476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676"/>
  </w:style>
  <w:style w:type="paragraph" w:styleId="Zpat">
    <w:name w:val="footer"/>
    <w:basedOn w:val="Normln"/>
    <w:link w:val="ZpatChar"/>
    <w:uiPriority w:val="99"/>
    <w:unhideWhenUsed/>
    <w:rsid w:val="0072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676"/>
  </w:style>
  <w:style w:type="character" w:styleId="Hypertextovodkaz">
    <w:name w:val="Hyperlink"/>
    <w:basedOn w:val="Standardnpsmoodstavce"/>
    <w:uiPriority w:val="99"/>
    <w:unhideWhenUsed/>
    <w:rsid w:val="004D7CE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D6AA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A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A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6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4458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D. Kokeš</dc:creator>
  <cp:keywords/>
  <dc:description/>
  <cp:lastModifiedBy>Šárka Gmiterková</cp:lastModifiedBy>
  <cp:revision>4</cp:revision>
  <dcterms:created xsi:type="dcterms:W3CDTF">2019-09-25T18:24:00Z</dcterms:created>
  <dcterms:modified xsi:type="dcterms:W3CDTF">2019-10-06T08:07:00Z</dcterms:modified>
</cp:coreProperties>
</file>