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D883" w14:textId="77777777" w:rsidR="008722B0" w:rsidRPr="008722B0" w:rsidRDefault="008722B0" w:rsidP="008722B0">
      <w:pPr>
        <w:pBdr>
          <w:bottom w:val="single" w:sz="6" w:space="3" w:color="ED1D25"/>
        </w:pBd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jazykové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lexikálního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val="fr-CA" w:eastAsia="fr-CA"/>
        </w:rPr>
        <w:t>větě</w:t>
      </w:r>
      <w:proofErr w:type="spellEnd"/>
    </w:p>
    <w:p w14:paraId="2D660E7B" w14:textId="77777777" w:rsidR="008722B0" w:rsidRPr="008722B0" w:rsidRDefault="008722B0" w:rsidP="008722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František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Štícha</w:t>
      </w:r>
      <w:proofErr w:type="spellEnd"/>
    </w:p>
    <w:p w14:paraId="3F4645F2" w14:textId="77777777" w:rsidR="008722B0" w:rsidRPr="008722B0" w:rsidRDefault="008722B0" w:rsidP="008722B0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555555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555555"/>
          <w:sz w:val="24"/>
          <w:szCs w:val="24"/>
          <w:lang w:val="fr-CA" w:eastAsia="fr-CA"/>
        </w:rPr>
        <w:t>[</w:t>
      </w:r>
      <w:proofErr w:type="spellStart"/>
      <w:r w:rsidRPr="008722B0">
        <w:rPr>
          <w:rFonts w:ascii="Verdana" w:eastAsia="Times New Roman" w:hAnsi="Verdana" w:cs="Times New Roman"/>
          <w:color w:val="555555"/>
          <w:sz w:val="24"/>
          <w:szCs w:val="24"/>
          <w:lang w:val="fr-CA" w:eastAsia="fr-CA"/>
        </w:rPr>
        <w:t>Články</w:t>
      </w:r>
      <w:proofErr w:type="spellEnd"/>
      <w:r w:rsidRPr="008722B0">
        <w:rPr>
          <w:rFonts w:ascii="Verdana" w:eastAsia="Times New Roman" w:hAnsi="Verdana" w:cs="Times New Roman"/>
          <w:color w:val="555555"/>
          <w:sz w:val="24"/>
          <w:szCs w:val="24"/>
          <w:lang w:val="fr-CA" w:eastAsia="fr-CA"/>
        </w:rPr>
        <w:t>]</w:t>
      </w:r>
    </w:p>
    <w:p w14:paraId="05F636C6" w14:textId="77777777" w:rsidR="008722B0" w:rsidRPr="008722B0" w:rsidRDefault="008722B0" w:rsidP="008722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fr-CA" w:eastAsia="fr-CA"/>
        </w:rPr>
      </w:pPr>
      <w:hyperlink r:id="rId5" w:history="1">
        <w:r w:rsidRPr="008722B0">
          <w:rPr>
            <w:rFonts w:ascii="Verdana" w:eastAsia="Times New Roman" w:hAnsi="Verdana" w:cs="Times New Roman"/>
            <w:color w:val="CF5A5A"/>
            <w:sz w:val="20"/>
            <w:szCs w:val="20"/>
            <w:u w:val="single"/>
            <w:lang w:val="fr-CA" w:eastAsia="fr-CA"/>
          </w:rPr>
          <w:t>(</w:t>
        </w:r>
        <w:proofErr w:type="spellStart"/>
        <w:proofErr w:type="gramStart"/>
        <w:r w:rsidRPr="008722B0">
          <w:rPr>
            <w:rFonts w:ascii="Verdana" w:eastAsia="Times New Roman" w:hAnsi="Verdana" w:cs="Times New Roman"/>
            <w:color w:val="CF5A5A"/>
            <w:sz w:val="20"/>
            <w:szCs w:val="20"/>
            <w:u w:val="single"/>
            <w:lang w:val="fr-CA" w:eastAsia="fr-CA"/>
          </w:rPr>
          <w:t>pdf</w:t>
        </w:r>
        <w:proofErr w:type="spellEnd"/>
        <w:proofErr w:type="gramEnd"/>
        <w:r w:rsidRPr="008722B0">
          <w:rPr>
            <w:rFonts w:ascii="Verdana" w:eastAsia="Times New Roman" w:hAnsi="Verdana" w:cs="Times New Roman"/>
            <w:color w:val="CF5A5A"/>
            <w:sz w:val="20"/>
            <w:szCs w:val="20"/>
            <w:u w:val="single"/>
            <w:lang w:val="fr-CA" w:eastAsia="fr-CA"/>
          </w:rPr>
          <w:t>)</w:t>
        </w:r>
      </w:hyperlink>
    </w:p>
    <w:p w14:paraId="51A005F2" w14:textId="77777777" w:rsidR="008722B0" w:rsidRPr="008722B0" w:rsidRDefault="008722B0" w:rsidP="008722B0">
      <w:pPr>
        <w:shd w:val="clear" w:color="auto" w:fill="FFFFFF"/>
        <w:spacing w:after="105" w:line="240" w:lineRule="auto"/>
        <w:ind w:left="300" w:right="300"/>
        <w:rPr>
          <w:rFonts w:ascii="Verdana" w:eastAsia="Times New Roman" w:hAnsi="Verdana" w:cs="Times New Roman"/>
          <w:color w:val="555555"/>
          <w:sz w:val="20"/>
          <w:szCs w:val="20"/>
          <w:lang w:val="fr-CA" w:eastAsia="fr-CA"/>
        </w:rPr>
      </w:pPr>
      <w:r w:rsidRPr="008722B0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val="fr-CA" w:eastAsia="fr-CA"/>
        </w:rPr>
        <w:t>-</w:t>
      </w:r>
    </w:p>
    <w:p w14:paraId="031101B7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dosud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málo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popsaných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vlastností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českého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nutnost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utvoření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základě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vyjadřujícího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nějakému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 </w:t>
      </w:r>
      <w:proofErr w:type="spellStart"/>
      <w:proofErr w:type="gram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číst</w:t>
      </w:r>
      <w:proofErr w:type="spellEnd"/>
      <w:proofErr w:type="gram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knihu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dveře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ustlat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postel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představen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tj.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: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Karel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čte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Jdi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Eva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ustlala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</w:t>
      </w:r>
      <w:bookmarkStart w:id="0" w:name="_ftnref1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"_ftn1"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[1]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0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 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tomto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článku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chceme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charakterizovat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doložit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příklady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úzu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novin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beletrie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  <w:bookmarkStart w:id="1" w:name="_ftnref2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"_ftn2"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[2]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1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Ukážeme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nezávisí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jakési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bookmarkStart w:id="2" w:name="185"/>
      <w:bookmarkEnd w:id="2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[185]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libovůli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mluvčího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pisatele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nýbrž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nutnost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závislou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3E7B7311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Nejprve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budeme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charakterizovat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jazykové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lexikálního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tj.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ty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případy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funguje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systému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specifický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znakový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podstatě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tři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různé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:</w:t>
      </w:r>
    </w:p>
    <w:p w14:paraId="20FA25C0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/1/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důsledkem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podmínkou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charakteristické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sociální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relačně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vymezený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implikován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obsažen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jichž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týká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sloveso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jíst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svým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obsahuje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relační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jichž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tímto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týká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pojmenovatelný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substantivem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jídlo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potrava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potravina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ustáleným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prostředkem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charakteristickou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jakožto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sociální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aktivity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označované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jíst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jejímu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obecnému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relačnímu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jídlo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potravina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obecný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relační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(resp.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abstraktní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hodnotu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množiny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poživatelných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předmětů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nevyjádříme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Karel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znamená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tolik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‚Karel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jídlo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potravu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potravinu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)‘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Obdobně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číst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kreslit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prát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žehlit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plést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orat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založenými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větami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Dítě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umí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číst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; Jana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hezky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kreslí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Teď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budu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prát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potom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žehlit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; Eva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ráda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plete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; Je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třeba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začít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orat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</w:t>
      </w:r>
    </w:p>
    <w:p w14:paraId="378707AC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Některými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vyjadřuje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charakteristická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sociální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vykonávaná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povolání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vypovídající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synonymní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výrazem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je (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byl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bude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)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+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deverbativní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substantivum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označující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osobu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vykonávající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základovým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povolání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učitel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prodavač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uklízečka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překladatel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služka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):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Moje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známá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učí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(=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učitelka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prodává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(=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prodavačka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uklízí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(=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uklizečka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překládá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(=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překladatelka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sloužila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byla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služka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). Ve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většině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případů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však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něhož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odvozen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název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povolání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lastRenderedPageBreak/>
        <w:t>této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platnosti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neužívá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Neříkáme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Můj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známý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léčí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ková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loví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montuje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opravuje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ošetřuje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plánuje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slévá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skládá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soudí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sváří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Můj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známý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lékař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kovář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lovec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montér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opravář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ošetřovatel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plánovač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slévač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skladatel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soudce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svářeč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523E31EB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/2/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funguje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vztažení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nějaké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podmnožině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jednomu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množiny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užijeme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rozhazovat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tímto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, a </w:t>
      </w:r>
      <w:bookmarkStart w:id="3" w:name="186"/>
      <w:bookmarkEnd w:id="3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[186]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kontextu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zřejmé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rozhazování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těch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oněch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předmětů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rozhazovat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přílišné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vydávání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— tj.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metaforicky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vyjádřeno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rozhazování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—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peněz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Manželka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příliš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rozhazuje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bez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jakéhokoli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ozřejmění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kontextem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sděluje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podstatě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totéž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Manželka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utrácí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příliš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mnoho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peněz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Obdobně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zavěsit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jediný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otevřené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množiny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telefonní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sluchátko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obraz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záclonu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Karel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zavěsil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funguje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mimo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kontext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autonomně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sdělná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výpověď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je-li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telefonní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sluchátko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Příklad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beletrie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: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Přemek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zavěsil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usadil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stolu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Příklady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úzu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: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Eva si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odložila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zapálila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si.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Podobných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případů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ovšem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současné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mnoho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  <w:bookmarkStart w:id="4" w:name="_ftnref3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"_ftn3"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[2a]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4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Zpravidla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totiž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třeba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jednoznačné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identifikaci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němuž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přísudek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nějakého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více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méně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rozsáhlého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charakteristického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ozřejmujícího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kontextu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onak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charakteristické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370DD572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Nicméně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existuje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současné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množství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jejich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přesný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počet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by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asi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nebylo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stanovit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odhadujeme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půjde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několik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desítek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),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nimiž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tvoříme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nevyjadřujeme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příslušným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zpravidla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výhradně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jedinému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jednomu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několika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libovolnému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otevřené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množiny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Častěji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přitom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patrně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představující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nějakou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specifickou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kterou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nevykonávají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běžně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neprovádějí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všichni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lidé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která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nebývá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předmětem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lidí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kteří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tuto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nevykonávají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Takovou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specifickou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velkého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množství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nejrůznějších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více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méně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komplexních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speciálních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profesních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zájmových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lovení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běžněji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chytání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ryb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Hovoří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někdo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častěji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chytání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ryb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méně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často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chytání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něčeho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tom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nichž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po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následuje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vždy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většinou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substantivum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ryby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ryby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Byl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ryby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apod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.), </w:t>
      </w:r>
      <w:bookmarkStart w:id="5" w:name="187"/>
      <w:bookmarkEnd w:id="5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[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187]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začne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podvědomě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pociťovat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nadbytečné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zbytečné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Bude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nichž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chytání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jmenován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neboť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rozumí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samo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sebou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jsou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ryby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):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; 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víkendu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pojedu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Ráno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půjdu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Letos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ještě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nechytal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apod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28C23E6C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Má-li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fungovat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systémový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vztažení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lastRenderedPageBreak/>
        <w:t>první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podmínkou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aby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byla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pravidelně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užívána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podmínkou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aby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bylo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náležitém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rozuměno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tehdy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mohla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by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označovaná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vzhledem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okolnostem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jinému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bere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někdo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do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ruky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rybářský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prut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tom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zároveň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sděluje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jasné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nehovoří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chytání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motýlů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takových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„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absolutně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“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ozřejmujících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může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být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situační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elipsou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tj.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aktuálním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individuálním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jevem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jevem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prostředkem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ustáleným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noremním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systémovým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Naproti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jestliže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entomolog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může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sdělit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Ráno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půjdu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cokoli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předcházející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umožňuje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identifikaci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přesto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nikdo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nezapochybuje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hovoří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rybách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broucích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motýlech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označovaného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jevem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prostředkem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systému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3EE17E11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Záleží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ovšem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tom,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tohoto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neomezuje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sociální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profesní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zájmovou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skupinu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uživatelů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-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li 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profesní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skupině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filmařů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pravidelně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obsazovat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rolích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zakládat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filmu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zakládat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film 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kamery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užívají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vzpěrači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těžcí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atleti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shazovat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přebytečné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tělesné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váze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atd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jsou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tyto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vyjádřeny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mohou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takových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případech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ostatní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uživatelé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vnímat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individuální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aktuální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systémový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Ve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skutečnosti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však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systémový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jehož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omezeno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sociální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skupinu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vrstvu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obyvatelstva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nemá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celonárodní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platnost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Hranice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mezi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celonárodní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platností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sociálně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omezeným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užitím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ovšem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nepevná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málo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následujících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příkladech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úzu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dokladech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beletrie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nebudeme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tuto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hranici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brát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úvahu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6BAE1AEE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bookmarkStart w:id="6" w:name="188"/>
      <w:bookmarkEnd w:id="6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[188]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Hostinský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šel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narážet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(sud);</w:t>
      </w:r>
      <w:bookmarkStart w:id="7" w:name="_ftnref4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"_ftn4"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[3]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7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prázdninách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se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zámku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bude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natáčet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(film);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Cyklista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píchnul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duši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pneumatiky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měsíc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neplníme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plán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Přítel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začal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stavět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dům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prázdninách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budeme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zavařovat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ovoce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zeleninu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sobotu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budu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uklízet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byt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Někdo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zvoní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jdi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dveře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Zítra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beru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výplatu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Ale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dojdu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vidím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donutil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balit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potřebné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sebou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cestu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; Styron);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Mirek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byl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určitě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srabu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i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nabil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pušku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…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proč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nemá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herecké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oddělení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fotografie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nových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absolventů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?,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jak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obsazovat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role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ty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lidi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neznám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…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Ráž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Letos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nemusel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ani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jednou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shazovat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ale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dost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potrápil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družbě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1984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Varně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kde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musela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přebytečná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dolů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Rudé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právo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Strejdo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bych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tu s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tebou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porážel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lese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(z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pořadu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televize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Ti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ním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jen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přecházejí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nabíjejí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snad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i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míří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 ale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nestisknou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Fuks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„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Rejžo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jste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měli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končit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pospěšte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sakra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.“ „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Samozřejmě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,“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odpovídá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režisér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 „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jsme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připraveni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,“ „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mládenci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zakládají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,“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upozorňuje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kameraman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Ráž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Šťastnější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domácí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přesilovce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zvýšili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Rudé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právo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).</w:t>
      </w:r>
    </w:p>
    <w:p w14:paraId="114C049D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lastRenderedPageBreak/>
        <w:t>Někdy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vyjadřuje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jehož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nepojmenovává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několik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různých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několika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různým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druhům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téže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statické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relace,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Karel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šel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chytat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=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1. na ryby; 2. do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branky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jako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brankář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Na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nemám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=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1.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schopnosti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; 2.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peníze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.</w:t>
      </w:r>
    </w:p>
    <w:p w14:paraId="2C59C118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Vztažení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určitému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druhu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aniž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pojmenován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někdy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vázáno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spojení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dativním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krátkým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tvarem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zvratného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zájmena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(si):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Zapálil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cigaretu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Odložil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svrchník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Nalil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alkoholický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nápoj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Nabral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 do bot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vodu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Ukrojil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kousek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potraviny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zprav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. masa).</w:t>
      </w:r>
    </w:p>
    <w:p w14:paraId="0A518931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určité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specifické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charakteristické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vztažení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určitému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prostřednictvím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lexikálního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neoznačení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nejen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jevem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různou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mírou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sociálně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podmíněné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omezenosti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užívání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ale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jevem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různou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mírou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ustálenosti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celonárodně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platného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výrazný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rozdíl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mezi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mírou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ustálenosti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neoznačování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brát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výpovědích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jako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beru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až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za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týden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plnit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výpovědích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jako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Letos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neplníme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.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Zatímco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prvním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případě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označujeme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charakteristickou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dějovou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kterou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si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neuvědomujeme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jako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nedostatku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si tedy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nejsme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vědomi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druhém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případě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neexistenci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plán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zřetelně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pociťujeme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.</w:t>
      </w:r>
    </w:p>
    <w:p w14:paraId="7508DD9C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/3/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ustáleným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projevem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omezení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množiny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možných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druhů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jeden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konkrét</w:t>
      </w:r>
      <w:bookmarkStart w:id="8" w:name="189"/>
      <w:bookmarkEnd w:id="8"/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[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189]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druh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smeknout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pokrývku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hlavy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zprav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klobouk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ustlat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postel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zaparkovat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(auto),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utrácet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peníze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ovšem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projev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samozřejmý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nutný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jak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ukážeme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dále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Doklady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beletrie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</w:p>
    <w:p w14:paraId="702AAE71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Vidouce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krčí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významně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rameny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pokývali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smekli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ženské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hlasitě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zavzlykaly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Majerová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Zaparkoval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náměstí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).</w:t>
      </w:r>
    </w:p>
    <w:p w14:paraId="30732029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funkci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odlišnou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od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systémové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jazykové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tehdy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je-li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nepojmenovaným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němuž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buď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všeobecný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člověk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vůbec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jestliže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nepojmenovává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může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být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možných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Vzhledem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k charakteru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označované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charakteru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vyjádřen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rozlišit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následující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>nepojmenování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</w:p>
    <w:p w14:paraId="4BA58927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/1/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určitý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jedinečný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předmět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fakt),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soubor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takových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předcházejícím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kontextu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přímo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označen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implikován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nepřímo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vyjádřen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identifikován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nepojmenovaným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němuž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může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být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pouze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jmenovaný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předcházejícím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kontextu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tímto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kontextem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implikovaný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těchto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případech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by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většinou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bylo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nejen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možné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ale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běžnější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mnohdy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by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odpovídalo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nejen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úzu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ale 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normě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mimouměleckého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jazyka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poukázat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němuž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ukazovacím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osobním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zájmenem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lastRenderedPageBreak/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často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působí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jako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více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méně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vhodný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prostředek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expresívní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literární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stylizace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autorské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licence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</w:p>
    <w:p w14:paraId="288B8937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„To je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pěkný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,“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řekl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pozorně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hleděl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(na to)</w:t>
      </w:r>
      <w:bookmarkStart w:id="9" w:name="_ftnref5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instrText xml:space="preserve"> HYPERLINK "http://nase-rec.ujc.cas.cz/archiv.php?art=6713" \l "_ftn5"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pl-PL" w:eastAsia="fr-CA"/>
        </w:rPr>
        <w:t>[4]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9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(Fuks);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„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hledat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Otouše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!“ „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Nenajdeš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“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(ho),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řekl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temně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Bongo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Šmíd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Ale je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úžasné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ho respektuje,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(na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nenaléhá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Stýblová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vytáhla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červenou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láhev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višňovým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likérem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odzátkovala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přičichla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rychle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zatápěla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ohřívala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omáčku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masem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ohřála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nesla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stůl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…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Koukejte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nevytahujte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mne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nevokřikujte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Voskovec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Werich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něco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napadlo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popadl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náprsní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tašku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otevřel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Styron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vylovil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podšívky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kožený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měšec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podal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(jej)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hostu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Bulgakov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Dlouhých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deset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marně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snažili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nacisté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Vančuru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zlomit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Mlčel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pohrdal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jimi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Rudé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právo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matka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přinesla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hluboký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talíř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křenovou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omáčkou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knedlíky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postavila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(to)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před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strýce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vzali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ten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kufřík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(ho)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potěžkali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oddychli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otevřeli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(ho)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viděli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…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„Pan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Chicoy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říká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mi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nebudete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říkat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Puchejř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,“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oznamoval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„A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proč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?“ „No,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požádal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ho“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(o to) (Steinbeck);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přehodím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bookmarkStart w:id="10" w:name="190"/>
      <w:bookmarkEnd w:id="10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[190]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ukázal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lesknoucí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hladinu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řeky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„Co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saháte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návštěvníku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?“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rozběsnil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Otouš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Mužík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ulekl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pustil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(ho)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Šmíd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…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viděl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jak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říšská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armáda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vaří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kotlích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chutné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polévky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jak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(je)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rozdává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esšálcích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obyvatelstvu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S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vynaložením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všech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vyprostil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Bogan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podrápanou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Jolanu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vtáhl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dovnitř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zabouchl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Páral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(tomu)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mohl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zabránit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tak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zvolna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roztrhal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tu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listinu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nadává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mluvíme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moc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potichu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(to)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nestačí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zachycovat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kroniky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Skála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vytáhl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kufříku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dlouhou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šňůru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zasunul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zástrčky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zdi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…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(Hrabal).</w:t>
      </w:r>
    </w:p>
    <w:p w14:paraId="0C1BD9FA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/2/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konkrétní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soubor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předcházejícím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kontextu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nebyl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jmenován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ani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implikován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nýbrž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vyplývá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věcných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souvislostí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popisované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</w:p>
    <w:p w14:paraId="2385FAE1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hudba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skládala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nástroje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půjdou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domů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Musila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pracovat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a tak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chodila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po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ulicích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Glandalu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 aby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sehnala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peníze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prostředky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nezbytnosti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(Steinbeck).</w:t>
      </w:r>
    </w:p>
    <w:p w14:paraId="65F63FE9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/3/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určitou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uzavřenou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množinu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druhů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materiálních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jeden druh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materiálního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obecným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tématem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tj.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, „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kvůli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čemu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“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komunikuje:</w:t>
      </w:r>
    </w:p>
    <w:p w14:paraId="32FEB3FF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No,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koukejte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začne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dojemně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maniak,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od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vás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beru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(to,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řeč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tak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dlouho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řekněte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co 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udělá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no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Čapek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poklekl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jedno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koleno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a 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podal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(to,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hovoří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ustoupil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(Hrabal).</w:t>
      </w:r>
    </w:p>
    <w:p w14:paraId="704C1C1E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/4/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libovolný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soubor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připadající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popisované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úvahu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</w:p>
    <w:p w14:paraId="32DFACFA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točila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u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plotny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míchala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přisypávala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přilévala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přisolovala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takové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bledě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modré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misky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strkala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…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(Fuks);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Většina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lidí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přesvědčena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modernizujeme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kvůli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sovětským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raketám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SS 20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Rudé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lastRenderedPageBreak/>
        <w:t>právo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Pochopil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je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její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oblíbené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doporučení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Více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věnuj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Objekty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jimž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věnovat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dosazuje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podle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libosti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.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Ráž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Jakmile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měla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jen trochu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času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větrala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…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pokud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mohla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tak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gruntovala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vynášela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přestavovala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Skála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on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tu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lopotil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uprostřed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ulice …,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zavěšoval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pěchoval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skládal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(Fuks);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přestával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mluvit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jen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když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právě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nakládal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úst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Páral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„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Máme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dvě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káry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“,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řekl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Moulin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„Tak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zvládneme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.“ „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Pomůžu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naložit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“,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řekl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vrátný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.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Dušek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Zuřivě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kolem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sebe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začal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…,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několikrát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i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zasáhl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ale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bylo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beznadějné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přijel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jeřáb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rozevřel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čelisti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spustil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hromadu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zahryzl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zdvihal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(Hrabal).</w:t>
      </w:r>
    </w:p>
    <w:p w14:paraId="49FBB2E2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Někdy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těchto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případech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vyjadřuje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jehož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nepojmenovává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charakteristická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</w:p>
    <w:p w14:paraId="580A6D8E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Pak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ležel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viděl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jednoho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jak pluje podle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břehu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hledá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(Pavel);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Posuzoval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věc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… jako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člověk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 xml:space="preserve">si 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odpíral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po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celý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život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Majerová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Dovedl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pozorovat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posoudit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uvážit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radovat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(Steinbeck);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Lidé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scházeli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bookmarkStart w:id="11" w:name="191"/>
      <w:bookmarkEnd w:id="11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[191]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Jablunkova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nakoupit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i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prodat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trhu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; Pod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názvem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Československo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představuje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byla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úterý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Bejrútu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slavnostně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zahájena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výstava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vybrané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kolekce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československého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spotřebního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zboží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Rudé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právo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).</w:t>
      </w:r>
    </w:p>
    <w:p w14:paraId="2319B82E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Poměrně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časté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jsou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tyto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případy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novinových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titulcích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  <w:bookmarkStart w:id="12" w:name="_ftnref6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instrText xml:space="preserve"> HYPERLINK "http://nase-rec.ujc.cas.cz/archiv.php?art=6713" \l "_ftn6"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pl-PL" w:eastAsia="fr-CA"/>
        </w:rPr>
        <w:t>[5]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12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historická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pohostinná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nabízí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zve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.</w:t>
      </w:r>
    </w:p>
    <w:p w14:paraId="2CBB7D27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/5/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Nepojmenovaným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rozumí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‚to,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‘:</w:t>
      </w:r>
    </w:p>
    <w:p w14:paraId="2FBCFCBD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Mirek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celé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cvičení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mlčel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ani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teď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neholedbal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. Jen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naznačil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Zklamaně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vzdychla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povzbudivě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ni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usmál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pochopila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čile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odešla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Slavíček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touhle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dobou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psal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dekádní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hlášení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a i ten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Žák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aspoň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pokoušel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(o to,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šlo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Páral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Mohla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byste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takhle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běhat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celej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den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myslet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si,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všem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všudy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pořádku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Kdyby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vám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člověk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nepověděl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říkal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stařec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(Steinbeck);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zpátečním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zrcátku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uviděl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Puchejře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jak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něj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dívá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s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údivem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s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němým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nepochopením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Juan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zapomněl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Puchejř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pozná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(Steinbeck);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Vešel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výstavní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síně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strnul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.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Poznal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okamžitě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(Fuks);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Pan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Mundstock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bohužel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úplně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uhodl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(Fuks);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A jak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díval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jihlo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mu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srdce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věděl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).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Přišlo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docela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náhle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podivil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proč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dávno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nepochopil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(Steinbeck);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druhém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konci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někdo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obšírně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vysvětloval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Skála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).</w:t>
      </w:r>
    </w:p>
    <w:p w14:paraId="0038A1A6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/6/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obecně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člověka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:</w:t>
      </w:r>
    </w:p>
    <w:p w14:paraId="179E1F9E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Nikdy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ji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neslyšel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by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pomlouvala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(Hrabal);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Ostrý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mráz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štípe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tváří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ledový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vítr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zahání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teplého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pokoje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Rudé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právo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Chopok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stále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zve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titulek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Rudého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práva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);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…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příklad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sovětské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Prémie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filmu z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pracovního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prostředí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který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dokázal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vzrušit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a </w:t>
      </w:r>
      <w:proofErr w:type="spellStart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zaujmout</w:t>
      </w:r>
      <w:proofErr w:type="spellEnd"/>
      <w:r w:rsidRPr="008722B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Rudé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právo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).</w:t>
      </w:r>
      <w:bookmarkStart w:id="13" w:name="_ftnref7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instrText xml:space="preserve"> HYPERLINK "http://nase-rec.ujc.cas.cz/archiv.php?art=6713" \l "_ftn7"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[6]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13"/>
    </w:p>
    <w:p w14:paraId="282FC0BA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onoho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té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která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součástí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nějaké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promluvy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reakcí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nějakou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je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—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ukazují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příklady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úzu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beletrie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—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velmi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běžné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Přesto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lastRenderedPageBreak/>
        <w:t>existují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různá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omezení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této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tj.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vždy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4B0156A0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nutné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především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tehdy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jestliže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funguje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ustálený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</w:t>
      </w:r>
      <w:bookmarkStart w:id="14" w:name="192"/>
      <w:bookmarkEnd w:id="14"/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[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192]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tomuto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nýbrž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jinému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Eva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vyprala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záclony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zavěsila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je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nelze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záclony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(*Eva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vyprala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záclony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zavěsila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jestliže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označovaného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zavěsit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prostředkem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vztažení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tohoto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telefonní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sluchátko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obsah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Karel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vzbudil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oči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nelze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vyjádřit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(*Karel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vzbudil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otevřel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Naproti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obsah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Karel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vstal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šel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dveře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vyjádříme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běžněji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neoznačíme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(Karel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vstal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šel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)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  <w:bookmarkStart w:id="15" w:name="_ftnref8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"_ftn8"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[7]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15"/>
    </w:p>
    <w:p w14:paraId="0D6506E1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Jestliže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koordinovaném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spojení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jednoho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poukázáno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zájmenem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však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nutné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zájmeno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opakovat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které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bez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vyjádřeného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určitému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Eva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vyprala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záclony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vyžehlila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je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zavěsila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</w:t>
      </w:r>
    </w:p>
    <w:p w14:paraId="77C5958A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nutné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vyjádřit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některých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která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označují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týkající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jediného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: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cenit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zuby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poulit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oči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ronit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slzy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špulit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rty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vrtět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ocasem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založené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těchto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bychom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neoznačeném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pociťovali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formálně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neúplné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tudíž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gramaticky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vadné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: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*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Pes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hrozivě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vrčel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cenil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; *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Dítě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udiveně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poulilo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; *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Dívka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plakala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ronila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; *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Zavřela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oči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našpulila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polibku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; *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Pes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radostně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vrtěl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</w:t>
      </w:r>
    </w:p>
    <w:p w14:paraId="7206CAFD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Obecnou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charakterizace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aktivity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subjektu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zaměření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pozornosti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samotný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nějak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příznakový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charakteristický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subjekt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Některé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představovat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však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zřejmě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zapotřebí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situace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někdo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někam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něco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staví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zahazuje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apod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Vyjadřujeme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se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takových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situacích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vždy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představujeme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Zahoď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ten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papír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(to)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do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koše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Postav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tu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vázu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na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stůl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apod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Jindy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by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zřejmě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bylo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možné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účelné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prostřednictvím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lexikálního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představit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dějovou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situaci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jako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charakteristickou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sociální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aktivitu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avšak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bookmarkStart w:id="16" w:name="193"/>
      <w:bookmarkEnd w:id="16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[193]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způsob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jazykového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ztvárnění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příslušného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komunikativního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obsahu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daném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jazyce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těch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oněch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důvodů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nevžil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češtině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neustálilo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rozdíl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od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němčiny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užívat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sejmout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zdvihnout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zvednout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bez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vyjádřeného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charakteristické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činnosti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snímání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zdvihání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telefonního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sluchátka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telefonního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přístroje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(*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Sejměte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vytočte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číslo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).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Neustálilo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také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rozdíl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. od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ruštiny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vyzývat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pachatele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odhození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zbraně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pouze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prostřednictvím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imperativu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slovesa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odhodit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,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bez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slovního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označení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zbraň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):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*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Odhoďte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pl-PL" w:eastAsia="fr-CA"/>
        </w:rPr>
        <w:t>!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atd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.</w:t>
      </w:r>
    </w:p>
    <w:p w14:paraId="09A62F7E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</w:pP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lastRenderedPageBreak/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patří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češtině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(i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jiných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jazycích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)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těm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jevům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prostředkům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jazykového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systému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jeho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řečové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realizace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které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jsou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neustálém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pohybu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vývoji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pl-PL" w:eastAsia="fr-CA"/>
        </w:rPr>
        <w:t>.</w:t>
      </w:r>
    </w:p>
    <w:p w14:paraId="4778B7AF" w14:textId="77777777" w:rsidR="008722B0" w:rsidRPr="008722B0" w:rsidRDefault="008722B0" w:rsidP="008722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pict w14:anchorId="7F9EC975">
          <v:rect id="_x0000_i1025" style="width:0;height:1.5pt" o:hralign="center" o:hrstd="t" o:hr="t" fillcolor="#a0a0a0" stroked="f"/>
        </w:pict>
      </w:r>
    </w:p>
    <w:bookmarkStart w:id="17" w:name="_ftn1"/>
    <w:p w14:paraId="7D2B9647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"_ftnref1"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[1]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17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Víceméně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okrajově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této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vlastnosti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dotýká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F.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Daneš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článku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Větné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členy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obligatorní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potenciální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fakultativní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sb. Miscellanea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linguistica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, AUPO, Phil. Supp., s. 131—138, J.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Panevová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knize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Formy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stavbě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české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věty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1980, a F.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Daneš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, Z.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Hlavsa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a kol. 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knize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Větné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vzorce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češtině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1981.</w:t>
      </w:r>
    </w:p>
    <w:bookmarkStart w:id="18" w:name="_ftn2"/>
    <w:p w14:paraId="0C311C9B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"_ftnref2"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[2]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18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Výběrově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jsme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excerpovali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a)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původní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díla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: K.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Čapek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Zahradníkův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1983; V.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Dušek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Tuláci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1980; L.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Fuks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Obraz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Martina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Blaskowitze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1980, Pan Theodor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Mundstock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1985; B.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Hrabal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Pábitelé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1964,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Krasosmutnění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1979; M.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Majerová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Panenství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1966; V.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Páral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Milenci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vrazi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1969,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Muka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obraznosti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1980; O. Pavel,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Zlatí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úhoři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1985; R.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Ráž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Šokmistr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1985; M.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Skála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Cesta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kolem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hlavy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40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dnů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1979; V.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Stýblová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Mne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soudila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noc,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1957; Z.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Šmíd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Proč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bychom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nepotili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aneb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chodí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po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horách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1984; J.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Švejda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Dva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tisíce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světelných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let,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1978; J.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Voskovec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— J.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Werich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Hry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Osvobozeného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divadla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1985; b)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překlady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: M.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Bulgakov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Mistr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Markéta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1980; J. Steinbeck,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Toulavý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autobus,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1960; W. Styron,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Sophiina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volba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Praha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1984.</w:t>
      </w:r>
    </w:p>
    <w:bookmarkStart w:id="19" w:name="_ftn3"/>
    <w:p w14:paraId="53230EB2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"_ftnref3"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[2a]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19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 Ve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vývoji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některé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zanikly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budou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nepochybně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vznikat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jiných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existuje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české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Zavěsil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odpovídá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němčině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Er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legte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auf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angličtině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He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hung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up.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některých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jazycích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němčině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angličtině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francouzštině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tato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uplatňuje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těch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sloves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u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nichž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třeba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vždy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německou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Er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hob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ab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nelze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do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přeložit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Zvedl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</w:t>
      </w:r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následujícím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ozřejmujícím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kontextu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: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Přistoupil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telefonu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a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zvedl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sejmul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),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nýbrž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musíme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telefonní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sluchátko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vždy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bookmarkStart w:id="20" w:name="_ftn4"/>
    <w:p w14:paraId="02F798D6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"_ftnref4"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[3]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20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označený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závorce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neznamená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ale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nutné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označujeme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závorce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proto,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abychom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jednoznačně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poukázali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na to,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kterému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druhu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vztahuje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bookmarkStart w:id="21" w:name="_ftn5"/>
    <w:p w14:paraId="6FAEF8DF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"_ftnref5"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[4]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21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 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závorce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uvádíme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buď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zájmeno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poukazující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přímé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přicházejícího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úvahu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bookmarkStart w:id="22" w:name="_ftn6"/>
    <w:p w14:paraId="268E6685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"_ftnref6"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[5]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22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Několik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příkladů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nepojmenování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větách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z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novinových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titulků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uvádí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E.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Macháčková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článku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hyperlink r:id="rId6" w:tgtFrame="_blank" w:history="1"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K </w:t>
        </w:r>
        <w:proofErr w:type="spellStart"/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>sémanticko-syntaktické</w:t>
        </w:r>
        <w:proofErr w:type="spellEnd"/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 </w:t>
        </w:r>
        <w:proofErr w:type="spellStart"/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>výstavbě</w:t>
        </w:r>
        <w:proofErr w:type="spellEnd"/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 </w:t>
        </w:r>
        <w:proofErr w:type="spellStart"/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>novinových</w:t>
        </w:r>
        <w:proofErr w:type="spellEnd"/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 </w:t>
        </w:r>
        <w:proofErr w:type="spellStart"/>
        <w:r w:rsidRPr="008722B0">
          <w:rPr>
            <w:rFonts w:ascii="Verdana" w:eastAsia="Times New Roman" w:hAnsi="Verdana" w:cs="Times New Roman"/>
            <w:i/>
            <w:iCs/>
            <w:color w:val="ED1D25"/>
            <w:sz w:val="24"/>
            <w:szCs w:val="24"/>
            <w:u w:val="single"/>
            <w:lang w:val="fr-CA" w:eastAsia="fr-CA"/>
          </w:rPr>
          <w:t>titulků</w:t>
        </w:r>
        <w:proofErr w:type="spellEnd"/>
      </w:hyperlink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SaS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46, 1985, s. 215—223.</w:t>
      </w:r>
    </w:p>
    <w:bookmarkStart w:id="23" w:name="_ftn7"/>
    <w:p w14:paraId="3FFFCF43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"_ftnref7"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[6]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23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upozornila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J. </w:t>
      </w:r>
      <w:proofErr w:type="spellStart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Hoffmannová</w:t>
      </w:r>
      <w:proofErr w:type="spellEnd"/>
      <w:r w:rsidRPr="008722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recenzním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posudku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tohoto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článku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komunikační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popisovaného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jevu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by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bylo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možné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ještě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jemněji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rozlišit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podle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autorských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motivací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jsou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komika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záměrná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úsečnost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apod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Kromě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třeba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zajisté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počítat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i s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jednotlivě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vydělené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komunikativní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funkce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různé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míře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navzájem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lastRenderedPageBreak/>
        <w:t>interferují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mají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společné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rysy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Pokud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jde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komiku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jako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motiv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pro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lexikální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nevyjádření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výpovědi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domníváme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se,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k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tomuto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účelu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daného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jazykového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řečového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prostředku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citovaných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dokladech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využito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bookmarkStart w:id="24" w:name="_ftn8"/>
    <w:p w14:paraId="53BF1A1A" w14:textId="77777777" w:rsidR="008722B0" w:rsidRPr="008722B0" w:rsidRDefault="008722B0" w:rsidP="008722B0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</w:pP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begin"/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instrText xml:space="preserve"> HYPERLINK "http://nase-rec.ujc.cas.cz/archiv.php?art=6713" \l "_ftnref8" \o "" </w:instrTex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separate"/>
      </w:r>
      <w:r w:rsidRPr="008722B0">
        <w:rPr>
          <w:rFonts w:ascii="Verdana" w:eastAsia="Times New Roman" w:hAnsi="Verdana" w:cs="Times New Roman"/>
          <w:color w:val="ED1D25"/>
          <w:sz w:val="24"/>
          <w:szCs w:val="24"/>
          <w:u w:val="single"/>
          <w:lang w:val="fr-CA" w:eastAsia="fr-CA"/>
        </w:rPr>
        <w:t>[7]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fldChar w:fldCharType="end"/>
      </w:r>
      <w:bookmarkEnd w:id="24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 Na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rozdíl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od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češtiny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je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angličtině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v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tomto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případě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normou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děje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pojmenovat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;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např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. </w:t>
      </w:r>
      <w:proofErr w:type="spellStart"/>
      <w:proofErr w:type="gram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českou</w:t>
      </w:r>
      <w:proofErr w:type="spellEnd"/>
      <w:proofErr w:type="gram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větu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Jdi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otevřít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musíme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do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angličtiny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přeložit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Go and open the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door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nikoli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Go and open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). Je to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patrně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proto,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že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anglické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Shut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up,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znamenající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Zavři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velmi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běžným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často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užívaným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hovorovým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výrazem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odpovídajícím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našemu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vybídnutí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Buď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zticha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mlč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, (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Už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nic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neříkej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 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Anglické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Zavři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se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užívá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pouze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ve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významu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 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Zavři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ústa</w:t>
      </w:r>
      <w:proofErr w:type="spellEnd"/>
      <w:r w:rsidRPr="008722B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fr-CA" w:eastAsia="fr-CA"/>
        </w:rPr>
        <w:t>. </w:t>
      </w:r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Proto,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mluví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-li se o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zavírání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(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nebo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otvírání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)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dveří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, je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třeba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vždy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tento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objekt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slovně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 xml:space="preserve"> </w:t>
      </w:r>
      <w:proofErr w:type="spellStart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označit</w:t>
      </w:r>
      <w:proofErr w:type="spellEnd"/>
      <w:r w:rsidRPr="008722B0">
        <w:rPr>
          <w:rFonts w:ascii="Verdana" w:eastAsia="Times New Roman" w:hAnsi="Verdana" w:cs="Times New Roman"/>
          <w:color w:val="000000"/>
          <w:sz w:val="24"/>
          <w:szCs w:val="24"/>
          <w:lang w:val="fr-CA" w:eastAsia="fr-CA"/>
        </w:rPr>
        <w:t>.</w:t>
      </w:r>
    </w:p>
    <w:p w14:paraId="65592C56" w14:textId="77777777" w:rsidR="008722B0" w:rsidRPr="008722B0" w:rsidRDefault="008722B0" w:rsidP="008722B0">
      <w:pPr>
        <w:shd w:val="clear" w:color="auto" w:fill="FFFFFF"/>
        <w:spacing w:before="375" w:after="300" w:line="240" w:lineRule="auto"/>
        <w:jc w:val="right"/>
        <w:rPr>
          <w:rFonts w:ascii="Verdana" w:eastAsia="Times New Roman" w:hAnsi="Verdana" w:cs="Times New Roman"/>
          <w:b/>
          <w:bCs/>
          <w:i/>
          <w:iCs/>
          <w:color w:val="ED1D25"/>
          <w:sz w:val="24"/>
          <w:szCs w:val="24"/>
          <w:lang w:val="fr-CA" w:eastAsia="fr-CA"/>
        </w:rPr>
      </w:pPr>
      <w:hyperlink r:id="rId7" w:anchor="h4" w:history="1">
        <w:proofErr w:type="spellStart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>Naše</w:t>
        </w:r>
        <w:proofErr w:type="spellEnd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 </w:t>
        </w:r>
        <w:proofErr w:type="spellStart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>řeč</w:t>
        </w:r>
        <w:proofErr w:type="spellEnd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, </w:t>
        </w:r>
        <w:proofErr w:type="spellStart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>ročník</w:t>
        </w:r>
        <w:proofErr w:type="spellEnd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 70 (1987), </w:t>
        </w:r>
        <w:proofErr w:type="spellStart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>číslo</w:t>
        </w:r>
        <w:proofErr w:type="spellEnd"/>
        <w:r w:rsidRPr="008722B0">
          <w:rPr>
            <w:rFonts w:ascii="Verdana" w:eastAsia="Times New Roman" w:hAnsi="Verdana" w:cs="Times New Roman"/>
            <w:b/>
            <w:bCs/>
            <w:i/>
            <w:iCs/>
            <w:color w:val="ED1D25"/>
            <w:sz w:val="24"/>
            <w:szCs w:val="24"/>
            <w:u w:val="single"/>
            <w:lang w:val="fr-CA" w:eastAsia="fr-CA"/>
          </w:rPr>
          <w:t xml:space="preserve"> 4</w:t>
        </w:r>
      </w:hyperlink>
      <w:r w:rsidRPr="008722B0">
        <w:rPr>
          <w:rFonts w:ascii="Verdana" w:eastAsia="Times New Roman" w:hAnsi="Verdana" w:cs="Times New Roman"/>
          <w:b/>
          <w:bCs/>
          <w:i/>
          <w:iCs/>
          <w:color w:val="ED1D25"/>
          <w:sz w:val="24"/>
          <w:szCs w:val="24"/>
          <w:lang w:val="fr-CA" w:eastAsia="fr-CA"/>
        </w:rPr>
        <w:t>, s. 184-193</w:t>
      </w:r>
    </w:p>
    <w:sectPr w:rsidR="008722B0" w:rsidRPr="0087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20422"/>
    <w:multiLevelType w:val="multilevel"/>
    <w:tmpl w:val="921A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5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B0"/>
    <w:rsid w:val="00396827"/>
    <w:rsid w:val="008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9C35"/>
  <w15:chartTrackingRefBased/>
  <w15:docId w15:val="{C676BDED-48DA-4608-9B09-7B6E4DB4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2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2B0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customStyle="1" w:styleId="autor">
    <w:name w:val="autor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rubr">
    <w:name w:val="rubr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pdf">
    <w:name w:val="pdf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Hypertextovodkaz">
    <w:name w:val="Hyperlink"/>
    <w:basedOn w:val="Standardnpsmoodstavce"/>
    <w:uiPriority w:val="99"/>
    <w:semiHidden/>
    <w:unhideWhenUsed/>
    <w:rsid w:val="008722B0"/>
    <w:rPr>
      <w:color w:val="0000FF"/>
      <w:u w:val="single"/>
    </w:rPr>
  </w:style>
  <w:style w:type="paragraph" w:customStyle="1" w:styleId="abs">
    <w:name w:val="abs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Siln">
    <w:name w:val="Strong"/>
    <w:basedOn w:val="Standardnpsmoodstavce"/>
    <w:uiPriority w:val="22"/>
    <w:qFormat/>
    <w:rsid w:val="008722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Zdraznn">
    <w:name w:val="Emphasis"/>
    <w:basedOn w:val="Standardnpsmoodstavce"/>
    <w:uiPriority w:val="20"/>
    <w:qFormat/>
    <w:rsid w:val="008722B0"/>
    <w:rPr>
      <w:i/>
      <w:iCs/>
    </w:rPr>
  </w:style>
  <w:style w:type="paragraph" w:customStyle="1" w:styleId="publ">
    <w:name w:val="publ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obsn">
    <w:name w:val="obsn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strn">
    <w:name w:val="strn"/>
    <w:basedOn w:val="Standardnpsmoodstavce"/>
    <w:rsid w:val="008722B0"/>
  </w:style>
  <w:style w:type="character" w:customStyle="1" w:styleId="autor1">
    <w:name w:val="autor1"/>
    <w:basedOn w:val="Standardnpsmoodstavce"/>
    <w:rsid w:val="008722B0"/>
  </w:style>
  <w:style w:type="paragraph" w:customStyle="1" w:styleId="menu">
    <w:name w:val="menu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form">
    <w:name w:val="form"/>
    <w:basedOn w:val="Normln"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722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CA" w:eastAsia="fr-C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722B0"/>
    <w:rPr>
      <w:rFonts w:ascii="Arial" w:eastAsia="Times New Roman" w:hAnsi="Arial" w:cs="Arial"/>
      <w:vanish/>
      <w:sz w:val="16"/>
      <w:szCs w:val="16"/>
      <w:lang w:val="fr-CA" w:eastAsia="fr-CA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722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CA" w:eastAsia="fr-C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722B0"/>
    <w:rPr>
      <w:rFonts w:ascii="Arial" w:eastAsia="Times New Roman" w:hAnsi="Arial" w:cs="Arial"/>
      <w:vanish/>
      <w:sz w:val="16"/>
      <w:szCs w:val="16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8535">
          <w:marLeft w:val="150"/>
          <w:marRight w:val="150"/>
          <w:marTop w:val="150"/>
          <w:marBottom w:val="150"/>
          <w:divBdr>
            <w:top w:val="single" w:sz="6" w:space="15" w:color="BBBBBB"/>
            <w:left w:val="single" w:sz="6" w:space="15" w:color="BBBBBB"/>
            <w:bottom w:val="single" w:sz="6" w:space="15" w:color="BBBBBB"/>
            <w:right w:val="single" w:sz="6" w:space="15" w:color="BBBBBB"/>
          </w:divBdr>
          <w:divsChild>
            <w:div w:id="71185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4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29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5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e-rec.ujc.cas.cz/archiv.php?vol=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s.ujc.cas.cz/archiv.php?art=3041" TargetMode="External"/><Relationship Id="rId5" Type="http://schemas.openxmlformats.org/officeDocument/2006/relationships/hyperlink" Target="http://nase-rec.ujc.cas.cz/archiv.php?pdf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3926</Words>
  <Characters>21597</Characters>
  <Application>Microsoft Office Word</Application>
  <DocSecurity>0</DocSecurity>
  <Lines>179</Lines>
  <Paragraphs>50</Paragraphs>
  <ScaleCrop>false</ScaleCrop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1</cp:revision>
  <dcterms:created xsi:type="dcterms:W3CDTF">2022-10-05T08:35:00Z</dcterms:created>
  <dcterms:modified xsi:type="dcterms:W3CDTF">2022-10-05T08:45:00Z</dcterms:modified>
</cp:coreProperties>
</file>