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:rsidR="004C438D" w:rsidRDefault="004C438D" w:rsidP="004C438D">
      <w:pPr>
        <w:jc w:val="center"/>
      </w:pPr>
    </w:p>
    <w:p w:rsidR="006E1DA1" w:rsidRDefault="006E1DA1" w:rsidP="004C438D">
      <w:pPr>
        <w:jc w:val="left"/>
        <w:rPr>
          <w:b/>
          <w:caps/>
          <w:sz w:val="18"/>
          <w:szCs w:val="18"/>
        </w:rPr>
      </w:pPr>
    </w:p>
    <w:p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r w:rsidRPr="00A57347">
        <w:rPr>
          <w:b/>
          <w:caps/>
          <w:sz w:val="18"/>
          <w:szCs w:val="18"/>
        </w:rPr>
        <w:t>Princip TITRACE ZALOŽENÉ NA OXIDAČNĚ - REDUKČNÍCH REAKCÍCH</w:t>
      </w:r>
    </w:p>
    <w:p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Potenciometrické metody určování koncentrace (aktivity) iontů v roztoku jsou založeny na měření elektromotorického napětí EMN (tj. rozdílu potenciálů elektrod EMN =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-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(referentní) elektrody. Počátek potenciálové osy (tj. nula) je dán konstantním a známým potenciálem referentní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>proto podle konvence můžeme položit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= 0, tj. měřené EMN se rovná přímo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. Hodnota potenciálu potom musí být vždy označena typem referentní elektrody, na kterou je uváděný potenciál vztažen (např. E = + 56 mV [SCE], kde  SCE je mezinárodní zkratka pro nasycenou kalomelovou elektrodu (tj. saturated calomel electrod). Při známé hodnotě potenciálu referentní elektrody lze tyto potenciály snadno přepočítat na standardní vodíkovou stupnici.</w:t>
      </w:r>
    </w:p>
    <w:p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tvořená  indiferentním kovem (např. platina), který je ponořen do roztoku obsahujícího oxidovanou a redukovanou formu redoxního systému,  její potenciál je určován poměrem koncentrací oxidované (Ox) a redukované (Red) formy daného redoxního páru podle upraveného </w:t>
      </w:r>
      <w:r w:rsidRPr="006E1DA1">
        <w:rPr>
          <w:b/>
          <w:i/>
          <w:sz w:val="18"/>
          <w:szCs w:val="18"/>
        </w:rPr>
        <w:t>Nernst-Petersova vztahu</w:t>
      </w:r>
      <w:r w:rsidRPr="006E1DA1">
        <w:rPr>
          <w:i/>
          <w:sz w:val="18"/>
          <w:szCs w:val="18"/>
        </w:rPr>
        <w:t>:</w:t>
      </w:r>
    </w:p>
    <w:p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>
          <v:shape id="_x0000_i1025" type="#_x0000_t75" style="width:103pt;height:25.3pt" o:ole="" fillcolor="window">
            <v:imagedata r:id="rId8" o:title=""/>
          </v:shape>
          <o:OLEObject Type="Embed" ProgID="Equation.3" ShapeID="_x0000_i1025" DrawAspect="Content" ObjectID="_1517999617" r:id="rId9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r w:rsidRPr="006E1DA1">
        <w:rPr>
          <w:i/>
          <w:sz w:val="18"/>
          <w:szCs w:val="18"/>
        </w:rPr>
        <w:t xml:space="preserve"> je formální potenciál pro redoxní pár Ox/Red, </w:t>
      </w:r>
    </w:p>
    <w:p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 xml:space="preserve">[Ox] a [Red] jsou rovnovážné koncentrace obou forem příslušného redoxního páru, </w:t>
      </w:r>
    </w:p>
    <w:p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r w:rsidR="004C438D" w:rsidRPr="006E1DA1">
        <w:rPr>
          <w:i/>
          <w:color w:val="0D0D0D"/>
          <w:sz w:val="18"/>
          <w:szCs w:val="18"/>
        </w:rPr>
        <w:t xml:space="preserve">Ox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Red.</w:t>
      </w:r>
      <w:r w:rsidR="004C438D" w:rsidRPr="006E1DA1">
        <w:rPr>
          <w:i/>
          <w:sz w:val="18"/>
          <w:szCs w:val="18"/>
        </w:rPr>
        <w:t xml:space="preserve">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referentní elektrodu kalomelová (tj. elektroda druhého druhu), kterou tvoří kov pokrytý vrstvičkou své málo rozpustné soli a ponořený v roztoku aniontů této soli.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Elektronickým multimetrem (tj. voltmetrem s vysokým vstupním odporem) je  měřeno  bezproudově elektromotorické napětí EMN (≡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) mezi platinovou a kalomelovou elektrodou, jehož změny v průběhu titrace jsou závislé na změnách poměru [Ox]/[Red], tj. poměru koncentrací oxidované a redukované formy titrované látky před ekvivalenčním bodem titrace nebo oxidované a redukované formy titračního činidla za ekvivalenčním bodem titrace.</w:t>
      </w:r>
    </w:p>
    <w:p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Typickou redoxní titrační křivku jako závislost potenciálu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>Inflexní bod ve strmé části křivky je prakticky shodný s ekvivalenčním bodem V</w:t>
      </w:r>
      <w:r w:rsidR="003F238A" w:rsidRPr="006E1DA1">
        <w:rPr>
          <w:i/>
          <w:sz w:val="18"/>
          <w:szCs w:val="18"/>
          <w:vertAlign w:val="subscript"/>
        </w:rPr>
        <w:t>ekv</w:t>
      </w:r>
      <w:r w:rsidR="003F238A" w:rsidRPr="006E1DA1">
        <w:rPr>
          <w:i/>
          <w:sz w:val="18"/>
          <w:szCs w:val="18"/>
        </w:rPr>
        <w:t>.</w:t>
      </w:r>
    </w:p>
    <w:p w:rsidR="004C438D" w:rsidRPr="00A57347" w:rsidRDefault="00C22A65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177" style="position:absolute;margin-left:128.85pt;margin-top:19.25pt;width:213.95pt;height:110.7pt;z-index:6" coordorigin="-15" coordsize="20054,20001" o:allowoverlap="f">
            <v:group id="_x0000_s1178" style="position:absolute;left:-15;width:20054;height:20001" coordorigin="-15" coordsize="20054,20001">
              <v:line id="_x0000_s1179" style="position:absolute" from="5685,3299" to="5869,8643">
                <v:stroke startarrow="block" startarrowwidth="narrow" startarrowlength="short" endarrow="block" endarrowwidth="narrow" endarrowlength="short"/>
              </v:line>
              <v:group id="_x0000_s1180" style="position:absolute;left:-15;width:20054;height:20001" coordsize="19999,20001">
                <v:group id="_x0000_s1181" style="position:absolute;left:5414;top:637;width:10976;height:13788" coordorigin="-2" coordsize="20002,20001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2" type="#_x0000_t19" style="position:absolute;left:10008;width:9992;height:9957;flip:x" strokeweight="1pt"/>
                  <v:shape id="_x0000_s1183" type="#_x0000_t19" style="position:absolute;left:-2;top:10044;width:9992;height:9957;flip:y" strokeweight="1pt"/>
                </v:group>
                <v:line id="_x0000_s1184" style="position:absolute;flip:y" from="2057,0" to="18519,4149">
                  <v:stroke startarrowwidth="narrow" startarrowlength="short" endarrowwidth="narrow" endarrowlength="short"/>
                </v:line>
                <v:line id="_x0000_s1185" style="position:absolute;flip:y" from="4764,6227" to="15920,9021">
                  <v:stroke dashstyle="3 1" startarrowwidth="narrow" startarrowlength="short" endarrowwidth="narrow" endarrowlength="short"/>
                </v:line>
                <v:line id="_x0000_s1186" style="position:absolute;flip:y" from="1480,12765" to="12636,15560">
                  <v:stroke startarrowwidth="narrow" startarrowlength="short" endarrowwidth="narrow" endarrowlength="short"/>
                </v:line>
                <v:line id="_x0000_s1187" style="position:absolute" from="10900,7441" to="10903,16808" strokeweight=".5pt">
                  <v:stroke dashstyle="3 1" startarrowwidth="narrow" startarrowlength="short" endarrow="block" endarrowwidth="narrow" endarrowlength="short"/>
                </v:line>
                <v:line id="_x0000_s1188" style="position:absolute" from="1784,319" to="1787,17877" strokeweight=".5pt">
                  <v:stroke startarrowwidth="narrow" startarrowlength="short" endarrowwidth="narrow" endarrowlength="short"/>
                </v:line>
                <v:line id="_x0000_s1189" style="position:absolute;flip:x" from="950,16961" to="19999,16974" strokeweight=".5pt">
                  <v:stroke startarrowwidth="narrow" startarrowlength="short" endarrowwidth="narrow" endarrowlength="short"/>
                </v:line>
                <v:rect id="_x0000_s1190" style="position:absolute;top:564;width:2205;height:4621" filled="f" stroked="f" strokeweight=".5pt">
                  <v:textbox style="mso-next-textbox:#_x0000_s1190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Pr="00592617">
                          <w:rPr>
                            <w:sz w:val="16"/>
                            <w:szCs w:val="16"/>
                          </w:rPr>
                          <w:t>E  (mV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B86B01" w:rsidRDefault="00B86B01" w:rsidP="004C438D"/>
                    </w:txbxContent>
                  </v:textbox>
                </v:rect>
                <v:rect id="_x0000_s1191" style="position:absolute;left:17145;top:17691;width:2493;height:2310" filled="f" stroked="f" strokeweight=".5pt">
                  <v:textbox style="mso-next-textbox:#_x0000_s1191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 xml:space="preserve"> (ml)</w:t>
                        </w:r>
                      </w:p>
                    </w:txbxContent>
                  </v:textbox>
                </v:rect>
                <v:rect id="_x0000_s1192" style="position:absolute;left:11261;top:14651;width:2855;height:2635" filled="f" stroked="f" strokeweight=".5pt">
                  <v:textbox style="mso-next-textbox:#_x0000_s1192"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592617">
                          <w:rPr>
                            <w:sz w:val="18"/>
                            <w:szCs w:val="18"/>
                            <w:vertAlign w:val="subscript"/>
                          </w:rPr>
                          <w:t>ekv</w:t>
                        </w:r>
                      </w:p>
                    </w:txbxContent>
                  </v:textbox>
                </v:rect>
                <v:line id="_x0000_s1193" style="position:absolute" from="5902,9041" to="6085,14385">
                  <v:stroke startarrow="block" startarrowwidth="narrow" startarrowlength="short" endarrow="block" endarrowwidth="narrow" endarrowlength="short"/>
                </v:line>
              </v:group>
            </v:group>
            <v:rect id="_x0000_s1194" style="position:absolute;left:5052;top:5503;width:727;height:2396" filled="f" stroked="f">
              <v:textbox style="mso-next-textbox:#_x0000_s1194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1195" style="position:absolute;left:5233;top:10986;width:727;height:2397" filled="f" stroked="f">
              <v:textbox style="mso-next-textbox:#_x0000_s1195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wrap type="topAndBottom"/>
          </v:group>
        </w:pict>
      </w:r>
    </w:p>
    <w:p w:rsidR="00380554" w:rsidRPr="006E1DA1" w:rsidRDefault="00380554" w:rsidP="00380554">
      <w:pPr>
        <w:pStyle w:val="txtchem"/>
        <w:spacing w:line="240" w:lineRule="auto"/>
        <w:jc w:val="center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 pro systém: Fe</w:t>
      </w:r>
      <w:r w:rsidRPr="006E1DA1">
        <w:rPr>
          <w:i/>
          <w:sz w:val="16"/>
          <w:szCs w:val="16"/>
          <w:vertAlign w:val="superscript"/>
        </w:rPr>
        <w:t>2+</w:t>
      </w:r>
      <w:r w:rsidRPr="006E1DA1">
        <w:rPr>
          <w:i/>
          <w:sz w:val="16"/>
          <w:szCs w:val="16"/>
        </w:rPr>
        <w:t xml:space="preserve"> titrováno MnO</w:t>
      </w:r>
      <w:r w:rsidRPr="006E1DA1">
        <w:rPr>
          <w:i/>
          <w:sz w:val="16"/>
          <w:szCs w:val="16"/>
          <w:vertAlign w:val="subscript"/>
        </w:rPr>
        <w:t>4</w:t>
      </w:r>
      <w:r w:rsidRPr="006E1DA1">
        <w:rPr>
          <w:i/>
          <w:sz w:val="16"/>
          <w:szCs w:val="16"/>
          <w:vertAlign w:val="superscript"/>
        </w:rPr>
        <w:t>-</w:t>
      </w:r>
    </w:p>
    <w:p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8A0838" w:rsidRDefault="008A0838" w:rsidP="009A099C">
      <w:pPr>
        <w:spacing w:line="240" w:lineRule="auto"/>
        <w:rPr>
          <w:sz w:val="20"/>
        </w:rPr>
      </w:pPr>
    </w:p>
    <w:p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:rsidR="009A099C" w:rsidRPr="00A57347" w:rsidRDefault="00C22A65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pict>
          <v:line id="_x0000_s1197" style="position:absolute;left:0;text-align:left;z-index:8" from="5.2pt,1.35pt" to="5.2pt,1.35pt"/>
        </w:pic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E1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E2 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[Ox] = [Red]).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>), který je vztažený na potenciál referentní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mV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E</w:t>
      </w:r>
      <w:r w:rsidRPr="003F238A">
        <w:rPr>
          <w:color w:val="0D0D0D"/>
          <w:sz w:val="18"/>
          <w:szCs w:val="18"/>
          <w:vertAlign w:val="superscript"/>
        </w:rPr>
        <w:t>f</w:t>
      </w:r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[mV]. 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>, zvětšený o 241 mV odpovídá formálnímu potenciálu činidla E</w:t>
      </w:r>
      <w:r w:rsidRPr="003F238A">
        <w:rPr>
          <w:sz w:val="18"/>
          <w:szCs w:val="18"/>
          <w:vertAlign w:val="superscript"/>
        </w:rPr>
        <w:t>f’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57347">
              <w:rPr>
                <w:color w:val="000000"/>
                <w:sz w:val="18"/>
                <w:szCs w:val="18"/>
              </w:rPr>
              <w:t>mV</w:t>
            </w:r>
          </w:p>
        </w:tc>
      </w:tr>
    </w:tbl>
    <w:p w:rsidR="009A099C" w:rsidRPr="00A57347" w:rsidRDefault="009A099C" w:rsidP="009A099C">
      <w:pPr>
        <w:pStyle w:val="txtchem"/>
        <w:rPr>
          <w:sz w:val="18"/>
          <w:szCs w:val="18"/>
        </w:rPr>
      </w:pPr>
    </w:p>
    <w:p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>= f(V) nabývá v inflexním bodě nulové hodnoty. Spotřebu V</w:t>
      </w:r>
      <w:r w:rsidRPr="00A57347">
        <w:rPr>
          <w:sz w:val="18"/>
          <w:szCs w:val="18"/>
          <w:vertAlign w:val="subscript"/>
        </w:rPr>
        <w:t>ekv</w:t>
      </w:r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>
          <v:shape id="_x0000_i1026" type="#_x0000_t75" style="width:126.55pt;height:29.65pt" o:ole="" fillcolor="window">
            <v:imagedata r:id="rId10" o:title=""/>
          </v:shape>
          <o:OLEObject Type="Embed" ProgID="Equation.3" ShapeID="_x0000_i1026" DrawAspect="Content" ObjectID="_1517999618" r:id="rId11"/>
        </w:object>
      </w:r>
    </w:p>
    <w:p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r w:rsidRPr="00A57347">
        <w:rPr>
          <w:i/>
          <w:sz w:val="18"/>
          <w:szCs w:val="18"/>
        </w:rPr>
        <w:t xml:space="preserve">kde:   </w:t>
      </w:r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je konstantní přídavek činidla v  ml, který se přidává v oblasti ekvivalenčního bodu,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238A">
              <w:rPr>
                <w:color w:val="000000"/>
                <w:sz w:val="16"/>
                <w:szCs w:val="16"/>
              </w:rPr>
              <w:t>mV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47ABC" w:rsidRPr="00A57347" w:rsidRDefault="00947ABC" w:rsidP="002F1AB4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C22A65" w:rsidP="002F1AB4">
      <w:pPr>
        <w:pStyle w:val="txtchem"/>
        <w:spacing w:line="240" w:lineRule="auto"/>
        <w:rPr>
          <w:sz w:val="18"/>
          <w:szCs w:val="18"/>
        </w:rPr>
      </w:pPr>
      <w:r w:rsidRPr="00C22A65">
        <w:pict>
          <v:shape id="_x0000_s1196" type="#_x0000_t75" style="position:absolute;left:0;text-align:left;margin-left:175.7pt;margin-top:17.7pt;width:137.65pt;height:23.3pt;z-index:7">
            <v:imagedata r:id="rId12" o:title=""/>
            <w10:wrap type="topAndBottom"/>
          </v:shape>
          <o:OLEObject Type="Embed" ProgID="Equation.3" ShapeID="_x0000_s1196" DrawAspect="Content" ObjectID="_1517999620" r:id="rId13"/>
        </w:pict>
      </w:r>
      <w:r w:rsidR="009A099C"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V</w:t>
      </w:r>
      <w:r w:rsidR="00592617" w:rsidRPr="00592617">
        <w:rPr>
          <w:sz w:val="18"/>
          <w:szCs w:val="18"/>
          <w:vertAlign w:val="subscript"/>
        </w:rPr>
        <w:t>ekv.</w:t>
      </w:r>
      <w:r w:rsidR="009A099C" w:rsidRPr="00A57347">
        <w:rPr>
          <w:sz w:val="18"/>
          <w:szCs w:val="18"/>
        </w:rPr>
        <w:t>:</w:t>
      </w:r>
    </w:p>
    <w:p w:rsidR="002F1AB4" w:rsidRPr="00592617" w:rsidRDefault="002F1AB4" w:rsidP="002F1AB4">
      <w:pPr>
        <w:pStyle w:val="txtchem"/>
        <w:rPr>
          <w:sz w:val="22"/>
          <w:szCs w:val="22"/>
        </w:rPr>
      </w:pPr>
    </w:p>
    <w:p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r w:rsidRPr="002213CA">
        <w:rPr>
          <w:b/>
          <w:sz w:val="22"/>
          <w:szCs w:val="22"/>
        </w:rPr>
        <w:lastRenderedPageBreak/>
        <w:t>12.1.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hex</w:t>
      </w:r>
      <w:r w:rsidR="00592617" w:rsidRPr="002213CA">
        <w:rPr>
          <w:b/>
          <w:sz w:val="22"/>
          <w:szCs w:val="22"/>
        </w:rPr>
        <w:t>akyanoželeznatan tetradraselný</w:t>
      </w:r>
      <w:r w:rsidR="004C438D" w:rsidRPr="002213CA">
        <w:rPr>
          <w:b/>
          <w:sz w:val="22"/>
          <w:szCs w:val="22"/>
        </w:rPr>
        <w:t> </w:t>
      </w:r>
    </w:p>
    <w:p w:rsidR="00592617" w:rsidRDefault="00592617" w:rsidP="000C7572">
      <w:pPr>
        <w:spacing w:before="120" w:line="240" w:lineRule="auto"/>
        <w:ind w:left="705"/>
        <w:rPr>
          <w:sz w:val="20"/>
        </w:rPr>
      </w:pP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trihydrát hexakyanoželeznatanu draselného.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Roztok hexakyanoželeznatanu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>. Při potenciometrickém stanovení je naměřen potenciálový skok z oblasti, definované formálním potenciálem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 pro soustavu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Původně nažloutlý roztok se v průběhu titrace barví do žlutozelena (patrně vznikem stopových množství berlínské modři pozvolným rozkladem méně stálé kyseliny hexakyanoželeznaté).Oxidace hexakyanoželeznatého aniontu na hexakyanoželezitanový probíhá velmi snadno, potenciál se ustaluje rychle, v blízkosti ekvivalenčního bodu je ustalování potenciálu pomalejší, je třeba vyčkat 1 – 2 minuty do odečtení potenciálu. Zatímco redoxní pár primárního standardu se chová reverzibilně (elektrodový děj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rychle),  je reverzibilita elektrodového děje činidla jen zdánlivá (reakce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= +1,5 V). Tato skutečnost zapříčiňuje pomalejší ustalování potenciálu za bodem ekvivalence  a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:rsidR="00592617" w:rsidRDefault="00C22A65" w:rsidP="004C438D">
      <w:pPr>
        <w:pStyle w:val="txtchem"/>
      </w:pPr>
      <w:r w:rsidRPr="00C22A65">
        <w:rPr>
          <w:noProof/>
          <w:sz w:val="22"/>
          <w:szCs w:val="22"/>
        </w:rPr>
        <w:pict>
          <v:shape id="_x0000_s1173" type="#_x0000_t75" style="position:absolute;left:0;text-align:left;margin-left:166.95pt;margin-top:19.1pt;width:126.05pt;height:17.6pt;z-index:3">
            <v:imagedata r:id="rId14" o:title=""/>
            <w10:wrap type="topAndBottom"/>
          </v:shape>
          <o:OLEObject Type="Embed" ProgID="Equation.3" ShapeID="_x0000_s1173" DrawAspect="Content" ObjectID="_1517999621" r:id="rId15"/>
        </w:pict>
      </w:r>
    </w:p>
    <w:p w:rsidR="000E59F6" w:rsidRDefault="00C22A65" w:rsidP="004C438D">
      <w:pPr>
        <w:pStyle w:val="txtchem"/>
      </w:pPr>
      <w:r w:rsidRPr="00C22A65">
        <w:rPr>
          <w:noProof/>
          <w:sz w:val="22"/>
          <w:szCs w:val="22"/>
        </w:rPr>
        <w:pict>
          <v:shape id="_x0000_s1175" type="#_x0000_t75" style="position:absolute;left:0;text-align:left;margin-left:108.5pt;margin-top:80.5pt;width:251.5pt;height:17.5pt;z-index:4">
            <v:imagedata r:id="rId16" o:title=""/>
            <w10:wrap type="topAndBottom"/>
          </v:shape>
          <o:OLEObject Type="Embed" ProgID="Equation.3" ShapeID="_x0000_s1175" DrawAspect="Content" ObjectID="_1517999622" r:id="rId17"/>
        </w:pict>
      </w:r>
      <w:r w:rsidRPr="00C22A65">
        <w:rPr>
          <w:noProof/>
          <w:sz w:val="22"/>
          <w:szCs w:val="22"/>
        </w:rPr>
        <w:pict>
          <v:shape id="_x0000_s1172" type="#_x0000_t75" style="position:absolute;left:0;text-align:left;margin-left:148.65pt;margin-top:29.45pt;width:169.35pt;height:16.35pt;z-index:2">
            <v:imagedata r:id="rId18" o:title=""/>
            <w10:wrap type="topAndBottom"/>
          </v:shape>
          <o:OLEObject Type="Embed" ProgID="Equation.3" ShapeID="_x0000_s1172" DrawAspect="Content" ObjectID="_1517999623" r:id="rId19"/>
        </w:pict>
      </w:r>
      <w:r w:rsidR="000E59F6">
        <w:tab/>
      </w:r>
      <w:r w:rsidR="000E59F6">
        <w:tab/>
      </w:r>
      <w:r w:rsidR="00332DAD">
        <w:t>______________________________________________________</w:t>
      </w:r>
    </w:p>
    <w:p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Fe(CN)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[Fe(CN)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>= 0,002 mmol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mmol 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:rsidR="004C438D" w:rsidRDefault="004C438D" w:rsidP="004C438D"/>
    <w:p w:rsidR="004C438D" w:rsidRPr="000E59F6" w:rsidRDefault="004C438D" w:rsidP="000E59F6">
      <w:pPr>
        <w:spacing w:line="240" w:lineRule="auto"/>
        <w:ind w:left="709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:rsidR="004C438D" w:rsidRDefault="00592617" w:rsidP="00B90EB9">
      <w:pPr>
        <w:pStyle w:val="txtchem"/>
        <w:spacing w:line="240" w:lineRule="auto"/>
        <w:ind w:left="709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:rsidR="004C438D" w:rsidRDefault="004C438D" w:rsidP="00B90EB9">
      <w:pPr>
        <w:pStyle w:val="txtchem"/>
        <w:spacing w:line="240" w:lineRule="auto"/>
        <w:ind w:left="708"/>
      </w:pPr>
      <w:r>
        <w:t>Do vysoké kádinky na 150 ml vlož</w:t>
      </w:r>
      <w:r w:rsidR="00592617">
        <w:t>it</w:t>
      </w:r>
      <w:r>
        <w:t xml:space="preserve"> míchadélko, </w:t>
      </w:r>
      <w:r w:rsidR="002213CA">
        <w:t>na</w:t>
      </w:r>
      <w:r>
        <w:t>pipet</w:t>
      </w:r>
      <w:r w:rsidR="00592617">
        <w:t>ovat</w:t>
      </w:r>
      <w:r>
        <w:t xml:space="preserve"> 10,00 ml roztoku standardu, </w:t>
      </w:r>
      <w:r w:rsidR="002213CA">
        <w:t xml:space="preserve"> přidat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:rsidR="004C438D" w:rsidRDefault="002213CA" w:rsidP="000C7572">
      <w:pPr>
        <w:pStyle w:val="txtchem"/>
        <w:ind w:left="708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Nernst-Petersovy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4C438D">
        <w:t xml:space="preserve">. </w:t>
      </w:r>
    </w:p>
    <w:p w:rsidR="004C438D" w:rsidRDefault="004C438D" w:rsidP="000C7572">
      <w:pPr>
        <w:pStyle w:val="txtchem"/>
        <w:ind w:left="708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multimetru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V</w:t>
      </w:r>
      <w:r>
        <w:rPr>
          <w:vertAlign w:val="subscript"/>
        </w:rPr>
        <w:t>ekv</w:t>
      </w:r>
      <w:r>
        <w:t>.</w:t>
      </w:r>
    </w:p>
    <w:p w:rsidR="004C438D" w:rsidRDefault="004C438D" w:rsidP="000C7572">
      <w:pPr>
        <w:pStyle w:val="txtchem"/>
        <w:ind w:left="708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:rsidR="00D13718" w:rsidRDefault="00D13718" w:rsidP="00D13718">
      <w:pPr>
        <w:spacing w:before="120" w:line="240" w:lineRule="auto"/>
        <w:ind w:left="1440"/>
        <w:rPr>
          <w:i/>
          <w:iCs/>
          <w:sz w:val="18"/>
          <w:szCs w:val="18"/>
        </w:rPr>
      </w:pP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lastRenderedPageBreak/>
        <w:t>stanovení provádět s využitím programu LabView, jednotky jsou nastaveny ve V (ne v mV)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POZOR - nezapomínat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:rsidR="000C7572" w:rsidRPr="000C7572" w:rsidRDefault="000C7572" w:rsidP="000C7572">
      <w:pPr>
        <w:pStyle w:val="txtchem"/>
        <w:ind w:left="709"/>
      </w:pPr>
    </w:p>
    <w:p w:rsidR="004C438D" w:rsidRPr="000C7572" w:rsidRDefault="00C22A65" w:rsidP="000C7572">
      <w:pPr>
        <w:ind w:left="708"/>
        <w:rPr>
          <w:i/>
          <w:iCs/>
          <w:caps/>
        </w:rPr>
      </w:pPr>
      <w:r w:rsidRPr="00C22A65">
        <w:rPr>
          <w:noProof/>
        </w:rPr>
        <w:pict>
          <v:shape id="_x0000_s1201" type="#_x0000_t75" style="position:absolute;left:0;text-align:left;margin-left:0;margin-top:20.7pt;width:153.5pt;height:34.15pt;z-index:9;mso-position-horizontal:center">
            <v:imagedata r:id="rId20" o:title=""/>
            <w10:wrap type="square"/>
          </v:shape>
          <o:OLEObject Type="Embed" ProgID="Equation.3" ShapeID="_x0000_s1201" DrawAspect="Content" ObjectID="_1517999624" r:id="rId21"/>
        </w:pict>
      </w:r>
      <w:r w:rsidRPr="00C22A65">
        <w:rPr>
          <w:b/>
          <w:sz w:val="20"/>
        </w:rPr>
        <w:pict>
          <v:shape id="_x0000_s1150" type="#_x0000_t75" style="position:absolute;left:0;text-align:left;margin-left:44.35pt;margin-top:33.55pt;width:9pt;height:17pt;z-index:1" o:allowincell="f">
            <v:imagedata r:id="rId22" o:title=""/>
            <w10:wrap type="topAndBottom"/>
          </v:shape>
          <o:OLEObject Type="Embed" ProgID="Equation.3" ShapeID="_x0000_s1150" DrawAspect="Content" ObjectID="_1517999625" r:id="rId23"/>
        </w:pi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</w:p>
    <w:p w:rsidR="004C438D" w:rsidRDefault="004C438D" w:rsidP="000C7572"/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r w:rsidRPr="003F238A">
        <w:rPr>
          <w:color w:val="0D0D0D"/>
          <w:sz w:val="16"/>
          <w:szCs w:val="16"/>
        </w:rPr>
        <w:t>trihydrátu</w:t>
      </w:r>
      <w:r w:rsidRPr="003F238A">
        <w:rPr>
          <w:sz w:val="16"/>
          <w:szCs w:val="16"/>
        </w:rPr>
        <w:t xml:space="preserve"> hexakyanoželeznatanu tetradraselného v mg, </w:t>
      </w:r>
    </w:p>
    <w:p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r w:rsidRPr="003F238A">
        <w:rPr>
          <w:sz w:val="16"/>
          <w:szCs w:val="16"/>
        </w:rPr>
        <w:t xml:space="preserve"> je pipetovaný objem standardního roztoku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:rsidR="002213CA" w:rsidRDefault="002213CA" w:rsidP="002213CA">
      <w:pPr>
        <w:pStyle w:val="txtchem"/>
        <w:rPr>
          <w:b/>
        </w:rPr>
      </w:pPr>
    </w:p>
    <w:p w:rsidR="004C438D" w:rsidRPr="00A86E72" w:rsidRDefault="004C438D" w:rsidP="002213CA">
      <w:pPr>
        <w:pStyle w:val="txtchem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se chová zcela reverzibilně (stejně jako jeho hexakyanokomplexy),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. Vizuální indikace je však zatížena titrační chybou, která bude tím menší, čím menší přebytek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 pozorovat při odečítání V</w:t>
      </w:r>
      <w:r w:rsidRPr="003F238A">
        <w:rPr>
          <w:i/>
          <w:vertAlign w:val="subscript"/>
        </w:rPr>
        <w:t>ekv</w:t>
      </w:r>
    </w:p>
    <w:p w:rsidR="004C438D" w:rsidRDefault="004C438D" w:rsidP="004C438D">
      <w:pPr>
        <w:jc w:val="left"/>
        <w:rPr>
          <w:sz w:val="20"/>
        </w:rPr>
      </w:pPr>
    </w:p>
    <w:p w:rsidR="004C438D" w:rsidRPr="00FB3090" w:rsidRDefault="00C22A65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 w:rsidRPr="00C22A65">
        <w:rPr>
          <w:noProof/>
        </w:rPr>
        <w:pict>
          <v:shape id="_x0000_s1176" type="#_x0000_t75" style="position:absolute;left:0;text-align:left;margin-left:121.15pt;margin-top:22.6pt;width:224.4pt;height:16.85pt;z-index:5">
            <v:imagedata r:id="rId24" o:title=""/>
            <w10:wrap type="topAndBottom"/>
          </v:shape>
          <o:OLEObject Type="Embed" ProgID="Equation.3" ShapeID="_x0000_s1176" DrawAspect="Content" ObjectID="_1517999626" r:id="rId25"/>
        </w:pict>
      </w:r>
      <w:r w:rsidR="004C438D" w:rsidRPr="00FB3090">
        <w:rPr>
          <w:b/>
          <w:bCs/>
          <w:i w:val="0"/>
        </w:rPr>
        <w:t>Stechiometrie:</w:t>
      </w:r>
    </w:p>
    <w:p w:rsidR="004C438D" w:rsidRDefault="004C438D" w:rsidP="00FB3090"/>
    <w:p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M(Fe) = 55,847 g/mol</w:t>
      </w:r>
    </w:p>
    <w:p w:rsidR="004C438D" w:rsidRDefault="004C438D" w:rsidP="004C438D">
      <w:pPr>
        <w:pStyle w:val="txtchem"/>
        <w:spacing w:before="0"/>
      </w:pPr>
    </w:p>
    <w:p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mmol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mmol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:rsidR="004C438D" w:rsidRPr="00FB3090" w:rsidRDefault="004C438D" w:rsidP="00FB3090">
      <w:pPr>
        <w:ind w:left="709"/>
        <w:rPr>
          <w:sz w:val="20"/>
        </w:rPr>
      </w:pPr>
    </w:p>
    <w:p w:rsidR="004C438D" w:rsidRPr="00FB3090" w:rsidRDefault="004C438D" w:rsidP="00FB3090">
      <w:pPr>
        <w:spacing w:before="120" w:line="240" w:lineRule="auto"/>
        <w:ind w:left="709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:rsidR="004C438D" w:rsidRDefault="004C438D" w:rsidP="00FB3090">
      <w:pPr>
        <w:pStyle w:val="txtchem"/>
        <w:spacing w:line="240" w:lineRule="auto"/>
        <w:ind w:left="709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:rsidR="00A86E72" w:rsidRDefault="004C438D" w:rsidP="00FB3090">
      <w:pPr>
        <w:pStyle w:val="txtchem"/>
        <w:spacing w:line="240" w:lineRule="auto"/>
        <w:ind w:left="709"/>
      </w:pPr>
      <w:r>
        <w:t>Do kádinky na 150 ml vlož</w:t>
      </w:r>
      <w:r w:rsidR="00A86E72">
        <w:t>it</w:t>
      </w:r>
      <w:r>
        <w:t xml:space="preserve"> míchadélko, napipet</w:t>
      </w:r>
      <w:r w:rsidR="00A86E72">
        <w:t>ovat</w:t>
      </w:r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:rsidR="004C438D" w:rsidRDefault="00A86E72" w:rsidP="00FB3090">
      <w:pPr>
        <w:pStyle w:val="txtchem"/>
        <w:spacing w:line="240" w:lineRule="auto"/>
        <w:ind w:left="709"/>
      </w:pPr>
      <w:r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>Po každém přídavku odměrného roztoku ke vzorku vždy odečíst hodnotu napětí mezi platinovou a kalomelovou elektrodou na multimetru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>, které odpovídá V</w:t>
      </w:r>
      <w:r>
        <w:rPr>
          <w:vertAlign w:val="subscript"/>
        </w:rPr>
        <w:t>ekv</w:t>
      </w:r>
      <w:r w:rsidR="004C438D">
        <w:t xml:space="preserve">. </w:t>
      </w:r>
    </w:p>
    <w:p w:rsidR="004C438D" w:rsidRDefault="004C438D" w:rsidP="00FB3090">
      <w:pPr>
        <w:pStyle w:val="txtchem"/>
        <w:spacing w:line="240" w:lineRule="auto"/>
        <w:ind w:left="709"/>
      </w:pPr>
      <w:r>
        <w:t xml:space="preserve">Z titrační křivky </w:t>
      </w:r>
      <w:r w:rsidR="00A86E72">
        <w:t>určit</w:t>
      </w:r>
      <w:r>
        <w:t xml:space="preserve"> V</w:t>
      </w:r>
      <w:r>
        <w:rPr>
          <w:vertAlign w:val="subscript"/>
        </w:rPr>
        <w:t>ekv</w:t>
      </w:r>
      <w:r w:rsidR="00A86E72">
        <w:t xml:space="preserve"> </w:t>
      </w:r>
      <w:r>
        <w:t xml:space="preserve">a </w:t>
      </w:r>
      <w:r w:rsidR="00A86E72">
        <w:t>také</w:t>
      </w:r>
      <w:r>
        <w:t xml:space="preserve"> odeč</w:t>
      </w:r>
      <w:r w:rsidR="00A86E72">
        <w:t>íst</w:t>
      </w:r>
      <w:r>
        <w:t xml:space="preserve"> formální potenciály obou redoxních párů.</w:t>
      </w:r>
    </w:p>
    <w:p w:rsidR="00A86E72" w:rsidRDefault="00A86E72" w:rsidP="00FB3090">
      <w:pPr>
        <w:pStyle w:val="txtchem"/>
        <w:spacing w:line="240" w:lineRule="auto"/>
        <w:rPr>
          <w:b/>
          <w:sz w:val="18"/>
        </w:rPr>
      </w:pPr>
    </w:p>
    <w:p w:rsidR="004C438D" w:rsidRDefault="004C438D" w:rsidP="004C438D">
      <w:pPr>
        <w:pStyle w:val="txtchem"/>
        <w:rPr>
          <w:b/>
        </w:rPr>
      </w:pPr>
      <w:r w:rsidRPr="002213CA">
        <w:rPr>
          <w:b/>
        </w:rPr>
        <w:lastRenderedPageBreak/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:rsidR="003F238A" w:rsidRPr="002213CA" w:rsidRDefault="003F238A" w:rsidP="004C438D">
      <w:pPr>
        <w:pStyle w:val="txtchem"/>
        <w:rPr>
          <w:b/>
        </w:rPr>
      </w:pPr>
    </w:p>
    <w:p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>
          <v:shape id="_x0000_i1027" type="#_x0000_t75" style="width:148.8pt;height:26.6pt" o:ole="" fillcolor="window">
            <v:imagedata r:id="rId26" o:title=""/>
          </v:shape>
          <o:OLEObject Type="Embed" ProgID="Equation.3" ShapeID="_x0000_i1027" DrawAspect="Content" ObjectID="_1517999619" r:id="rId27"/>
        </w:object>
      </w:r>
    </w:p>
    <w:p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M(Fe)</w:t>
      </w:r>
      <w:r w:rsidRPr="003F238A">
        <w:rPr>
          <w:szCs w:val="16"/>
        </w:rPr>
        <w:t xml:space="preserve"> je molární hmotnost Fe v g/mol, </w:t>
      </w:r>
    </w:p>
    <w:p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12.3.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:rsidR="00FB3090" w:rsidRDefault="00FB3090" w:rsidP="00FB3090">
      <w:pPr>
        <w:spacing w:line="240" w:lineRule="auto"/>
        <w:rPr>
          <w:sz w:val="20"/>
        </w:rPr>
      </w:pPr>
    </w:p>
    <w:p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:rsidR="003F238A" w:rsidRDefault="00A86E72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>
        <w:rPr>
          <w:b/>
        </w:rPr>
        <w:t xml:space="preserve">graficky i </w:t>
      </w:r>
      <w:r w:rsidR="003F238A">
        <w:rPr>
          <w:b/>
        </w:rPr>
        <w:t>početně dle odstavce 12.1.1.2.</w:t>
      </w:r>
    </w:p>
    <w:p w:rsidR="004C438D" w:rsidRDefault="003F238A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Odečtené formální potenciály obou redoxních párů z titrační křivky pro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  <w:u w:val="single"/>
        </w:rPr>
      </w:pPr>
      <w:r>
        <w:rPr>
          <w:b/>
        </w:rPr>
        <w:t>Srovnání grafické a početní metody určování inflexního bodu při potenciometrickém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Pr="00916F53" w:rsidRDefault="004C438D" w:rsidP="00916F53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Zdůvodnění možného chybného stanovení, zhodnocení příp. problémů během měření.</w:t>
      </w:r>
    </w:p>
    <w:sectPr w:rsidR="004C438D" w:rsidRPr="00916F53" w:rsidSect="003F238A">
      <w:footerReference w:type="even" r:id="rId2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B3" w:rsidRDefault="009806B3">
      <w:pPr>
        <w:spacing w:line="240" w:lineRule="auto"/>
      </w:pPr>
      <w:r>
        <w:separator/>
      </w:r>
    </w:p>
  </w:endnote>
  <w:endnote w:type="continuationSeparator" w:id="0">
    <w:p w:rsidR="009806B3" w:rsidRDefault="00980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B3" w:rsidRDefault="009806B3">
      <w:pPr>
        <w:spacing w:line="240" w:lineRule="auto"/>
      </w:pPr>
      <w:r>
        <w:separator/>
      </w:r>
    </w:p>
  </w:footnote>
  <w:footnote w:type="continuationSeparator" w:id="0">
    <w:p w:rsidR="009806B3" w:rsidRDefault="00980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1.3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8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9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2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5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9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4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8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1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4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6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95"/>
  </w:num>
  <w:num w:numId="4">
    <w:abstractNumId w:val="82"/>
  </w:num>
  <w:num w:numId="5">
    <w:abstractNumId w:val="16"/>
  </w:num>
  <w:num w:numId="6">
    <w:abstractNumId w:val="11"/>
  </w:num>
  <w:num w:numId="7">
    <w:abstractNumId w:val="97"/>
  </w:num>
  <w:num w:numId="8">
    <w:abstractNumId w:val="43"/>
  </w:num>
  <w:num w:numId="9">
    <w:abstractNumId w:val="98"/>
  </w:num>
  <w:num w:numId="10">
    <w:abstractNumId w:val="35"/>
  </w:num>
  <w:num w:numId="11">
    <w:abstractNumId w:val="36"/>
  </w:num>
  <w:num w:numId="12">
    <w:abstractNumId w:val="17"/>
  </w:num>
  <w:num w:numId="13">
    <w:abstractNumId w:val="69"/>
  </w:num>
  <w:num w:numId="14">
    <w:abstractNumId w:val="57"/>
  </w:num>
  <w:num w:numId="15">
    <w:abstractNumId w:val="100"/>
  </w:num>
  <w:num w:numId="16">
    <w:abstractNumId w:val="66"/>
  </w:num>
  <w:num w:numId="17">
    <w:abstractNumId w:val="37"/>
  </w:num>
  <w:num w:numId="18">
    <w:abstractNumId w:val="79"/>
  </w:num>
  <w:num w:numId="19">
    <w:abstractNumId w:val="64"/>
  </w:num>
  <w:num w:numId="20">
    <w:abstractNumId w:val="30"/>
  </w:num>
  <w:num w:numId="21">
    <w:abstractNumId w:val="34"/>
  </w:num>
  <w:num w:numId="22">
    <w:abstractNumId w:val="108"/>
  </w:num>
  <w:num w:numId="23">
    <w:abstractNumId w:val="28"/>
  </w:num>
  <w:num w:numId="24">
    <w:abstractNumId w:val="56"/>
  </w:num>
  <w:num w:numId="25">
    <w:abstractNumId w:val="19"/>
  </w:num>
  <w:num w:numId="26">
    <w:abstractNumId w:val="102"/>
  </w:num>
  <w:num w:numId="27">
    <w:abstractNumId w:val="2"/>
  </w:num>
  <w:num w:numId="28">
    <w:abstractNumId w:val="93"/>
  </w:num>
  <w:num w:numId="29">
    <w:abstractNumId w:val="10"/>
  </w:num>
  <w:num w:numId="30">
    <w:abstractNumId w:val="75"/>
  </w:num>
  <w:num w:numId="31">
    <w:abstractNumId w:val="14"/>
  </w:num>
  <w:num w:numId="32">
    <w:abstractNumId w:val="71"/>
  </w:num>
  <w:num w:numId="33">
    <w:abstractNumId w:val="49"/>
  </w:num>
  <w:num w:numId="34">
    <w:abstractNumId w:val="76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5"/>
  </w:num>
  <w:num w:numId="39">
    <w:abstractNumId w:val="77"/>
  </w:num>
  <w:num w:numId="40">
    <w:abstractNumId w:val="13"/>
  </w:num>
  <w:num w:numId="41">
    <w:abstractNumId w:val="72"/>
  </w:num>
  <w:num w:numId="42">
    <w:abstractNumId w:val="88"/>
  </w:num>
  <w:num w:numId="43">
    <w:abstractNumId w:val="94"/>
  </w:num>
  <w:num w:numId="44">
    <w:abstractNumId w:val="48"/>
  </w:num>
  <w:num w:numId="45">
    <w:abstractNumId w:val="21"/>
  </w:num>
  <w:num w:numId="46">
    <w:abstractNumId w:val="84"/>
  </w:num>
  <w:num w:numId="47">
    <w:abstractNumId w:val="50"/>
  </w:num>
  <w:num w:numId="48">
    <w:abstractNumId w:val="109"/>
  </w:num>
  <w:num w:numId="49">
    <w:abstractNumId w:val="99"/>
  </w:num>
  <w:num w:numId="50">
    <w:abstractNumId w:val="68"/>
  </w:num>
  <w:num w:numId="51">
    <w:abstractNumId w:val="107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8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6"/>
  </w:num>
  <w:num w:numId="60">
    <w:abstractNumId w:val="67"/>
  </w:num>
  <w:num w:numId="61">
    <w:abstractNumId w:val="44"/>
  </w:num>
  <w:num w:numId="62">
    <w:abstractNumId w:val="74"/>
  </w:num>
  <w:num w:numId="63">
    <w:abstractNumId w:val="40"/>
  </w:num>
  <w:num w:numId="64">
    <w:abstractNumId w:val="6"/>
  </w:num>
  <w:num w:numId="65">
    <w:abstractNumId w:val="85"/>
  </w:num>
  <w:num w:numId="66">
    <w:abstractNumId w:val="4"/>
  </w:num>
  <w:num w:numId="67">
    <w:abstractNumId w:val="47"/>
  </w:num>
  <w:num w:numId="68">
    <w:abstractNumId w:val="81"/>
  </w:num>
  <w:num w:numId="69">
    <w:abstractNumId w:val="39"/>
  </w:num>
  <w:num w:numId="70">
    <w:abstractNumId w:val="86"/>
  </w:num>
  <w:num w:numId="71">
    <w:abstractNumId w:val="65"/>
  </w:num>
  <w:num w:numId="72">
    <w:abstractNumId w:val="55"/>
  </w:num>
  <w:num w:numId="73">
    <w:abstractNumId w:val="45"/>
  </w:num>
  <w:num w:numId="74">
    <w:abstractNumId w:val="23"/>
  </w:num>
  <w:num w:numId="75">
    <w:abstractNumId w:val="63"/>
  </w:num>
  <w:num w:numId="76">
    <w:abstractNumId w:val="9"/>
  </w:num>
  <w:num w:numId="77">
    <w:abstractNumId w:val="26"/>
  </w:num>
  <w:num w:numId="78">
    <w:abstractNumId w:val="42"/>
  </w:num>
  <w:num w:numId="79">
    <w:abstractNumId w:val="32"/>
  </w:num>
  <w:num w:numId="80">
    <w:abstractNumId w:val="92"/>
  </w:num>
  <w:num w:numId="81">
    <w:abstractNumId w:val="24"/>
  </w:num>
  <w:num w:numId="82">
    <w:abstractNumId w:val="18"/>
  </w:num>
  <w:num w:numId="83">
    <w:abstractNumId w:val="90"/>
  </w:num>
  <w:num w:numId="84">
    <w:abstractNumId w:val="29"/>
  </w:num>
  <w:num w:numId="85">
    <w:abstractNumId w:val="59"/>
  </w:num>
  <w:num w:numId="86">
    <w:abstractNumId w:val="87"/>
  </w:num>
  <w:num w:numId="87">
    <w:abstractNumId w:val="91"/>
  </w:num>
  <w:num w:numId="88">
    <w:abstractNumId w:val="83"/>
  </w:num>
  <w:num w:numId="89">
    <w:abstractNumId w:val="31"/>
  </w:num>
  <w:num w:numId="90">
    <w:abstractNumId w:val="103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4"/>
  </w:num>
  <w:num w:numId="97">
    <w:abstractNumId w:val="33"/>
  </w:num>
  <w:num w:numId="98">
    <w:abstractNumId w:val="5"/>
  </w:num>
  <w:num w:numId="99">
    <w:abstractNumId w:val="22"/>
  </w:num>
  <w:num w:numId="100">
    <w:abstractNumId w:val="70"/>
  </w:num>
  <w:num w:numId="101">
    <w:abstractNumId w:val="101"/>
  </w:num>
  <w:num w:numId="102">
    <w:abstractNumId w:val="51"/>
  </w:num>
  <w:num w:numId="103">
    <w:abstractNumId w:val="20"/>
  </w:num>
  <w:num w:numId="104">
    <w:abstractNumId w:val="96"/>
  </w:num>
  <w:num w:numId="105">
    <w:abstractNumId w:val="8"/>
  </w:num>
  <w:num w:numId="106">
    <w:abstractNumId w:val="89"/>
  </w:num>
  <w:num w:numId="107">
    <w:abstractNumId w:val="41"/>
  </w:num>
  <w:num w:numId="108">
    <w:abstractNumId w:val="25"/>
  </w:num>
  <w:num w:numId="109">
    <w:abstractNumId w:val="80"/>
  </w:num>
  <w:num w:numId="110">
    <w:abstractNumId w:val="15"/>
  </w:num>
  <w:num w:numId="111">
    <w:abstractNumId w:val="7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49F0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06B3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2A65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5BE1-9D36-4B3D-995A-59C925E4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12163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2011-07-08T17:15:00Z</cp:lastPrinted>
  <dcterms:created xsi:type="dcterms:W3CDTF">2016-02-26T12:47:00Z</dcterms:created>
  <dcterms:modified xsi:type="dcterms:W3CDTF">2016-02-26T12:47:00Z</dcterms:modified>
</cp:coreProperties>
</file>