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FEBFB" w14:textId="204690E0" w:rsidR="126A4E94" w:rsidRPr="00667EB2" w:rsidRDefault="126A4E94" w:rsidP="0075406B">
      <w:pPr>
        <w:jc w:val="center"/>
        <w:rPr>
          <w:sz w:val="28"/>
          <w:szCs w:val="28"/>
        </w:rPr>
      </w:pP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Effect</w:t>
      </w:r>
      <w:proofErr w:type="spellEnd"/>
      <w:r w:rsidRP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of</w:t>
      </w:r>
      <w:proofErr w:type="spellEnd"/>
      <w:r w:rsidRP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alkali</w:t>
      </w:r>
      <w:proofErr w:type="spellEnd"/>
      <w:r w:rsidRPr="00667EB2">
        <w:rPr>
          <w:rFonts w:ascii="Calibri" w:eastAsia="Calibri" w:hAnsi="Calibri" w:cs="Calibri"/>
          <w:b/>
          <w:bCs/>
          <w:sz w:val="28"/>
          <w:szCs w:val="28"/>
        </w:rPr>
        <w:t xml:space="preserve"> metal </w:t>
      </w: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ions</w:t>
      </w:r>
      <w:proofErr w:type="spellEnd"/>
      <w:r w:rsidRPr="00667EB2">
        <w:rPr>
          <w:rFonts w:ascii="Calibri" w:eastAsia="Calibri" w:hAnsi="Calibri" w:cs="Calibri"/>
          <w:b/>
          <w:bCs/>
          <w:sz w:val="28"/>
          <w:szCs w:val="28"/>
        </w:rPr>
        <w:t xml:space="preserve"> on </w:t>
      </w: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dissociation</w:t>
      </w:r>
      <w:proofErr w:type="spellEnd"/>
      <w:r w:rsidRP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667EB2">
        <w:rPr>
          <w:rFonts w:ascii="Calibri" w:eastAsia="Calibri" w:hAnsi="Calibri" w:cs="Calibri"/>
          <w:b/>
          <w:bCs/>
          <w:sz w:val="28"/>
          <w:szCs w:val="28"/>
        </w:rPr>
        <w:t>kinetics</w:t>
      </w:r>
      <w:proofErr w:type="spellEnd"/>
      <w:r w:rsid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667EB2">
        <w:rPr>
          <w:rFonts w:ascii="Calibri" w:eastAsia="Calibri" w:hAnsi="Calibri" w:cs="Calibri"/>
          <w:b/>
          <w:bCs/>
          <w:sz w:val="28"/>
          <w:szCs w:val="28"/>
        </w:rPr>
        <w:t>of</w:t>
      </w:r>
      <w:proofErr w:type="spellEnd"/>
      <w:r w:rsid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667EB2">
        <w:rPr>
          <w:rFonts w:ascii="Calibri" w:eastAsia="Calibri" w:hAnsi="Calibri" w:cs="Calibri"/>
          <w:b/>
          <w:bCs/>
          <w:sz w:val="28"/>
          <w:szCs w:val="28"/>
        </w:rPr>
        <w:t>Cu</w:t>
      </w:r>
      <w:proofErr w:type="spellEnd"/>
      <w:r w:rsidR="00667EB2">
        <w:rPr>
          <w:rFonts w:ascii="Calibri" w:eastAsia="Calibri" w:hAnsi="Calibri" w:cs="Calibri"/>
          <w:b/>
          <w:bCs/>
          <w:sz w:val="28"/>
          <w:szCs w:val="28"/>
        </w:rPr>
        <w:t xml:space="preserve">(II) </w:t>
      </w:r>
      <w:proofErr w:type="spellStart"/>
      <w:r w:rsidR="00667EB2">
        <w:rPr>
          <w:rFonts w:ascii="Calibri" w:eastAsia="Calibri" w:hAnsi="Calibri" w:cs="Calibri"/>
          <w:b/>
          <w:bCs/>
          <w:sz w:val="28"/>
          <w:szCs w:val="28"/>
        </w:rPr>
        <w:t>complexes</w:t>
      </w:r>
      <w:proofErr w:type="spellEnd"/>
      <w:r w:rsid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667EB2">
        <w:rPr>
          <w:rFonts w:ascii="Calibri" w:eastAsia="Calibri" w:hAnsi="Calibri" w:cs="Calibri"/>
          <w:b/>
          <w:bCs/>
          <w:sz w:val="28"/>
          <w:szCs w:val="28"/>
        </w:rPr>
        <w:t>of</w:t>
      </w:r>
      <w:proofErr w:type="spellEnd"/>
      <w:r w:rsidR="00667EB2">
        <w:rPr>
          <w:rFonts w:ascii="Calibri" w:eastAsia="Calibri" w:hAnsi="Calibri" w:cs="Calibri"/>
          <w:b/>
          <w:bCs/>
          <w:sz w:val="28"/>
          <w:szCs w:val="28"/>
        </w:rPr>
        <w:t> </w:t>
      </w:r>
      <w:r w:rsidRPr="00667EB2">
        <w:rPr>
          <w:rFonts w:ascii="Calibri" w:eastAsia="Calibri" w:hAnsi="Calibri" w:cs="Calibri"/>
          <w:b/>
          <w:bCs/>
          <w:sz w:val="28"/>
          <w:szCs w:val="28"/>
        </w:rPr>
        <w:t>DOTP-</w:t>
      </w: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like</w:t>
      </w:r>
      <w:proofErr w:type="spellEnd"/>
      <w:r w:rsidRP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macrocyclic</w:t>
      </w:r>
      <w:proofErr w:type="spellEnd"/>
      <w:r w:rsidRPr="00667EB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667EB2">
        <w:rPr>
          <w:rFonts w:ascii="Calibri" w:eastAsia="Calibri" w:hAnsi="Calibri" w:cs="Calibri"/>
          <w:b/>
          <w:bCs/>
          <w:sz w:val="28"/>
          <w:szCs w:val="28"/>
        </w:rPr>
        <w:t>ligands</w:t>
      </w:r>
      <w:proofErr w:type="spellEnd"/>
    </w:p>
    <w:p w14:paraId="7661A56C" w14:textId="1D6D5FFB" w:rsidR="126A4E94" w:rsidRDefault="126A4E94" w:rsidP="00F01C01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224F4">
        <w:rPr>
          <w:rFonts w:ascii="Calibri" w:eastAsia="Calibri" w:hAnsi="Calibri" w:cs="Calibri"/>
          <w:sz w:val="24"/>
          <w:szCs w:val="24"/>
          <w:u w:val="single"/>
        </w:rPr>
        <w:t xml:space="preserve">Romana </w:t>
      </w:r>
      <w:proofErr w:type="spellStart"/>
      <w:r w:rsidRPr="00D224F4">
        <w:rPr>
          <w:rFonts w:ascii="Calibri" w:eastAsia="Calibri" w:hAnsi="Calibri" w:cs="Calibri"/>
          <w:sz w:val="24"/>
          <w:szCs w:val="24"/>
          <w:u w:val="single"/>
        </w:rPr>
        <w:t>Michalicová</w:t>
      </w:r>
      <w:proofErr w:type="spellEnd"/>
      <w:r w:rsidRPr="00D224F4">
        <w:rPr>
          <w:rFonts w:ascii="Calibri" w:eastAsia="Calibri" w:hAnsi="Calibri" w:cs="Calibri"/>
          <w:sz w:val="24"/>
          <w:szCs w:val="24"/>
        </w:rPr>
        <w:t xml:space="preserve">, Přemysl </w:t>
      </w:r>
      <w:proofErr w:type="spellStart"/>
      <w:r w:rsidRPr="00D224F4">
        <w:rPr>
          <w:rFonts w:ascii="Calibri" w:eastAsia="Calibri" w:hAnsi="Calibri" w:cs="Calibri"/>
          <w:sz w:val="24"/>
          <w:szCs w:val="24"/>
        </w:rPr>
        <w:t>Lubal</w:t>
      </w:r>
      <w:proofErr w:type="spellEnd"/>
      <w:r w:rsidRPr="00D224F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224F4">
        <w:rPr>
          <w:rFonts w:ascii="Calibri" w:eastAsia="Calibri" w:hAnsi="Calibri" w:cs="Calibri"/>
          <w:sz w:val="24"/>
          <w:szCs w:val="24"/>
        </w:rPr>
        <w:t>Luís</w:t>
      </w:r>
      <w:proofErr w:type="spellEnd"/>
      <w:r w:rsidRPr="00D224F4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D224F4">
        <w:rPr>
          <w:rFonts w:ascii="Calibri" w:eastAsia="Calibri" w:hAnsi="Calibri" w:cs="Calibri"/>
          <w:sz w:val="24"/>
          <w:szCs w:val="24"/>
        </w:rPr>
        <w:t>M.P.</w:t>
      </w:r>
      <w:proofErr w:type="gramEnd"/>
      <w:r w:rsidRPr="00D224F4">
        <w:rPr>
          <w:rFonts w:ascii="Calibri" w:eastAsia="Calibri" w:hAnsi="Calibri" w:cs="Calibri"/>
          <w:sz w:val="24"/>
          <w:szCs w:val="24"/>
        </w:rPr>
        <w:t xml:space="preserve"> LIMA, Rita DELGADO, Petr HERMANN</w:t>
      </w:r>
    </w:p>
    <w:p w14:paraId="15773F5F" w14:textId="487B1A2D" w:rsidR="001D4EEF" w:rsidRDefault="00787931" w:rsidP="00F4180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Cyclen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based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 w:rsidR="00F5622C" w:rsidRPr="00F5622C">
        <w:rPr>
          <w:rFonts w:ascii="Calibri" w:eastAsia="Calibri" w:hAnsi="Calibri" w:cs="Calibri"/>
          <w:sz w:val="24"/>
          <w:szCs w:val="24"/>
        </w:rPr>
        <w:t>etraaza-macrocyclic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ligands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proofErr w:type="spellStart"/>
      <w:r>
        <w:rPr>
          <w:rFonts w:ascii="Calibri" w:eastAsia="Calibri" w:hAnsi="Calibri" w:cs="Calibri"/>
          <w:sz w:val="24"/>
          <w:szCs w:val="24"/>
        </w:rPr>
        <w:t>well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known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ability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87931">
        <w:t>to</w:t>
      </w:r>
      <w:r>
        <w:t> </w:t>
      </w:r>
      <w:proofErr w:type="spellStart"/>
      <w:r w:rsidR="00F5622C" w:rsidRPr="00787931">
        <w:t>bind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proofErr w:type="spellStart"/>
      <w:r w:rsidR="005574F3">
        <w:rPr>
          <w:rFonts w:ascii="Calibri" w:eastAsia="Calibri" w:hAnsi="Calibri" w:cs="Calibri"/>
          <w:sz w:val="24"/>
          <w:szCs w:val="24"/>
        </w:rPr>
        <w:t>Cu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(II)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leading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formation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574F3">
        <w:rPr>
          <w:rFonts w:ascii="Calibri" w:eastAsia="Calibri" w:hAnsi="Calibri" w:cs="Calibri"/>
          <w:sz w:val="24"/>
          <w:szCs w:val="24"/>
        </w:rPr>
        <w:t>c</w:t>
      </w:r>
      <w:r w:rsidR="00F5622C" w:rsidRPr="00F5622C">
        <w:rPr>
          <w:rFonts w:ascii="Calibri" w:eastAsia="Calibri" w:hAnsi="Calibri" w:cs="Calibri"/>
          <w:sz w:val="24"/>
          <w:szCs w:val="24"/>
        </w:rPr>
        <w:t>omplexes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574F3">
        <w:rPr>
          <w:rFonts w:ascii="Calibri" w:eastAsia="Calibri" w:hAnsi="Calibri" w:cs="Calibri"/>
          <w:sz w:val="24"/>
          <w:szCs w:val="24"/>
        </w:rPr>
        <w:t>with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high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thermodynamic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stability and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kinetic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5622C">
        <w:rPr>
          <w:rFonts w:ascii="Calibri" w:eastAsia="Calibri" w:hAnsi="Calibri" w:cs="Calibri"/>
          <w:sz w:val="24"/>
          <w:szCs w:val="24"/>
        </w:rPr>
        <w:t>inertness</w:t>
      </w:r>
      <w:proofErr w:type="spellEnd"/>
      <w:r w:rsidR="00F5622C" w:rsidRPr="00F5622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41C52">
        <w:rPr>
          <w:rFonts w:ascii="Calibri" w:eastAsia="Calibri" w:hAnsi="Calibri" w:cs="Calibri"/>
          <w:sz w:val="24"/>
          <w:szCs w:val="24"/>
        </w:rPr>
        <w:t>which</w:t>
      </w:r>
      <w:proofErr w:type="spellEnd"/>
      <w:r w:rsidR="00F5622C" w:rsidRPr="00F41C52">
        <w:rPr>
          <w:rFonts w:ascii="Calibri" w:eastAsia="Calibri" w:hAnsi="Calibri" w:cs="Calibri"/>
          <w:sz w:val="24"/>
          <w:szCs w:val="24"/>
        </w:rPr>
        <w:t xml:space="preserve"> are </w:t>
      </w:r>
      <w:proofErr w:type="spellStart"/>
      <w:r w:rsidR="00F5622C" w:rsidRPr="00F41C52">
        <w:rPr>
          <w:rFonts w:ascii="Calibri" w:eastAsia="Calibri" w:hAnsi="Calibri" w:cs="Calibri"/>
          <w:sz w:val="24"/>
          <w:szCs w:val="24"/>
        </w:rPr>
        <w:t>required</w:t>
      </w:r>
      <w:proofErr w:type="spellEnd"/>
      <w:r w:rsidR="00F5622C" w:rsidRPr="00F41C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41C52">
        <w:rPr>
          <w:rFonts w:ascii="Calibri" w:eastAsia="Calibri" w:hAnsi="Calibri" w:cs="Calibri"/>
          <w:sz w:val="24"/>
          <w:szCs w:val="24"/>
        </w:rPr>
        <w:t>for</w:t>
      </w:r>
      <w:proofErr w:type="spellEnd"/>
      <w:r w:rsidR="00F5622C" w:rsidRPr="00F41C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41C52">
        <w:rPr>
          <w:rFonts w:ascii="Calibri" w:eastAsia="Calibri" w:hAnsi="Calibri" w:cs="Calibri"/>
          <w:sz w:val="24"/>
          <w:szCs w:val="24"/>
        </w:rPr>
        <w:t>their</w:t>
      </w:r>
      <w:proofErr w:type="spellEnd"/>
      <w:r w:rsidR="00F5622C" w:rsidRPr="00F41C52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F5622C" w:rsidRPr="00F41C52">
        <w:rPr>
          <w:rFonts w:ascii="Calibri" w:eastAsia="Calibri" w:hAnsi="Calibri" w:cs="Calibri"/>
          <w:sz w:val="24"/>
          <w:szCs w:val="24"/>
        </w:rPr>
        <w:t>vivo</w:t>
      </w:r>
      <w:proofErr w:type="spellEnd"/>
      <w:r w:rsidR="00F5622C" w:rsidRPr="00F41C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5622C" w:rsidRPr="00F41C52">
        <w:rPr>
          <w:rFonts w:ascii="Calibri" w:eastAsia="Calibri" w:hAnsi="Calibri" w:cs="Calibri"/>
          <w:sz w:val="24"/>
          <w:szCs w:val="24"/>
        </w:rPr>
        <w:t>applications</w:t>
      </w:r>
      <w:proofErr w:type="spellEnd"/>
      <w:r w:rsidR="00F5622C" w:rsidRPr="00F41C52">
        <w:rPr>
          <w:rFonts w:ascii="Calibri" w:eastAsia="Calibri" w:hAnsi="Calibri" w:cs="Calibri"/>
          <w:sz w:val="24"/>
          <w:szCs w:val="24"/>
        </w:rPr>
        <w:t xml:space="preserve"> and in </w:t>
      </w:r>
      <w:proofErr w:type="spellStart"/>
      <w:r w:rsidR="00F5622C" w:rsidRPr="00F41C52">
        <w:rPr>
          <w:rFonts w:ascii="Calibri" w:eastAsia="Calibri" w:hAnsi="Calibri" w:cs="Calibri"/>
          <w:sz w:val="24"/>
          <w:szCs w:val="24"/>
        </w:rPr>
        <w:t>medicine</w:t>
      </w:r>
      <w:proofErr w:type="spellEnd"/>
      <w:r w:rsidR="00F5622C" w:rsidRPr="00F41C52">
        <w:rPr>
          <w:rFonts w:ascii="Calibri" w:eastAsia="Calibri" w:hAnsi="Calibri" w:cs="Calibri"/>
          <w:sz w:val="24"/>
          <w:szCs w:val="24"/>
        </w:rPr>
        <w:t xml:space="preserve"> [1–3].</w:t>
      </w:r>
      <w:r w:rsidR="00C7070E" w:rsidRPr="00F41C52">
        <w:rPr>
          <w:rFonts w:ascii="Calibri" w:eastAsia="Calibri" w:hAnsi="Calibri" w:cs="Calibri"/>
          <w:color w:val="4472C4" w:themeColor="accent5"/>
          <w:sz w:val="24"/>
          <w:szCs w:val="24"/>
        </w:rPr>
        <w:t xml:space="preserve"> </w:t>
      </w:r>
      <w:proofErr w:type="spellStart"/>
      <w:r w:rsidR="00A03DDF" w:rsidRPr="006E74E8">
        <w:rPr>
          <w:rFonts w:ascii="Calibri" w:eastAsia="Calibri" w:hAnsi="Calibri" w:cs="Calibri"/>
          <w:sz w:val="24"/>
          <w:szCs w:val="24"/>
        </w:rPr>
        <w:t>Some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copper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>(II)</w:t>
      </w:r>
      <w:r w:rsidR="00A03DDF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complexes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are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ideal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for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using</w:t>
      </w:r>
      <w:proofErr w:type="spellEnd"/>
      <w:r w:rsidR="00A03DDF" w:rsidRPr="006E74E8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6E74E8">
        <w:rPr>
          <w:rFonts w:ascii="Calibri" w:eastAsia="Calibri" w:hAnsi="Calibri" w:cs="Calibri"/>
          <w:sz w:val="24"/>
          <w:szCs w:val="24"/>
        </w:rPr>
        <w:t>clinical</w:t>
      </w:r>
      <w:proofErr w:type="spellEnd"/>
      <w:r w:rsid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03DDF" w:rsidRPr="006E74E8">
        <w:rPr>
          <w:rFonts w:ascii="Calibri" w:eastAsia="Calibri" w:hAnsi="Calibri" w:cs="Calibri"/>
          <w:sz w:val="24"/>
          <w:szCs w:val="24"/>
        </w:rPr>
        <w:t>diagnosis</w:t>
      </w:r>
      <w:proofErr w:type="spellEnd"/>
      <w:r w:rsidR="00A03DDF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because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their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radioisotopic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1C52" w:rsidRPr="006E74E8">
        <w:rPr>
          <w:rFonts w:ascii="Calibri" w:eastAsia="Calibri" w:hAnsi="Calibri" w:cs="Calibri"/>
          <w:sz w:val="24"/>
          <w:szCs w:val="24"/>
        </w:rPr>
        <w:t>prorerties</w:t>
      </w:r>
      <w:proofErr w:type="spellEnd"/>
      <w:r w:rsidR="00F41C52" w:rsidRPr="006E74E8">
        <w:rPr>
          <w:rFonts w:ascii="Calibri" w:eastAsia="Calibri" w:hAnsi="Calibri" w:cs="Calibri"/>
          <w:sz w:val="24"/>
          <w:szCs w:val="24"/>
        </w:rPr>
        <w:t xml:space="preserve"> </w:t>
      </w:r>
      <w:r w:rsidR="00A03DDF" w:rsidRPr="006E74E8">
        <w:rPr>
          <w:rFonts w:ascii="Calibri" w:eastAsia="Calibri" w:hAnsi="Calibri" w:cs="Calibri"/>
          <w:sz w:val="24"/>
          <w:szCs w:val="24"/>
        </w:rPr>
        <w:t xml:space="preserve">(positron </w:t>
      </w:r>
      <w:proofErr w:type="spellStart"/>
      <w:r w:rsidR="00A03DDF" w:rsidRPr="006E74E8">
        <w:rPr>
          <w:rFonts w:ascii="Calibri" w:eastAsia="Calibri" w:hAnsi="Calibri" w:cs="Calibri"/>
          <w:sz w:val="24"/>
          <w:szCs w:val="24"/>
        </w:rPr>
        <w:t>emission</w:t>
      </w:r>
      <w:proofErr w:type="spellEnd"/>
      <w:r w:rsidR="00A03DDF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03DDF" w:rsidRPr="006E74E8">
        <w:rPr>
          <w:rFonts w:ascii="Calibri" w:eastAsia="Calibri" w:hAnsi="Calibri" w:cs="Calibri"/>
          <w:sz w:val="24"/>
          <w:szCs w:val="24"/>
        </w:rPr>
        <w:t>tomography</w:t>
      </w:r>
      <w:proofErr w:type="spellEnd"/>
      <w:r w:rsidR="00A03DDF" w:rsidRPr="006E74E8">
        <w:rPr>
          <w:rFonts w:ascii="Calibri" w:eastAsia="Calibri" w:hAnsi="Calibri" w:cs="Calibri"/>
          <w:sz w:val="24"/>
          <w:szCs w:val="24"/>
        </w:rPr>
        <w:t xml:space="preserve"> - </w:t>
      </w:r>
      <w:r w:rsidR="006E74E8">
        <w:rPr>
          <w:rFonts w:ascii="Calibri" w:eastAsia="Calibri" w:hAnsi="Calibri" w:cs="Calibri"/>
          <w:sz w:val="24"/>
          <w:szCs w:val="24"/>
        </w:rPr>
        <w:t xml:space="preserve">PET, </w:t>
      </w:r>
      <w:r w:rsidR="006E74E8" w:rsidRPr="006E74E8">
        <w:rPr>
          <w:rFonts w:ascii="Calibri" w:eastAsia="Calibri" w:hAnsi="Calibri" w:cs="Calibri"/>
          <w:sz w:val="24"/>
          <w:szCs w:val="24"/>
          <w:vertAlign w:val="superscript"/>
        </w:rPr>
        <w:t>64</w:t>
      </w:r>
      <w:r w:rsidR="00A03DDF" w:rsidRPr="006E74E8">
        <w:rPr>
          <w:rFonts w:ascii="Calibri" w:eastAsia="Calibri" w:hAnsi="Calibri" w:cs="Calibri"/>
          <w:sz w:val="24"/>
          <w:szCs w:val="24"/>
        </w:rPr>
        <w:t xml:space="preserve">Cu </w:t>
      </w:r>
      <w:proofErr w:type="spellStart"/>
      <w:r w:rsidR="00A03DDF" w:rsidRPr="006E74E8">
        <w:rPr>
          <w:rFonts w:ascii="Calibri" w:eastAsia="Calibri" w:hAnsi="Calibri" w:cs="Calibri"/>
          <w:sz w:val="24"/>
          <w:szCs w:val="24"/>
        </w:rPr>
        <w:t>with</w:t>
      </w:r>
      <w:proofErr w:type="spellEnd"/>
      <w:r w:rsidR="00A03DDF" w:rsidRPr="006E74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03DDF" w:rsidRPr="006E74E8">
        <w:rPr>
          <w:rFonts w:ascii="Calibri" w:eastAsia="Calibri" w:hAnsi="Calibri" w:cs="Calibri"/>
          <w:sz w:val="24"/>
          <w:szCs w:val="24"/>
        </w:rPr>
        <w:t>half-life</w:t>
      </w:r>
      <w:proofErr w:type="spellEnd"/>
      <w:r w:rsidR="00A03DDF" w:rsidRPr="006E74E8">
        <w:rPr>
          <w:rFonts w:ascii="Calibri" w:eastAsia="Calibri" w:hAnsi="Calibri" w:cs="Calibri"/>
          <w:sz w:val="24"/>
          <w:szCs w:val="24"/>
        </w:rPr>
        <w:t xml:space="preserve"> 12.8</w:t>
      </w:r>
      <w:r w:rsidR="00C10A1E">
        <w:rPr>
          <w:rFonts w:ascii="Calibri" w:eastAsia="Calibri" w:hAnsi="Calibri" w:cs="Calibri"/>
          <w:sz w:val="24"/>
          <w:szCs w:val="24"/>
        </w:rPr>
        <w:t xml:space="preserve"> h) </w:t>
      </w:r>
      <w:proofErr w:type="spellStart"/>
      <w:r w:rsidR="00C10A1E">
        <w:rPr>
          <w:rFonts w:ascii="Calibri" w:eastAsia="Calibri" w:hAnsi="Calibri" w:cs="Calibri"/>
          <w:sz w:val="24"/>
          <w:szCs w:val="24"/>
        </w:rPr>
        <w:t>or</w:t>
      </w:r>
      <w:proofErr w:type="spellEnd"/>
      <w:r w:rsidR="00C10A1E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C10A1E">
        <w:rPr>
          <w:rFonts w:ascii="Calibri" w:eastAsia="Calibri" w:hAnsi="Calibri" w:cs="Calibri"/>
          <w:sz w:val="24"/>
          <w:szCs w:val="24"/>
        </w:rPr>
        <w:t>radio-immunother</w:t>
      </w:r>
      <w:bookmarkStart w:id="0" w:name="_GoBack"/>
      <w:bookmarkEnd w:id="0"/>
      <w:r w:rsidR="00C10A1E">
        <w:rPr>
          <w:rFonts w:ascii="Calibri" w:eastAsia="Calibri" w:hAnsi="Calibri" w:cs="Calibri"/>
          <w:sz w:val="24"/>
          <w:szCs w:val="24"/>
        </w:rPr>
        <w:t>apy</w:t>
      </w:r>
      <w:proofErr w:type="spellEnd"/>
      <w:r w:rsidR="00C10A1E">
        <w:rPr>
          <w:rFonts w:ascii="Calibri" w:eastAsia="Calibri" w:hAnsi="Calibri" w:cs="Calibri"/>
          <w:sz w:val="24"/>
          <w:szCs w:val="24"/>
        </w:rPr>
        <w:t xml:space="preserve"> </w:t>
      </w:r>
      <w:r w:rsidR="00C10A1E" w:rsidRPr="00750DBF">
        <w:rPr>
          <w:rFonts w:ascii="Calibri" w:eastAsia="Calibri" w:hAnsi="Calibri" w:cs="Calibri"/>
          <w:sz w:val="24"/>
          <w:szCs w:val="24"/>
        </w:rPr>
        <w:t>(</w:t>
      </w:r>
      <w:r w:rsidR="00A03DDF" w:rsidRPr="00750DBF">
        <w:rPr>
          <w:rFonts w:ascii="Calibri" w:eastAsia="Calibri" w:hAnsi="Calibri" w:cs="Calibri"/>
          <w:sz w:val="24"/>
          <w:szCs w:val="24"/>
          <w:vertAlign w:val="superscript"/>
        </w:rPr>
        <w:t>67</w:t>
      </w:r>
      <w:r w:rsidR="00A03DD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03DDF" w:rsidRPr="00750DBF">
        <w:rPr>
          <w:rFonts w:ascii="Calibri" w:eastAsia="Calibri" w:hAnsi="Calibri" w:cs="Calibri"/>
          <w:sz w:val="24"/>
          <w:szCs w:val="24"/>
        </w:rPr>
        <w:t>Cu</w:t>
      </w:r>
      <w:proofErr w:type="spellEnd"/>
      <w:r w:rsidR="00A03DD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03DDF" w:rsidRPr="00750DBF">
        <w:rPr>
          <w:rFonts w:ascii="Calibri" w:eastAsia="Calibri" w:hAnsi="Calibri" w:cs="Calibri"/>
          <w:sz w:val="24"/>
          <w:szCs w:val="24"/>
        </w:rPr>
        <w:t>with</w:t>
      </w:r>
      <w:proofErr w:type="spellEnd"/>
      <w:r w:rsidR="00A03DD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03DDF" w:rsidRPr="00750DBF">
        <w:rPr>
          <w:rFonts w:ascii="Calibri" w:eastAsia="Calibri" w:hAnsi="Calibri" w:cs="Calibri"/>
          <w:sz w:val="24"/>
          <w:szCs w:val="24"/>
        </w:rPr>
        <w:t>half-life</w:t>
      </w:r>
      <w:proofErr w:type="spellEnd"/>
      <w:r w:rsidR="00A03DDF" w:rsidRPr="00750DBF">
        <w:rPr>
          <w:rFonts w:ascii="Calibri" w:eastAsia="Calibri" w:hAnsi="Calibri" w:cs="Calibri"/>
          <w:sz w:val="24"/>
          <w:szCs w:val="24"/>
        </w:rPr>
        <w:t xml:space="preserve"> 62 h) [4].</w:t>
      </w:r>
      <w:r w:rsidR="00750DBF" w:rsidRPr="00750DBF">
        <w:rPr>
          <w:rFonts w:ascii="Calibri" w:eastAsia="Calibri" w:hAnsi="Calibri" w:cs="Calibri"/>
          <w:sz w:val="24"/>
          <w:szCs w:val="24"/>
        </w:rPr>
        <w:t xml:space="preserve"> </w:t>
      </w:r>
      <w:r w:rsidR="001D4EEF" w:rsidRPr="00750DBF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addition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sodium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potassium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ions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play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important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role in </w:t>
      </w:r>
      <w:proofErr w:type="gramStart"/>
      <w:r w:rsidR="001D4EEF" w:rsidRPr="00750DBF">
        <w:rPr>
          <w:rFonts w:ascii="Calibri" w:eastAsia="Calibri" w:hAnsi="Calibri" w:cs="Calibri"/>
          <w:sz w:val="24"/>
          <w:szCs w:val="24"/>
        </w:rPr>
        <w:t xml:space="preserve">biology,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e.g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concentration</w:t>
      </w:r>
      <w:proofErr w:type="spellEnd"/>
      <w:proofErr w:type="gram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gradient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sodium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potassium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ions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is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important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living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organism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for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many cell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functions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, and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their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presence in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solution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can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affect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kinetic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inertness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copper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 xml:space="preserve">(II) </w:t>
      </w:r>
      <w:proofErr w:type="spellStart"/>
      <w:r w:rsidR="001D4EEF" w:rsidRPr="00750DBF">
        <w:rPr>
          <w:rFonts w:ascii="Calibri" w:eastAsia="Calibri" w:hAnsi="Calibri" w:cs="Calibri"/>
          <w:sz w:val="24"/>
          <w:szCs w:val="24"/>
        </w:rPr>
        <w:t>complexes</w:t>
      </w:r>
      <w:proofErr w:type="spellEnd"/>
      <w:r w:rsidR="001D4EEF" w:rsidRPr="00750DBF">
        <w:rPr>
          <w:rFonts w:ascii="Calibri" w:eastAsia="Calibri" w:hAnsi="Calibri" w:cs="Calibri"/>
          <w:sz w:val="24"/>
          <w:szCs w:val="24"/>
        </w:rPr>
        <w:t>.</w:t>
      </w:r>
    </w:p>
    <w:p w14:paraId="5B2372E8" w14:textId="77777777" w:rsidR="00F41801" w:rsidRDefault="00F41801" w:rsidP="00F41801">
      <w:pPr>
        <w:spacing w:after="0" w:line="240" w:lineRule="auto"/>
        <w:jc w:val="both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1970"/>
        <w:gridCol w:w="1251"/>
      </w:tblGrid>
      <w:tr w:rsidR="00751913" w14:paraId="72CCAF74" w14:textId="77777777" w:rsidTr="00576C59">
        <w:trPr>
          <w:jc w:val="center"/>
        </w:trPr>
        <w:tc>
          <w:tcPr>
            <w:tcW w:w="0" w:type="auto"/>
            <w:vAlign w:val="center"/>
          </w:tcPr>
          <w:p w14:paraId="5E42E542" w14:textId="77777777" w:rsidR="00751913" w:rsidRDefault="00751913" w:rsidP="00F41801">
            <w:pPr>
              <w:jc w:val="center"/>
              <w:rPr>
                <w:sz w:val="24"/>
                <w:szCs w:val="24"/>
              </w:rPr>
            </w:pPr>
            <w:r w:rsidRPr="0075406B">
              <w:object w:dxaOrig="2654" w:dyaOrig="2789" w14:anchorId="6D7706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6pt;height:139.2pt" o:ole="">
                  <v:imagedata r:id="rId5" o:title=""/>
                </v:shape>
                <o:OLEObject Type="Embed" ProgID="ACD.ChemSketch.20" ShapeID="_x0000_i1025" DrawAspect="Content" ObjectID="_1525077065" r:id="rId6"/>
              </w:object>
            </w:r>
          </w:p>
        </w:tc>
        <w:tc>
          <w:tcPr>
            <w:tcW w:w="0" w:type="auto"/>
            <w:vAlign w:val="center"/>
          </w:tcPr>
          <w:p w14:paraId="2491800B" w14:textId="4B7D0615" w:rsidR="00751913" w:rsidRDefault="00751913" w:rsidP="00F4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= </w:t>
            </w:r>
            <w:r w:rsidR="00BF72BB">
              <w:rPr>
                <w:sz w:val="24"/>
                <w:szCs w:val="24"/>
              </w:rPr>
              <w:t>H</w:t>
            </w:r>
          </w:p>
          <w:p w14:paraId="7C90BE2A" w14:textId="165F362A" w:rsidR="00751913" w:rsidRDefault="00751913" w:rsidP="00F4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= </w:t>
            </w:r>
            <w:r w:rsidR="00BF72BB">
              <w:rPr>
                <w:sz w:val="24"/>
                <w:szCs w:val="24"/>
              </w:rPr>
              <w:t>CH</w:t>
            </w:r>
            <w:r w:rsidR="00BF72BB" w:rsidRPr="00BF72BB">
              <w:rPr>
                <w:sz w:val="24"/>
                <w:szCs w:val="24"/>
                <w:vertAlign w:val="subscript"/>
              </w:rPr>
              <w:t>2</w:t>
            </w:r>
            <w:r w:rsidR="00BF72BB">
              <w:rPr>
                <w:sz w:val="24"/>
                <w:szCs w:val="24"/>
              </w:rPr>
              <w:t>-CH</w:t>
            </w:r>
            <w:r w:rsidR="00BF72BB" w:rsidRPr="00BF72BB">
              <w:rPr>
                <w:sz w:val="24"/>
                <w:szCs w:val="24"/>
                <w:vertAlign w:val="subscript"/>
              </w:rPr>
              <w:t>2</w:t>
            </w:r>
            <w:r w:rsidR="00BF72BB">
              <w:rPr>
                <w:sz w:val="24"/>
                <w:szCs w:val="24"/>
              </w:rPr>
              <w:t>-OH</w:t>
            </w:r>
          </w:p>
          <w:p w14:paraId="1D81185F" w14:textId="5B354C78" w:rsidR="00751913" w:rsidRDefault="00751913" w:rsidP="00F4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= </w:t>
            </w:r>
            <w:proofErr w:type="gramStart"/>
            <w:r w:rsidR="00BF72BB">
              <w:rPr>
                <w:sz w:val="24"/>
                <w:szCs w:val="24"/>
              </w:rPr>
              <w:t>CH</w:t>
            </w:r>
            <w:r w:rsidR="00BF72BB" w:rsidRPr="00BF72BB">
              <w:rPr>
                <w:sz w:val="24"/>
                <w:szCs w:val="24"/>
                <w:vertAlign w:val="subscript"/>
              </w:rPr>
              <w:t>2</w:t>
            </w:r>
            <w:r w:rsidR="00BF72BB">
              <w:rPr>
                <w:sz w:val="24"/>
                <w:szCs w:val="24"/>
              </w:rPr>
              <w:t>-P(O)(OH</w:t>
            </w:r>
            <w:proofErr w:type="gramEnd"/>
            <w:r w:rsidR="00BF72BB">
              <w:rPr>
                <w:sz w:val="24"/>
                <w:szCs w:val="24"/>
              </w:rPr>
              <w:t>)</w:t>
            </w:r>
            <w:r w:rsidR="00BF72BB" w:rsidRPr="00BF72B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5DDBA4FC" w14:textId="77777777" w:rsidR="00751913" w:rsidRDefault="00751913" w:rsidP="00F4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751913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do3p</w:t>
            </w:r>
          </w:p>
          <w:p w14:paraId="3A287D07" w14:textId="77777777" w:rsidR="00751913" w:rsidRDefault="00751913" w:rsidP="00F4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751913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do3p1ol</w:t>
            </w:r>
          </w:p>
          <w:p w14:paraId="0A4421AD" w14:textId="4F3441B9" w:rsidR="00751913" w:rsidRDefault="00751913" w:rsidP="00F4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751913"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dotp</w:t>
            </w:r>
          </w:p>
        </w:tc>
      </w:tr>
    </w:tbl>
    <w:p w14:paraId="5B6743EE" w14:textId="77777777" w:rsidR="00F41801" w:rsidRDefault="00F41801" w:rsidP="00F4180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1FFE41" w14:textId="3F227934" w:rsidR="00F01C01" w:rsidRPr="00F01C01" w:rsidRDefault="00F01C01" w:rsidP="00F4180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1C01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this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work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acid-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assisted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dissociation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kinetics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Cu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(II)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complexes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with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DOTP-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like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ligands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e.g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</w:t>
      </w:r>
      <w:r w:rsidRPr="00F01C01">
        <w:rPr>
          <w:rFonts w:ascii="Calibri" w:eastAsia="Calibri" w:hAnsi="Calibri" w:cs="Calibri"/>
          <w:sz w:val="24"/>
          <w:szCs w:val="24"/>
          <w:vertAlign w:val="subscript"/>
        </w:rPr>
        <w:t>6</w:t>
      </w:r>
      <w:r w:rsidRPr="00F01C01">
        <w:rPr>
          <w:rFonts w:ascii="Calibri" w:eastAsia="Calibri" w:hAnsi="Calibri" w:cs="Calibri"/>
          <w:sz w:val="24"/>
          <w:szCs w:val="24"/>
        </w:rPr>
        <w:t>do3p, H</w:t>
      </w:r>
      <w:r w:rsidRPr="00F01C01">
        <w:rPr>
          <w:rFonts w:ascii="Calibri" w:eastAsia="Calibri" w:hAnsi="Calibri" w:cs="Calibri"/>
          <w:sz w:val="24"/>
          <w:szCs w:val="24"/>
          <w:vertAlign w:val="subscript"/>
        </w:rPr>
        <w:t>6</w:t>
      </w:r>
      <w:r w:rsidRPr="00F01C01">
        <w:rPr>
          <w:rFonts w:ascii="Calibri" w:eastAsia="Calibri" w:hAnsi="Calibri" w:cs="Calibri"/>
          <w:sz w:val="24"/>
          <w:szCs w:val="24"/>
        </w:rPr>
        <w:t>do3p1ol, H</w:t>
      </w:r>
      <w:r w:rsidRPr="00F01C01">
        <w:rPr>
          <w:rFonts w:ascii="Calibri" w:eastAsia="Calibri" w:hAnsi="Calibri" w:cs="Calibri"/>
          <w:sz w:val="24"/>
          <w:szCs w:val="24"/>
          <w:vertAlign w:val="subscript"/>
        </w:rPr>
        <w:t>8</w:t>
      </w:r>
      <w:r>
        <w:rPr>
          <w:rFonts w:ascii="Calibri" w:eastAsia="Calibri" w:hAnsi="Calibri" w:cs="Calibri"/>
          <w:sz w:val="24"/>
          <w:szCs w:val="24"/>
        </w:rPr>
        <w:t>dotp [1,2])</w:t>
      </w:r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was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studied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means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molecular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absorption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spectroscopy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presence </w:t>
      </w:r>
      <w:proofErr w:type="spellStart"/>
      <w:r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 w:rsidRPr="00F01C01">
        <w:rPr>
          <w:rFonts w:ascii="Calibri" w:eastAsia="Calibri" w:hAnsi="Calibri" w:cs="Calibri"/>
          <w:sz w:val="24"/>
          <w:szCs w:val="24"/>
          <w:vertAlign w:val="superscript"/>
        </w:rPr>
        <w:t>+</w:t>
      </w:r>
      <w:r w:rsidRPr="00F01C01">
        <w:rPr>
          <w:rFonts w:ascii="Calibri" w:eastAsia="Calibri" w:hAnsi="Calibri" w:cs="Calibri"/>
          <w:sz w:val="24"/>
          <w:szCs w:val="24"/>
        </w:rPr>
        <w:t xml:space="preserve"> , Na</w:t>
      </w:r>
      <w:r w:rsidRPr="00F01C01">
        <w:rPr>
          <w:rFonts w:ascii="Calibri" w:eastAsia="Calibri" w:hAnsi="Calibri" w:cs="Calibri"/>
          <w:sz w:val="24"/>
          <w:szCs w:val="24"/>
          <w:vertAlign w:val="superscript"/>
        </w:rPr>
        <w:t>+</w:t>
      </w:r>
      <w:r w:rsidRPr="00F01C01">
        <w:rPr>
          <w:rFonts w:ascii="Calibri" w:eastAsia="Calibri" w:hAnsi="Calibri" w:cs="Calibri"/>
          <w:sz w:val="24"/>
          <w:szCs w:val="24"/>
        </w:rPr>
        <w:t xml:space="preserve"> and K</w:t>
      </w:r>
      <w:r w:rsidRPr="00F01C01">
        <w:rPr>
          <w:rFonts w:ascii="Calibri" w:eastAsia="Calibri" w:hAnsi="Calibri" w:cs="Calibri"/>
          <w:sz w:val="24"/>
          <w:szCs w:val="24"/>
          <w:vertAlign w:val="superscript"/>
        </w:rPr>
        <w:t>+</w:t>
      </w:r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salts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employed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supporting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electrolyte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It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was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found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out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that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these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ions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significantly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influence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rate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dissociation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> </w:t>
      </w:r>
      <w:proofErr w:type="spellStart"/>
      <w:r>
        <w:rPr>
          <w:rFonts w:ascii="Calibri" w:eastAsia="Calibri" w:hAnsi="Calibri" w:cs="Calibri"/>
          <w:sz w:val="24"/>
          <w:szCs w:val="24"/>
        </w:rPr>
        <w:t>copper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(II) </w:t>
      </w:r>
      <w:proofErr w:type="spellStart"/>
      <w:r>
        <w:rPr>
          <w:rFonts w:ascii="Calibri" w:eastAsia="Calibri" w:hAnsi="Calibri" w:cs="Calibri"/>
          <w:sz w:val="24"/>
          <w:szCs w:val="24"/>
        </w:rPr>
        <w:t>complex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K</w:t>
      </w:r>
      <w:r w:rsidRPr="00F01C01">
        <w:rPr>
          <w:rFonts w:ascii="Calibri" w:eastAsia="Calibri" w:hAnsi="Calibri" w:cs="Calibri"/>
          <w:sz w:val="24"/>
          <w:szCs w:val="24"/>
          <w:vertAlign w:val="superscript"/>
        </w:rPr>
        <w:t>+</w:t>
      </w:r>
      <w:r>
        <w:rPr>
          <w:rFonts w:ascii="Calibri" w:eastAsia="Calibri" w:hAnsi="Calibri" w:cs="Calibri"/>
          <w:sz w:val="24"/>
          <w:szCs w:val="24"/>
        </w:rPr>
        <w:t>; Na</w:t>
      </w:r>
      <w:r w:rsidRPr="00F01C01">
        <w:rPr>
          <w:rFonts w:ascii="Calibri" w:eastAsia="Calibri" w:hAnsi="Calibri" w:cs="Calibri"/>
          <w:sz w:val="24"/>
          <w:szCs w:val="24"/>
          <w:vertAlign w:val="superscript"/>
        </w:rPr>
        <w:t>+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 w:rsidRPr="00F01C01">
        <w:rPr>
          <w:rFonts w:ascii="Calibri" w:eastAsia="Calibri" w:hAnsi="Calibri" w:cs="Calibri"/>
          <w:sz w:val="24"/>
          <w:szCs w:val="24"/>
          <w:vertAlign w:val="superscript"/>
        </w:rPr>
        <w:t>+</w:t>
      </w:r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order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parameters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chemical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model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describing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this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reaction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correlate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with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their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ionic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size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[5, 6].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This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effect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was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not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observed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for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analogous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 w:rsidRPr="00F01C01">
        <w:rPr>
          <w:rFonts w:ascii="Calibri" w:eastAsia="Calibri" w:hAnsi="Calibri" w:cs="Calibri"/>
          <w:sz w:val="24"/>
          <w:szCs w:val="24"/>
          <w:vertAlign w:val="subscript"/>
        </w:rPr>
        <w:t>4</w:t>
      </w:r>
      <w:r w:rsidRPr="00F01C01">
        <w:rPr>
          <w:rFonts w:ascii="Calibri" w:eastAsia="Calibri" w:hAnsi="Calibri" w:cs="Calibri"/>
          <w:sz w:val="24"/>
          <w:szCs w:val="24"/>
        </w:rPr>
        <w:t xml:space="preserve">dota ligand.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This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phenomenon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important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for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interpretation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reaction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mechanism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> 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copper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(II)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complex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dissociation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it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can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be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explained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formation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weak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complexes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between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phosphonate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group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alkali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metal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ions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analogously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described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for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lanthanide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(III)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complexes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01C0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00F01C01">
        <w:rPr>
          <w:rFonts w:ascii="Calibri" w:eastAsia="Calibri" w:hAnsi="Calibri" w:cs="Calibri"/>
          <w:sz w:val="24"/>
          <w:szCs w:val="24"/>
        </w:rPr>
        <w:t xml:space="preserve"> DOTP [6].</w:t>
      </w:r>
    </w:p>
    <w:p w14:paraId="0CCD3F5E" w14:textId="77777777" w:rsidR="00F1549E" w:rsidRDefault="00F1549E" w:rsidP="00F41801">
      <w:pPr>
        <w:spacing w:after="0" w:line="240" w:lineRule="auto"/>
        <w:rPr>
          <w:sz w:val="24"/>
          <w:szCs w:val="24"/>
        </w:rPr>
      </w:pPr>
    </w:p>
    <w:p w14:paraId="76C77CEE" w14:textId="77777777" w:rsidR="00B361C8" w:rsidRPr="00B361C8" w:rsidRDefault="00B361C8" w:rsidP="00F8143B">
      <w:pPr>
        <w:spacing w:after="0" w:line="240" w:lineRule="auto"/>
        <w:ind w:left="340" w:hanging="340"/>
        <w:rPr>
          <w:sz w:val="24"/>
          <w:szCs w:val="24"/>
        </w:rPr>
      </w:pPr>
      <w:r w:rsidRPr="00B361C8">
        <w:rPr>
          <w:rFonts w:ascii="Calibri" w:eastAsia="Calibri" w:hAnsi="Calibri" w:cs="Calibri"/>
          <w:sz w:val="24"/>
          <w:szCs w:val="24"/>
        </w:rPr>
        <w:t xml:space="preserve">[1] Lima, L. M. P.;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Esteves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C. V.;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Delgado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R.; Hermann, P.; Kotek, J.; Ševčíková, R.;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Lubal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P. Eur. J.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Inorg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Chem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>. 2012, 2533 – 2547.</w:t>
      </w:r>
    </w:p>
    <w:p w14:paraId="5E10B3BD" w14:textId="77777777" w:rsidR="00B361C8" w:rsidRPr="00B361C8" w:rsidRDefault="00B361C8" w:rsidP="00F8143B">
      <w:pPr>
        <w:spacing w:after="0" w:line="240" w:lineRule="auto"/>
        <w:ind w:left="340" w:hanging="340"/>
        <w:rPr>
          <w:sz w:val="24"/>
          <w:szCs w:val="24"/>
        </w:rPr>
      </w:pPr>
      <w:r w:rsidRPr="00B361C8">
        <w:rPr>
          <w:rFonts w:ascii="Calibri" w:eastAsia="Calibri" w:hAnsi="Calibri" w:cs="Calibri"/>
          <w:sz w:val="24"/>
          <w:szCs w:val="24"/>
        </w:rPr>
        <w:t xml:space="preserve">[2] Lima, L. M. P.;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Delgado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R.; Hermann, P.; Ševčík, R.;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Lubal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P.;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Carvalho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H. F.;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Martins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A. F.; Tóth, É.;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Geraldes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C. F. G. C. Eur. J.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Inorg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Chem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>. 2012, 2548 – 2559.</w:t>
      </w:r>
    </w:p>
    <w:p w14:paraId="41CC4E79" w14:textId="77777777" w:rsidR="00B361C8" w:rsidRPr="00B361C8" w:rsidRDefault="00B361C8" w:rsidP="00F8143B">
      <w:pPr>
        <w:spacing w:after="0" w:line="240" w:lineRule="auto"/>
        <w:ind w:left="340" w:hanging="340"/>
        <w:rPr>
          <w:sz w:val="24"/>
          <w:szCs w:val="24"/>
        </w:rPr>
      </w:pPr>
      <w:r w:rsidRPr="00B361C8">
        <w:rPr>
          <w:rFonts w:ascii="Calibri" w:eastAsia="Calibri" w:hAnsi="Calibri" w:cs="Calibri"/>
          <w:sz w:val="24"/>
          <w:szCs w:val="24"/>
        </w:rPr>
        <w:t xml:space="preserve">[3] Ševčík, R.; Vaněk, J.;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Lubal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P.; Kotková, Z.; Kotek, J.; Hermann, P.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Polyhedron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 2014, 67, 449 – 455.</w:t>
      </w:r>
    </w:p>
    <w:p w14:paraId="55EB589D" w14:textId="77777777" w:rsidR="00B361C8" w:rsidRPr="00B361C8" w:rsidRDefault="00B361C8" w:rsidP="00F8143B">
      <w:pPr>
        <w:spacing w:after="0" w:line="240" w:lineRule="auto"/>
        <w:ind w:left="340" w:hanging="340"/>
        <w:rPr>
          <w:sz w:val="24"/>
          <w:szCs w:val="24"/>
        </w:rPr>
      </w:pPr>
      <w:r w:rsidRPr="00B361C8">
        <w:rPr>
          <w:rFonts w:ascii="Calibri" w:eastAsia="Calibri" w:hAnsi="Calibri" w:cs="Calibri"/>
          <w:sz w:val="24"/>
          <w:szCs w:val="24"/>
        </w:rPr>
        <w:t xml:space="preserve">[4]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Shokeen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, M.; Anderson, J. A.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Acc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Chem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>. Res. 2009, 42, 832 – 841.</w:t>
      </w:r>
    </w:p>
    <w:p w14:paraId="40B36503" w14:textId="77777777" w:rsidR="00B361C8" w:rsidRPr="00B361C8" w:rsidRDefault="00B361C8" w:rsidP="00F8143B">
      <w:pPr>
        <w:spacing w:after="0" w:line="240" w:lineRule="auto"/>
        <w:ind w:left="340" w:hanging="340"/>
        <w:rPr>
          <w:sz w:val="24"/>
          <w:szCs w:val="24"/>
        </w:rPr>
      </w:pPr>
      <w:r w:rsidRPr="00B361C8">
        <w:rPr>
          <w:rFonts w:ascii="Calibri" w:eastAsia="Calibri" w:hAnsi="Calibri" w:cs="Calibri"/>
          <w:sz w:val="24"/>
          <w:szCs w:val="24"/>
        </w:rPr>
        <w:t xml:space="preserve">[5] Marcus, I.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Chem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Rev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>. 1988, 88, 1475 – 1498.</w:t>
      </w:r>
    </w:p>
    <w:p w14:paraId="3D370619" w14:textId="29AFEDFC" w:rsidR="00B361C8" w:rsidRDefault="00B361C8" w:rsidP="00F8143B">
      <w:pPr>
        <w:spacing w:after="0" w:line="276" w:lineRule="auto"/>
        <w:ind w:left="340" w:hanging="340"/>
        <w:rPr>
          <w:rFonts w:ascii="Calibri" w:eastAsia="Calibri" w:hAnsi="Calibri" w:cs="Calibri"/>
          <w:sz w:val="24"/>
          <w:szCs w:val="24"/>
        </w:rPr>
      </w:pPr>
      <w:r w:rsidRPr="00B361C8">
        <w:rPr>
          <w:rFonts w:ascii="Calibri" w:eastAsia="Calibri" w:hAnsi="Calibri" w:cs="Calibri"/>
          <w:sz w:val="24"/>
          <w:szCs w:val="24"/>
        </w:rPr>
        <w:t xml:space="preserve">[6] Ren, J.; Sherry, A. D.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Inorg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361C8">
        <w:rPr>
          <w:rFonts w:ascii="Calibri" w:eastAsia="Calibri" w:hAnsi="Calibri" w:cs="Calibri"/>
          <w:sz w:val="24"/>
          <w:szCs w:val="24"/>
        </w:rPr>
        <w:t>Chim</w:t>
      </w:r>
      <w:proofErr w:type="spellEnd"/>
      <w:r w:rsidRPr="00B361C8">
        <w:rPr>
          <w:rFonts w:ascii="Calibri" w:eastAsia="Calibri" w:hAnsi="Calibri" w:cs="Calibri"/>
          <w:sz w:val="24"/>
          <w:szCs w:val="24"/>
        </w:rPr>
        <w:t>. Acta 1996, 246, 331 – 341.</w:t>
      </w:r>
    </w:p>
    <w:sectPr w:rsidR="00B3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A4E94"/>
    <w:rsid w:val="001D4EEF"/>
    <w:rsid w:val="003A7625"/>
    <w:rsid w:val="005574F3"/>
    <w:rsid w:val="00576C59"/>
    <w:rsid w:val="00667EB2"/>
    <w:rsid w:val="006E74E8"/>
    <w:rsid w:val="00750DBF"/>
    <w:rsid w:val="00751913"/>
    <w:rsid w:val="0075406B"/>
    <w:rsid w:val="00787931"/>
    <w:rsid w:val="00A03DDF"/>
    <w:rsid w:val="00B361C8"/>
    <w:rsid w:val="00BF72BB"/>
    <w:rsid w:val="00C10A1E"/>
    <w:rsid w:val="00C7070E"/>
    <w:rsid w:val="00D224F4"/>
    <w:rsid w:val="00ED37A8"/>
    <w:rsid w:val="00F00876"/>
    <w:rsid w:val="00F01C01"/>
    <w:rsid w:val="00F1549E"/>
    <w:rsid w:val="00F41801"/>
    <w:rsid w:val="00F41C52"/>
    <w:rsid w:val="00F5622C"/>
    <w:rsid w:val="00F77EE6"/>
    <w:rsid w:val="00F8143B"/>
    <w:rsid w:val="126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pinkas</dc:creator>
  <cp:lastModifiedBy>pinkas</cp:lastModifiedBy>
  <cp:revision>2</cp:revision>
  <dcterms:created xsi:type="dcterms:W3CDTF">2016-05-18T09:45:00Z</dcterms:created>
  <dcterms:modified xsi:type="dcterms:W3CDTF">2016-05-18T09:45:00Z</dcterms:modified>
</cp:coreProperties>
</file>