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7CD62" w14:textId="3EDAAB95" w:rsidR="006F148C" w:rsidRPr="00AC017C" w:rsidRDefault="00AC017C">
      <w:pPr>
        <w:rPr>
          <w:b/>
          <w:bCs/>
          <w:sz w:val="28"/>
          <w:szCs w:val="28"/>
        </w:rPr>
      </w:pPr>
      <w:bookmarkStart w:id="0" w:name="_GoBack"/>
      <w:bookmarkEnd w:id="0"/>
      <w:r w:rsidRPr="00AC017C">
        <w:rPr>
          <w:b/>
          <w:bCs/>
          <w:sz w:val="28"/>
          <w:szCs w:val="28"/>
        </w:rPr>
        <w:t>SYMPTÓMY</w:t>
      </w:r>
    </w:p>
    <w:p w14:paraId="1C53694C" w14:textId="2F008C62" w:rsidR="00AC017C" w:rsidRDefault="00AC017C">
      <w:pPr>
        <w:rPr>
          <w:rStyle w:val="jlqj4b"/>
        </w:rPr>
      </w:pPr>
      <w:r>
        <w:rPr>
          <w:rStyle w:val="jlqj4b"/>
        </w:rPr>
        <w:t xml:space="preserve">V priemere to trvá 5–6 dní od okamihu, keď je niekto infikovaný vírusom, aby sa prejavili príznaky, môže to však trvať až 14 dní. </w:t>
      </w:r>
    </w:p>
    <w:p w14:paraId="43164872" w14:textId="653DC441" w:rsidR="00AC017C" w:rsidRPr="00AC017C" w:rsidRDefault="00AC017C">
      <w:pPr>
        <w:rPr>
          <w:b/>
          <w:bCs/>
          <w:sz w:val="28"/>
          <w:szCs w:val="28"/>
        </w:rPr>
      </w:pPr>
      <w:r w:rsidRPr="00AC017C">
        <w:rPr>
          <w:b/>
          <w:bCs/>
          <w:sz w:val="28"/>
          <w:szCs w:val="28"/>
        </w:rPr>
        <w:t>KATEGÓRIE INFEKCIE</w:t>
      </w:r>
    </w:p>
    <w:p w14:paraId="60F18AEE" w14:textId="4E0EB3E1" w:rsidR="00101FB7" w:rsidRDefault="00AC017C" w:rsidP="00AC017C">
      <w:pPr>
        <w:rPr>
          <w:rStyle w:val="jlqj4b"/>
        </w:rPr>
      </w:pPr>
      <w:r>
        <w:rPr>
          <w:rStyle w:val="jlqj4b"/>
        </w:rPr>
        <w:t>Všeobecne možno dospelých s infekciou SARS-CoV-2 rozdeliť do nasledujúcich kategórií závažnosti ochorenia.</w:t>
      </w:r>
      <w:r>
        <w:rPr>
          <w:rStyle w:val="viiyi"/>
        </w:rPr>
        <w:t xml:space="preserve"> </w:t>
      </w:r>
      <w:r>
        <w:rPr>
          <w:rStyle w:val="jlqj4b"/>
        </w:rPr>
        <w:t>Kritériá pre každú kategóriu sa však môžu v rámci klinických pokynov a klinických štúdií prekrývať alebo líšiť a klinický stav pacienta sa môže časom meniť.</w:t>
      </w:r>
    </w:p>
    <w:p w14:paraId="40DB7B08" w14:textId="5EBFEB9B" w:rsidR="00AC017C" w:rsidRDefault="00AC017C" w:rsidP="00AC017C">
      <w:pPr>
        <w:rPr>
          <w:rStyle w:val="jlqj4b"/>
        </w:rPr>
      </w:pPr>
      <w:r>
        <w:rPr>
          <w:rStyle w:val="jlqj4b"/>
        </w:rPr>
        <w:t xml:space="preserve">• </w:t>
      </w:r>
      <w:proofErr w:type="spellStart"/>
      <w:r>
        <w:rPr>
          <w:rStyle w:val="jlqj4b"/>
        </w:rPr>
        <w:t>Asymptomatická</w:t>
      </w:r>
      <w:proofErr w:type="spellEnd"/>
      <w:r>
        <w:rPr>
          <w:rStyle w:val="jlqj4b"/>
        </w:rPr>
        <w:t xml:space="preserve"> alebo </w:t>
      </w:r>
      <w:proofErr w:type="spellStart"/>
      <w:r>
        <w:rPr>
          <w:rStyle w:val="jlqj4b"/>
        </w:rPr>
        <w:t>presymptomatická</w:t>
      </w:r>
      <w:proofErr w:type="spellEnd"/>
      <w:r>
        <w:rPr>
          <w:rStyle w:val="jlqj4b"/>
        </w:rPr>
        <w:t xml:space="preserve"> infekcia: Jedinci, ktorí majú pozitívny test na SARS-CoV-2 pomocou virologického testu, ale ktorí nemajú žiadne príznaky zodpovedajúce COVID-19. </w:t>
      </w:r>
    </w:p>
    <w:p w14:paraId="3DB03CC5" w14:textId="557E5D6D" w:rsidR="00AC017C" w:rsidRDefault="00AC017C" w:rsidP="00AC017C">
      <w:pPr>
        <w:rPr>
          <w:rStyle w:val="jlqj4b"/>
        </w:rPr>
      </w:pPr>
      <w:r>
        <w:rPr>
          <w:rStyle w:val="jlqj4b"/>
        </w:rPr>
        <w:t xml:space="preserve">• Mierna choroba: Jednotlivci, ktorí majú niektorý z rôznych prejavov a príznakov COVID-19 ale </w:t>
      </w:r>
      <w:r w:rsidR="002B5F89">
        <w:rPr>
          <w:rStyle w:val="jlqj4b"/>
        </w:rPr>
        <w:t>ne</w:t>
      </w:r>
      <w:r>
        <w:rPr>
          <w:rStyle w:val="jlqj4b"/>
        </w:rPr>
        <w:t xml:space="preserve">majú dýchavičnosť, alebo </w:t>
      </w:r>
      <w:r w:rsidR="002B5F89">
        <w:rPr>
          <w:rStyle w:val="jlqj4b"/>
        </w:rPr>
        <w:t>tlak a bolesť na hrudníku</w:t>
      </w:r>
      <w:r>
        <w:rPr>
          <w:rStyle w:val="jlqj4b"/>
        </w:rPr>
        <w:t xml:space="preserve">. </w:t>
      </w:r>
    </w:p>
    <w:p w14:paraId="12549152" w14:textId="1AAC9B49" w:rsidR="00AC017C" w:rsidRDefault="00AC017C" w:rsidP="00AC017C">
      <w:pPr>
        <w:rPr>
          <w:rStyle w:val="jlqj4b"/>
        </w:rPr>
      </w:pPr>
      <w:r>
        <w:rPr>
          <w:rStyle w:val="jlqj4b"/>
        </w:rPr>
        <w:t>• Stredne ťažké ochorenie: Jednotlivci, u ktorých sa počas vyšetrenia alebo prejavia príznaky ochorenia dolných dýchacích ciest a</w:t>
      </w:r>
      <w:r w:rsidR="002B5F89">
        <w:rPr>
          <w:rStyle w:val="jlqj4b"/>
        </w:rPr>
        <w:t>le</w:t>
      </w:r>
      <w:r>
        <w:rPr>
          <w:rStyle w:val="jlqj4b"/>
        </w:rPr>
        <w:t xml:space="preserve"> ktorí majú saturáciu kyslíkom </w:t>
      </w:r>
      <w:r w:rsidR="002B5F89">
        <w:rPr>
          <w:rStyle w:val="jlqj4b"/>
        </w:rPr>
        <w:t xml:space="preserve">vyššiu ako </w:t>
      </w:r>
      <w:r>
        <w:rPr>
          <w:rStyle w:val="jlqj4b"/>
        </w:rPr>
        <w:t>94%</w:t>
      </w:r>
      <w:r w:rsidR="002B5F89">
        <w:rPr>
          <w:rStyle w:val="jlqj4b"/>
        </w:rPr>
        <w:t>.</w:t>
      </w:r>
    </w:p>
    <w:p w14:paraId="2B3D039A" w14:textId="0F0F1A52" w:rsidR="00AC017C" w:rsidRDefault="00AC017C" w:rsidP="00AC017C">
      <w:pPr>
        <w:rPr>
          <w:rStyle w:val="jlqj4b"/>
        </w:rPr>
      </w:pPr>
      <w:r>
        <w:rPr>
          <w:rStyle w:val="jlqj4b"/>
        </w:rPr>
        <w:t xml:space="preserve">• Ťažké ochorenie: Jednotlivci, ktorí majú </w:t>
      </w:r>
      <w:r w:rsidR="002B5F89">
        <w:rPr>
          <w:rStyle w:val="jlqj4b"/>
        </w:rPr>
        <w:t>saturáciu</w:t>
      </w:r>
      <w:r>
        <w:rPr>
          <w:rStyle w:val="jlqj4b"/>
        </w:rPr>
        <w:t xml:space="preserve"> </w:t>
      </w:r>
      <w:r w:rsidR="002B5F89">
        <w:rPr>
          <w:rStyle w:val="jlqj4b"/>
        </w:rPr>
        <w:t xml:space="preserve">nižšiu ako </w:t>
      </w:r>
      <w:r>
        <w:rPr>
          <w:rStyle w:val="jlqj4b"/>
        </w:rPr>
        <w:t>94%, dychov</w:t>
      </w:r>
      <w:r w:rsidR="002B5F89">
        <w:rPr>
          <w:rStyle w:val="jlqj4b"/>
        </w:rPr>
        <w:t>ú</w:t>
      </w:r>
      <w:r>
        <w:rPr>
          <w:rStyle w:val="jlqj4b"/>
        </w:rPr>
        <w:t xml:space="preserve"> frekvencia&gt; 30 dychov / min alebo pľúcne </w:t>
      </w:r>
      <w:proofErr w:type="spellStart"/>
      <w:r>
        <w:rPr>
          <w:rStyle w:val="jlqj4b"/>
        </w:rPr>
        <w:t>infiltráty</w:t>
      </w:r>
      <w:proofErr w:type="spellEnd"/>
      <w:r w:rsidR="002B5F89">
        <w:rPr>
          <w:rStyle w:val="jlqj4b"/>
        </w:rPr>
        <w:t xml:space="preserve"> viac ako</w:t>
      </w:r>
      <w:r>
        <w:rPr>
          <w:rStyle w:val="jlqj4b"/>
        </w:rPr>
        <w:t xml:space="preserve"> 50%. </w:t>
      </w:r>
    </w:p>
    <w:p w14:paraId="2410E6F4" w14:textId="71A3FD50" w:rsidR="00101FB7" w:rsidRPr="002B5F89" w:rsidRDefault="00AC017C" w:rsidP="002B5F89">
      <w:r>
        <w:rPr>
          <w:rStyle w:val="jlqj4b"/>
        </w:rPr>
        <w:t>• Kritické ochorenie: Jedinci, ktorí majú respiračné zlyhanie, septický šok alebo dysfunkciu viacerých orgánov.</w:t>
      </w:r>
    </w:p>
    <w:p w14:paraId="71849468" w14:textId="60450FDC" w:rsidR="00101FB7" w:rsidRPr="002B5F89" w:rsidRDefault="00101FB7" w:rsidP="002B5F89">
      <w:pPr>
        <w:rPr>
          <w:b/>
          <w:bCs/>
          <w:sz w:val="28"/>
          <w:szCs w:val="28"/>
        </w:rPr>
      </w:pPr>
      <w:r w:rsidRPr="002B5F89">
        <w:rPr>
          <w:b/>
          <w:bCs/>
          <w:sz w:val="28"/>
          <w:szCs w:val="28"/>
        </w:rPr>
        <w:t>DOMACA LIECBA</w:t>
      </w:r>
    </w:p>
    <w:p w14:paraId="1C394C76" w14:textId="77777777" w:rsidR="002B5F89" w:rsidRPr="002B5F89" w:rsidRDefault="002B5F89" w:rsidP="002B5F89">
      <w:pPr>
        <w:rPr>
          <w:rStyle w:val="jlqj4b"/>
        </w:rPr>
      </w:pPr>
      <w:r w:rsidRPr="002B5F89">
        <w:rPr>
          <w:rStyle w:val="jlqj4b"/>
        </w:rPr>
        <w:t>Dostatok odpočinku</w:t>
      </w:r>
    </w:p>
    <w:p w14:paraId="5D371C50" w14:textId="77777777" w:rsidR="002B5F89" w:rsidRPr="002B5F89" w:rsidRDefault="002B5F89" w:rsidP="002B5F89">
      <w:pPr>
        <w:rPr>
          <w:rStyle w:val="jlqj4b"/>
        </w:rPr>
      </w:pPr>
      <w:r w:rsidRPr="002B5F89">
        <w:rPr>
          <w:rStyle w:val="jlqj4b"/>
        </w:rPr>
        <w:t>Dostatok tekutín</w:t>
      </w:r>
    </w:p>
    <w:p w14:paraId="264613EA" w14:textId="77777777" w:rsidR="002B5F89" w:rsidRPr="002B5F89" w:rsidRDefault="002B5F89" w:rsidP="002B5F89">
      <w:pPr>
        <w:rPr>
          <w:rStyle w:val="jlqj4b"/>
        </w:rPr>
      </w:pPr>
      <w:r w:rsidRPr="002B5F89">
        <w:rPr>
          <w:rStyle w:val="jlqj4b"/>
        </w:rPr>
        <w:t>Lieky proti bolesti</w:t>
      </w:r>
    </w:p>
    <w:p w14:paraId="6976AC3B" w14:textId="77777777" w:rsidR="002B5F89" w:rsidRPr="002B5F89" w:rsidRDefault="002B5F89" w:rsidP="002B5F89">
      <w:pPr>
        <w:rPr>
          <w:rStyle w:val="jlqj4b"/>
        </w:rPr>
      </w:pPr>
      <w:r w:rsidRPr="002B5F89">
        <w:rPr>
          <w:rStyle w:val="jlqj4b"/>
        </w:rPr>
        <w:t>Lieky na zníženie teploty</w:t>
      </w:r>
    </w:p>
    <w:p w14:paraId="1170A17E" w14:textId="53A2094E" w:rsidR="00101FB7" w:rsidRDefault="002B5F89" w:rsidP="002B5F8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5F89">
        <w:rPr>
          <w:rStyle w:val="jlqj4b"/>
        </w:rPr>
        <w:t>Pri prípadnom zhoršení stavu kontaktovať lekára</w:t>
      </w:r>
    </w:p>
    <w:p w14:paraId="1FE7312C" w14:textId="01AF6AF7" w:rsidR="00101FB7" w:rsidRPr="002B5F89" w:rsidRDefault="00101FB7" w:rsidP="002B5F89">
      <w:pPr>
        <w:rPr>
          <w:b/>
          <w:bCs/>
          <w:sz w:val="28"/>
          <w:szCs w:val="28"/>
        </w:rPr>
      </w:pPr>
      <w:r w:rsidRPr="002B5F89">
        <w:rPr>
          <w:b/>
          <w:bCs/>
          <w:sz w:val="28"/>
          <w:szCs w:val="28"/>
        </w:rPr>
        <w:t>LIECBA PRE HOSPITALIZOVANYCH REMDESIVIR</w:t>
      </w:r>
    </w:p>
    <w:p w14:paraId="6898A1A0" w14:textId="66A8DC39" w:rsidR="002B5F89" w:rsidRDefault="002B5F89" w:rsidP="00101FB7">
      <w:pPr>
        <w:spacing w:before="100" w:beforeAutospacing="1" w:after="100" w:afterAutospacing="1" w:line="240" w:lineRule="auto"/>
        <w:rPr>
          <w:rStyle w:val="jlqj4b"/>
        </w:rPr>
      </w:pPr>
      <w:proofErr w:type="spellStart"/>
      <w:r>
        <w:rPr>
          <w:rStyle w:val="jlqj4b"/>
        </w:rPr>
        <w:t>Veklury</w:t>
      </w:r>
      <w:proofErr w:type="spellEnd"/>
      <w:r>
        <w:rPr>
          <w:rStyle w:val="jlqj4b"/>
        </w:rPr>
        <w:t xml:space="preserve"> je antivírusový liek používaný na liečbu </w:t>
      </w:r>
      <w:proofErr w:type="spellStart"/>
      <w:r>
        <w:rPr>
          <w:rStyle w:val="jlqj4b"/>
        </w:rPr>
        <w:t>koronavírusovej</w:t>
      </w:r>
      <w:proofErr w:type="spellEnd"/>
      <w:r>
        <w:rPr>
          <w:rStyle w:val="jlqj4b"/>
        </w:rPr>
        <w:t xml:space="preserve"> </w:t>
      </w:r>
      <w:r w:rsidR="00577124">
        <w:rPr>
          <w:rStyle w:val="jlqj4b"/>
        </w:rPr>
        <w:t>infekcie</w:t>
      </w:r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 xml:space="preserve">Používa sa u dospelých a dospievajúcich (od 12 rokov a s hmotnosťou najmenej 40 kilogramov) s pneumóniou vyžadujúcou prísun kyslíka (kyslík s nízkym alebo veľkým prietokom alebo iná neinvazívna ventilácia na začiatku liečby). </w:t>
      </w:r>
    </w:p>
    <w:p w14:paraId="1F5DA97A" w14:textId="77777777" w:rsidR="00577124" w:rsidRDefault="00577124" w:rsidP="00101FB7">
      <w:pPr>
        <w:spacing w:before="100" w:beforeAutospacing="1" w:after="100" w:afterAutospacing="1" w:line="240" w:lineRule="auto"/>
        <w:rPr>
          <w:rStyle w:val="jlqj4b"/>
        </w:rPr>
      </w:pPr>
      <w:proofErr w:type="spellStart"/>
      <w:r>
        <w:rPr>
          <w:rStyle w:val="jlqj4b"/>
        </w:rPr>
        <w:t>Veklury</w:t>
      </w:r>
      <w:proofErr w:type="spellEnd"/>
      <w:r>
        <w:rPr>
          <w:rStyle w:val="jlqj4b"/>
        </w:rPr>
        <w:t xml:space="preserve"> obsahuje účinnú látku </w:t>
      </w:r>
      <w:proofErr w:type="spellStart"/>
      <w:r>
        <w:rPr>
          <w:rStyle w:val="jlqj4b"/>
        </w:rPr>
        <w:t>remdesivir</w:t>
      </w:r>
      <w:proofErr w:type="spellEnd"/>
      <w:r>
        <w:rPr>
          <w:rStyle w:val="jlqj4b"/>
        </w:rPr>
        <w:t xml:space="preserve">. Podáva sa infúziou do žily. Liečba má začať infúziou 200 mg prvý deň, po ktorej nasleduje 100 mg jedenkrát denne. Celková doba liečby by mala byť najmenej 5 dní a nie viac ako 10 dní. Účinná látka lieku </w:t>
      </w:r>
      <w:proofErr w:type="spellStart"/>
      <w:r>
        <w:rPr>
          <w:rStyle w:val="jlqj4b"/>
        </w:rPr>
        <w:t>Veklury</w:t>
      </w:r>
      <w:proofErr w:type="spellEnd"/>
      <w:r>
        <w:rPr>
          <w:rStyle w:val="jlqj4b"/>
        </w:rPr>
        <w:t xml:space="preserve">, </w:t>
      </w:r>
      <w:proofErr w:type="spellStart"/>
      <w:r>
        <w:rPr>
          <w:rStyle w:val="jlqj4b"/>
        </w:rPr>
        <w:t>remdesivir</w:t>
      </w:r>
      <w:proofErr w:type="spellEnd"/>
      <w:r>
        <w:rPr>
          <w:rStyle w:val="jlqj4b"/>
        </w:rPr>
        <w:t xml:space="preserve">, je vírusový inhibítor RNA polymerázy. Zasahuje do tvorby vírusovej RNA a bráni množeniu vírusu vo vnútri buniek. </w:t>
      </w:r>
    </w:p>
    <w:p w14:paraId="77156260" w14:textId="6C6CECE5" w:rsidR="00577124" w:rsidRDefault="00577124" w:rsidP="0010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jlqj4b"/>
        </w:rPr>
        <w:t xml:space="preserve">Hlavná štúdia preukázala, že v celkovej populácii štúdie sa pacienti liečení liekom </w:t>
      </w:r>
      <w:proofErr w:type="spellStart"/>
      <w:r>
        <w:rPr>
          <w:rStyle w:val="jlqj4b"/>
        </w:rPr>
        <w:t>Veklury</w:t>
      </w:r>
      <w:proofErr w:type="spellEnd"/>
      <w:r>
        <w:rPr>
          <w:rStyle w:val="jlqj4b"/>
        </w:rPr>
        <w:t xml:space="preserve"> zotavili po približne 11 dňoch v porovnaní s 15 dňami u pacientov, ktorí dostávali placebo. Štúdia tiež ukázala, že v celkovej populácii štúdie bola úmrtnosť 28 dní po začiatku liečby 11,6% u pacientov dostávajúcich </w:t>
      </w:r>
      <w:proofErr w:type="spellStart"/>
      <w:r>
        <w:rPr>
          <w:rStyle w:val="jlqj4b"/>
        </w:rPr>
        <w:t>Veklury</w:t>
      </w:r>
      <w:proofErr w:type="spellEnd"/>
      <w:r>
        <w:rPr>
          <w:rStyle w:val="jlqj4b"/>
        </w:rPr>
        <w:t xml:space="preserve"> a 15,4% u pacientov užívajúcich placebo. </w:t>
      </w:r>
      <w:proofErr w:type="spellStart"/>
      <w:r>
        <w:rPr>
          <w:rStyle w:val="jlqj4b"/>
        </w:rPr>
        <w:t>Rendesivier</w:t>
      </w:r>
      <w:proofErr w:type="spellEnd"/>
      <w:r>
        <w:rPr>
          <w:rStyle w:val="jlqj4b"/>
        </w:rPr>
        <w:t xml:space="preserve"> je </w:t>
      </w:r>
      <w:proofErr w:type="spellStart"/>
      <w:r>
        <w:rPr>
          <w:rStyle w:val="jlqj4b"/>
        </w:rPr>
        <w:t>jediny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schvaleny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europskou</w:t>
      </w:r>
      <w:proofErr w:type="spellEnd"/>
      <w:r>
        <w:rPr>
          <w:rStyle w:val="jlqj4b"/>
        </w:rPr>
        <w:t xml:space="preserve"> liekovou </w:t>
      </w:r>
      <w:proofErr w:type="spellStart"/>
      <w:r>
        <w:rPr>
          <w:rStyle w:val="jlqj4b"/>
        </w:rPr>
        <w:t>agenturou</w:t>
      </w:r>
      <w:proofErr w:type="spellEnd"/>
      <w:r>
        <w:rPr>
          <w:rStyle w:val="jlqj4b"/>
        </w:rPr>
        <w:t xml:space="preserve"> priamo na </w:t>
      </w:r>
      <w:proofErr w:type="spellStart"/>
      <w:r>
        <w:rPr>
          <w:rStyle w:val="jlqj4b"/>
        </w:rPr>
        <w:t>kovid</w:t>
      </w:r>
      <w:proofErr w:type="spellEnd"/>
      <w:r>
        <w:rPr>
          <w:rStyle w:val="jlqj4b"/>
        </w:rPr>
        <w:t>.</w:t>
      </w:r>
    </w:p>
    <w:p w14:paraId="779221F4" w14:textId="65D0B30D" w:rsidR="00577124" w:rsidRPr="002B5F89" w:rsidRDefault="00577124" w:rsidP="00577124">
      <w:pPr>
        <w:rPr>
          <w:b/>
          <w:bCs/>
          <w:sz w:val="28"/>
          <w:szCs w:val="28"/>
        </w:rPr>
      </w:pPr>
      <w:r w:rsidRPr="002B5F89">
        <w:rPr>
          <w:b/>
          <w:bCs/>
          <w:sz w:val="28"/>
          <w:szCs w:val="28"/>
        </w:rPr>
        <w:t xml:space="preserve">LIECBA PRE HOSPITALIZOVANYCH </w:t>
      </w:r>
      <w:r>
        <w:rPr>
          <w:b/>
          <w:bCs/>
          <w:sz w:val="28"/>
          <w:szCs w:val="28"/>
        </w:rPr>
        <w:t>DEXAME</w:t>
      </w:r>
      <w:r w:rsidR="00264A9F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AZON</w:t>
      </w:r>
    </w:p>
    <w:p w14:paraId="177E353B" w14:textId="0F88F2CD" w:rsidR="00264A9F" w:rsidRDefault="00577124" w:rsidP="00865F45">
      <w:pPr>
        <w:spacing w:before="100" w:beforeAutospacing="1" w:after="100" w:afterAutospacing="1" w:line="240" w:lineRule="auto"/>
        <w:rPr>
          <w:rStyle w:val="jlqj4b"/>
        </w:rPr>
      </w:pPr>
      <w:r>
        <w:rPr>
          <w:rStyle w:val="jlqj4b"/>
        </w:rPr>
        <w:t xml:space="preserve">Na základe preskúmania dostupných údajov EMA schvaľuje použitie </w:t>
      </w:r>
      <w:proofErr w:type="spellStart"/>
      <w:r>
        <w:rPr>
          <w:rStyle w:val="jlqj4b"/>
        </w:rPr>
        <w:t>dexametazónu</w:t>
      </w:r>
      <w:proofErr w:type="spellEnd"/>
      <w:r>
        <w:rPr>
          <w:rStyle w:val="jlqj4b"/>
        </w:rPr>
        <w:t xml:space="preserve"> u dospelých a dospievajúcich, ktorí si vyžadujú doplnkovú kyslíkovú terapiu. </w:t>
      </w:r>
      <w:proofErr w:type="spellStart"/>
      <w:r>
        <w:rPr>
          <w:rStyle w:val="jlqj4b"/>
        </w:rPr>
        <w:t>Dexametazón</w:t>
      </w:r>
      <w:proofErr w:type="spellEnd"/>
      <w:r>
        <w:rPr>
          <w:rStyle w:val="jlqj4b"/>
        </w:rPr>
        <w:t xml:space="preserve"> sa môže užívať ako tableta alebo sa podáva ako injekcia alebo infúzia do žily. Vo všetkých prípadoch je odporúčaná dávka u dospelých a dospievajúcich 6 miligramov jedenkrát denne po dobu 10 dní. Publikované údaje zo štúdie RECOVERY (</w:t>
      </w:r>
      <w:proofErr w:type="spellStart"/>
      <w:r>
        <w:rPr>
          <w:rStyle w:val="jlqj4b"/>
        </w:rPr>
        <w:t>Velka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Britania</w:t>
      </w:r>
      <w:proofErr w:type="spellEnd"/>
      <w:r>
        <w:rPr>
          <w:rStyle w:val="jlqj4b"/>
        </w:rPr>
        <w:t xml:space="preserve">) ukazujú, že u pacientov na </w:t>
      </w:r>
      <w:r>
        <w:rPr>
          <w:rStyle w:val="jlqj4b"/>
        </w:rPr>
        <w:lastRenderedPageBreak/>
        <w:t xml:space="preserve">invazívnej mechanickej ventilácii zomrelo 29% pacientov liečených </w:t>
      </w:r>
      <w:proofErr w:type="spellStart"/>
      <w:r>
        <w:rPr>
          <w:rStyle w:val="jlqj4b"/>
        </w:rPr>
        <w:t>dexametazónom</w:t>
      </w:r>
      <w:proofErr w:type="spellEnd"/>
      <w:r>
        <w:rPr>
          <w:rStyle w:val="jlqj4b"/>
        </w:rPr>
        <w:t xml:space="preserve"> do 28 dní od začiatku liečby </w:t>
      </w:r>
      <w:proofErr w:type="spellStart"/>
      <w:r>
        <w:rPr>
          <w:rStyle w:val="jlqj4b"/>
        </w:rPr>
        <w:t>dexametazónom</w:t>
      </w:r>
      <w:proofErr w:type="spellEnd"/>
      <w:r>
        <w:rPr>
          <w:rStyle w:val="jlqj4b"/>
        </w:rPr>
        <w:t xml:space="preserve"> v porovnaní so 41% pacientov ktorí </w:t>
      </w:r>
      <w:proofErr w:type="spellStart"/>
      <w:r>
        <w:rPr>
          <w:rStyle w:val="jlqj4b"/>
        </w:rPr>
        <w:t>dexametazon</w:t>
      </w:r>
      <w:proofErr w:type="spellEnd"/>
      <w:r>
        <w:rPr>
          <w:rStyle w:val="jlqj4b"/>
        </w:rPr>
        <w:t xml:space="preserve"> neužívali. </w:t>
      </w:r>
      <w:proofErr w:type="spellStart"/>
      <w:r>
        <w:rPr>
          <w:rStyle w:val="jlqj4b"/>
        </w:rPr>
        <w:t>Dexametazón</w:t>
      </w:r>
      <w:proofErr w:type="spellEnd"/>
      <w:r>
        <w:rPr>
          <w:rStyle w:val="jlqj4b"/>
        </w:rPr>
        <w:t xml:space="preserve"> je </w:t>
      </w:r>
      <w:proofErr w:type="spellStart"/>
      <w:r>
        <w:rPr>
          <w:rStyle w:val="jlqj4b"/>
        </w:rPr>
        <w:t>kortikosteroidný</w:t>
      </w:r>
      <w:proofErr w:type="spellEnd"/>
      <w:r>
        <w:rPr>
          <w:rStyle w:val="jlqj4b"/>
        </w:rPr>
        <w:t xml:space="preserve"> liek, ktorý je v EÚ povolený národnými úradmi pre lieky. Môže sa použiť na liečbu rôznych zápalových stavov a na zníženie imunitnej odpovede tela pri liečbe alergií a autoimunitných ochorení. </w:t>
      </w:r>
      <w:proofErr w:type="spellStart"/>
      <w:r>
        <w:rPr>
          <w:rStyle w:val="jlqj4b"/>
        </w:rPr>
        <w:t>Dexametazón</w:t>
      </w:r>
      <w:proofErr w:type="spellEnd"/>
      <w:r>
        <w:rPr>
          <w:rStyle w:val="jlqj4b"/>
        </w:rPr>
        <w:t xml:space="preserve"> sa najskôr považoval za potenciálnu liečbu COVID-19 kvôli jeho schopnosti znižovať zápal, ktorý hrá dôležitú úlohu v </w:t>
      </w:r>
      <w:r w:rsidR="00264A9F">
        <w:rPr>
          <w:rStyle w:val="jlqj4b"/>
        </w:rPr>
        <w:t>priebehu</w:t>
      </w:r>
      <w:r>
        <w:rPr>
          <w:rStyle w:val="jlqj4b"/>
        </w:rPr>
        <w:t xml:space="preserve"> choroby u pacientov, ktorí boli prijatí do nemocnice s COVID-19.</w:t>
      </w:r>
    </w:p>
    <w:p w14:paraId="269B3376" w14:textId="6CD4FCBD" w:rsidR="00264A9F" w:rsidRDefault="00264A9F" w:rsidP="00865F45">
      <w:pPr>
        <w:spacing w:before="100" w:beforeAutospacing="1" w:after="100" w:afterAutospacing="1" w:line="240" w:lineRule="auto"/>
        <w:rPr>
          <w:rStyle w:val="jlqj4b"/>
        </w:rPr>
      </w:pPr>
      <w:r>
        <w:rPr>
          <w:rStyle w:val="jlqj4b"/>
        </w:rPr>
        <w:t>A</w:t>
      </w:r>
      <w:r w:rsidR="00577124">
        <w:rPr>
          <w:rStyle w:val="jlqj4b"/>
        </w:rPr>
        <w:t xml:space="preserve">k </w:t>
      </w:r>
      <w:proofErr w:type="spellStart"/>
      <w:r w:rsidR="00577124">
        <w:rPr>
          <w:rStyle w:val="jlqj4b"/>
        </w:rPr>
        <w:t>dexametazón</w:t>
      </w:r>
      <w:proofErr w:type="spellEnd"/>
      <w:r w:rsidR="00577124">
        <w:rPr>
          <w:rStyle w:val="jlqj4b"/>
        </w:rPr>
        <w:t xml:space="preserve"> nie je k dispozícii, môže sa použiť </w:t>
      </w:r>
      <w:proofErr w:type="spellStart"/>
      <w:r w:rsidR="00577124">
        <w:rPr>
          <w:rStyle w:val="jlqj4b"/>
        </w:rPr>
        <w:t>prednizón</w:t>
      </w:r>
      <w:proofErr w:type="spellEnd"/>
      <w:r w:rsidR="00577124">
        <w:rPr>
          <w:rStyle w:val="jlqj4b"/>
        </w:rPr>
        <w:t xml:space="preserve">, </w:t>
      </w:r>
      <w:proofErr w:type="spellStart"/>
      <w:r w:rsidR="00577124">
        <w:rPr>
          <w:rStyle w:val="jlqj4b"/>
        </w:rPr>
        <w:t>metylprednizolón</w:t>
      </w:r>
      <w:proofErr w:type="spellEnd"/>
      <w:r w:rsidR="00577124">
        <w:rPr>
          <w:rStyle w:val="jlqj4b"/>
        </w:rPr>
        <w:t xml:space="preserve"> alebo </w:t>
      </w:r>
      <w:proofErr w:type="spellStart"/>
      <w:r w:rsidR="00577124">
        <w:rPr>
          <w:rStyle w:val="jlqj4b"/>
        </w:rPr>
        <w:t>hydrokortizón</w:t>
      </w:r>
      <w:proofErr w:type="spellEnd"/>
      <w:r>
        <w:rPr>
          <w:rStyle w:val="jlqj4b"/>
        </w:rPr>
        <w:t>.</w:t>
      </w:r>
    </w:p>
    <w:p w14:paraId="6E1429AA" w14:textId="4BF10C17" w:rsidR="00577124" w:rsidRDefault="00577124" w:rsidP="00865F45">
      <w:pPr>
        <w:spacing w:before="100" w:beforeAutospacing="1" w:after="100" w:afterAutospacing="1" w:line="240" w:lineRule="auto"/>
        <w:rPr>
          <w:rStyle w:val="jlqj4b"/>
        </w:rPr>
      </w:pPr>
      <w:r>
        <w:rPr>
          <w:rStyle w:val="jlqj4b"/>
        </w:rPr>
        <w:t xml:space="preserve">Za zriedkavých okolností, keď nemožno použiť kortikosteroidy, sa môže použiť </w:t>
      </w:r>
      <w:proofErr w:type="spellStart"/>
      <w:r>
        <w:rPr>
          <w:rStyle w:val="jlqj4b"/>
        </w:rPr>
        <w:t>baricitinib</w:t>
      </w:r>
      <w:proofErr w:type="spellEnd"/>
      <w:r>
        <w:rPr>
          <w:rStyle w:val="jlqj4b"/>
        </w:rPr>
        <w:t xml:space="preserve"> plus </w:t>
      </w:r>
      <w:proofErr w:type="spellStart"/>
      <w:r>
        <w:rPr>
          <w:rStyle w:val="jlqj4b"/>
        </w:rPr>
        <w:t>remdesivir</w:t>
      </w:r>
      <w:proofErr w:type="spellEnd"/>
      <w:r>
        <w:rPr>
          <w:rStyle w:val="jlqj4b"/>
        </w:rPr>
        <w:t xml:space="preserve"> (</w:t>
      </w:r>
      <w:proofErr w:type="spellStart"/>
      <w:r>
        <w:rPr>
          <w:rStyle w:val="jlqj4b"/>
        </w:rPr>
        <w:t>BIIa</w:t>
      </w:r>
      <w:proofErr w:type="spellEnd"/>
      <w:r>
        <w:rPr>
          <w:rStyle w:val="jlqj4b"/>
        </w:rPr>
        <w:t xml:space="preserve">). </w:t>
      </w:r>
      <w:proofErr w:type="spellStart"/>
      <w:r>
        <w:rPr>
          <w:rStyle w:val="jlqj4b"/>
        </w:rPr>
        <w:t>Baricitinib</w:t>
      </w:r>
      <w:proofErr w:type="spellEnd"/>
      <w:r>
        <w:rPr>
          <w:rStyle w:val="jlqj4b"/>
        </w:rPr>
        <w:t xml:space="preserve"> sa nemá používať bez </w:t>
      </w:r>
      <w:proofErr w:type="spellStart"/>
      <w:r>
        <w:rPr>
          <w:rStyle w:val="jlqj4b"/>
        </w:rPr>
        <w:t>remdesiviru</w:t>
      </w:r>
      <w:proofErr w:type="spellEnd"/>
      <w:r>
        <w:rPr>
          <w:rStyle w:val="jlqj4b"/>
        </w:rPr>
        <w:t>.</w:t>
      </w:r>
    </w:p>
    <w:p w14:paraId="6D354266" w14:textId="6765B758" w:rsidR="00865F45" w:rsidRPr="00264A9F" w:rsidRDefault="00B812B2" w:rsidP="00264A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KYSLÍKOVÁ TERAPIA</w:t>
      </w:r>
    </w:p>
    <w:p w14:paraId="4862C991" w14:textId="30EEC17D" w:rsidR="00CE3B9A" w:rsidRDefault="00264A9F" w:rsidP="00CE3B9A">
      <w:pPr>
        <w:spacing w:before="100" w:beforeAutospacing="1" w:after="100" w:afterAutospacing="1" w:line="240" w:lineRule="auto"/>
        <w:rPr>
          <w:rStyle w:val="jlqj4b"/>
        </w:rPr>
      </w:pPr>
      <w:r>
        <w:rPr>
          <w:rStyle w:val="jlqj4b"/>
        </w:rPr>
        <w:t>Saturácia kyslíka by sa mala u zdravých jedincov pohybovať v rozmedzí 95-99% a nemala by klesať pod 94%.</w:t>
      </w:r>
      <w:r w:rsidR="00151F46">
        <w:rPr>
          <w:rStyle w:val="jlqj4b"/>
        </w:rPr>
        <w:t xml:space="preserve"> pre pacientov, ktorým klesne saturácia pod kritickú hodnotu je vhodná kyslíková terapia.</w:t>
      </w:r>
    </w:p>
    <w:p w14:paraId="6183333B" w14:textId="4C9CCD60" w:rsidR="00264A9F" w:rsidRDefault="00264A9F" w:rsidP="00CE3B9A">
      <w:pPr>
        <w:spacing w:before="100" w:beforeAutospacing="1" w:after="100" w:afterAutospacing="1" w:line="240" w:lineRule="auto"/>
        <w:rPr>
          <w:rStyle w:val="jlqj4b"/>
        </w:rPr>
      </w:pPr>
      <w:r>
        <w:rPr>
          <w:rStyle w:val="jlqj4b"/>
        </w:rPr>
        <w:t xml:space="preserve">Kyslík s nízkym prietokom - U pacientov s COVID-19 je vhodná doplnková </w:t>
      </w:r>
      <w:proofErr w:type="spellStart"/>
      <w:r>
        <w:rPr>
          <w:rStyle w:val="jlqj4b"/>
        </w:rPr>
        <w:t>oxygenácia</w:t>
      </w:r>
      <w:proofErr w:type="spellEnd"/>
      <w:r>
        <w:rPr>
          <w:rStyle w:val="jlqj4b"/>
        </w:rPr>
        <w:t xml:space="preserve"> systémom s nízkym prietokom nosnou kanylou alebo </w:t>
      </w:r>
      <w:proofErr w:type="spellStart"/>
      <w:r>
        <w:rPr>
          <w:rStyle w:val="jlqj4b"/>
        </w:rPr>
        <w:t>tj</w:t>
      </w:r>
      <w:proofErr w:type="spellEnd"/>
      <w:r>
        <w:rPr>
          <w:rStyle w:val="jlqj4b"/>
        </w:rPr>
        <w:t xml:space="preserve">. Do 6 l / min. Vyššie prietoky kyslíka je možné podávať pomocou jednoduchej masky na tvár, </w:t>
      </w:r>
      <w:proofErr w:type="spellStart"/>
      <w:r>
        <w:rPr>
          <w:rStyle w:val="jlqj4b"/>
        </w:rPr>
        <w:t>venturiho</w:t>
      </w:r>
      <w:proofErr w:type="spellEnd"/>
      <w:r>
        <w:rPr>
          <w:rStyle w:val="jlqj4b"/>
        </w:rPr>
        <w:t xml:space="preserve"> masky alebo nedýchacej masky (napr. Do 10 až 20 l / minútu), ale s rastúcim prietokom sa zvyšuje aj riziko disperzie, čo zvyšuje kontamináciu</w:t>
      </w:r>
      <w:r>
        <w:rPr>
          <w:rStyle w:val="viiyi"/>
        </w:rPr>
        <w:t xml:space="preserve"> </w:t>
      </w:r>
      <w:r>
        <w:rPr>
          <w:rStyle w:val="jlqj4b"/>
        </w:rPr>
        <w:t>okolitého prostredia a personálu.</w:t>
      </w:r>
    </w:p>
    <w:p w14:paraId="367FCB4B" w14:textId="29212209" w:rsidR="00264A9F" w:rsidRDefault="00264A9F" w:rsidP="00CE3B9A">
      <w:pPr>
        <w:spacing w:before="100" w:beforeAutospacing="1" w:after="100" w:afterAutospacing="1" w:line="240" w:lineRule="auto"/>
        <w:rPr>
          <w:rStyle w:val="jlqj4b"/>
        </w:rPr>
      </w:pPr>
      <w:r>
        <w:rPr>
          <w:rStyle w:val="jlqj4b"/>
        </w:rPr>
        <w:t>Pacienti s vyššou potrebou kyslíka - S progresiou pacientov je potrebné väčšie množstvo kyslíka.</w:t>
      </w:r>
      <w:r>
        <w:rPr>
          <w:rStyle w:val="viiyi"/>
        </w:rPr>
        <w:t xml:space="preserve"> </w:t>
      </w:r>
      <w:r w:rsidR="00151F46">
        <w:rPr>
          <w:rStyle w:val="jlqj4b"/>
        </w:rPr>
        <w:t xml:space="preserve">U týchto pacientov môžu byť použité neinvazívne spôsoby – </w:t>
      </w:r>
      <w:proofErr w:type="spellStart"/>
      <w:r w:rsidR="00151F46">
        <w:rPr>
          <w:rStyle w:val="jlqj4b"/>
        </w:rPr>
        <w:t>high</w:t>
      </w:r>
      <w:proofErr w:type="spellEnd"/>
      <w:r w:rsidR="00151F46">
        <w:rPr>
          <w:rStyle w:val="jlqj4b"/>
        </w:rPr>
        <w:t xml:space="preserve"> </w:t>
      </w:r>
      <w:proofErr w:type="spellStart"/>
      <w:r w:rsidR="00151F46">
        <w:rPr>
          <w:rStyle w:val="jlqj4b"/>
        </w:rPr>
        <w:t>flow</w:t>
      </w:r>
      <w:proofErr w:type="spellEnd"/>
      <w:r w:rsidR="00151F46">
        <w:rPr>
          <w:rStyle w:val="jlqj4b"/>
        </w:rPr>
        <w:t xml:space="preserve"> nosová kanyla alebo neinvazívna ventilácia pľúc. Prípadne sa môže pacient </w:t>
      </w:r>
      <w:proofErr w:type="spellStart"/>
      <w:r w:rsidR="00151F46">
        <w:rPr>
          <w:rStyle w:val="jlqj4b"/>
        </w:rPr>
        <w:t>zaintubovať</w:t>
      </w:r>
      <w:proofErr w:type="spellEnd"/>
      <w:r w:rsidR="00151F46">
        <w:rPr>
          <w:rStyle w:val="jlqj4b"/>
        </w:rPr>
        <w:t xml:space="preserve">, čo patrí k invazívnym možnostiam. Skoré uplatnenie neinvazívnych metód znižuje </w:t>
      </w:r>
      <w:r w:rsidR="00B812B2">
        <w:rPr>
          <w:rStyle w:val="jlqj4b"/>
        </w:rPr>
        <w:t xml:space="preserve">riziko toho, že sa v budúcnosti bude musieť pacient </w:t>
      </w:r>
      <w:proofErr w:type="spellStart"/>
      <w:r w:rsidR="00B812B2">
        <w:rPr>
          <w:rStyle w:val="jlqj4b"/>
        </w:rPr>
        <w:t>intubovať</w:t>
      </w:r>
      <w:proofErr w:type="spellEnd"/>
      <w:r w:rsidR="00B812B2">
        <w:rPr>
          <w:rStyle w:val="jlqj4b"/>
        </w:rPr>
        <w:t>.</w:t>
      </w:r>
    </w:p>
    <w:p w14:paraId="0D949FA4" w14:textId="77777777" w:rsidR="00B812B2" w:rsidRDefault="00B812B2" w:rsidP="00CE3B9A">
      <w:pPr>
        <w:spacing w:before="100" w:beforeAutospacing="1" w:after="100" w:afterAutospacing="1" w:line="240" w:lineRule="auto"/>
        <w:rPr>
          <w:rStyle w:val="jlqj4b"/>
        </w:rPr>
      </w:pPr>
      <w:r>
        <w:rPr>
          <w:rStyle w:val="jlqj4b"/>
        </w:rPr>
        <w:t xml:space="preserve">● Pri </w:t>
      </w:r>
      <w:proofErr w:type="spellStart"/>
      <w:r>
        <w:rPr>
          <w:rStyle w:val="jlqj4b"/>
        </w:rPr>
        <w:t>High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flow</w:t>
      </w:r>
      <w:proofErr w:type="spellEnd"/>
      <w:r>
        <w:rPr>
          <w:rStyle w:val="jlqj4b"/>
        </w:rPr>
        <w:t xml:space="preserve"> – by sa mala dodatočne na pacienta nasadiť chirurgická maska, keď sú zdravotnícki pracovníci v miestnosti, aby sa znížilo riziko nákazy. Medzi ďalšie preventívne opatrenia pre HFNC, ktoré majú potenciál na zníženie rizika, patrí použitie najnižšieho efektívneho prietoku (napr. 20 l / minútu). </w:t>
      </w:r>
    </w:p>
    <w:p w14:paraId="7723871C" w14:textId="7AFFF121" w:rsidR="00B812B2" w:rsidRDefault="00B812B2" w:rsidP="00CE3B9A">
      <w:pPr>
        <w:spacing w:before="100" w:beforeAutospacing="1" w:after="100" w:afterAutospacing="1" w:line="240" w:lineRule="auto"/>
        <w:rPr>
          <w:rStyle w:val="jlqj4b"/>
        </w:rPr>
      </w:pPr>
      <w:r>
        <w:rPr>
          <w:rStyle w:val="jlqj4b"/>
        </w:rPr>
        <w:t xml:space="preserve">● Neinvazívna ventilácia - Ak sa iniciuje neinvazívna ventilácia, na minimalizáciu disperzie častíc sa uprednostňuje </w:t>
      </w:r>
      <w:proofErr w:type="spellStart"/>
      <w:r>
        <w:rPr>
          <w:rStyle w:val="jlqj4b"/>
        </w:rPr>
        <w:t>celotvárová</w:t>
      </w:r>
      <w:proofErr w:type="spellEnd"/>
      <w:r>
        <w:rPr>
          <w:rStyle w:val="jlqj4b"/>
        </w:rPr>
        <w:t xml:space="preserve"> maska ​. Maska by mala byť pokiaľ možno dobre utesnená. </w:t>
      </w:r>
    </w:p>
    <w:p w14:paraId="47D28A48" w14:textId="5702097B" w:rsidR="00B812B2" w:rsidRPr="00CE3B9A" w:rsidRDefault="00B812B2" w:rsidP="00CE3B9A">
      <w:pPr>
        <w:spacing w:before="100" w:beforeAutospacing="1" w:after="100" w:afterAutospacing="1" w:line="240" w:lineRule="auto"/>
        <w:rPr>
          <w:rStyle w:val="jlqj4b"/>
        </w:rPr>
      </w:pPr>
      <w:r>
        <w:rPr>
          <w:rStyle w:val="jlqj4b"/>
        </w:rPr>
        <w:t xml:space="preserve">● Neinvazívna ventilácia – Dodávanie kyslíka pomocou neinvazívnych metód nemusí stačiť, v takomto prípade je nutné aby mal pacient zavedenú hadičku do priedušnice. Pred mechanickou ventiláciou sú pacienti silne </w:t>
      </w:r>
      <w:proofErr w:type="spellStart"/>
      <w:r>
        <w:rPr>
          <w:rStyle w:val="jlqj4b"/>
        </w:rPr>
        <w:t>sedovaní</w:t>
      </w:r>
      <w:proofErr w:type="spellEnd"/>
      <w:r>
        <w:rPr>
          <w:rStyle w:val="jlqj4b"/>
        </w:rPr>
        <w:t xml:space="preserve">, aby bolo umožnené umiestnenie trubice bez toho, aby to spôsobovalo nepríjemné pocity. Zvyčajne budú pacienti </w:t>
      </w:r>
      <w:r w:rsidR="00FC6AB3">
        <w:rPr>
          <w:rStyle w:val="jlqj4b"/>
        </w:rPr>
        <w:t>pod účinkami sedatív</w:t>
      </w:r>
      <w:r>
        <w:rPr>
          <w:rStyle w:val="jlqj4b"/>
        </w:rPr>
        <w:t xml:space="preserve"> niekoľko dní, kým sa pľúca nezačnú zotavovať. Rôzni pacienti môžu byť na mechanickej ventilácii rôzne dlho. Závisí to od toho, aký závažný majú zápal pľúc, či majú nejaké ďalšie stavy a či sa u nich vyskytnú nejaké komplikácie. V priemere môže byť človek na mechanickej ventilácii asi 2 týždne. Niektorí pacienti potrebovali mechanickú ventiláciu iba na pár dní, iní na viac ako 4 týždne.</w:t>
      </w:r>
    </w:p>
    <w:p w14:paraId="25C4EFE5" w14:textId="265CBC4F" w:rsidR="00CE3B9A" w:rsidRPr="00FC6AB3" w:rsidRDefault="00A63C91" w:rsidP="00FC6AB3">
      <w:pPr>
        <w:rPr>
          <w:b/>
          <w:bCs/>
          <w:sz w:val="28"/>
          <w:szCs w:val="28"/>
        </w:rPr>
      </w:pPr>
      <w:r w:rsidRPr="00FC6AB3">
        <w:rPr>
          <w:b/>
          <w:bCs/>
          <w:sz w:val="28"/>
          <w:szCs w:val="28"/>
        </w:rPr>
        <w:t>ANTIBIOTIKA</w:t>
      </w:r>
    </w:p>
    <w:p w14:paraId="644BD329" w14:textId="61C56EB0" w:rsidR="00A63C91" w:rsidRPr="00577124" w:rsidRDefault="00FC6AB3" w:rsidP="00101FB7">
      <w:pPr>
        <w:spacing w:before="100" w:beforeAutospacing="1" w:after="100" w:afterAutospacing="1" w:line="240" w:lineRule="auto"/>
        <w:rPr>
          <w:rStyle w:val="jlqj4b"/>
        </w:rPr>
      </w:pPr>
      <w:r>
        <w:rPr>
          <w:rStyle w:val="jlqj4b"/>
        </w:rPr>
        <w:t>Ochorenie covid-19 nie je priamo liečiteľné antibiotikami, keďže je vírusového pôvodu. V nemocniciach lekári však niekedy používajú antibiotiká na prevenciu alebo liečbu sekundárnych bakteriálnych infekcií, ktoré môžu byť komplikáciou COVID-19 u ťažko chorých pacientov.</w:t>
      </w:r>
    </w:p>
    <w:p w14:paraId="6C1297F2" w14:textId="1EADE9D5" w:rsidR="00A63C91" w:rsidRPr="00FC6AB3" w:rsidRDefault="00A63C91" w:rsidP="00FC6AB3">
      <w:pPr>
        <w:rPr>
          <w:b/>
          <w:bCs/>
          <w:sz w:val="28"/>
          <w:szCs w:val="28"/>
        </w:rPr>
      </w:pPr>
      <w:r w:rsidRPr="00FC6AB3">
        <w:rPr>
          <w:b/>
          <w:bCs/>
          <w:sz w:val="28"/>
          <w:szCs w:val="28"/>
        </w:rPr>
        <w:t>ANTIKOAGULANTY</w:t>
      </w:r>
    </w:p>
    <w:p w14:paraId="7FA6EBB0" w14:textId="25B4B5BD" w:rsidR="00A63C91" w:rsidRPr="00577124" w:rsidRDefault="00FC6AB3" w:rsidP="00101FB7">
      <w:pPr>
        <w:spacing w:before="100" w:beforeAutospacing="1" w:after="100" w:afterAutospacing="1" w:line="240" w:lineRule="auto"/>
        <w:rPr>
          <w:rStyle w:val="jlqj4b"/>
        </w:rPr>
      </w:pPr>
      <w:r>
        <w:rPr>
          <w:rStyle w:val="jlqj4b"/>
        </w:rPr>
        <w:t xml:space="preserve">Infekcia </w:t>
      </w:r>
      <w:proofErr w:type="spellStart"/>
      <w:r>
        <w:rPr>
          <w:rStyle w:val="jlqj4b"/>
        </w:rPr>
        <w:t>koronavírusom</w:t>
      </w:r>
      <w:proofErr w:type="spellEnd"/>
      <w:r>
        <w:rPr>
          <w:rStyle w:val="jlqj4b"/>
        </w:rPr>
        <w:t xml:space="preserve"> je spojená so zápalom a </w:t>
      </w:r>
      <w:proofErr w:type="spellStart"/>
      <w:r>
        <w:rPr>
          <w:rStyle w:val="jlqj4b"/>
        </w:rPr>
        <w:t>protrombotickým</w:t>
      </w:r>
      <w:proofErr w:type="spellEnd"/>
      <w:r>
        <w:rPr>
          <w:rStyle w:val="jlqj4b"/>
        </w:rPr>
        <w:t xml:space="preserve"> stavom so zvýšením fibrínu, produktov degradácie fibrínu, </w:t>
      </w:r>
      <w:proofErr w:type="spellStart"/>
      <w:r>
        <w:rPr>
          <w:rStyle w:val="jlqj4b"/>
        </w:rPr>
        <w:t>fibrinogénu</w:t>
      </w:r>
      <w:proofErr w:type="spellEnd"/>
      <w:r>
        <w:rPr>
          <w:rStyle w:val="jlqj4b"/>
        </w:rPr>
        <w:t xml:space="preserve"> a D- </w:t>
      </w:r>
      <w:proofErr w:type="spellStart"/>
      <w:r>
        <w:rPr>
          <w:rStyle w:val="jlqj4b"/>
        </w:rPr>
        <w:t>diméry</w:t>
      </w:r>
      <w:proofErr w:type="spellEnd"/>
      <w:r>
        <w:rPr>
          <w:rStyle w:val="jlqj4b"/>
        </w:rPr>
        <w:t xml:space="preserve">. V niektorých štúdiách bolo zvýšenie týchto markerov spojené s horšími klinickými výsledkami. Mnoho štúdií uvádza rôzne výskyty </w:t>
      </w:r>
      <w:proofErr w:type="spellStart"/>
      <w:r>
        <w:rPr>
          <w:rStyle w:val="jlqj4b"/>
        </w:rPr>
        <w:t>venózneho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tromboembolizmu</w:t>
      </w:r>
      <w:proofErr w:type="spellEnd"/>
      <w:r>
        <w:rPr>
          <w:rStyle w:val="jlqj4b"/>
        </w:rPr>
        <w:t xml:space="preserve"> (VTE) u pacientov s COVID-19. U hospitalizovaných pacientov s COVID-19 by sa preto mala predpísať profylaktická dávka </w:t>
      </w:r>
      <w:proofErr w:type="spellStart"/>
      <w:r>
        <w:rPr>
          <w:rStyle w:val="jlqj4b"/>
        </w:rPr>
        <w:t>antikoagulácie</w:t>
      </w:r>
      <w:proofErr w:type="spellEnd"/>
      <w:r>
        <w:rPr>
          <w:rStyle w:val="jlqj4b"/>
        </w:rPr>
        <w:t xml:space="preserve">, pokiaľ to nie je kontraindikované (napr. Pacient má aktívne krvácanie alebo závažnú poruchu zrážania krvi). Lekári zvyčajne </w:t>
      </w:r>
      <w:r>
        <w:rPr>
          <w:rStyle w:val="jlqj4b"/>
        </w:rPr>
        <w:lastRenderedPageBreak/>
        <w:t xml:space="preserve">predpisujú nízku dávku </w:t>
      </w:r>
      <w:proofErr w:type="spellStart"/>
      <w:r>
        <w:rPr>
          <w:rStyle w:val="jlqj4b"/>
        </w:rPr>
        <w:t>heparínu</w:t>
      </w:r>
      <w:proofErr w:type="spellEnd"/>
      <w:r>
        <w:rPr>
          <w:rStyle w:val="jlqj4b"/>
        </w:rPr>
        <w:t xml:space="preserve"> alebo </w:t>
      </w:r>
      <w:proofErr w:type="spellStart"/>
      <w:r>
        <w:rPr>
          <w:rStyle w:val="jlqj4b"/>
        </w:rPr>
        <w:t>enoxaparínu</w:t>
      </w:r>
      <w:proofErr w:type="spellEnd"/>
      <w:r>
        <w:rPr>
          <w:rStyle w:val="jlqj4b"/>
        </w:rPr>
        <w:t xml:space="preserve">. Niektorí pacienti však potrebujú plné dávky </w:t>
      </w:r>
      <w:proofErr w:type="spellStart"/>
      <w:r>
        <w:rPr>
          <w:rStyle w:val="jlqj4b"/>
        </w:rPr>
        <w:t>antikoagulantov</w:t>
      </w:r>
      <w:proofErr w:type="spellEnd"/>
      <w:r>
        <w:rPr>
          <w:rStyle w:val="jlqj4b"/>
        </w:rPr>
        <w:t>, ak už majú vyvinuté krvné zrazeniny alebo majú vysoké riziko na ich vznik. Pri predpisovaní plných dávok musia lekári vždy vyvážiť riziko nebezpečného krvácania.</w:t>
      </w:r>
    </w:p>
    <w:p w14:paraId="745F2E94" w14:textId="0D81134D" w:rsidR="00CA29B4" w:rsidRPr="00FC6AB3" w:rsidRDefault="00CA29B4" w:rsidP="00FC6AB3">
      <w:pPr>
        <w:rPr>
          <w:b/>
          <w:bCs/>
          <w:sz w:val="28"/>
          <w:szCs w:val="28"/>
        </w:rPr>
      </w:pPr>
      <w:r w:rsidRPr="00FC6AB3">
        <w:rPr>
          <w:b/>
          <w:bCs/>
          <w:sz w:val="28"/>
          <w:szCs w:val="28"/>
        </w:rPr>
        <w:t>IVERMEKTIN</w:t>
      </w:r>
    </w:p>
    <w:p w14:paraId="0007B316" w14:textId="77777777" w:rsidR="00FC6AB3" w:rsidRDefault="00FC6AB3" w:rsidP="00101FB7">
      <w:pPr>
        <w:spacing w:before="100" w:beforeAutospacing="1" w:after="100" w:afterAutospacing="1" w:line="240" w:lineRule="auto"/>
        <w:rPr>
          <w:rStyle w:val="jlqj4b"/>
        </w:rPr>
      </w:pPr>
      <w:proofErr w:type="spellStart"/>
      <w:r>
        <w:rPr>
          <w:rStyle w:val="jlqj4b"/>
        </w:rPr>
        <w:t>Ivermektín</w:t>
      </w:r>
      <w:proofErr w:type="spellEnd"/>
      <w:r>
        <w:rPr>
          <w:rStyle w:val="jlqj4b"/>
        </w:rPr>
        <w:t xml:space="preserve"> je </w:t>
      </w:r>
      <w:proofErr w:type="spellStart"/>
      <w:r>
        <w:rPr>
          <w:rStyle w:val="jlqj4b"/>
        </w:rPr>
        <w:t>antiparazitárne</w:t>
      </w:r>
      <w:proofErr w:type="spellEnd"/>
      <w:r>
        <w:rPr>
          <w:rStyle w:val="jlqj4b"/>
        </w:rPr>
        <w:t xml:space="preserve"> liečivo, ktoré sa používa na liečbu niekoľkých tropických chorôb, vrátane </w:t>
      </w:r>
      <w:proofErr w:type="spellStart"/>
      <w:r>
        <w:rPr>
          <w:rStyle w:val="jlqj4b"/>
        </w:rPr>
        <w:t>onchocerciázy</w:t>
      </w:r>
      <w:proofErr w:type="spellEnd"/>
      <w:r>
        <w:rPr>
          <w:rStyle w:val="jlqj4b"/>
        </w:rPr>
        <w:t xml:space="preserve">, </w:t>
      </w:r>
      <w:proofErr w:type="spellStart"/>
      <w:r>
        <w:rPr>
          <w:rStyle w:val="jlqj4b"/>
        </w:rPr>
        <w:t>helmintiáz</w:t>
      </w:r>
      <w:proofErr w:type="spellEnd"/>
      <w:r>
        <w:rPr>
          <w:rStyle w:val="jlqj4b"/>
        </w:rPr>
        <w:t xml:space="preserve"> a </w:t>
      </w:r>
      <w:proofErr w:type="spellStart"/>
      <w:r>
        <w:rPr>
          <w:rStyle w:val="jlqj4b"/>
        </w:rPr>
        <w:t>svraba</w:t>
      </w:r>
      <w:proofErr w:type="spellEnd"/>
      <w:r>
        <w:rPr>
          <w:rStyle w:val="jlqj4b"/>
        </w:rPr>
        <w:t>. Hodnotí sa tiež jeho potenciál znížiť rýchlosť prenosu malárie zabitím</w:t>
      </w:r>
      <w:r>
        <w:rPr>
          <w:rStyle w:val="viiyi"/>
        </w:rPr>
        <w:t xml:space="preserve"> </w:t>
      </w:r>
      <w:r>
        <w:rPr>
          <w:rStyle w:val="jlqj4b"/>
        </w:rPr>
        <w:t xml:space="preserve">komárov, ktorí sa živia hospodárskymi zvieratami liečenými týmto liekom. Z týchto indikácií je </w:t>
      </w:r>
      <w:proofErr w:type="spellStart"/>
      <w:r>
        <w:rPr>
          <w:rStyle w:val="jlqj4b"/>
        </w:rPr>
        <w:t>ivermektín</w:t>
      </w:r>
      <w:proofErr w:type="spellEnd"/>
      <w:r>
        <w:rPr>
          <w:rStyle w:val="jlqj4b"/>
        </w:rPr>
        <w:t xml:space="preserve"> veterinárne široko používaný a je všeobecne dobre znášaný. </w:t>
      </w:r>
    </w:p>
    <w:p w14:paraId="3817AA7F" w14:textId="77777777" w:rsidR="00FC6AB3" w:rsidRDefault="00FC6AB3" w:rsidP="00101FB7">
      <w:pPr>
        <w:spacing w:before="100" w:beforeAutospacing="1" w:after="100" w:afterAutospacing="1" w:line="240" w:lineRule="auto"/>
        <w:rPr>
          <w:rStyle w:val="viiyi"/>
        </w:rPr>
      </w:pPr>
      <w:r>
        <w:rPr>
          <w:rStyle w:val="jlqj4b"/>
        </w:rPr>
        <w:t>U </w:t>
      </w:r>
      <w:proofErr w:type="spellStart"/>
      <w:r>
        <w:rPr>
          <w:rStyle w:val="jlqj4b"/>
        </w:rPr>
        <w:t>koronavírusu</w:t>
      </w:r>
      <w:proofErr w:type="spellEnd"/>
      <w:r>
        <w:rPr>
          <w:rStyle w:val="jlqj4b"/>
        </w:rPr>
        <w:t xml:space="preserve"> inhibícia replikáciu in vitro, ale nebol vykonaný žiadny klinický pokus.</w:t>
      </w:r>
      <w:r>
        <w:rPr>
          <w:rStyle w:val="viiyi"/>
        </w:rPr>
        <w:t xml:space="preserve"> </w:t>
      </w:r>
    </w:p>
    <w:p w14:paraId="3AB5B348" w14:textId="0CC192B1" w:rsidR="00CA29B4" w:rsidRDefault="00FC6AB3" w:rsidP="00AC017C">
      <w:pPr>
        <w:spacing w:before="100" w:beforeAutospacing="1" w:after="100" w:afterAutospacing="1" w:line="240" w:lineRule="auto"/>
      </w:pPr>
      <w:r>
        <w:rPr>
          <w:rStyle w:val="jlqj4b"/>
        </w:rPr>
        <w:t xml:space="preserve">Na </w:t>
      </w:r>
      <w:proofErr w:type="spellStart"/>
      <w:r>
        <w:rPr>
          <w:rStyle w:val="jlqj4b"/>
        </w:rPr>
        <w:t>slovensku</w:t>
      </w:r>
      <w:proofErr w:type="spellEnd"/>
      <w:r>
        <w:rPr>
          <w:rStyle w:val="jlqj4b"/>
        </w:rPr>
        <w:t xml:space="preserve"> dostal výnimku, ale zodpovednosť preberá </w:t>
      </w:r>
      <w:proofErr w:type="spellStart"/>
      <w:r>
        <w:rPr>
          <w:rStyle w:val="jlqj4b"/>
        </w:rPr>
        <w:t>osetrujuci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lekar</w:t>
      </w:r>
      <w:proofErr w:type="spellEnd"/>
      <w:r>
        <w:rPr>
          <w:rStyle w:val="jlqj4b"/>
        </w:rPr>
        <w:t>.</w:t>
      </w:r>
    </w:p>
    <w:p w14:paraId="2DDD875E" w14:textId="77777777" w:rsidR="00101FB7" w:rsidRPr="00101FB7" w:rsidRDefault="00101FB7" w:rsidP="0010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E497EE" w14:textId="77777777" w:rsidR="00101FB7" w:rsidRPr="00101FB7" w:rsidRDefault="00101FB7" w:rsidP="0010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A72726" w14:textId="77777777" w:rsidR="00101FB7" w:rsidRPr="00101FB7" w:rsidRDefault="00101FB7" w:rsidP="0010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AD8666" w14:textId="77777777" w:rsidR="000E2DEE" w:rsidRDefault="000E2DEE"/>
    <w:sectPr w:rsidR="000E2DEE" w:rsidSect="00AC0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743A1"/>
    <w:multiLevelType w:val="multilevel"/>
    <w:tmpl w:val="6D88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375EB"/>
    <w:multiLevelType w:val="hybridMultilevel"/>
    <w:tmpl w:val="0E10C564"/>
    <w:lvl w:ilvl="0" w:tplc="45D087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067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497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C13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A63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E01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265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3C1C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0461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EE"/>
    <w:rsid w:val="000E2DEE"/>
    <w:rsid w:val="00101FB7"/>
    <w:rsid w:val="00151F46"/>
    <w:rsid w:val="00264A9F"/>
    <w:rsid w:val="002B5F89"/>
    <w:rsid w:val="00311CB0"/>
    <w:rsid w:val="0044006D"/>
    <w:rsid w:val="00577124"/>
    <w:rsid w:val="006F148C"/>
    <w:rsid w:val="00865F45"/>
    <w:rsid w:val="009C12D2"/>
    <w:rsid w:val="00A40D79"/>
    <w:rsid w:val="00A63C91"/>
    <w:rsid w:val="00AC017C"/>
    <w:rsid w:val="00B812B2"/>
    <w:rsid w:val="00CA29B4"/>
    <w:rsid w:val="00CE3B9A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6E83"/>
  <w15:chartTrackingRefBased/>
  <w15:docId w15:val="{AE32AE69-12D6-4294-AB81-280C9ACC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C1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3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3B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draznn">
    <w:name w:val="Emphasis"/>
    <w:basedOn w:val="Standardnpsmoodstavce"/>
    <w:uiPriority w:val="20"/>
    <w:qFormat/>
    <w:rsid w:val="000E2DEE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9C12D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9C12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12D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65F45"/>
    <w:rPr>
      <w:b/>
      <w:bCs/>
    </w:rPr>
  </w:style>
  <w:style w:type="paragraph" w:customStyle="1" w:styleId="headinganchor">
    <w:name w:val="headinganchor"/>
    <w:basedOn w:val="Normln"/>
    <w:rsid w:val="00CE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2">
    <w:name w:val="h2"/>
    <w:basedOn w:val="Standardnpsmoodstavce"/>
    <w:rsid w:val="00CE3B9A"/>
  </w:style>
  <w:style w:type="character" w:customStyle="1" w:styleId="headingendmark">
    <w:name w:val="headingendmark"/>
    <w:basedOn w:val="Standardnpsmoodstavce"/>
    <w:rsid w:val="00CE3B9A"/>
  </w:style>
  <w:style w:type="character" w:customStyle="1" w:styleId="h3">
    <w:name w:val="h3"/>
    <w:basedOn w:val="Standardnpsmoodstavce"/>
    <w:rsid w:val="00CE3B9A"/>
  </w:style>
  <w:style w:type="paragraph" w:customStyle="1" w:styleId="bulletindent1">
    <w:name w:val="bulletindent1"/>
    <w:basedOn w:val="Normln"/>
    <w:rsid w:val="00CE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glyph">
    <w:name w:val="glyph"/>
    <w:basedOn w:val="Standardnpsmoodstavce"/>
    <w:rsid w:val="00CE3B9A"/>
  </w:style>
  <w:style w:type="paragraph" w:customStyle="1" w:styleId="bulletindent2">
    <w:name w:val="bulletindent2"/>
    <w:basedOn w:val="Normln"/>
    <w:rsid w:val="00CE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">
    <w:name w:val="h1"/>
    <w:basedOn w:val="Standardnpsmoodstavce"/>
    <w:rsid w:val="00CE3B9A"/>
  </w:style>
  <w:style w:type="character" w:customStyle="1" w:styleId="Nadpis4Char">
    <w:name w:val="Nadpis 4 Char"/>
    <w:basedOn w:val="Standardnpsmoodstavce"/>
    <w:link w:val="Nadpis4"/>
    <w:uiPriority w:val="9"/>
    <w:semiHidden/>
    <w:rsid w:val="00CE3B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3C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4006D"/>
    <w:rPr>
      <w:color w:val="605E5C"/>
      <w:shd w:val="clear" w:color="auto" w:fill="E1DFDD"/>
    </w:rPr>
  </w:style>
  <w:style w:type="character" w:customStyle="1" w:styleId="viiyi">
    <w:name w:val="viiyi"/>
    <w:basedOn w:val="Standardnpsmoodstavce"/>
    <w:rsid w:val="00AC017C"/>
  </w:style>
  <w:style w:type="character" w:customStyle="1" w:styleId="jlqj4b">
    <w:name w:val="jlqj4b"/>
    <w:basedOn w:val="Standardnpsmoodstavce"/>
    <w:rsid w:val="00AC0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7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6653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Dzubáková</dc:creator>
  <cp:keywords/>
  <dc:description/>
  <cp:lastModifiedBy>Uživatel systému Windows</cp:lastModifiedBy>
  <cp:revision>2</cp:revision>
  <dcterms:created xsi:type="dcterms:W3CDTF">2021-04-01T10:31:00Z</dcterms:created>
  <dcterms:modified xsi:type="dcterms:W3CDTF">2021-04-01T10:31:00Z</dcterms:modified>
</cp:coreProperties>
</file>