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79" w:rsidRPr="002F11CD" w:rsidRDefault="00910A79" w:rsidP="00910A79">
      <w:pPr>
        <w:jc w:val="right"/>
        <w:rPr>
          <w:rFonts w:cs="Times New Roman"/>
          <w:sz w:val="24"/>
          <w:szCs w:val="24"/>
        </w:rPr>
      </w:pPr>
      <w:r w:rsidRPr="002F11CD">
        <w:rPr>
          <w:rFonts w:cs="Times New Roman"/>
          <w:sz w:val="24"/>
          <w:szCs w:val="24"/>
        </w:rPr>
        <w:t>Michal SP</w:t>
      </w:r>
      <w:r w:rsidR="0063762E" w:rsidRPr="002F11CD">
        <w:rPr>
          <w:rFonts w:cs="Times New Roman"/>
          <w:sz w:val="24"/>
          <w:szCs w:val="24"/>
        </w:rPr>
        <w:t>ÁČIL, 390797, 2. Ročník, Brno 17</w:t>
      </w:r>
      <w:r w:rsidRPr="002F11CD">
        <w:rPr>
          <w:rFonts w:cs="Times New Roman"/>
          <w:sz w:val="24"/>
          <w:szCs w:val="24"/>
        </w:rPr>
        <w:t>.</w:t>
      </w:r>
      <w:r w:rsidR="0063762E" w:rsidRPr="002F11CD">
        <w:rPr>
          <w:rFonts w:cs="Times New Roman"/>
          <w:sz w:val="24"/>
          <w:szCs w:val="24"/>
        </w:rPr>
        <w:t xml:space="preserve"> 10</w:t>
      </w:r>
      <w:r w:rsidRPr="002F11CD">
        <w:rPr>
          <w:rFonts w:cs="Times New Roman"/>
          <w:sz w:val="24"/>
          <w:szCs w:val="24"/>
        </w:rPr>
        <w:t>. 2012</w:t>
      </w:r>
    </w:p>
    <w:p w:rsidR="003851C2" w:rsidRDefault="003851C2" w:rsidP="00910A79">
      <w:pPr>
        <w:pStyle w:val="Bezmezer"/>
        <w:jc w:val="center"/>
        <w:rPr>
          <w:rFonts w:cs="Times New Roman"/>
          <w:sz w:val="32"/>
          <w:szCs w:val="24"/>
          <w:u w:val="single"/>
        </w:rPr>
      </w:pPr>
    </w:p>
    <w:p w:rsidR="00910A79" w:rsidRPr="002F11CD" w:rsidRDefault="006E5143" w:rsidP="00910A79">
      <w:pPr>
        <w:pStyle w:val="Bezmezer"/>
        <w:jc w:val="center"/>
        <w:rPr>
          <w:rFonts w:cs="Times New Roman"/>
          <w:sz w:val="32"/>
          <w:szCs w:val="24"/>
          <w:u w:val="single"/>
        </w:rPr>
      </w:pPr>
      <w:r w:rsidRPr="002F11CD">
        <w:rPr>
          <w:rFonts w:cs="Times New Roman"/>
          <w:sz w:val="32"/>
          <w:szCs w:val="24"/>
          <w:u w:val="single"/>
        </w:rPr>
        <w:t>Průměrné denní průtoky na stanici Brandýs nad Labem v červnu 2005</w:t>
      </w:r>
    </w:p>
    <w:p w:rsidR="006E5143" w:rsidRPr="002F11CD" w:rsidRDefault="006E5143" w:rsidP="00910A79">
      <w:pPr>
        <w:pStyle w:val="Bezmezer"/>
        <w:jc w:val="center"/>
        <w:rPr>
          <w:rFonts w:cs="Times New Roman"/>
          <w:sz w:val="24"/>
          <w:szCs w:val="28"/>
        </w:rPr>
      </w:pPr>
      <w:r w:rsidRPr="002F11CD">
        <w:rPr>
          <w:rFonts w:cs="Times New Roman"/>
          <w:sz w:val="24"/>
          <w:szCs w:val="28"/>
        </w:rPr>
        <w:t>Projekt č. 8</w:t>
      </w:r>
    </w:p>
    <w:p w:rsidR="006E5143" w:rsidRPr="002F11CD" w:rsidRDefault="006E5143" w:rsidP="006E5143">
      <w:pPr>
        <w:pStyle w:val="Bezmezer"/>
        <w:rPr>
          <w:rFonts w:cs="Times New Roman"/>
          <w:b/>
          <w:sz w:val="24"/>
          <w:szCs w:val="28"/>
        </w:rPr>
      </w:pPr>
    </w:p>
    <w:p w:rsidR="006E5143" w:rsidRPr="002F11CD" w:rsidRDefault="006E5143" w:rsidP="006E5143">
      <w:pPr>
        <w:pStyle w:val="Bezmezer"/>
        <w:rPr>
          <w:rFonts w:cs="Times New Roman"/>
          <w:b/>
          <w:sz w:val="24"/>
          <w:szCs w:val="28"/>
        </w:rPr>
      </w:pPr>
      <w:r w:rsidRPr="002F11CD">
        <w:rPr>
          <w:rFonts w:cs="Times New Roman"/>
          <w:b/>
          <w:sz w:val="24"/>
          <w:szCs w:val="28"/>
        </w:rPr>
        <w:t>Zadání:</w:t>
      </w:r>
    </w:p>
    <w:p w:rsidR="006E5143" w:rsidRPr="002F11CD" w:rsidRDefault="006E5143" w:rsidP="006E5143">
      <w:pPr>
        <w:pStyle w:val="Bezmezer"/>
        <w:ind w:firstLine="708"/>
        <w:rPr>
          <w:rFonts w:cs="Times New Roman"/>
          <w:sz w:val="24"/>
          <w:szCs w:val="28"/>
        </w:rPr>
      </w:pPr>
      <w:r w:rsidRPr="002F11CD">
        <w:rPr>
          <w:rFonts w:cs="Times New Roman"/>
          <w:sz w:val="24"/>
          <w:szCs w:val="28"/>
        </w:rPr>
        <w:t xml:space="preserve">Sestrojte teoretickou a empirickou křivku pravděpodobnosti překročení průměrných hodnot denních průtoků vybraného toku a klasifikujte </w:t>
      </w:r>
      <w:proofErr w:type="spellStart"/>
      <w:r w:rsidRPr="002F11CD">
        <w:rPr>
          <w:rFonts w:cs="Times New Roman"/>
          <w:sz w:val="24"/>
          <w:szCs w:val="28"/>
        </w:rPr>
        <w:t>vodnost</w:t>
      </w:r>
      <w:proofErr w:type="spellEnd"/>
      <w:r w:rsidRPr="002F11CD">
        <w:rPr>
          <w:rFonts w:cs="Times New Roman"/>
          <w:sz w:val="24"/>
          <w:szCs w:val="28"/>
        </w:rPr>
        <w:t xml:space="preserve"> jednotlivých dnů.</w:t>
      </w:r>
    </w:p>
    <w:p w:rsidR="006E5143" w:rsidRPr="002F11CD" w:rsidRDefault="006E5143" w:rsidP="006E5143">
      <w:pPr>
        <w:pStyle w:val="Bezmezer"/>
        <w:rPr>
          <w:rFonts w:cs="Times New Roman"/>
          <w:sz w:val="24"/>
          <w:szCs w:val="28"/>
        </w:rPr>
      </w:pPr>
    </w:p>
    <w:p w:rsidR="006E5143" w:rsidRDefault="006E5143" w:rsidP="006E5143">
      <w:pPr>
        <w:pStyle w:val="Bezmezer"/>
        <w:rPr>
          <w:rFonts w:cs="Times New Roman"/>
          <w:b/>
          <w:sz w:val="24"/>
          <w:szCs w:val="28"/>
        </w:rPr>
      </w:pPr>
      <w:r w:rsidRPr="002F11CD">
        <w:rPr>
          <w:rFonts w:cs="Times New Roman"/>
          <w:b/>
          <w:sz w:val="24"/>
          <w:szCs w:val="28"/>
        </w:rPr>
        <w:t>Vypracování:</w:t>
      </w:r>
    </w:p>
    <w:p w:rsidR="002F11CD" w:rsidRDefault="002F11CD" w:rsidP="006E5143">
      <w:pPr>
        <w:pStyle w:val="Bezmezer"/>
        <w:rPr>
          <w:rFonts w:cs="Times New Roman"/>
          <w:sz w:val="24"/>
          <w:szCs w:val="28"/>
        </w:rPr>
      </w:pPr>
    </w:p>
    <w:p w:rsidR="002F11CD" w:rsidRPr="002F11CD" w:rsidRDefault="002F11CD" w:rsidP="002871B1">
      <w:pPr>
        <w:pStyle w:val="Bezmezer"/>
        <w:ind w:firstLine="708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Tab. 1: Hodnoty naměřeného a teoreticky vypočítaného průtoku (m</w:t>
      </w:r>
      <w:r>
        <w:rPr>
          <w:rFonts w:cs="Times New Roman"/>
          <w:sz w:val="24"/>
          <w:szCs w:val="28"/>
          <w:vertAlign w:val="superscript"/>
        </w:rPr>
        <w:t>3</w:t>
      </w:r>
      <w:r>
        <w:rPr>
          <w:rFonts w:cs="Times New Roman"/>
          <w:sz w:val="24"/>
          <w:szCs w:val="28"/>
        </w:rPr>
        <w:t>.s</w:t>
      </w:r>
      <w:r>
        <w:rPr>
          <w:rFonts w:cs="Times New Roman"/>
          <w:sz w:val="24"/>
          <w:szCs w:val="28"/>
          <w:vertAlign w:val="superscript"/>
        </w:rPr>
        <w:t>-1</w:t>
      </w:r>
      <w:r>
        <w:rPr>
          <w:rFonts w:cs="Times New Roman"/>
          <w:sz w:val="24"/>
          <w:szCs w:val="28"/>
        </w:rPr>
        <w:t>)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5"/>
        <w:gridCol w:w="960"/>
        <w:gridCol w:w="965"/>
        <w:gridCol w:w="960"/>
        <w:gridCol w:w="965"/>
        <w:gridCol w:w="965"/>
        <w:gridCol w:w="960"/>
      </w:tblGrid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b/>
                <w:color w:val="000000"/>
                <w:lang w:eastAsia="cs-CZ"/>
              </w:rPr>
              <w:t>Den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b/>
                <w:color w:val="000000"/>
                <w:lang w:eastAsia="cs-CZ"/>
              </w:rPr>
              <w:t>Q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b/>
                <w:color w:val="00000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proofErr w:type="spellStart"/>
            <w:r w:rsidRPr="003851C2">
              <w:rPr>
                <w:rFonts w:eastAsia="Times New Roman" w:cs="Times New Roman"/>
                <w:b/>
                <w:color w:val="000000"/>
                <w:lang w:eastAsia="cs-CZ"/>
              </w:rPr>
              <w:t>ki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b/>
                <w:color w:val="000000"/>
                <w:lang w:eastAsia="cs-CZ"/>
              </w:rPr>
              <w:t>(</w:t>
            </w:r>
            <w:proofErr w:type="spellStart"/>
            <w:r w:rsidRPr="003851C2">
              <w:rPr>
                <w:rFonts w:eastAsia="Times New Roman" w:cs="Times New Roman"/>
                <w:b/>
                <w:color w:val="000000"/>
                <w:lang w:eastAsia="cs-CZ"/>
              </w:rPr>
              <w:t>ki</w:t>
            </w:r>
            <w:proofErr w:type="spellEnd"/>
            <w:r w:rsidRPr="003851C2">
              <w:rPr>
                <w:rFonts w:eastAsia="Times New Roman" w:cs="Times New Roman"/>
                <w:b/>
                <w:color w:val="000000"/>
                <w:lang w:eastAsia="cs-CZ"/>
              </w:rPr>
              <w:t>-1)</w:t>
            </w:r>
            <w:r w:rsidRPr="003851C2">
              <w:rPr>
                <w:rFonts w:eastAsia="Times New Roman" w:cs="Times New Roman"/>
                <w:b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b/>
                <w:color w:val="000000"/>
                <w:lang w:eastAsia="cs-CZ"/>
              </w:rPr>
              <w:t>(</w:t>
            </w:r>
            <w:proofErr w:type="spellStart"/>
            <w:r w:rsidRPr="003851C2">
              <w:rPr>
                <w:rFonts w:eastAsia="Times New Roman" w:cs="Times New Roman"/>
                <w:b/>
                <w:color w:val="000000"/>
                <w:lang w:eastAsia="cs-CZ"/>
              </w:rPr>
              <w:t>kj</w:t>
            </w:r>
            <w:proofErr w:type="spellEnd"/>
            <w:r w:rsidRPr="003851C2">
              <w:rPr>
                <w:rFonts w:eastAsia="Times New Roman" w:cs="Times New Roman"/>
                <w:b/>
                <w:color w:val="000000"/>
                <w:lang w:eastAsia="cs-CZ"/>
              </w:rPr>
              <w:t>-1)</w:t>
            </w:r>
            <w:r w:rsidRPr="003851C2">
              <w:rPr>
                <w:rFonts w:eastAsia="Times New Roman" w:cs="Times New Roman"/>
                <w:b/>
                <w:color w:val="000000"/>
                <w:vertAlign w:val="superscript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proofErr w:type="spellStart"/>
            <w:proofErr w:type="gramStart"/>
            <w:r w:rsidRPr="003851C2">
              <w:rPr>
                <w:rFonts w:eastAsia="Times New Roman" w:cs="Times New Roman"/>
                <w:b/>
                <w:color w:val="000000"/>
                <w:lang w:eastAsia="cs-CZ"/>
              </w:rPr>
              <w:t>Φs</w:t>
            </w:r>
            <w:proofErr w:type="spellEnd"/>
            <w:r w:rsidRPr="003851C2">
              <w:rPr>
                <w:rFonts w:eastAsia="Times New Roman" w:cs="Times New Roman"/>
                <w:b/>
                <w:color w:val="000000"/>
                <w:lang w:eastAsia="cs-CZ"/>
              </w:rPr>
              <w:t>,p</w:t>
            </w:r>
            <w:proofErr w:type="gramEnd"/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proofErr w:type="spellStart"/>
            <w:r w:rsidRPr="003851C2">
              <w:rPr>
                <w:rFonts w:eastAsia="Times New Roman" w:cs="Times New Roman"/>
                <w:b/>
                <w:color w:val="000000"/>
                <w:lang w:eastAsia="cs-CZ"/>
              </w:rPr>
              <w:t>Qp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proofErr w:type="spellStart"/>
            <w:r w:rsidRPr="003851C2">
              <w:rPr>
                <w:rFonts w:eastAsia="Times New Roman" w:cs="Times New Roman"/>
                <w:b/>
                <w:color w:val="000000"/>
                <w:lang w:eastAsia="cs-CZ"/>
              </w:rPr>
              <w:t>Pv</w:t>
            </w:r>
            <w:proofErr w:type="spellEnd"/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95,2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2,302632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1,71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0,498568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0,3520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2,036908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221,3704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MV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93,6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28,61842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0,458897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0,3109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0,561447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157,3582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V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31,90789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0,208839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0,468487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153,3251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V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51,64474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0,183454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-0,04112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131,2161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79,2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54,93421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0,175858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-0,12336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127,6483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76,9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5,592105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0,142987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1,597368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202,3012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MV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72,9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22,03947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0,093913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0,770658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166,4347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V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25,32895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0,061163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0,658816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161,5825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V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0,041739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171,8292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V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58,22368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0,036086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-0,20559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124,0805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65,9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35,19737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0,032762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0,379671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149,4719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V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81,25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0,022662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-0,8825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94,71309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S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63,2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8,881579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0,017587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1,360526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192,0259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MV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15,46053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0,010435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1,039737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178,1086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V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38,48684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0,001159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0,290855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145,6186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V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12,17105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5,14E-05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1,184474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184,3879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V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55,4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45,06579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5,14E-05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0,123355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138,3517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64,80263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0,001285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-0,37487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116,7365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S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41,77632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0,002171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0,205592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141,9195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50,4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48,35526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0,009365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0,041118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134,7839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P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61,51316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0,012747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-0,28783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120,5127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S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68,09211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0,046248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-0,0099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-0,46039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113,026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S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74,67105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0,129755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-0,0467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-0,65947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104,389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S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87,82895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0,129755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-0,0467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-1,18447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81,61208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S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91,11842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0,141635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-0,0533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-1,32921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75,33273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MS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71,38158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0,151235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-0,0588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-0,54592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109,3154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S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77,96053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0,172865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-0,0719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-0,77066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99,56532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S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94,40789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0,220462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-1,59737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63,69881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MS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84,53947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0,255405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-1,03974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87,89143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S</w:t>
            </w:r>
          </w:p>
        </w:tc>
      </w:tr>
      <w:tr w:rsidR="003851C2" w:rsidRPr="003851C2" w:rsidTr="003851C2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97,69737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0,449236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-0,3011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-1,83421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53,42351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51C2" w:rsidRPr="003851C2" w:rsidRDefault="003851C2" w:rsidP="00385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3851C2">
              <w:rPr>
                <w:rFonts w:eastAsia="Times New Roman" w:cs="Times New Roman"/>
                <w:color w:val="000000"/>
                <w:lang w:eastAsia="cs-CZ"/>
              </w:rPr>
              <w:t>MS</w:t>
            </w:r>
          </w:p>
        </w:tc>
      </w:tr>
    </w:tbl>
    <w:p w:rsidR="002871B1" w:rsidRDefault="002871B1" w:rsidP="002F11CD">
      <w:r w:rsidRPr="002871B1">
        <w:rPr>
          <w:noProof/>
          <w:lang w:eastAsia="cs-CZ"/>
        </w:rPr>
        <w:lastRenderedPageBreak/>
        <w:drawing>
          <wp:inline distT="0" distB="0" distL="0" distR="0">
            <wp:extent cx="5760720" cy="3043272"/>
            <wp:effectExtent l="19050" t="0" r="11430" b="4728"/>
            <wp:docPr id="7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5143" w:rsidRPr="005A4C65" w:rsidRDefault="002F11CD" w:rsidP="002F11CD">
      <w:pPr>
        <w:rPr>
          <w:sz w:val="24"/>
          <w:szCs w:val="24"/>
        </w:rPr>
      </w:pPr>
      <w:r w:rsidRPr="005A4C65">
        <w:rPr>
          <w:sz w:val="24"/>
          <w:szCs w:val="24"/>
        </w:rPr>
        <w:t>Obr. 1:  Teoretická a empirická křivka pravděpodobnosti překročení</w:t>
      </w:r>
    </w:p>
    <w:p w:rsidR="002A0922" w:rsidRPr="005A4C65" w:rsidRDefault="002A0922" w:rsidP="002F11CD">
      <w:pPr>
        <w:rPr>
          <w:b/>
          <w:sz w:val="24"/>
          <w:szCs w:val="24"/>
        </w:rPr>
      </w:pPr>
      <w:r w:rsidRPr="005A4C65">
        <w:rPr>
          <w:b/>
          <w:sz w:val="24"/>
          <w:szCs w:val="24"/>
        </w:rPr>
        <w:t>Postup výpočtu:</w:t>
      </w:r>
    </w:p>
    <w:p w:rsidR="00155B2D" w:rsidRPr="005A4C65" w:rsidRDefault="00155B2D" w:rsidP="00155B2D">
      <w:pPr>
        <w:ind w:firstLine="708"/>
        <w:rPr>
          <w:sz w:val="24"/>
          <w:szCs w:val="24"/>
          <w:u w:val="single"/>
        </w:rPr>
      </w:pPr>
      <w:r w:rsidRPr="005A4C65">
        <w:rPr>
          <w:sz w:val="24"/>
          <w:szCs w:val="24"/>
          <w:u w:val="single"/>
        </w:rPr>
        <w:t>Empirická křivka:</w:t>
      </w:r>
    </w:p>
    <w:p w:rsidR="00721396" w:rsidRPr="007F4FC4" w:rsidRDefault="00155B2D" w:rsidP="007F4FC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F4FC4">
        <w:rPr>
          <w:sz w:val="24"/>
          <w:szCs w:val="24"/>
        </w:rPr>
        <w:t xml:space="preserve">Na osu </w:t>
      </w:r>
      <w:r w:rsidRPr="007F4FC4">
        <w:rPr>
          <w:i/>
          <w:sz w:val="24"/>
          <w:szCs w:val="24"/>
        </w:rPr>
        <w:t>x</w:t>
      </w:r>
      <w:r w:rsidR="00721396" w:rsidRPr="007F4FC4">
        <w:rPr>
          <w:sz w:val="24"/>
          <w:szCs w:val="24"/>
        </w:rPr>
        <w:t xml:space="preserve"> jsem vynesl</w:t>
      </w:r>
      <w:r w:rsidRPr="007F4FC4">
        <w:rPr>
          <w:sz w:val="24"/>
          <w:szCs w:val="24"/>
        </w:rPr>
        <w:t xml:space="preserve"> hodnoty P, které získáme pomocí vzorce:</w:t>
      </w:r>
    </w:p>
    <w:p w:rsidR="00721396" w:rsidRPr="007220AC" w:rsidRDefault="00721396" w:rsidP="00721396">
      <w:pPr>
        <w:jc w:val="center"/>
        <w:rPr>
          <w:rFonts w:eastAsiaTheme="minorEastAsia" w:cs="Times New Roman"/>
          <w:sz w:val="28"/>
          <w:szCs w:val="32"/>
        </w:rPr>
      </w:pPr>
      <w:r w:rsidRPr="007220AC">
        <w:rPr>
          <w:rFonts w:cs="Times New Roman"/>
          <w:sz w:val="28"/>
          <w:szCs w:val="32"/>
        </w:rPr>
        <w:t>P</w:t>
      </w:r>
      <m:oMath>
        <m:r>
          <m:rPr>
            <m:sty m:val="p"/>
          </m:rPr>
          <w:rPr>
            <w:rFonts w:ascii="Cambria Math" w:cs="Times New Roman"/>
            <w:sz w:val="28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28"/>
                <w:szCs w:val="32"/>
              </w:rPr>
              <m:t>m</m:t>
            </m:r>
            <m:r>
              <m:rPr>
                <m:sty m:val="p"/>
              </m:rPr>
              <w:rPr>
                <w:rFonts w:cs="Times New Roman"/>
                <w:sz w:val="28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cs="Times New Roman"/>
                <w:sz w:val="28"/>
                <w:szCs w:val="32"/>
              </w:rPr>
              <m:t>0,3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28"/>
                <w:szCs w:val="32"/>
              </w:rPr>
              <m:t>n+0,4</m:t>
            </m:r>
          </m:den>
        </m:f>
        <m:r>
          <m:rPr>
            <m:sty m:val="p"/>
          </m:rPr>
          <w:rPr>
            <w:rFonts w:hAnsi="Cambria Math" w:cs="Times New Roman"/>
            <w:sz w:val="28"/>
            <w:szCs w:val="32"/>
          </w:rPr>
          <m:t>*</m:t>
        </m:r>
        <m:r>
          <m:rPr>
            <m:sty m:val="p"/>
          </m:rPr>
          <w:rPr>
            <w:rFonts w:ascii="Cambria Math" w:cs="Times New Roman"/>
            <w:sz w:val="28"/>
            <w:szCs w:val="32"/>
          </w:rPr>
          <m:t>100</m:t>
        </m:r>
      </m:oMath>
    </w:p>
    <w:p w:rsidR="00721396" w:rsidRPr="005A4C65" w:rsidRDefault="00721396" w:rsidP="007F4FC4">
      <w:pPr>
        <w:pStyle w:val="Bezmezer"/>
        <w:numPr>
          <w:ilvl w:val="1"/>
          <w:numId w:val="3"/>
        </w:numPr>
        <w:rPr>
          <w:sz w:val="24"/>
          <w:szCs w:val="24"/>
        </w:rPr>
      </w:pPr>
      <w:r w:rsidRPr="005A4C65">
        <w:rPr>
          <w:sz w:val="24"/>
          <w:szCs w:val="24"/>
        </w:rPr>
        <w:t xml:space="preserve">Kde: </w:t>
      </w:r>
      <w:r w:rsidRPr="005A4C65">
        <w:rPr>
          <w:sz w:val="24"/>
          <w:szCs w:val="24"/>
        </w:rPr>
        <w:tab/>
      </w:r>
      <w:r w:rsidRPr="005A4C65">
        <w:rPr>
          <w:i/>
          <w:sz w:val="24"/>
          <w:szCs w:val="24"/>
        </w:rPr>
        <w:t>m</w:t>
      </w:r>
      <w:r w:rsidRPr="005A4C65">
        <w:rPr>
          <w:sz w:val="24"/>
          <w:szCs w:val="24"/>
        </w:rPr>
        <w:t xml:space="preserve"> = den v měsíci</w:t>
      </w:r>
    </w:p>
    <w:p w:rsidR="00721396" w:rsidRPr="005A4C65" w:rsidRDefault="00721396" w:rsidP="00721396">
      <w:pPr>
        <w:pStyle w:val="Bezmezer"/>
        <w:rPr>
          <w:sz w:val="24"/>
          <w:szCs w:val="24"/>
        </w:rPr>
      </w:pPr>
      <w:r w:rsidRPr="005A4C65">
        <w:rPr>
          <w:sz w:val="24"/>
          <w:szCs w:val="24"/>
        </w:rPr>
        <w:tab/>
      </w:r>
      <w:r w:rsidR="007F4FC4">
        <w:rPr>
          <w:sz w:val="24"/>
          <w:szCs w:val="24"/>
        </w:rPr>
        <w:tab/>
      </w:r>
      <w:r w:rsidR="007F4FC4">
        <w:rPr>
          <w:sz w:val="24"/>
          <w:szCs w:val="24"/>
        </w:rPr>
        <w:tab/>
      </w:r>
      <w:r w:rsidRPr="005A4C65">
        <w:rPr>
          <w:i/>
          <w:sz w:val="24"/>
          <w:szCs w:val="24"/>
        </w:rPr>
        <w:t xml:space="preserve">n = </w:t>
      </w:r>
      <w:r w:rsidRPr="005A4C65">
        <w:rPr>
          <w:sz w:val="24"/>
          <w:szCs w:val="24"/>
        </w:rPr>
        <w:t>počet dní v</w:t>
      </w:r>
      <w:r w:rsidR="007220AC" w:rsidRPr="005A4C65">
        <w:rPr>
          <w:sz w:val="24"/>
          <w:szCs w:val="24"/>
        </w:rPr>
        <w:t> </w:t>
      </w:r>
      <w:r w:rsidRPr="005A4C65">
        <w:rPr>
          <w:sz w:val="24"/>
          <w:szCs w:val="24"/>
        </w:rPr>
        <w:t>měsíci</w:t>
      </w:r>
      <w:r w:rsidR="007220AC" w:rsidRPr="005A4C65">
        <w:rPr>
          <w:sz w:val="24"/>
          <w:szCs w:val="24"/>
        </w:rPr>
        <w:t xml:space="preserve"> = </w:t>
      </w:r>
      <w:r w:rsidR="007220AC" w:rsidRPr="005A4C65">
        <w:rPr>
          <w:b/>
          <w:sz w:val="24"/>
          <w:szCs w:val="24"/>
        </w:rPr>
        <w:t>30</w:t>
      </w:r>
    </w:p>
    <w:p w:rsidR="00721396" w:rsidRPr="005A4C65" w:rsidRDefault="00721396" w:rsidP="00721396">
      <w:pPr>
        <w:pStyle w:val="Bezmezer"/>
        <w:rPr>
          <w:sz w:val="24"/>
          <w:szCs w:val="24"/>
        </w:rPr>
      </w:pPr>
    </w:p>
    <w:p w:rsidR="00721396" w:rsidRPr="005A4C65" w:rsidRDefault="00721396" w:rsidP="007F4FC4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5A4C65">
        <w:rPr>
          <w:sz w:val="24"/>
          <w:szCs w:val="24"/>
        </w:rPr>
        <w:t xml:space="preserve">Na osu </w:t>
      </w:r>
      <w:r w:rsidRPr="005A4C65">
        <w:rPr>
          <w:i/>
          <w:sz w:val="24"/>
          <w:szCs w:val="24"/>
        </w:rPr>
        <w:t>y</w:t>
      </w:r>
      <w:r w:rsidRPr="005A4C65">
        <w:rPr>
          <w:sz w:val="24"/>
          <w:szCs w:val="24"/>
        </w:rPr>
        <w:t xml:space="preserve"> jsem vynesl sestupně seřazené hodnoty průtoku Q</w:t>
      </w:r>
      <w:r w:rsidR="007220AC" w:rsidRPr="005A4C65">
        <w:rPr>
          <w:sz w:val="24"/>
          <w:szCs w:val="24"/>
        </w:rPr>
        <w:t>.</w:t>
      </w:r>
    </w:p>
    <w:p w:rsidR="00721396" w:rsidRPr="005A4C65" w:rsidRDefault="00721396" w:rsidP="00721396">
      <w:pPr>
        <w:pStyle w:val="Bezmezer"/>
        <w:rPr>
          <w:sz w:val="24"/>
          <w:szCs w:val="24"/>
        </w:rPr>
      </w:pPr>
    </w:p>
    <w:p w:rsidR="00721396" w:rsidRPr="005A4C65" w:rsidRDefault="00721396" w:rsidP="00721396">
      <w:pPr>
        <w:pStyle w:val="Bezmezer"/>
        <w:rPr>
          <w:sz w:val="24"/>
          <w:szCs w:val="24"/>
        </w:rPr>
      </w:pPr>
    </w:p>
    <w:p w:rsidR="00721396" w:rsidRPr="005A4C65" w:rsidRDefault="00721396" w:rsidP="00721396">
      <w:pPr>
        <w:pStyle w:val="Bezmezer"/>
        <w:rPr>
          <w:sz w:val="24"/>
          <w:szCs w:val="24"/>
        </w:rPr>
      </w:pPr>
      <w:r w:rsidRPr="005A4C65">
        <w:rPr>
          <w:sz w:val="24"/>
          <w:szCs w:val="24"/>
        </w:rPr>
        <w:tab/>
      </w:r>
      <w:r w:rsidRPr="005A4C65">
        <w:rPr>
          <w:sz w:val="24"/>
          <w:szCs w:val="24"/>
          <w:u w:val="single"/>
        </w:rPr>
        <w:t>Teoretická křivka:</w:t>
      </w:r>
    </w:p>
    <w:p w:rsidR="00721396" w:rsidRPr="005A4C65" w:rsidRDefault="00721396" w:rsidP="00721396">
      <w:pPr>
        <w:pStyle w:val="Bezmezer"/>
        <w:rPr>
          <w:sz w:val="24"/>
          <w:szCs w:val="24"/>
        </w:rPr>
      </w:pPr>
    </w:p>
    <w:p w:rsidR="00721396" w:rsidRPr="005A4C65" w:rsidRDefault="00721396" w:rsidP="007F4FC4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5A4C65">
        <w:rPr>
          <w:sz w:val="24"/>
          <w:szCs w:val="24"/>
        </w:rPr>
        <w:t xml:space="preserve">Na osu </w:t>
      </w:r>
      <w:r w:rsidRPr="005A4C65">
        <w:rPr>
          <w:i/>
          <w:sz w:val="24"/>
          <w:szCs w:val="24"/>
        </w:rPr>
        <w:t>x</w:t>
      </w:r>
      <w:r w:rsidRPr="005A4C65">
        <w:rPr>
          <w:sz w:val="24"/>
          <w:szCs w:val="24"/>
        </w:rPr>
        <w:t xml:space="preserve"> jsem vynesl hodnoty P stejně jako v prvním případě</w:t>
      </w:r>
    </w:p>
    <w:p w:rsidR="00721396" w:rsidRPr="005A4C65" w:rsidRDefault="00721396" w:rsidP="00721396">
      <w:pPr>
        <w:pStyle w:val="Bezmezer"/>
        <w:rPr>
          <w:sz w:val="24"/>
          <w:szCs w:val="24"/>
        </w:rPr>
      </w:pPr>
    </w:p>
    <w:p w:rsidR="00721396" w:rsidRPr="005A4C65" w:rsidRDefault="00721396" w:rsidP="007F4FC4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5A4C65">
        <w:rPr>
          <w:sz w:val="24"/>
          <w:szCs w:val="24"/>
        </w:rPr>
        <w:t xml:space="preserve">Na osu </w:t>
      </w:r>
      <w:r w:rsidRPr="005A4C65">
        <w:rPr>
          <w:i/>
          <w:sz w:val="24"/>
          <w:szCs w:val="24"/>
        </w:rPr>
        <w:t>y</w:t>
      </w:r>
      <w:r w:rsidRPr="005A4C65">
        <w:rPr>
          <w:sz w:val="24"/>
          <w:szCs w:val="24"/>
        </w:rPr>
        <w:t xml:space="preserve"> jsem vynesl hodnoty teoretického průtoku</w:t>
      </w:r>
      <w:r w:rsidR="007220AC" w:rsidRPr="005A4C65">
        <w:rPr>
          <w:sz w:val="24"/>
          <w:szCs w:val="24"/>
        </w:rPr>
        <w:t xml:space="preserve"> </w:t>
      </w:r>
      <w:proofErr w:type="spellStart"/>
      <w:r w:rsidR="007220AC" w:rsidRPr="005A4C65">
        <w:rPr>
          <w:sz w:val="24"/>
          <w:szCs w:val="24"/>
        </w:rPr>
        <w:t>Q</w:t>
      </w:r>
      <w:r w:rsidR="007220AC" w:rsidRPr="005A4C65">
        <w:rPr>
          <w:sz w:val="24"/>
          <w:szCs w:val="24"/>
          <w:vertAlign w:val="subscript"/>
        </w:rPr>
        <w:t>p</w:t>
      </w:r>
      <w:proofErr w:type="spellEnd"/>
      <w:r w:rsidRPr="005A4C65">
        <w:rPr>
          <w:sz w:val="24"/>
          <w:szCs w:val="24"/>
        </w:rPr>
        <w:t>, vypočítaného podle vzorce:</w:t>
      </w:r>
    </w:p>
    <w:p w:rsidR="00721396" w:rsidRDefault="00721396" w:rsidP="00721396">
      <w:pPr>
        <w:pStyle w:val="Bezmezer"/>
      </w:pPr>
    </w:p>
    <w:p w:rsidR="00721396" w:rsidRDefault="004D19F0" w:rsidP="00721396">
      <w:pPr>
        <w:pStyle w:val="Bezmezer"/>
        <w:jc w:val="center"/>
        <w:rPr>
          <w:rFonts w:eastAsiaTheme="minorEastAsia"/>
          <w:sz w:val="28"/>
        </w:rPr>
      </w:pPr>
      <w:r w:rsidRPr="004D19F0"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90.05pt;margin-top:2.9pt;width:7pt;height:0;z-index:251659264" o:connectortype="straight"/>
        </w:pic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p</m:t>
            </m:r>
          </m:sub>
        </m:sSub>
        <m:r>
          <w:rPr>
            <w:rFonts w:ascii="Cambria Math" w:hAnsi="Cambria Math"/>
            <w:sz w:val="28"/>
          </w:rPr>
          <m:t>=x*(1+Cv*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ɸ</m:t>
            </m:r>
          </m:e>
          <m:sub>
            <m:r>
              <w:rPr>
                <w:rFonts w:ascii="Cambria Math" w:hAnsi="Cambria Math"/>
                <w:sz w:val="28"/>
              </w:rPr>
              <m:t>s,p</m:t>
            </m:r>
          </m:sub>
        </m:sSub>
        <m:r>
          <w:rPr>
            <w:rFonts w:ascii="Cambria Math" w:hAnsi="Cambria Math"/>
            <w:sz w:val="28"/>
          </w:rPr>
          <m:t>)</m:t>
        </m:r>
      </m:oMath>
    </w:p>
    <w:p w:rsidR="007220AC" w:rsidRDefault="007220AC" w:rsidP="007220AC">
      <w:pPr>
        <w:pStyle w:val="Bezmezer"/>
        <w:rPr>
          <w:rFonts w:eastAsiaTheme="minorEastAsia"/>
        </w:rPr>
      </w:pPr>
    </w:p>
    <w:p w:rsidR="007220AC" w:rsidRPr="005A4C65" w:rsidRDefault="004D19F0" w:rsidP="007F4FC4">
      <w:pPr>
        <w:pStyle w:val="Bezmezer"/>
        <w:numPr>
          <w:ilvl w:val="0"/>
          <w:numId w:val="7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w:pict>
          <v:shape id="_x0000_s1035" type="#_x0000_t32" style="position:absolute;left:0;text-align:left;margin-left:108.7pt;margin-top:2.85pt;width:5.15pt;height:0;z-index:251660288" o:connectortype="straight"/>
        </w:pict>
      </w:r>
      <w:r w:rsidR="007220AC" w:rsidRPr="005A4C65">
        <w:rPr>
          <w:rFonts w:eastAsiaTheme="minorEastAsia"/>
          <w:sz w:val="24"/>
          <w:szCs w:val="24"/>
        </w:rPr>
        <w:t>Kde:</w:t>
      </w:r>
      <w:r w:rsidR="007220AC" w:rsidRPr="005A4C65">
        <w:rPr>
          <w:rFonts w:eastAsiaTheme="minorEastAsia"/>
          <w:sz w:val="24"/>
          <w:szCs w:val="24"/>
        </w:rPr>
        <w:tab/>
        <w:t xml:space="preserve"> </w:t>
      </w:r>
      <w:r w:rsidR="007220AC" w:rsidRPr="005A4C65">
        <w:rPr>
          <w:rFonts w:eastAsiaTheme="minorEastAsia"/>
          <w:i/>
          <w:sz w:val="24"/>
          <w:szCs w:val="24"/>
        </w:rPr>
        <w:t xml:space="preserve">x = </w:t>
      </w:r>
      <w:r w:rsidR="007220AC" w:rsidRPr="005A4C65">
        <w:rPr>
          <w:rFonts w:eastAsiaTheme="minorEastAsia"/>
          <w:sz w:val="24"/>
          <w:szCs w:val="24"/>
        </w:rPr>
        <w:t xml:space="preserve">průměrný průtok v daném měsíci = </w:t>
      </w:r>
      <w:r w:rsidR="007220AC" w:rsidRPr="005A4C65">
        <w:rPr>
          <w:rFonts w:eastAsiaTheme="minorEastAsia"/>
          <w:b/>
          <w:sz w:val="24"/>
          <w:szCs w:val="24"/>
        </w:rPr>
        <w:t>55,8 m</w:t>
      </w:r>
      <w:r w:rsidR="007220AC" w:rsidRPr="005A4C65">
        <w:rPr>
          <w:rFonts w:eastAsiaTheme="minorEastAsia"/>
          <w:b/>
          <w:sz w:val="24"/>
          <w:szCs w:val="24"/>
          <w:vertAlign w:val="superscript"/>
        </w:rPr>
        <w:t>3</w:t>
      </w:r>
      <w:r w:rsidR="007220AC" w:rsidRPr="005A4C65">
        <w:rPr>
          <w:rFonts w:eastAsiaTheme="minorEastAsia"/>
          <w:b/>
          <w:sz w:val="24"/>
          <w:szCs w:val="24"/>
        </w:rPr>
        <w:t>.s</w:t>
      </w:r>
      <w:r w:rsidR="007220AC" w:rsidRPr="005A4C65">
        <w:rPr>
          <w:rFonts w:eastAsiaTheme="minorEastAsia"/>
          <w:b/>
          <w:sz w:val="24"/>
          <w:szCs w:val="24"/>
          <w:vertAlign w:val="superscript"/>
        </w:rPr>
        <w:t>-1</w:t>
      </w:r>
    </w:p>
    <w:p w:rsidR="007220AC" w:rsidRPr="005A4C65" w:rsidRDefault="007220AC" w:rsidP="007220AC">
      <w:pPr>
        <w:pStyle w:val="Bezmezer"/>
        <w:rPr>
          <w:rFonts w:eastAsiaTheme="minorEastAsia"/>
          <w:sz w:val="24"/>
          <w:szCs w:val="24"/>
        </w:rPr>
      </w:pPr>
      <w:r w:rsidRPr="005A4C65">
        <w:rPr>
          <w:rFonts w:eastAsiaTheme="minorEastAsia"/>
          <w:sz w:val="24"/>
          <w:szCs w:val="24"/>
        </w:rPr>
        <w:tab/>
      </w:r>
      <w:r w:rsidR="007F4FC4">
        <w:rPr>
          <w:rFonts w:eastAsiaTheme="minorEastAsia"/>
          <w:sz w:val="24"/>
          <w:szCs w:val="24"/>
        </w:rPr>
        <w:tab/>
      </w:r>
      <w:r w:rsidR="007F4FC4">
        <w:rPr>
          <w:rFonts w:eastAsiaTheme="minorEastAsia"/>
          <w:sz w:val="24"/>
          <w:szCs w:val="24"/>
        </w:rPr>
        <w:tab/>
      </w:r>
      <w:proofErr w:type="spellStart"/>
      <w:r w:rsidRPr="005A4C65">
        <w:rPr>
          <w:rFonts w:eastAsiaTheme="minorEastAsia"/>
          <w:i/>
          <w:sz w:val="24"/>
          <w:szCs w:val="24"/>
        </w:rPr>
        <w:t>Cv</w:t>
      </w:r>
      <w:proofErr w:type="spellEnd"/>
      <w:r w:rsidRPr="005A4C65">
        <w:rPr>
          <w:rFonts w:eastAsiaTheme="minorEastAsia"/>
          <w:i/>
          <w:sz w:val="24"/>
          <w:szCs w:val="24"/>
        </w:rPr>
        <w:t xml:space="preserve"> = </w:t>
      </w:r>
      <w:r w:rsidRPr="005A4C65">
        <w:rPr>
          <w:rFonts w:eastAsiaTheme="minorEastAsia"/>
          <w:sz w:val="24"/>
          <w:szCs w:val="24"/>
        </w:rPr>
        <w:t xml:space="preserve">koeficient variace = </w:t>
      </w:r>
      <w:r w:rsidR="00605F36">
        <w:rPr>
          <w:rFonts w:eastAsiaTheme="minorEastAsia"/>
          <w:b/>
          <w:sz w:val="24"/>
          <w:szCs w:val="24"/>
        </w:rPr>
        <w:t>0,3516;</w:t>
      </w:r>
      <w:r w:rsidRPr="005A4C65">
        <w:rPr>
          <w:rFonts w:eastAsiaTheme="minorEastAsia"/>
          <w:b/>
          <w:sz w:val="24"/>
          <w:szCs w:val="24"/>
        </w:rPr>
        <w:t xml:space="preserve"> </w:t>
      </w:r>
      <w:r w:rsidRPr="005A4C65">
        <w:rPr>
          <w:rFonts w:eastAsiaTheme="minorEastAsia"/>
          <w:sz w:val="24"/>
          <w:szCs w:val="24"/>
        </w:rPr>
        <w:t>podle vzorce:</w:t>
      </w:r>
    </w:p>
    <w:p w:rsidR="007220AC" w:rsidRDefault="007220AC" w:rsidP="007220AC">
      <w:pPr>
        <w:pStyle w:val="Bezmezer"/>
        <w:rPr>
          <w:rFonts w:eastAsiaTheme="minorEastAsia"/>
        </w:rPr>
      </w:pPr>
    </w:p>
    <w:p w:rsidR="00155B2D" w:rsidRPr="005A4C65" w:rsidRDefault="004D19F0" w:rsidP="007220AC">
      <w:pPr>
        <w:pStyle w:val="Bezmezer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Cambria Math"/>
                  <w:sz w:val="28"/>
                  <w:szCs w:val="28"/>
                </w:rPr>
                <m:t>v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="Cambria Math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Cambria Math"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eastAsiaTheme="minorEastAsia" w:hAnsi="Cambria Math" w:cs="Cambria Math"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mbria Math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mbria Math"/>
                              <w:sz w:val="28"/>
                              <w:szCs w:val="28"/>
                            </w:rPr>
                            <m:t>-1)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8"/>
                      <w:szCs w:val="28"/>
                    </w:rPr>
                    <m:t>n</m:t>
                  </m:r>
                </m:den>
              </m:f>
            </m:e>
          </m:rad>
        </m:oMath>
      </m:oMathPara>
    </w:p>
    <w:p w:rsidR="005A4C65" w:rsidRDefault="005A4C65" w:rsidP="005A4C65">
      <w:pPr>
        <w:ind w:firstLine="708"/>
      </w:pPr>
      <w:r>
        <w:tab/>
      </w:r>
    </w:p>
    <w:p w:rsidR="00155B2D" w:rsidRPr="007F4FC4" w:rsidRDefault="00B5042A" w:rsidP="007F4FC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7F4FC4">
        <w:rPr>
          <w:sz w:val="24"/>
          <w:szCs w:val="24"/>
        </w:rPr>
        <w:lastRenderedPageBreak/>
        <w:t>Kde:</w:t>
      </w:r>
      <w:r w:rsidRPr="007F4FC4">
        <w:rPr>
          <w:sz w:val="24"/>
          <w:szCs w:val="24"/>
        </w:rPr>
        <w:tab/>
      </w:r>
      <w:r w:rsidR="005A4C65" w:rsidRPr="007F4FC4">
        <w:rPr>
          <w:i/>
          <w:sz w:val="24"/>
          <w:szCs w:val="24"/>
        </w:rPr>
        <w:t>n</w:t>
      </w:r>
      <w:r w:rsidR="005A4C65" w:rsidRPr="007F4FC4">
        <w:rPr>
          <w:sz w:val="24"/>
          <w:szCs w:val="24"/>
        </w:rPr>
        <w:t xml:space="preserve"> = celkový počet dn</w:t>
      </w:r>
      <w:r w:rsidR="00605F36">
        <w:rPr>
          <w:sz w:val="24"/>
          <w:szCs w:val="24"/>
        </w:rPr>
        <w:t>ů</w:t>
      </w:r>
      <w:r w:rsidR="005A4C65" w:rsidRPr="007F4FC4">
        <w:rPr>
          <w:sz w:val="24"/>
          <w:szCs w:val="24"/>
        </w:rPr>
        <w:t xml:space="preserve"> v měsíci = </w:t>
      </w:r>
      <w:r w:rsidR="005A4C65" w:rsidRPr="007F4FC4">
        <w:rPr>
          <w:b/>
          <w:sz w:val="24"/>
          <w:szCs w:val="24"/>
        </w:rPr>
        <w:t>30</w:t>
      </w:r>
    </w:p>
    <w:p w:rsidR="002A0922" w:rsidRPr="00B5042A" w:rsidRDefault="004D19F0" w:rsidP="00B5042A">
      <w:pPr>
        <w:rPr>
          <w:sz w:val="24"/>
          <w:szCs w:val="24"/>
        </w:rPr>
      </w:pPr>
      <w:r w:rsidRPr="004D19F0">
        <w:rPr>
          <w:rFonts w:eastAsiaTheme="minorEastAsia"/>
          <w:noProof/>
          <w:sz w:val="28"/>
          <w:szCs w:val="28"/>
          <w:lang w:eastAsia="cs-CZ"/>
        </w:rPr>
        <w:pict>
          <v:shape id="_x0000_s1028" type="#_x0000_t32" style="position:absolute;margin-left:209.35pt;margin-top:17.9pt;width:5.75pt;height:0;z-index:251658240" o:connectortype="straight"/>
        </w:pict>
      </w:r>
      <w:r w:rsidR="00B5042A">
        <w:rPr>
          <w:rFonts w:eastAsiaTheme="minorEastAsia"/>
          <w:sz w:val="28"/>
          <w:szCs w:val="28"/>
        </w:rPr>
        <w:tab/>
      </w:r>
      <w:r w:rsidR="00B5042A">
        <w:rPr>
          <w:rFonts w:eastAsiaTheme="minorEastAsia"/>
          <w:sz w:val="28"/>
          <w:szCs w:val="28"/>
        </w:rPr>
        <w:tab/>
      </w:r>
      <w:r w:rsidR="00B5042A">
        <w:rPr>
          <w:rFonts w:eastAsiaTheme="minorEastAsia"/>
          <w:sz w:val="28"/>
          <w:szCs w:val="28"/>
        </w:rPr>
        <w:tab/>
      </w:r>
      <w:r w:rsidR="007F4FC4">
        <w:rPr>
          <w:rFonts w:eastAsiaTheme="minorEastAsia"/>
          <w:sz w:val="28"/>
          <w:szCs w:val="28"/>
        </w:rPr>
        <w:tab/>
      </w:r>
      <w:r w:rsidR="00843C36">
        <w:rPr>
          <w:rFonts w:eastAsiaTheme="minorEastAsia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="00B5042A">
        <w:rPr>
          <w:rFonts w:eastAsiaTheme="minorEastAsia"/>
          <w:sz w:val="24"/>
          <w:szCs w:val="24"/>
        </w:rPr>
        <w:t>, kde x</w:t>
      </w:r>
      <w:r w:rsidR="00B5042A" w:rsidRPr="00B5042A">
        <w:rPr>
          <w:rFonts w:eastAsiaTheme="minorEastAsia"/>
          <w:sz w:val="24"/>
          <w:szCs w:val="24"/>
          <w:vertAlign w:val="subscript"/>
        </w:rPr>
        <w:t>i</w:t>
      </w:r>
      <w:r w:rsidR="00B5042A">
        <w:rPr>
          <w:rFonts w:eastAsiaTheme="minorEastAsia"/>
          <w:sz w:val="24"/>
          <w:szCs w:val="24"/>
        </w:rPr>
        <w:t xml:space="preserve"> je průtok ve dne </w:t>
      </w:r>
      <w:r w:rsidR="00B5042A" w:rsidRPr="00B5042A">
        <w:rPr>
          <w:rFonts w:eastAsiaTheme="minorEastAsia"/>
          <w:sz w:val="24"/>
          <w:szCs w:val="24"/>
          <w:vertAlign w:val="subscript"/>
        </w:rPr>
        <w:t>i</w:t>
      </w:r>
    </w:p>
    <w:p w:rsidR="00655CBC" w:rsidRPr="003851C2" w:rsidRDefault="005A4C65" w:rsidP="003851C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proofErr w:type="gramStart"/>
      <w:r w:rsidRPr="003851C2">
        <w:rPr>
          <w:rFonts w:cs="Times New Roman"/>
          <w:sz w:val="24"/>
          <w:szCs w:val="24"/>
        </w:rPr>
        <w:t>ɸ</w:t>
      </w:r>
      <w:r w:rsidRPr="003851C2">
        <w:rPr>
          <w:sz w:val="24"/>
          <w:szCs w:val="24"/>
          <w:vertAlign w:val="subscript"/>
        </w:rPr>
        <w:t>s</w:t>
      </w:r>
      <w:proofErr w:type="spellEnd"/>
      <w:r w:rsidRPr="003851C2">
        <w:rPr>
          <w:sz w:val="24"/>
          <w:szCs w:val="24"/>
          <w:vertAlign w:val="subscript"/>
        </w:rPr>
        <w:t>,p</w:t>
      </w:r>
      <w:r w:rsidRPr="003851C2">
        <w:rPr>
          <w:sz w:val="24"/>
          <w:szCs w:val="24"/>
        </w:rPr>
        <w:t xml:space="preserve"> = odchylka</w:t>
      </w:r>
      <w:proofErr w:type="gramEnd"/>
      <w:r w:rsidRPr="003851C2">
        <w:rPr>
          <w:sz w:val="24"/>
          <w:szCs w:val="24"/>
        </w:rPr>
        <w:t xml:space="preserve"> pořadnic křivky podle </w:t>
      </w:r>
      <w:proofErr w:type="spellStart"/>
      <w:r w:rsidRPr="003851C2">
        <w:rPr>
          <w:sz w:val="24"/>
          <w:szCs w:val="24"/>
        </w:rPr>
        <w:t>Foster</w:t>
      </w:r>
      <w:proofErr w:type="spellEnd"/>
      <w:r w:rsidRPr="003851C2">
        <w:rPr>
          <w:sz w:val="24"/>
          <w:szCs w:val="24"/>
        </w:rPr>
        <w:t xml:space="preserve"> – </w:t>
      </w:r>
      <w:proofErr w:type="spellStart"/>
      <w:r w:rsidRPr="003851C2">
        <w:rPr>
          <w:sz w:val="24"/>
          <w:szCs w:val="24"/>
        </w:rPr>
        <w:t>Rybkinových</w:t>
      </w:r>
      <w:proofErr w:type="spellEnd"/>
      <w:r w:rsidRPr="003851C2">
        <w:rPr>
          <w:sz w:val="24"/>
          <w:szCs w:val="24"/>
        </w:rPr>
        <w:t xml:space="preserve"> tabulek, kde byl potřebný vypočet koeficientu variace </w:t>
      </w:r>
      <w:proofErr w:type="spellStart"/>
      <w:r w:rsidRPr="003851C2">
        <w:rPr>
          <w:i/>
          <w:sz w:val="24"/>
          <w:szCs w:val="24"/>
        </w:rPr>
        <w:t>C</w:t>
      </w:r>
      <w:r w:rsidRPr="003851C2">
        <w:rPr>
          <w:i/>
          <w:sz w:val="24"/>
          <w:szCs w:val="24"/>
          <w:vertAlign w:val="subscript"/>
        </w:rPr>
        <w:t>s</w:t>
      </w:r>
      <w:proofErr w:type="spellEnd"/>
      <w:r w:rsidRPr="003851C2">
        <w:rPr>
          <w:sz w:val="24"/>
          <w:szCs w:val="24"/>
        </w:rPr>
        <w:t xml:space="preserve"> podle vzorce:</w:t>
      </w:r>
    </w:p>
    <w:p w:rsidR="005A4C65" w:rsidRPr="005A4C65" w:rsidRDefault="004D19F0" w:rsidP="005A4C65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Cambria Math"/>
                      <w:sz w:val="28"/>
                      <w:szCs w:val="28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-1)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nary>
            </m:num>
            <m:den>
              <m:d>
                <m:dPr>
                  <m:ctrlPr>
                    <w:rPr>
                      <w:rFonts w:ascii="Cambria Math" w:hAnsi="Cambria Math" w:cs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n-1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 w:cs="Cambria Math"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v</m:t>
                      </m:r>
                    </m:sub>
                  </m:sSub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:rsidR="005A4C65" w:rsidRDefault="005A4C65" w:rsidP="002F11CD">
      <w:pPr>
        <w:rPr>
          <w:sz w:val="24"/>
          <w:szCs w:val="24"/>
        </w:rPr>
      </w:pPr>
      <w:r w:rsidRPr="005A4C65">
        <w:rPr>
          <w:sz w:val="24"/>
          <w:szCs w:val="24"/>
        </w:rPr>
        <w:t xml:space="preserve">Z tabulky byl vybrán řádek, který má hodnotu </w:t>
      </w:r>
      <w:proofErr w:type="spellStart"/>
      <w:r w:rsidRPr="005A4C65">
        <w:rPr>
          <w:sz w:val="24"/>
          <w:szCs w:val="24"/>
        </w:rPr>
        <w:t>C</w:t>
      </w:r>
      <w:r w:rsidRPr="005A4C65">
        <w:rPr>
          <w:sz w:val="24"/>
          <w:szCs w:val="24"/>
          <w:vertAlign w:val="subscript"/>
        </w:rPr>
        <w:t>s</w:t>
      </w:r>
      <w:proofErr w:type="spellEnd"/>
      <w:r w:rsidRPr="005A4C65">
        <w:rPr>
          <w:sz w:val="24"/>
          <w:szCs w:val="24"/>
        </w:rPr>
        <w:t xml:space="preserve"> nejblíže naší výsledné hodnotě.</w:t>
      </w:r>
    </w:p>
    <w:p w:rsidR="0046502A" w:rsidRDefault="0046502A" w:rsidP="002F11CD">
      <w:pPr>
        <w:rPr>
          <w:sz w:val="24"/>
          <w:szCs w:val="24"/>
        </w:rPr>
      </w:pPr>
    </w:p>
    <w:p w:rsidR="005E03B3" w:rsidRDefault="0046502A" w:rsidP="002F11CD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Závěr:</w:t>
      </w:r>
      <w:r w:rsidR="005E03B3">
        <w:rPr>
          <w:b/>
          <w:sz w:val="24"/>
          <w:szCs w:val="24"/>
        </w:rPr>
        <w:t xml:space="preserve"> </w:t>
      </w:r>
    </w:p>
    <w:p w:rsidR="0046502A" w:rsidRPr="00DB4C54" w:rsidRDefault="005E03B3" w:rsidP="00DB4C54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 tomto úkolu jsem sestrojil </w:t>
      </w:r>
      <w:proofErr w:type="spellStart"/>
      <w:r>
        <w:rPr>
          <w:sz w:val="24"/>
          <w:szCs w:val="24"/>
        </w:rPr>
        <w:t>Pearsonovu</w:t>
      </w:r>
      <w:proofErr w:type="spellEnd"/>
      <w:r>
        <w:rPr>
          <w:sz w:val="24"/>
          <w:szCs w:val="24"/>
        </w:rPr>
        <w:t xml:space="preserve"> křivku III. typu pro denní průtoky Labe ve stanici Brandýs nad Labem. Empirická křivka prokládá teoretickou, což dokazuje</w:t>
      </w:r>
      <w:r w:rsidR="00DB4C54">
        <w:rPr>
          <w:sz w:val="24"/>
          <w:szCs w:val="24"/>
        </w:rPr>
        <w:t>,</w:t>
      </w:r>
      <w:r>
        <w:rPr>
          <w:sz w:val="24"/>
          <w:szCs w:val="24"/>
        </w:rPr>
        <w:t xml:space="preserve"> že byl použit správný typ křivky.</w:t>
      </w:r>
      <w:r w:rsidR="00DB4C54">
        <w:rPr>
          <w:sz w:val="24"/>
          <w:szCs w:val="24"/>
        </w:rPr>
        <w:t xml:space="preserve"> Z grafu můžeme vidět, že pravděpodobnost překročení průtoku o hodnotě 200 m</w:t>
      </w:r>
      <w:r w:rsidR="00DB4C54">
        <w:rPr>
          <w:sz w:val="24"/>
          <w:szCs w:val="24"/>
          <w:vertAlign w:val="superscript"/>
        </w:rPr>
        <w:t>3</w:t>
      </w:r>
      <w:r w:rsidR="00DB4C54">
        <w:rPr>
          <w:sz w:val="24"/>
          <w:szCs w:val="24"/>
        </w:rPr>
        <w:t>.s</w:t>
      </w:r>
      <w:r w:rsidR="00DB4C54">
        <w:rPr>
          <w:sz w:val="24"/>
          <w:szCs w:val="24"/>
          <w:vertAlign w:val="superscript"/>
        </w:rPr>
        <w:t>-1</w:t>
      </w:r>
      <w:r w:rsidR="00DB4C54">
        <w:rPr>
          <w:sz w:val="24"/>
          <w:szCs w:val="24"/>
        </w:rPr>
        <w:t xml:space="preserve"> je přibližně 10%, a na průtok pod 100 m</w:t>
      </w:r>
      <w:r w:rsidR="00DB4C54">
        <w:rPr>
          <w:sz w:val="24"/>
          <w:szCs w:val="24"/>
          <w:vertAlign w:val="superscript"/>
        </w:rPr>
        <w:t>3</w:t>
      </w:r>
      <w:r w:rsidR="00DB4C54">
        <w:rPr>
          <w:sz w:val="24"/>
          <w:szCs w:val="24"/>
        </w:rPr>
        <w:t>.s</w:t>
      </w:r>
      <w:r w:rsidR="00DB4C54">
        <w:rPr>
          <w:sz w:val="24"/>
          <w:szCs w:val="24"/>
          <w:vertAlign w:val="superscript"/>
        </w:rPr>
        <w:t>-1</w:t>
      </w:r>
      <w:r w:rsidR="00DB4C54">
        <w:rPr>
          <w:sz w:val="24"/>
          <w:szCs w:val="24"/>
        </w:rPr>
        <w:t xml:space="preserve"> je pravděpodobnost 80%.</w:t>
      </w:r>
    </w:p>
    <w:p w:rsidR="005E03B3" w:rsidRDefault="0046502A" w:rsidP="002F11C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b/>
          <w:sz w:val="24"/>
          <w:szCs w:val="24"/>
        </w:rPr>
        <w:t>Zdroje:</w:t>
      </w:r>
      <w:r w:rsidR="005E03B3" w:rsidRPr="005E03B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46502A" w:rsidRPr="005E03B3" w:rsidRDefault="005E03B3" w:rsidP="005E03B3">
      <w:pPr>
        <w:pStyle w:val="Odstavecseseznamem"/>
        <w:numPr>
          <w:ilvl w:val="0"/>
          <w:numId w:val="9"/>
        </w:numPr>
        <w:rPr>
          <w:rFonts w:cs="Times New Roman"/>
          <w:b/>
          <w:sz w:val="24"/>
          <w:szCs w:val="24"/>
        </w:rPr>
      </w:pPr>
      <w:r w:rsidRPr="005E03B3">
        <w:rPr>
          <w:rFonts w:cs="Times New Roman"/>
          <w:color w:val="000000"/>
          <w:sz w:val="20"/>
          <w:szCs w:val="20"/>
          <w:shd w:val="clear" w:color="auto" w:fill="FFFFFF"/>
        </w:rPr>
        <w:t>Průměrné denní průtoky ve vybraných vodoměrných stanicích za kalendářní rok 2005.</w:t>
      </w:r>
      <w:r w:rsidRPr="005E03B3">
        <w:rPr>
          <w:rStyle w:val="apple-converted-space"/>
          <w:rFonts w:cs="Times New Roman"/>
          <w:color w:val="000000"/>
          <w:sz w:val="20"/>
          <w:szCs w:val="20"/>
          <w:shd w:val="clear" w:color="auto" w:fill="FFFFFF"/>
        </w:rPr>
        <w:t> </w:t>
      </w:r>
      <w:r w:rsidRPr="005E03B3">
        <w:rPr>
          <w:rFonts w:cs="Times New Roman"/>
          <w:i/>
          <w:iCs/>
          <w:color w:val="000000"/>
          <w:sz w:val="20"/>
          <w:szCs w:val="20"/>
          <w:shd w:val="clear" w:color="auto" w:fill="FFFFFF"/>
        </w:rPr>
        <w:t>Hydrologická ročenka České republiky 2005</w:t>
      </w:r>
      <w:r w:rsidRPr="005E03B3">
        <w:rPr>
          <w:rStyle w:val="apple-converted-space"/>
          <w:rFonts w:cs="Times New Roman"/>
          <w:color w:val="000000"/>
          <w:sz w:val="20"/>
          <w:szCs w:val="20"/>
          <w:shd w:val="clear" w:color="auto" w:fill="FFFFFF"/>
        </w:rPr>
        <w:t> </w:t>
      </w:r>
      <w:r w:rsidRPr="005E03B3">
        <w:rPr>
          <w:rFonts w:cs="Times New Roman"/>
          <w:color w:val="000000"/>
          <w:sz w:val="20"/>
          <w:szCs w:val="20"/>
          <w:shd w:val="clear" w:color="auto" w:fill="FFFFFF"/>
        </w:rPr>
        <w:t>[online]. 2006 [cit. 2012-11-27]. Dostupné z: http://voda.chmi.cz/hr05/obsah/tab22.pdf</w:t>
      </w:r>
    </w:p>
    <w:p w:rsidR="00861E0D" w:rsidRPr="0046502A" w:rsidRDefault="00861E0D" w:rsidP="002F11CD">
      <w:pPr>
        <w:rPr>
          <w:b/>
          <w:sz w:val="24"/>
          <w:szCs w:val="24"/>
        </w:rPr>
      </w:pPr>
    </w:p>
    <w:sectPr w:rsidR="00861E0D" w:rsidRPr="0046502A" w:rsidSect="008E4D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068" w:rsidRDefault="00FE2068" w:rsidP="00910A79">
      <w:pPr>
        <w:spacing w:after="0" w:line="240" w:lineRule="auto"/>
      </w:pPr>
      <w:r>
        <w:separator/>
      </w:r>
    </w:p>
  </w:endnote>
  <w:endnote w:type="continuationSeparator" w:id="0">
    <w:p w:rsidR="00FE2068" w:rsidRDefault="00FE2068" w:rsidP="0091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068" w:rsidRDefault="00FE2068" w:rsidP="00910A79">
      <w:pPr>
        <w:spacing w:after="0" w:line="240" w:lineRule="auto"/>
      </w:pPr>
      <w:r>
        <w:separator/>
      </w:r>
    </w:p>
  </w:footnote>
  <w:footnote w:type="continuationSeparator" w:id="0">
    <w:p w:rsidR="00FE2068" w:rsidRDefault="00FE2068" w:rsidP="0091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2A" w:rsidRDefault="00B5042A" w:rsidP="00910A79">
    <w:pPr>
      <w:pStyle w:val="Zhlav"/>
      <w:pBdr>
        <w:bottom w:val="single" w:sz="4" w:space="1" w:color="auto"/>
      </w:pBdr>
    </w:pPr>
    <w:r>
      <w:t>Z0059 Hydrologie</w:t>
    </w:r>
  </w:p>
  <w:p w:rsidR="00B5042A" w:rsidRDefault="00B5042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BFB"/>
    <w:multiLevelType w:val="hybridMultilevel"/>
    <w:tmpl w:val="38E4F6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54202B9"/>
    <w:multiLevelType w:val="hybridMultilevel"/>
    <w:tmpl w:val="CC1A9A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71EDB"/>
    <w:multiLevelType w:val="hybridMultilevel"/>
    <w:tmpl w:val="FF0E4EF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B0569DD"/>
    <w:multiLevelType w:val="hybridMultilevel"/>
    <w:tmpl w:val="42E0E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83D5A"/>
    <w:multiLevelType w:val="hybridMultilevel"/>
    <w:tmpl w:val="64AA5892"/>
    <w:lvl w:ilvl="0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5">
    <w:nsid w:val="522F1A6B"/>
    <w:multiLevelType w:val="hybridMultilevel"/>
    <w:tmpl w:val="598E015A"/>
    <w:lvl w:ilvl="0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>
    <w:nsid w:val="61320FFF"/>
    <w:multiLevelType w:val="hybridMultilevel"/>
    <w:tmpl w:val="9CE229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76D50"/>
    <w:multiLevelType w:val="hybridMultilevel"/>
    <w:tmpl w:val="8B2EF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E3687"/>
    <w:multiLevelType w:val="hybridMultilevel"/>
    <w:tmpl w:val="F5CC3CF4"/>
    <w:lvl w:ilvl="0" w:tplc="2AEC20BE">
      <w:start w:val="1"/>
      <w:numFmt w:val="bullet"/>
      <w:lvlText w:val="o"/>
      <w:lvlJc w:val="right"/>
      <w:pPr>
        <w:ind w:left="1068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A79"/>
    <w:rsid w:val="001140AC"/>
    <w:rsid w:val="00155B2D"/>
    <w:rsid w:val="002327C6"/>
    <w:rsid w:val="00246E4F"/>
    <w:rsid w:val="002871B1"/>
    <w:rsid w:val="002A0922"/>
    <w:rsid w:val="002F11CD"/>
    <w:rsid w:val="00300BD0"/>
    <w:rsid w:val="00341143"/>
    <w:rsid w:val="00343E0B"/>
    <w:rsid w:val="00376AD3"/>
    <w:rsid w:val="003851C2"/>
    <w:rsid w:val="0046502A"/>
    <w:rsid w:val="004B15F3"/>
    <w:rsid w:val="004D19F0"/>
    <w:rsid w:val="005A4C65"/>
    <w:rsid w:val="005E03B3"/>
    <w:rsid w:val="00605F36"/>
    <w:rsid w:val="0063762E"/>
    <w:rsid w:val="00655CBC"/>
    <w:rsid w:val="006E5143"/>
    <w:rsid w:val="00721396"/>
    <w:rsid w:val="007220AC"/>
    <w:rsid w:val="0073770E"/>
    <w:rsid w:val="007F4FC4"/>
    <w:rsid w:val="00813C14"/>
    <w:rsid w:val="00843C36"/>
    <w:rsid w:val="00861E0D"/>
    <w:rsid w:val="00893A92"/>
    <w:rsid w:val="00894BBF"/>
    <w:rsid w:val="008E4DB5"/>
    <w:rsid w:val="00910A79"/>
    <w:rsid w:val="00932CD9"/>
    <w:rsid w:val="0096613A"/>
    <w:rsid w:val="00A91F24"/>
    <w:rsid w:val="00B5042A"/>
    <w:rsid w:val="00BE796A"/>
    <w:rsid w:val="00BF2540"/>
    <w:rsid w:val="00C25075"/>
    <w:rsid w:val="00D831C5"/>
    <w:rsid w:val="00DB4C54"/>
    <w:rsid w:val="00F1552A"/>
    <w:rsid w:val="00F17042"/>
    <w:rsid w:val="00F82FB0"/>
    <w:rsid w:val="00FE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35"/>
        <o:r id="V:Rule5" type="connector" idref="#_x0000_s1028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31C5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831C5"/>
    <w:pPr>
      <w:spacing w:after="0" w:line="240" w:lineRule="auto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1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0A7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91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0A79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CD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32CD9"/>
    <w:rPr>
      <w:color w:val="808080"/>
    </w:rPr>
  </w:style>
  <w:style w:type="paragraph" w:styleId="Odstavecseseznamem">
    <w:name w:val="List Paragraph"/>
    <w:basedOn w:val="Normln"/>
    <w:uiPriority w:val="34"/>
    <w:qFormat/>
    <w:rsid w:val="00BE796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E0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ichal\Desktop\data%20moj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>
        <c:manualLayout>
          <c:layoutTarget val="inner"/>
          <c:xMode val="edge"/>
          <c:yMode val="edge"/>
          <c:x val="9.2434592854154701E-2"/>
          <c:y val="0.23444240278226897"/>
          <c:w val="0.72044239769182361"/>
          <c:h val="0.67962377335972712"/>
        </c:manualLayout>
      </c:layout>
      <c:scatterChart>
        <c:scatterStyle val="smoothMarker"/>
        <c:ser>
          <c:idx val="0"/>
          <c:order val="0"/>
          <c:tx>
            <c:v>empirická křivka</c:v>
          </c:tx>
          <c:xVal>
            <c:numRef>
              <c:f>List1!$D$47:$D$77</c:f>
              <c:numCache>
                <c:formatCode>General</c:formatCode>
                <c:ptCount val="31"/>
                <c:pt idx="0">
                  <c:v>2.3025999999999978</c:v>
                </c:pt>
                <c:pt idx="1">
                  <c:v>5.5920999999999985</c:v>
                </c:pt>
                <c:pt idx="2">
                  <c:v>8.8816000000000006</c:v>
                </c:pt>
                <c:pt idx="3">
                  <c:v>12.171000000000001</c:v>
                </c:pt>
                <c:pt idx="4">
                  <c:v>15.461</c:v>
                </c:pt>
                <c:pt idx="5">
                  <c:v>18.75</c:v>
                </c:pt>
                <c:pt idx="6">
                  <c:v>22.039000000000001</c:v>
                </c:pt>
                <c:pt idx="7">
                  <c:v>25.329000000000001</c:v>
                </c:pt>
                <c:pt idx="8">
                  <c:v>28.618000000000016</c:v>
                </c:pt>
                <c:pt idx="9">
                  <c:v>31.907999999999987</c:v>
                </c:pt>
                <c:pt idx="10">
                  <c:v>35.197000000000003</c:v>
                </c:pt>
                <c:pt idx="11">
                  <c:v>38.486999999999995</c:v>
                </c:pt>
                <c:pt idx="12">
                  <c:v>41.776000000000003</c:v>
                </c:pt>
                <c:pt idx="13">
                  <c:v>45.066000000000003</c:v>
                </c:pt>
                <c:pt idx="14">
                  <c:v>48.354999999999997</c:v>
                </c:pt>
                <c:pt idx="15">
                  <c:v>51.645000000000003</c:v>
                </c:pt>
                <c:pt idx="16">
                  <c:v>54.934000000000005</c:v>
                </c:pt>
                <c:pt idx="17">
                  <c:v>58.224000000000011</c:v>
                </c:pt>
                <c:pt idx="18">
                  <c:v>61.513000000000005</c:v>
                </c:pt>
                <c:pt idx="19">
                  <c:v>64.802999999999983</c:v>
                </c:pt>
                <c:pt idx="20">
                  <c:v>68.092000000000013</c:v>
                </c:pt>
                <c:pt idx="21">
                  <c:v>71.381999999999991</c:v>
                </c:pt>
                <c:pt idx="22">
                  <c:v>74.670999999999978</c:v>
                </c:pt>
                <c:pt idx="23">
                  <c:v>77.961000000000027</c:v>
                </c:pt>
                <c:pt idx="24">
                  <c:v>81.25</c:v>
                </c:pt>
                <c:pt idx="25">
                  <c:v>84.539000000000001</c:v>
                </c:pt>
                <c:pt idx="26">
                  <c:v>87.828999999999979</c:v>
                </c:pt>
                <c:pt idx="27">
                  <c:v>91.117999999999995</c:v>
                </c:pt>
                <c:pt idx="28">
                  <c:v>94.408000000000001</c:v>
                </c:pt>
                <c:pt idx="29">
                  <c:v>97.697000000000003</c:v>
                </c:pt>
              </c:numCache>
            </c:numRef>
          </c:xVal>
          <c:yVal>
            <c:numRef>
              <c:f>List1!$C$47:$C$77</c:f>
              <c:numCache>
                <c:formatCode>General</c:formatCode>
                <c:ptCount val="31"/>
                <c:pt idx="0">
                  <c:v>259</c:v>
                </c:pt>
                <c:pt idx="1">
                  <c:v>242</c:v>
                </c:pt>
                <c:pt idx="2">
                  <c:v>201</c:v>
                </c:pt>
                <c:pt idx="3">
                  <c:v>190</c:v>
                </c:pt>
                <c:pt idx="4">
                  <c:v>185</c:v>
                </c:pt>
                <c:pt idx="5">
                  <c:v>173</c:v>
                </c:pt>
                <c:pt idx="6">
                  <c:v>164</c:v>
                </c:pt>
                <c:pt idx="7">
                  <c:v>159</c:v>
                </c:pt>
                <c:pt idx="8">
                  <c:v>153</c:v>
                </c:pt>
                <c:pt idx="9">
                  <c:v>135</c:v>
                </c:pt>
                <c:pt idx="10">
                  <c:v>135</c:v>
                </c:pt>
                <c:pt idx="11">
                  <c:v>128</c:v>
                </c:pt>
                <c:pt idx="12">
                  <c:v>128</c:v>
                </c:pt>
                <c:pt idx="13">
                  <c:v>125</c:v>
                </c:pt>
                <c:pt idx="14">
                  <c:v>122</c:v>
                </c:pt>
                <c:pt idx="15">
                  <c:v>118</c:v>
                </c:pt>
                <c:pt idx="16">
                  <c:v>114</c:v>
                </c:pt>
                <c:pt idx="17">
                  <c:v>112</c:v>
                </c:pt>
                <c:pt idx="18">
                  <c:v>108</c:v>
                </c:pt>
                <c:pt idx="19">
                  <c:v>106</c:v>
                </c:pt>
                <c:pt idx="20">
                  <c:v>106</c:v>
                </c:pt>
                <c:pt idx="21">
                  <c:v>106</c:v>
                </c:pt>
                <c:pt idx="22">
                  <c:v>102</c:v>
                </c:pt>
                <c:pt idx="23">
                  <c:v>100</c:v>
                </c:pt>
                <c:pt idx="24">
                  <c:v>97.1</c:v>
                </c:pt>
                <c:pt idx="25">
                  <c:v>96.9</c:v>
                </c:pt>
                <c:pt idx="26">
                  <c:v>95.9</c:v>
                </c:pt>
                <c:pt idx="27">
                  <c:v>95</c:v>
                </c:pt>
                <c:pt idx="28">
                  <c:v>94.2</c:v>
                </c:pt>
                <c:pt idx="29">
                  <c:v>93.9</c:v>
                </c:pt>
              </c:numCache>
            </c:numRef>
          </c:yVal>
          <c:smooth val="1"/>
        </c:ser>
        <c:ser>
          <c:idx val="1"/>
          <c:order val="1"/>
          <c:tx>
            <c:v>teoretická křivka</c:v>
          </c:tx>
          <c:marker>
            <c:symbol val="square"/>
            <c:size val="5"/>
          </c:marker>
          <c:xVal>
            <c:numRef>
              <c:f>List1!$D$47:$D$77</c:f>
              <c:numCache>
                <c:formatCode>General</c:formatCode>
                <c:ptCount val="31"/>
                <c:pt idx="0">
                  <c:v>2.3025999999999978</c:v>
                </c:pt>
                <c:pt idx="1">
                  <c:v>5.5920999999999985</c:v>
                </c:pt>
                <c:pt idx="2">
                  <c:v>8.8816000000000006</c:v>
                </c:pt>
                <c:pt idx="3">
                  <c:v>12.171000000000001</c:v>
                </c:pt>
                <c:pt idx="4">
                  <c:v>15.461</c:v>
                </c:pt>
                <c:pt idx="5">
                  <c:v>18.75</c:v>
                </c:pt>
                <c:pt idx="6">
                  <c:v>22.039000000000001</c:v>
                </c:pt>
                <c:pt idx="7">
                  <c:v>25.329000000000001</c:v>
                </c:pt>
                <c:pt idx="8">
                  <c:v>28.618000000000016</c:v>
                </c:pt>
                <c:pt idx="9">
                  <c:v>31.907999999999987</c:v>
                </c:pt>
                <c:pt idx="10">
                  <c:v>35.197000000000003</c:v>
                </c:pt>
                <c:pt idx="11">
                  <c:v>38.486999999999995</c:v>
                </c:pt>
                <c:pt idx="12">
                  <c:v>41.776000000000003</c:v>
                </c:pt>
                <c:pt idx="13">
                  <c:v>45.066000000000003</c:v>
                </c:pt>
                <c:pt idx="14">
                  <c:v>48.354999999999997</c:v>
                </c:pt>
                <c:pt idx="15">
                  <c:v>51.645000000000003</c:v>
                </c:pt>
                <c:pt idx="16">
                  <c:v>54.934000000000005</c:v>
                </c:pt>
                <c:pt idx="17">
                  <c:v>58.224000000000011</c:v>
                </c:pt>
                <c:pt idx="18">
                  <c:v>61.513000000000005</c:v>
                </c:pt>
                <c:pt idx="19">
                  <c:v>64.802999999999983</c:v>
                </c:pt>
                <c:pt idx="20">
                  <c:v>68.092000000000013</c:v>
                </c:pt>
                <c:pt idx="21">
                  <c:v>71.381999999999991</c:v>
                </c:pt>
                <c:pt idx="22">
                  <c:v>74.670999999999978</c:v>
                </c:pt>
                <c:pt idx="23">
                  <c:v>77.961000000000027</c:v>
                </c:pt>
                <c:pt idx="24">
                  <c:v>81.25</c:v>
                </c:pt>
                <c:pt idx="25">
                  <c:v>84.539000000000001</c:v>
                </c:pt>
                <c:pt idx="26">
                  <c:v>87.828999999999979</c:v>
                </c:pt>
                <c:pt idx="27">
                  <c:v>91.117999999999995</c:v>
                </c:pt>
                <c:pt idx="28">
                  <c:v>94.408000000000001</c:v>
                </c:pt>
                <c:pt idx="29">
                  <c:v>97.697000000000003</c:v>
                </c:pt>
              </c:numCache>
            </c:numRef>
          </c:xVal>
          <c:yVal>
            <c:numRef>
              <c:f>List1!$B$47:$B$77</c:f>
              <c:numCache>
                <c:formatCode>General</c:formatCode>
                <c:ptCount val="31"/>
                <c:pt idx="0">
                  <c:v>228</c:v>
                </c:pt>
                <c:pt idx="1">
                  <c:v>208</c:v>
                </c:pt>
                <c:pt idx="2">
                  <c:v>197</c:v>
                </c:pt>
                <c:pt idx="3">
                  <c:v>188</c:v>
                </c:pt>
                <c:pt idx="4">
                  <c:v>182</c:v>
                </c:pt>
                <c:pt idx="5">
                  <c:v>175</c:v>
                </c:pt>
                <c:pt idx="6">
                  <c:v>169</c:v>
                </c:pt>
                <c:pt idx="7">
                  <c:v>164</c:v>
                </c:pt>
                <c:pt idx="8">
                  <c:v>159</c:v>
                </c:pt>
                <c:pt idx="9">
                  <c:v>155</c:v>
                </c:pt>
                <c:pt idx="10">
                  <c:v>151</c:v>
                </c:pt>
                <c:pt idx="11">
                  <c:v>147</c:v>
                </c:pt>
                <c:pt idx="12">
                  <c:v>143</c:v>
                </c:pt>
                <c:pt idx="13">
                  <c:v>139</c:v>
                </c:pt>
                <c:pt idx="14">
                  <c:v>135</c:v>
                </c:pt>
                <c:pt idx="15">
                  <c:v>131</c:v>
                </c:pt>
                <c:pt idx="16">
                  <c:v>127</c:v>
                </c:pt>
                <c:pt idx="17">
                  <c:v>123</c:v>
                </c:pt>
                <c:pt idx="18">
                  <c:v>120</c:v>
                </c:pt>
                <c:pt idx="19">
                  <c:v>115</c:v>
                </c:pt>
                <c:pt idx="20">
                  <c:v>111</c:v>
                </c:pt>
                <c:pt idx="21">
                  <c:v>107</c:v>
                </c:pt>
                <c:pt idx="22">
                  <c:v>102</c:v>
                </c:pt>
                <c:pt idx="23">
                  <c:v>97</c:v>
                </c:pt>
                <c:pt idx="24">
                  <c:v>91.7</c:v>
                </c:pt>
                <c:pt idx="25">
                  <c:v>84.4</c:v>
                </c:pt>
                <c:pt idx="26">
                  <c:v>77.599999999999994</c:v>
                </c:pt>
                <c:pt idx="27">
                  <c:v>70.8</c:v>
                </c:pt>
                <c:pt idx="28">
                  <c:v>58.3</c:v>
                </c:pt>
                <c:pt idx="29">
                  <c:v>47.2</c:v>
                </c:pt>
              </c:numCache>
            </c:numRef>
          </c:yVal>
          <c:smooth val="1"/>
        </c:ser>
        <c:axId val="75110656"/>
        <c:axId val="75129216"/>
      </c:scatterChart>
      <c:valAx>
        <c:axId val="75110656"/>
        <c:scaling>
          <c:orientation val="minMax"/>
          <c:max val="100"/>
        </c:scaling>
        <c:axPos val="b"/>
        <c:numFmt formatCode="General" sourceLinked="1"/>
        <c:tickLblPos val="nextTo"/>
        <c:crossAx val="75129216"/>
        <c:crosses val="autoZero"/>
        <c:crossBetween val="midCat"/>
      </c:valAx>
      <c:valAx>
        <c:axId val="75129216"/>
        <c:scaling>
          <c:orientation val="minMax"/>
        </c:scaling>
        <c:axPos val="l"/>
        <c:majorGridlines/>
        <c:numFmt formatCode="General" sourceLinked="1"/>
        <c:tickLblPos val="nextTo"/>
        <c:crossAx val="7511065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689844527449463"/>
          <c:y val="0.43635490966764878"/>
          <c:w val="0.17011971733197623"/>
          <c:h val="0.30407173594736242"/>
        </c:manualLayout>
      </c:layout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0.00887</cdr:x>
      <cdr:y>3.28594E-7</cdr:y>
    </cdr:from>
    <cdr:to>
      <cdr:x>0.97872</cdr:x>
      <cdr:y>0.15649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51098" y="1"/>
          <a:ext cx="5587034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200" b="0" i="0" u="none" strike="noStrike" kern="100" cap="all" normalizeH="0" baseline="0" smtClean="0">
              <a:latin typeface="+mn-lt"/>
              <a:ea typeface="+mn-ea"/>
              <a:cs typeface="Arial" pitchFamily="34" charset="0"/>
            </a:rPr>
            <a:t>Teoretická a empirická křivka pravděpodobnosti překročení denních průtoků toku Labe (brandýs nad Labem) v červnu 2005</a:t>
          </a:r>
          <a:endParaRPr lang="cs-CZ" sz="1200" b="0" kern="100" cap="all" normalizeH="0" baseline="0">
            <a:latin typeface="+mn-lt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0.01984</cdr:x>
      <cdr:y>0.13145</cdr:y>
    </cdr:from>
    <cdr:to>
      <cdr:x>0.1918</cdr:x>
      <cdr:y>0.24467</cdr:y>
    </cdr:to>
    <cdr:sp macro="" textlink="">
      <cdr:nvSpPr>
        <cdr:cNvPr id="3" name="TextovéPole 3"/>
        <cdr:cNvSpPr txBox="1"/>
      </cdr:nvSpPr>
      <cdr:spPr>
        <a:xfrm xmlns:a="http://schemas.openxmlformats.org/drawingml/2006/main">
          <a:off x="114300" y="400050"/>
          <a:ext cx="990603" cy="34455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0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cs-CZ" sz="1100"/>
            <a:t>Q </a:t>
          </a:r>
          <a:r>
            <a:rPr lang="en-US" sz="1100"/>
            <a:t>[</a:t>
          </a:r>
          <a:r>
            <a:rPr lang="cs-CZ" sz="1100"/>
            <a:t>m</a:t>
          </a:r>
          <a:r>
            <a:rPr lang="cs-CZ" sz="1100" baseline="30000"/>
            <a:t>3</a:t>
          </a:r>
          <a:r>
            <a:rPr lang="cs-CZ" sz="1100"/>
            <a:t>/s</a:t>
          </a:r>
          <a:r>
            <a:rPr lang="en-US" sz="1100"/>
            <a:t>]</a:t>
          </a:r>
          <a:endParaRPr lang="cs-CZ" sz="1100"/>
        </a:p>
      </cdr:txBody>
    </cdr:sp>
  </cdr:relSizeAnchor>
  <cdr:relSizeAnchor xmlns:cdr="http://schemas.openxmlformats.org/drawingml/2006/chartDrawing">
    <cdr:from>
      <cdr:x>0.82507</cdr:x>
      <cdr:y>0.86384</cdr:y>
    </cdr:from>
    <cdr:to>
      <cdr:x>0.91852</cdr:x>
      <cdr:y>0.96454</cdr:y>
    </cdr:to>
    <cdr:sp macro="" textlink="">
      <cdr:nvSpPr>
        <cdr:cNvPr id="4" name="TextovéPole 1"/>
        <cdr:cNvSpPr txBox="1"/>
      </cdr:nvSpPr>
      <cdr:spPr>
        <a:xfrm xmlns:a="http://schemas.openxmlformats.org/drawingml/2006/main">
          <a:off x="4752975" y="2628900"/>
          <a:ext cx="538371" cy="3064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0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cs-CZ" sz="1100"/>
            <a:t>P</a:t>
          </a:r>
          <a:r>
            <a:rPr lang="cs-CZ" sz="1100" baseline="0"/>
            <a:t> </a:t>
          </a:r>
          <a:r>
            <a:rPr lang="en-US" sz="1100" baseline="0"/>
            <a:t>[</a:t>
          </a:r>
          <a:r>
            <a:rPr lang="cs-CZ" sz="1100" baseline="0"/>
            <a:t>%</a:t>
          </a:r>
          <a:r>
            <a:rPr lang="en-US" sz="1100" baseline="0"/>
            <a:t>]</a:t>
          </a:r>
          <a:endParaRPr lang="cs-CZ" sz="1100"/>
        </a:p>
      </cdr:txBody>
    </cdr:sp>
  </cdr:relSizeAnchor>
</c:userShape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5653B-4B72-478B-AE20-8F6A15C1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3</cp:revision>
  <dcterms:created xsi:type="dcterms:W3CDTF">2012-11-27T15:13:00Z</dcterms:created>
  <dcterms:modified xsi:type="dcterms:W3CDTF">2012-11-27T15:29:00Z</dcterms:modified>
</cp:coreProperties>
</file>