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4C" w:rsidRPr="00EF665D" w:rsidRDefault="0027794C" w:rsidP="0027794C">
      <w:pPr>
        <w:jc w:val="both"/>
        <w:rPr>
          <w:sz w:val="32"/>
          <w:szCs w:val="32"/>
        </w:rPr>
      </w:pPr>
      <w:r w:rsidRPr="00EF665D">
        <w:rPr>
          <w:b/>
          <w:iCs/>
          <w:sz w:val="32"/>
          <w:szCs w:val="32"/>
        </w:rPr>
        <w:t>mechanismy imunity u bezobratlých</w:t>
      </w:r>
      <w:r w:rsidRPr="00EF665D">
        <w:rPr>
          <w:sz w:val="32"/>
          <w:szCs w:val="32"/>
        </w:rPr>
        <w:t>:</w:t>
      </w:r>
    </w:p>
    <w:p w:rsidR="0027794C" w:rsidRDefault="0027794C" w:rsidP="0027794C">
      <w:pPr>
        <w:pStyle w:val="Nadpis1"/>
        <w:jc w:val="both"/>
      </w:pPr>
      <w:r>
        <w:rPr>
          <w:noProof/>
        </w:rPr>
        <w:pict>
          <v:line id="_x0000_s1027" style="position:absolute;left:0;text-align:left;flip:x;z-index:251661312" from="176.2pt,9.75pt" to="197.8pt,9.75pt"/>
        </w:pict>
      </w:r>
      <w:r>
        <w:rPr>
          <w:noProof/>
        </w:rPr>
        <w:pict>
          <v:line id="_x0000_s1026" style="position:absolute;left:0;text-align:left;flip:y;z-index:251660288" from="176.2pt,9.75pt" to="197.8pt,31.35pt"/>
        </w:pict>
      </w:r>
      <w:r>
        <w:t xml:space="preserve">   </w:t>
      </w:r>
      <w:r>
        <w:sym w:font="Symbol" w:char="F02A"/>
      </w:r>
      <w:r>
        <w:t xml:space="preserve"> obratlovci: - nespecifické                 buněčné i látkové</w:t>
      </w:r>
    </w:p>
    <w:p w:rsidR="0027794C" w:rsidRDefault="0027794C" w:rsidP="0027794C">
      <w:pPr>
        <w:ind w:left="1140"/>
        <w:jc w:val="both"/>
        <w:rPr>
          <w:sz w:val="24"/>
        </w:rPr>
      </w:pPr>
      <w:r>
        <w:rPr>
          <w:sz w:val="24"/>
        </w:rPr>
        <w:t xml:space="preserve">          - specifické </w:t>
      </w:r>
    </w:p>
    <w:p w:rsidR="0027794C" w:rsidRDefault="0027794C" w:rsidP="0027794C">
      <w:pPr>
        <w:jc w:val="both"/>
        <w:rPr>
          <w:sz w:val="24"/>
        </w:rPr>
      </w:pPr>
    </w:p>
    <w:p w:rsidR="0027794C" w:rsidRDefault="0027794C" w:rsidP="0027794C">
      <w:pPr>
        <w:pStyle w:val="Nadpis1"/>
        <w:jc w:val="both"/>
        <w:rPr>
          <w:b w:val="0"/>
          <w:bCs w:val="0"/>
          <w:smallCaps w:val="0"/>
        </w:rPr>
      </w:pPr>
      <w:r>
        <w:rPr>
          <w:noProof/>
        </w:rPr>
        <w:pict>
          <v:line id="_x0000_s1029" style="position:absolute;left:0;text-align:left;z-index:251663360" from="230.2pt,12.45pt" to="259pt,26.85pt">
            <v:stroke endarrow="block"/>
          </v:line>
        </w:pict>
      </w:r>
      <w:r>
        <w:rPr>
          <w:noProof/>
        </w:rPr>
        <w:pict>
          <v:line id="_x0000_s1028" style="position:absolute;left:0;text-align:left;z-index:251662336" from="230.2pt,12.45pt" to="259pt,12.45pt">
            <v:stroke endarrow="block"/>
          </v:line>
        </w:pict>
      </w:r>
      <w:r>
        <w:t xml:space="preserve">   </w:t>
      </w:r>
      <w:r>
        <w:sym w:font="Symbol" w:char="F02A"/>
      </w:r>
      <w:r>
        <w:t xml:space="preserve"> bezobratlí: - pouze NESPECIFICKÉ              </w:t>
      </w:r>
      <w:r>
        <w:rPr>
          <w:b w:val="0"/>
          <w:bCs w:val="0"/>
          <w:smallCaps w:val="0"/>
        </w:rPr>
        <w:t>látkové</w:t>
      </w:r>
    </w:p>
    <w:p w:rsidR="0027794C" w:rsidRDefault="0027794C" w:rsidP="0027794C">
      <w:pPr>
        <w:jc w:val="both"/>
        <w:rPr>
          <w:sz w:val="24"/>
        </w:rPr>
      </w:pPr>
      <w:r>
        <w:rPr>
          <w:sz w:val="24"/>
        </w:rPr>
        <w:t xml:space="preserve">                                                                                      buněčné</w:t>
      </w:r>
    </w:p>
    <w:p w:rsidR="0027794C" w:rsidRDefault="0027794C" w:rsidP="0027794C">
      <w:pPr>
        <w:jc w:val="both"/>
        <w:rPr>
          <w:sz w:val="24"/>
        </w:rPr>
      </w:pPr>
    </w:p>
    <w:p w:rsidR="0027794C" w:rsidRDefault="0027794C" w:rsidP="0027794C">
      <w:pPr>
        <w:jc w:val="both"/>
        <w:rPr>
          <w:sz w:val="24"/>
          <w:szCs w:val="24"/>
        </w:rPr>
      </w:pPr>
      <w:r w:rsidRPr="006504C5">
        <w:rPr>
          <w:sz w:val="24"/>
          <w:szCs w:val="24"/>
        </w:rPr>
        <w:t>Navzájem se ovlivňuj</w:t>
      </w:r>
      <w:r>
        <w:rPr>
          <w:sz w:val="24"/>
          <w:szCs w:val="24"/>
        </w:rPr>
        <w:t>í, spolupracují</w:t>
      </w:r>
    </w:p>
    <w:p w:rsidR="0027794C" w:rsidRDefault="0027794C" w:rsidP="0027794C">
      <w:pPr>
        <w:jc w:val="both"/>
        <w:rPr>
          <w:sz w:val="24"/>
          <w:szCs w:val="24"/>
        </w:rPr>
      </w:pPr>
      <w:r>
        <w:rPr>
          <w:sz w:val="24"/>
          <w:szCs w:val="24"/>
        </w:rPr>
        <w:t>Imunitní systém hmyzu je natolik dokonalý (rozmanitý a účinný), že dovoluje hmyzu přežít tak dlouhou epochu</w:t>
      </w:r>
    </w:p>
    <w:p w:rsidR="0027794C" w:rsidRPr="00BE03ED" w:rsidRDefault="0027794C" w:rsidP="0027794C">
      <w:pPr>
        <w:jc w:val="both"/>
        <w:rPr>
          <w:b/>
          <w:sz w:val="24"/>
          <w:szCs w:val="24"/>
        </w:rPr>
      </w:pPr>
      <w:r w:rsidRPr="00BE03ED">
        <w:rPr>
          <w:b/>
          <w:sz w:val="24"/>
          <w:szCs w:val="24"/>
        </w:rPr>
        <w:t>Typy buněčných reakcí:</w:t>
      </w:r>
    </w:p>
    <w:p w:rsidR="0027794C" w:rsidRDefault="0027794C" w:rsidP="0027794C">
      <w:pPr>
        <w:numPr>
          <w:ilvl w:val="0"/>
          <w:numId w:val="1"/>
        </w:numPr>
        <w:jc w:val="both"/>
        <w:rPr>
          <w:sz w:val="24"/>
          <w:szCs w:val="24"/>
        </w:rPr>
      </w:pPr>
      <w:r>
        <w:rPr>
          <w:sz w:val="24"/>
          <w:szCs w:val="24"/>
        </w:rPr>
        <w:t xml:space="preserve">Fagocytóza </w:t>
      </w:r>
    </w:p>
    <w:p w:rsidR="0027794C" w:rsidRDefault="0027794C" w:rsidP="0027794C">
      <w:pPr>
        <w:numPr>
          <w:ilvl w:val="0"/>
          <w:numId w:val="1"/>
        </w:numPr>
        <w:jc w:val="both"/>
        <w:rPr>
          <w:sz w:val="24"/>
          <w:szCs w:val="24"/>
        </w:rPr>
      </w:pPr>
      <w:r>
        <w:rPr>
          <w:sz w:val="24"/>
          <w:szCs w:val="24"/>
        </w:rPr>
        <w:t xml:space="preserve"> Nodulace </w:t>
      </w:r>
    </w:p>
    <w:p w:rsidR="0027794C" w:rsidRDefault="0027794C" w:rsidP="0027794C">
      <w:pPr>
        <w:numPr>
          <w:ilvl w:val="0"/>
          <w:numId w:val="1"/>
        </w:numPr>
        <w:jc w:val="both"/>
        <w:rPr>
          <w:sz w:val="24"/>
          <w:szCs w:val="24"/>
        </w:rPr>
      </w:pPr>
      <w:r>
        <w:rPr>
          <w:sz w:val="24"/>
          <w:szCs w:val="24"/>
        </w:rPr>
        <w:t>Enkapsulace</w:t>
      </w:r>
    </w:p>
    <w:p w:rsidR="0027794C" w:rsidRPr="00BE03ED" w:rsidRDefault="0027794C" w:rsidP="0027794C">
      <w:pPr>
        <w:jc w:val="both"/>
        <w:rPr>
          <w:b/>
          <w:sz w:val="24"/>
          <w:szCs w:val="24"/>
        </w:rPr>
      </w:pPr>
      <w:r w:rsidRPr="00BE03ED">
        <w:rPr>
          <w:b/>
          <w:sz w:val="24"/>
          <w:szCs w:val="24"/>
        </w:rPr>
        <w:t>Typy buněčných i látkových reakcí:</w:t>
      </w:r>
    </w:p>
    <w:p w:rsidR="0027794C" w:rsidRDefault="0027794C" w:rsidP="0027794C">
      <w:pPr>
        <w:numPr>
          <w:ilvl w:val="0"/>
          <w:numId w:val="2"/>
        </w:numPr>
        <w:jc w:val="both"/>
        <w:rPr>
          <w:sz w:val="24"/>
          <w:szCs w:val="24"/>
        </w:rPr>
      </w:pPr>
      <w:r>
        <w:rPr>
          <w:sz w:val="24"/>
          <w:szCs w:val="24"/>
        </w:rPr>
        <w:t>Koagulace</w:t>
      </w:r>
    </w:p>
    <w:p w:rsidR="0027794C" w:rsidRPr="006504C5" w:rsidRDefault="0027794C" w:rsidP="0027794C">
      <w:pPr>
        <w:numPr>
          <w:ilvl w:val="0"/>
          <w:numId w:val="2"/>
        </w:numPr>
        <w:jc w:val="both"/>
        <w:rPr>
          <w:sz w:val="24"/>
          <w:szCs w:val="24"/>
        </w:rPr>
      </w:pPr>
      <w:r>
        <w:rPr>
          <w:sz w:val="24"/>
          <w:szCs w:val="24"/>
        </w:rPr>
        <w:t>Fenoloxidázová kaskáda</w:t>
      </w:r>
    </w:p>
    <w:p w:rsidR="0027794C" w:rsidRDefault="0027794C" w:rsidP="0027794C">
      <w:pPr>
        <w:jc w:val="both"/>
        <w:rPr>
          <w:sz w:val="24"/>
        </w:rPr>
      </w:pPr>
      <w:r w:rsidRPr="006504C5">
        <w:rPr>
          <w:sz w:val="24"/>
        </w:rPr>
        <w:t>Buněčné mechanismy imunity zajišťují</w:t>
      </w:r>
      <w:r>
        <w:rPr>
          <w:b/>
          <w:sz w:val="24"/>
        </w:rPr>
        <w:t xml:space="preserve"> </w:t>
      </w:r>
      <w:r>
        <w:rPr>
          <w:b/>
          <w:i/>
          <w:sz w:val="24"/>
        </w:rPr>
        <w:t xml:space="preserve">hemocyty </w:t>
      </w:r>
      <w:r>
        <w:rPr>
          <w:b/>
          <w:i/>
          <w:sz w:val="24"/>
        </w:rPr>
        <w:sym w:font="Symbol" w:char="F0DE"/>
      </w:r>
      <w:r>
        <w:rPr>
          <w:b/>
          <w:i/>
          <w:sz w:val="24"/>
        </w:rPr>
        <w:t xml:space="preserve"> </w:t>
      </w:r>
      <w:r>
        <w:rPr>
          <w:sz w:val="24"/>
        </w:rPr>
        <w:t xml:space="preserve">buňky hemolymfy – u třídy „hmyz“ rozlišujeme 7 typů, u jednotlivých hmyzích řádů se liší jejich zastoupení. </w:t>
      </w:r>
    </w:p>
    <w:p w:rsidR="0027794C" w:rsidRDefault="0027794C" w:rsidP="0027794C">
      <w:pPr>
        <w:jc w:val="both"/>
        <w:rPr>
          <w:sz w:val="24"/>
        </w:rPr>
      </w:pPr>
      <w:r>
        <w:rPr>
          <w:sz w:val="24"/>
        </w:rPr>
        <w:t>Prohemocyt PR, plazmatocyt PL, granulocyt GR, coagulocyt CO, oenocytoid OE, adipohemocyt AD, spherulocy SP</w:t>
      </w:r>
    </w:p>
    <w:p w:rsidR="0027794C" w:rsidRDefault="0027794C" w:rsidP="0027794C">
      <w:pPr>
        <w:jc w:val="both"/>
        <w:rPr>
          <w:sz w:val="24"/>
        </w:rPr>
      </w:pPr>
      <w:r>
        <w:rPr>
          <w:sz w:val="24"/>
        </w:rPr>
        <w:t xml:space="preserve">Vyvíjí se v embryonálním vývoji z mezenchymových buněk, v postembryonálním vývoji z progenitorů, a to buď v hemopoetických orgánech nebo oddělováním z vnitřní stěny srdce a aorty </w:t>
      </w:r>
    </w:p>
    <w:p w:rsidR="0027794C" w:rsidRPr="004F023A" w:rsidRDefault="0027794C" w:rsidP="0027794C">
      <w:pPr>
        <w:jc w:val="both"/>
        <w:rPr>
          <w:b/>
          <w:sz w:val="24"/>
        </w:rPr>
      </w:pPr>
      <w:r>
        <w:rPr>
          <w:b/>
          <w:sz w:val="24"/>
        </w:rPr>
        <w:t>PROHEMOCYT</w:t>
      </w:r>
      <w:r>
        <w:rPr>
          <w:sz w:val="24"/>
        </w:rPr>
        <w:t xml:space="preserve"> </w:t>
      </w:r>
      <w:r>
        <w:rPr>
          <w:b/>
          <w:sz w:val="24"/>
        </w:rPr>
        <w:t>–</w:t>
      </w:r>
      <w:r>
        <w:rPr>
          <w:sz w:val="24"/>
        </w:rPr>
        <w:t xml:space="preserve"> velké jádro, bazofilní cytoplazma, během ontogeneze se z něho během diferenciace a proliferace vyvíjí ostatní typy, je tedy prekurzorem pro další typy hemocytů, uplatňuje se při </w:t>
      </w:r>
      <w:r w:rsidRPr="004F023A">
        <w:rPr>
          <w:b/>
          <w:sz w:val="24"/>
        </w:rPr>
        <w:t>fagocytóze</w:t>
      </w:r>
    </w:p>
    <w:p w:rsidR="0027794C" w:rsidRDefault="0027794C" w:rsidP="0027794C">
      <w:pPr>
        <w:jc w:val="both"/>
        <w:rPr>
          <w:sz w:val="24"/>
        </w:rPr>
      </w:pPr>
      <w:r>
        <w:rPr>
          <w:b/>
          <w:sz w:val="24"/>
        </w:rPr>
        <w:t>GRANULOCYT</w:t>
      </w:r>
      <w:r>
        <w:rPr>
          <w:sz w:val="24"/>
        </w:rPr>
        <w:t xml:space="preserve"> </w:t>
      </w:r>
      <w:r w:rsidRPr="004F023A">
        <w:rPr>
          <w:b/>
          <w:sz w:val="24"/>
        </w:rPr>
        <w:t xml:space="preserve"> -</w:t>
      </w:r>
      <w:r>
        <w:rPr>
          <w:sz w:val="24"/>
        </w:rPr>
        <w:t xml:space="preserve">  vysoký obsah granul, acidofilní cytoplazma, podílí se na všech reakcích, nejdůležitější jsou: </w:t>
      </w:r>
      <w:r>
        <w:rPr>
          <w:b/>
          <w:sz w:val="24"/>
        </w:rPr>
        <w:t>fagocytóza, nodulace, enkapsulace</w:t>
      </w:r>
    </w:p>
    <w:p w:rsidR="0027794C" w:rsidRDefault="0027794C" w:rsidP="0027794C">
      <w:pPr>
        <w:jc w:val="both"/>
        <w:rPr>
          <w:sz w:val="24"/>
        </w:rPr>
      </w:pPr>
      <w:r>
        <w:rPr>
          <w:b/>
          <w:sz w:val="24"/>
        </w:rPr>
        <w:t xml:space="preserve">PLAZMATOCYT - </w:t>
      </w:r>
      <w:r>
        <w:rPr>
          <w:sz w:val="24"/>
        </w:rPr>
        <w:t xml:space="preserve"> podílí se na všech reakcích, nejdůležitější jsou: </w:t>
      </w:r>
      <w:r>
        <w:rPr>
          <w:b/>
          <w:sz w:val="24"/>
        </w:rPr>
        <w:t>fagocytóza, nodulace, enkapsulace</w:t>
      </w:r>
      <w:r>
        <w:rPr>
          <w:sz w:val="24"/>
        </w:rPr>
        <w:t>, /nejdůležitější buňka/</w:t>
      </w:r>
    </w:p>
    <w:p w:rsidR="0027794C" w:rsidRDefault="0027794C" w:rsidP="0027794C">
      <w:pPr>
        <w:jc w:val="both"/>
        <w:rPr>
          <w:sz w:val="24"/>
        </w:rPr>
      </w:pPr>
      <w:r>
        <w:rPr>
          <w:b/>
          <w:sz w:val="24"/>
        </w:rPr>
        <w:t>COAGULOCYT</w:t>
      </w:r>
      <w:r>
        <w:rPr>
          <w:sz w:val="24"/>
        </w:rPr>
        <w:t xml:space="preserve"> </w:t>
      </w:r>
      <w:r>
        <w:rPr>
          <w:b/>
          <w:sz w:val="24"/>
        </w:rPr>
        <w:t>-</w:t>
      </w:r>
      <w:r>
        <w:rPr>
          <w:sz w:val="24"/>
        </w:rPr>
        <w:t xml:space="preserve"> aktivuje koagulaci </w:t>
      </w:r>
      <w:r w:rsidRPr="004F023A">
        <w:rPr>
          <w:b/>
          <w:sz w:val="24"/>
        </w:rPr>
        <w:t>-</w:t>
      </w:r>
      <w:r>
        <w:rPr>
          <w:sz w:val="24"/>
        </w:rPr>
        <w:t xml:space="preserve"> srážení hemolymfy, možná je buňka vyvinuta jako specializovaný granulocyt</w:t>
      </w:r>
    </w:p>
    <w:p w:rsidR="0027794C" w:rsidRDefault="0027794C" w:rsidP="0027794C">
      <w:pPr>
        <w:jc w:val="both"/>
        <w:rPr>
          <w:sz w:val="24"/>
        </w:rPr>
      </w:pPr>
      <w:r>
        <w:rPr>
          <w:b/>
          <w:sz w:val="24"/>
        </w:rPr>
        <w:t>OENOCYTOID</w:t>
      </w:r>
      <w:r>
        <w:rPr>
          <w:sz w:val="24"/>
        </w:rPr>
        <w:t xml:space="preserve"> </w:t>
      </w:r>
      <w:r w:rsidRPr="004F023A">
        <w:rPr>
          <w:b/>
          <w:sz w:val="24"/>
        </w:rPr>
        <w:t>-</w:t>
      </w:r>
      <w:r>
        <w:rPr>
          <w:sz w:val="24"/>
        </w:rPr>
        <w:t xml:space="preserve"> aktivace fenoloxidázový systém, účast v hojivých procesech, koagulace</w:t>
      </w:r>
    </w:p>
    <w:p w:rsidR="0027794C" w:rsidRDefault="0027794C" w:rsidP="0027794C">
      <w:pPr>
        <w:jc w:val="both"/>
        <w:rPr>
          <w:sz w:val="24"/>
        </w:rPr>
      </w:pPr>
      <w:r>
        <w:rPr>
          <w:b/>
          <w:sz w:val="24"/>
        </w:rPr>
        <w:t xml:space="preserve">SFÉRULOCYT -  </w:t>
      </w:r>
      <w:r w:rsidRPr="00052483">
        <w:rPr>
          <w:sz w:val="24"/>
        </w:rPr>
        <w:t>koagu</w:t>
      </w:r>
      <w:r>
        <w:rPr>
          <w:sz w:val="24"/>
        </w:rPr>
        <w:t>l</w:t>
      </w:r>
      <w:r w:rsidRPr="00052483">
        <w:rPr>
          <w:sz w:val="24"/>
        </w:rPr>
        <w:t>ace</w:t>
      </w:r>
      <w:r>
        <w:rPr>
          <w:sz w:val="24"/>
        </w:rPr>
        <w:t>, více není známo</w:t>
      </w:r>
    </w:p>
    <w:p w:rsidR="0027794C" w:rsidRDefault="0027794C" w:rsidP="0027794C">
      <w:pPr>
        <w:jc w:val="both"/>
        <w:rPr>
          <w:sz w:val="24"/>
        </w:rPr>
      </w:pPr>
      <w:r>
        <w:rPr>
          <w:b/>
          <w:sz w:val="24"/>
        </w:rPr>
        <w:t xml:space="preserve">ADIPOHEMOCYT – </w:t>
      </w:r>
      <w:r w:rsidRPr="00052483">
        <w:rPr>
          <w:sz w:val="24"/>
        </w:rPr>
        <w:t>k</w:t>
      </w:r>
      <w:r>
        <w:rPr>
          <w:sz w:val="24"/>
        </w:rPr>
        <w:t>o</w:t>
      </w:r>
      <w:r w:rsidRPr="00052483">
        <w:rPr>
          <w:sz w:val="24"/>
        </w:rPr>
        <w:t>agulace</w:t>
      </w:r>
      <w:r>
        <w:rPr>
          <w:sz w:val="24"/>
        </w:rPr>
        <w:t>, vysoký obsah lipidových molekul, prý vývojový stupeň GRA,</w:t>
      </w:r>
      <w:r w:rsidRPr="00052483">
        <w:rPr>
          <w:sz w:val="24"/>
        </w:rPr>
        <w:t xml:space="preserve"> </w:t>
      </w:r>
      <w:r>
        <w:rPr>
          <w:sz w:val="24"/>
        </w:rPr>
        <w:t>více není známo</w:t>
      </w:r>
    </w:p>
    <w:p w:rsidR="0027794C" w:rsidRDefault="0027794C" w:rsidP="0027794C">
      <w:pPr>
        <w:jc w:val="both"/>
        <w:rPr>
          <w:sz w:val="24"/>
        </w:rPr>
      </w:pPr>
      <w:r w:rsidRPr="0059577F">
        <w:rPr>
          <w:b/>
          <w:sz w:val="24"/>
        </w:rPr>
        <w:t>Počet a aktivita hemocytů ovlivňuje</w:t>
      </w:r>
      <w:r>
        <w:rPr>
          <w:sz w:val="24"/>
        </w:rPr>
        <w:t>:</w:t>
      </w:r>
    </w:p>
    <w:p w:rsidR="0027794C" w:rsidRDefault="0027794C" w:rsidP="0027794C">
      <w:pPr>
        <w:jc w:val="both"/>
        <w:rPr>
          <w:sz w:val="24"/>
        </w:rPr>
      </w:pPr>
      <w:r>
        <w:rPr>
          <w:sz w:val="24"/>
        </w:rPr>
        <w:t>Hormony (ekdyzon, juvenilní hormon), poranění (počet se zvyšuje), infekce (počet se s trváním infekce zmenšuje</w:t>
      </w:r>
    </w:p>
    <w:p w:rsidR="0027794C" w:rsidRDefault="0027794C" w:rsidP="0027794C">
      <w:pPr>
        <w:jc w:val="both"/>
        <w:rPr>
          <w:b/>
          <w:sz w:val="24"/>
        </w:rPr>
      </w:pPr>
      <w:r>
        <w:rPr>
          <w:b/>
          <w:sz w:val="24"/>
        </w:rPr>
        <w:t xml:space="preserve">        </w:t>
      </w:r>
    </w:p>
    <w:p w:rsidR="0027794C" w:rsidRPr="00326DD8" w:rsidRDefault="0027794C" w:rsidP="0027794C">
      <w:pPr>
        <w:jc w:val="both"/>
        <w:rPr>
          <w:b/>
          <w:i/>
          <w:iCs/>
          <w:sz w:val="24"/>
        </w:rPr>
      </w:pPr>
      <w:r w:rsidRPr="00326DD8">
        <w:rPr>
          <w:b/>
          <w:i/>
          <w:iCs/>
          <w:sz w:val="24"/>
        </w:rPr>
        <w:t>FAGOCYTÓZA</w:t>
      </w:r>
    </w:p>
    <w:p w:rsidR="0027794C" w:rsidRDefault="0027794C" w:rsidP="0027794C">
      <w:pPr>
        <w:jc w:val="both"/>
        <w:rPr>
          <w:iCs/>
          <w:sz w:val="24"/>
        </w:rPr>
      </w:pPr>
      <w:r w:rsidRPr="007914A4">
        <w:rPr>
          <w:iCs/>
          <w:sz w:val="24"/>
        </w:rPr>
        <w:t>Sled dějů:</w:t>
      </w:r>
    </w:p>
    <w:p w:rsidR="0027794C" w:rsidRDefault="0027794C" w:rsidP="0027794C">
      <w:pPr>
        <w:jc w:val="both"/>
        <w:rPr>
          <w:iCs/>
          <w:sz w:val="24"/>
        </w:rPr>
      </w:pPr>
      <w:r>
        <w:rPr>
          <w:iCs/>
          <w:sz w:val="24"/>
        </w:rPr>
        <w:t>1. Chemotaxe</w:t>
      </w:r>
    </w:p>
    <w:p w:rsidR="0027794C" w:rsidRDefault="0027794C" w:rsidP="0027794C">
      <w:pPr>
        <w:jc w:val="both"/>
        <w:rPr>
          <w:iCs/>
          <w:sz w:val="24"/>
        </w:rPr>
      </w:pPr>
      <w:r>
        <w:rPr>
          <w:iCs/>
          <w:sz w:val="24"/>
        </w:rPr>
        <w:t>2. Adheze</w:t>
      </w:r>
    </w:p>
    <w:p w:rsidR="0027794C" w:rsidRDefault="0027794C" w:rsidP="0027794C">
      <w:pPr>
        <w:jc w:val="both"/>
        <w:rPr>
          <w:iCs/>
          <w:sz w:val="24"/>
        </w:rPr>
      </w:pPr>
      <w:r>
        <w:rPr>
          <w:iCs/>
          <w:sz w:val="24"/>
        </w:rPr>
        <w:t>3. Opsonizace</w:t>
      </w:r>
    </w:p>
    <w:p w:rsidR="0027794C" w:rsidRDefault="0027794C" w:rsidP="0027794C">
      <w:pPr>
        <w:jc w:val="both"/>
        <w:rPr>
          <w:iCs/>
          <w:sz w:val="24"/>
        </w:rPr>
      </w:pPr>
      <w:r>
        <w:rPr>
          <w:iCs/>
          <w:sz w:val="24"/>
        </w:rPr>
        <w:t>4. Ingesce, tvorba fagozómu, fagolysozómu</w:t>
      </w:r>
    </w:p>
    <w:p w:rsidR="0027794C" w:rsidRDefault="0027794C" w:rsidP="0027794C">
      <w:pPr>
        <w:jc w:val="both"/>
        <w:rPr>
          <w:iCs/>
          <w:sz w:val="24"/>
        </w:rPr>
      </w:pPr>
      <w:r>
        <w:rPr>
          <w:iCs/>
          <w:sz w:val="24"/>
        </w:rPr>
        <w:t>5. Cidie, digesce, degradace pohlceného materiálu</w:t>
      </w:r>
    </w:p>
    <w:p w:rsidR="0027794C" w:rsidRDefault="0027794C" w:rsidP="0027794C">
      <w:pPr>
        <w:jc w:val="both"/>
        <w:rPr>
          <w:iCs/>
          <w:sz w:val="24"/>
        </w:rPr>
      </w:pPr>
      <w:r>
        <w:rPr>
          <w:iCs/>
          <w:sz w:val="24"/>
        </w:rPr>
        <w:t>6. Exocytóza</w:t>
      </w:r>
    </w:p>
    <w:p w:rsidR="0027794C" w:rsidRPr="007914A4" w:rsidRDefault="0027794C" w:rsidP="0027794C">
      <w:pPr>
        <w:jc w:val="both"/>
        <w:rPr>
          <w:iCs/>
          <w:sz w:val="24"/>
        </w:rPr>
      </w:pPr>
    </w:p>
    <w:p w:rsidR="0027794C" w:rsidRDefault="0027794C" w:rsidP="0027794C">
      <w:pPr>
        <w:jc w:val="both"/>
        <w:rPr>
          <w:b/>
          <w:i/>
          <w:sz w:val="24"/>
        </w:rPr>
      </w:pPr>
      <w:r>
        <w:rPr>
          <w:sz w:val="24"/>
        </w:rPr>
        <w:lastRenderedPageBreak/>
        <w:t xml:space="preserve">- na povrchu GRANULOCYTU či PLAZMATOCYTU se nachází </w:t>
      </w:r>
      <w:r>
        <w:rPr>
          <w:b/>
          <w:i/>
          <w:sz w:val="24"/>
        </w:rPr>
        <w:t>lektinové molekuly. (lektinové receptory tvořené proteiny a glykoproteiny jsou molekuly schopné působit jako mitogeny, tj, vyvolat aktivaci a dělení buňky. Mají vazebné místo pro navázání na minosacharidy. Po navázání na cukernou jednotku dochází k přenosu informace a k aktivaci, nachází se na povrchu prokaryotických i eukaryotických buněk).</w:t>
      </w:r>
    </w:p>
    <w:p w:rsidR="0027794C" w:rsidRDefault="0027794C" w:rsidP="0027794C">
      <w:pPr>
        <w:jc w:val="both"/>
        <w:rPr>
          <w:i/>
          <w:iCs/>
          <w:sz w:val="24"/>
        </w:rPr>
      </w:pPr>
      <w:r>
        <w:rPr>
          <w:b/>
          <w:bCs/>
          <w:i/>
          <w:iCs/>
          <w:sz w:val="24"/>
        </w:rPr>
        <w:t>Ty se naváží na</w:t>
      </w:r>
      <w:r>
        <w:rPr>
          <w:sz w:val="24"/>
        </w:rPr>
        <w:t xml:space="preserve"> </w:t>
      </w:r>
      <w:r>
        <w:rPr>
          <w:i/>
          <w:iCs/>
          <w:sz w:val="24"/>
        </w:rPr>
        <w:t xml:space="preserve">manany, lipopolysacharidy, glykoproteiny GLP, glykolipidy </w:t>
      </w:r>
      <w:r>
        <w:rPr>
          <w:b/>
          <w:bCs/>
          <w:i/>
          <w:iCs/>
          <w:sz w:val="24"/>
        </w:rPr>
        <w:t>G+,- bakterií,</w:t>
      </w:r>
    </w:p>
    <w:p w:rsidR="0027794C" w:rsidRDefault="0027794C" w:rsidP="0027794C">
      <w:pPr>
        <w:jc w:val="both"/>
        <w:rPr>
          <w:sz w:val="24"/>
        </w:rPr>
      </w:pPr>
      <w:r>
        <w:rPr>
          <w:b/>
          <w:bCs/>
          <w:i/>
          <w:iCs/>
          <w:sz w:val="24"/>
        </w:rPr>
        <w:t xml:space="preserve">u kvasinek na </w:t>
      </w:r>
      <w:r>
        <w:rPr>
          <w:i/>
          <w:iCs/>
          <w:sz w:val="24"/>
        </w:rPr>
        <w:t>glukany</w:t>
      </w:r>
      <w:r>
        <w:rPr>
          <w:sz w:val="24"/>
        </w:rPr>
        <w:t xml:space="preserve"> a další součásti stěn cizorodých patogenů. </w:t>
      </w:r>
    </w:p>
    <w:p w:rsidR="0027794C" w:rsidRDefault="0027794C" w:rsidP="0027794C">
      <w:pPr>
        <w:jc w:val="both"/>
        <w:rPr>
          <w:sz w:val="24"/>
        </w:rPr>
      </w:pPr>
    </w:p>
    <w:p w:rsidR="0027794C" w:rsidRDefault="0027794C" w:rsidP="0027794C">
      <w:pPr>
        <w:jc w:val="both"/>
        <w:rPr>
          <w:sz w:val="24"/>
        </w:rPr>
      </w:pPr>
      <w:r>
        <w:rPr>
          <w:sz w:val="24"/>
        </w:rPr>
        <w:t xml:space="preserve">- </w:t>
      </w:r>
      <w:r>
        <w:rPr>
          <w:i/>
          <w:iCs/>
          <w:sz w:val="24"/>
        </w:rPr>
        <w:t>jednotlivé děje</w:t>
      </w:r>
      <w:r>
        <w:rPr>
          <w:sz w:val="24"/>
        </w:rPr>
        <w:t xml:space="preserve">  </w:t>
      </w:r>
      <w:r>
        <w:rPr>
          <w:sz w:val="24"/>
        </w:rPr>
        <w:sym w:font="Symbol" w:char="F0B7"/>
      </w:r>
      <w:r>
        <w:rPr>
          <w:sz w:val="24"/>
        </w:rPr>
        <w:t xml:space="preserve"> </w:t>
      </w:r>
      <w:r w:rsidRPr="00326DD8">
        <w:rPr>
          <w:b/>
          <w:bCs/>
          <w:i/>
          <w:iCs/>
          <w:sz w:val="24"/>
          <w:szCs w:val="24"/>
        </w:rPr>
        <w:t>ADHEZ</w:t>
      </w:r>
      <w:r>
        <w:rPr>
          <w:sz w:val="24"/>
        </w:rPr>
        <w:t>E</w:t>
      </w:r>
      <w:r w:rsidRPr="00326DD8">
        <w:rPr>
          <w:sz w:val="24"/>
        </w:rPr>
        <w:t xml:space="preserve"> </w:t>
      </w:r>
      <w:r>
        <w:rPr>
          <w:sz w:val="24"/>
        </w:rPr>
        <w:t>– přilnutí částice na povrch</w:t>
      </w:r>
    </w:p>
    <w:p w:rsidR="0027794C" w:rsidRDefault="0027794C" w:rsidP="0027794C">
      <w:pPr>
        <w:jc w:val="both"/>
        <w:rPr>
          <w:sz w:val="24"/>
        </w:rPr>
      </w:pPr>
      <w:r>
        <w:rPr>
          <w:noProof/>
          <w:sz w:val="24"/>
        </w:rPr>
        <w:pict>
          <v:shapetype id="_x0000_t202" coordsize="21600,21600" o:spt="202" path="m,l,21600r21600,l21600,xe">
            <v:stroke joinstyle="miter"/>
            <v:path gradientshapeok="t" o:connecttype="rect"/>
          </v:shapetype>
          <v:shape id="_x0000_s1030" type="#_x0000_t202" style="position:absolute;left:0;text-align:left;margin-left:101.95pt;margin-top:10.8pt;width:145.3pt;height:87.35pt;z-index:251664384;mso-wrap-style:none" o:allowincell="f" stroked="f">
            <v:textbox style="mso-fit-shape-to-text:t">
              <w:txbxContent>
                <w:p w:rsidR="0027794C" w:rsidRDefault="0027794C" w:rsidP="0027794C">
                  <w:r>
                    <w:object w:dxaOrig="198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80.25pt" o:ole="" fillcolor="window">
                        <v:imagedata r:id="rId5" o:title=""/>
                      </v:shape>
                      <o:OLEObject Type="Embed" ProgID="PBrush" ShapeID="_x0000_i1025" DrawAspect="Content" ObjectID="_1357474228" r:id="rId6"/>
                    </w:object>
                  </w:r>
                </w:p>
              </w:txbxContent>
            </v:textbox>
          </v:shape>
        </w:pict>
      </w: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r>
        <w:rPr>
          <w:sz w:val="24"/>
        </w:rPr>
        <w:t xml:space="preserve">            </w:t>
      </w:r>
    </w:p>
    <w:p w:rsidR="0027794C" w:rsidRDefault="0027794C" w:rsidP="0027794C">
      <w:pPr>
        <w:jc w:val="both"/>
        <w:rPr>
          <w:sz w:val="24"/>
        </w:rPr>
      </w:pPr>
      <w:r>
        <w:rPr>
          <w:sz w:val="24"/>
        </w:rPr>
        <w:t xml:space="preserve">                    </w:t>
      </w:r>
      <w:r>
        <w:rPr>
          <w:sz w:val="24"/>
        </w:rPr>
        <w:sym w:font="Symbol" w:char="F0B7"/>
      </w:r>
      <w:r>
        <w:rPr>
          <w:sz w:val="24"/>
        </w:rPr>
        <w:t xml:space="preserve"> </w:t>
      </w:r>
      <w:r>
        <w:rPr>
          <w:b/>
          <w:bCs/>
          <w:i/>
          <w:iCs/>
          <w:sz w:val="24"/>
        </w:rPr>
        <w:t>INGESCE</w:t>
      </w:r>
      <w:r>
        <w:rPr>
          <w:sz w:val="24"/>
        </w:rPr>
        <w:t xml:space="preserve"> – pohlcení</w:t>
      </w:r>
    </w:p>
    <w:p w:rsidR="0027794C" w:rsidRDefault="0027794C" w:rsidP="0027794C">
      <w:pPr>
        <w:jc w:val="both"/>
        <w:rPr>
          <w:sz w:val="24"/>
        </w:rPr>
      </w:pPr>
    </w:p>
    <w:p w:rsidR="0027794C" w:rsidRDefault="0027794C" w:rsidP="0027794C">
      <w:pPr>
        <w:jc w:val="both"/>
        <w:rPr>
          <w:sz w:val="24"/>
        </w:rPr>
      </w:pPr>
      <w:r>
        <w:rPr>
          <w:noProof/>
          <w:sz w:val="24"/>
        </w:rPr>
        <w:pict>
          <v:shape id="_x0000_s1031" type="#_x0000_t202" style="position:absolute;left:0;text-align:left;margin-left:94.75pt;margin-top:9.9pt;width:129.55pt;height:78.65pt;z-index:251665408;mso-wrap-style:none" o:allowincell="f" stroked="f">
            <v:textbox style="mso-fit-shape-to-text:t">
              <w:txbxContent>
                <w:p w:rsidR="0027794C" w:rsidRDefault="0027794C" w:rsidP="0027794C">
                  <w:r>
                    <w:object w:dxaOrig="1545" w:dyaOrig="960">
                      <v:shape id="_x0000_i1026" type="#_x0000_t75" style="width:114.75pt;height:71.25pt" o:ole="" fillcolor="window">
                        <v:imagedata r:id="rId7" o:title=""/>
                      </v:shape>
                      <o:OLEObject Type="Embed" ProgID="PBrush" ShapeID="_x0000_i1026" DrawAspect="Content" ObjectID="_1357474229" r:id="rId8"/>
                    </w:object>
                  </w:r>
                </w:p>
              </w:txbxContent>
            </v:textbox>
          </v:shape>
        </w:pict>
      </w: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p>
    <w:p w:rsidR="0027794C" w:rsidRDefault="0027794C" w:rsidP="0027794C">
      <w:pPr>
        <w:jc w:val="both"/>
        <w:rPr>
          <w:sz w:val="24"/>
        </w:rPr>
      </w:pPr>
      <w:r>
        <w:rPr>
          <w:sz w:val="24"/>
        </w:rPr>
        <w:t xml:space="preserve">                   </w:t>
      </w:r>
      <w:r>
        <w:rPr>
          <w:sz w:val="24"/>
        </w:rPr>
        <w:sym w:font="Symbol" w:char="F0B7"/>
      </w:r>
      <w:r>
        <w:rPr>
          <w:sz w:val="24"/>
        </w:rPr>
        <w:t xml:space="preserve"> </w:t>
      </w:r>
      <w:r>
        <w:rPr>
          <w:b/>
          <w:bCs/>
          <w:i/>
          <w:iCs/>
          <w:caps/>
          <w:sz w:val="24"/>
          <w:szCs w:val="24"/>
        </w:rPr>
        <w:t>cidie</w:t>
      </w:r>
      <w:r>
        <w:rPr>
          <w:sz w:val="24"/>
        </w:rPr>
        <w:t xml:space="preserve"> – usmrcení částic</w:t>
      </w:r>
    </w:p>
    <w:p w:rsidR="0027794C" w:rsidRDefault="0027794C" w:rsidP="0027794C">
      <w:pPr>
        <w:jc w:val="both"/>
        <w:rPr>
          <w:sz w:val="24"/>
        </w:rPr>
      </w:pPr>
      <w:r>
        <w:rPr>
          <w:sz w:val="24"/>
        </w:rPr>
        <w:t xml:space="preserve">                    </w:t>
      </w:r>
      <w:r>
        <w:rPr>
          <w:sz w:val="24"/>
        </w:rPr>
        <w:sym w:font="Symbol" w:char="F0B7"/>
      </w:r>
      <w:r>
        <w:rPr>
          <w:sz w:val="24"/>
        </w:rPr>
        <w:t xml:space="preserve"> </w:t>
      </w:r>
      <w:r>
        <w:rPr>
          <w:b/>
          <w:bCs/>
          <w:i/>
          <w:iCs/>
          <w:sz w:val="24"/>
        </w:rPr>
        <w:t>DIGESCE</w:t>
      </w:r>
      <w:r>
        <w:rPr>
          <w:sz w:val="24"/>
        </w:rPr>
        <w:t xml:space="preserve"> – natrávení cizorodých částic/</w:t>
      </w:r>
    </w:p>
    <w:p w:rsidR="0027794C" w:rsidRDefault="0027794C" w:rsidP="0027794C">
      <w:pPr>
        <w:jc w:val="both"/>
        <w:rPr>
          <w:sz w:val="24"/>
        </w:rPr>
      </w:pPr>
      <w:r>
        <w:rPr>
          <w:sz w:val="24"/>
        </w:rPr>
        <w:t xml:space="preserve">                    </w:t>
      </w:r>
      <w:r>
        <w:rPr>
          <w:sz w:val="24"/>
        </w:rPr>
        <w:sym w:font="Symbol" w:char="F0B7"/>
      </w:r>
      <w:r>
        <w:rPr>
          <w:sz w:val="24"/>
        </w:rPr>
        <w:t xml:space="preserve"> </w:t>
      </w:r>
      <w:r>
        <w:rPr>
          <w:b/>
          <w:bCs/>
          <w:i/>
          <w:iCs/>
          <w:sz w:val="24"/>
        </w:rPr>
        <w:t>EXOCYTÓZA</w:t>
      </w:r>
      <w:r>
        <w:rPr>
          <w:sz w:val="24"/>
        </w:rPr>
        <w:t xml:space="preserve"> – vylití obsahu ven z buňky nebo uložení do lysozomů</w:t>
      </w:r>
    </w:p>
    <w:p w:rsidR="0027794C" w:rsidRDefault="0027794C" w:rsidP="0027794C">
      <w:pPr>
        <w:jc w:val="both"/>
        <w:rPr>
          <w:sz w:val="24"/>
        </w:rPr>
      </w:pPr>
    </w:p>
    <w:p w:rsidR="0027794C" w:rsidRDefault="0027794C" w:rsidP="0027794C">
      <w:pPr>
        <w:pStyle w:val="Nadpis2"/>
        <w:jc w:val="both"/>
        <w:rPr>
          <w:b/>
          <w:smallCaps/>
        </w:rPr>
      </w:pPr>
      <w:r>
        <w:rPr>
          <w:b/>
          <w:smallCaps/>
        </w:rPr>
        <w:t>NODULACE</w:t>
      </w:r>
    </w:p>
    <w:p w:rsidR="0027794C" w:rsidRDefault="0027794C" w:rsidP="0027794C">
      <w:pPr>
        <w:jc w:val="both"/>
        <w:rPr>
          <w:sz w:val="24"/>
        </w:rPr>
      </w:pPr>
      <w:r>
        <w:rPr>
          <w:sz w:val="24"/>
        </w:rPr>
        <w:t xml:space="preserve">Je proces, který vzniká po poranění, či po vniknutí cizorodého materiálu do hmyzího organismu, účastní se jej hemocyty a výsledkem je tvorba nodulů. Nodula je útvar vznikající agregací hemocytů na základě působení cizorodého materiálu. Působí jako filtr, vychytává cizí Ag. Je podjednotkou útvaru zvaného kapsule. Tohoto děje se účastní všechny hemocyty na začátku procesu. </w:t>
      </w:r>
    </w:p>
    <w:p w:rsidR="0027794C" w:rsidRDefault="0027794C" w:rsidP="0027794C">
      <w:pPr>
        <w:jc w:val="both"/>
        <w:rPr>
          <w:sz w:val="24"/>
        </w:rPr>
      </w:pPr>
      <w:r>
        <w:rPr>
          <w:sz w:val="24"/>
        </w:rPr>
        <w:t>Sled dějů</w:t>
      </w:r>
    </w:p>
    <w:p w:rsidR="0027794C" w:rsidRDefault="0027794C" w:rsidP="0027794C">
      <w:pPr>
        <w:jc w:val="both"/>
        <w:rPr>
          <w:sz w:val="24"/>
        </w:rPr>
      </w:pPr>
      <w:r>
        <w:rPr>
          <w:sz w:val="24"/>
        </w:rPr>
        <w:t>- kolem cizorodého Ag se shlukují hemocyty, pak se váží granulocyty</w:t>
      </w:r>
    </w:p>
    <w:p w:rsidR="0027794C" w:rsidRDefault="0027794C" w:rsidP="0027794C">
      <w:pPr>
        <w:jc w:val="both"/>
        <w:rPr>
          <w:b/>
          <w:bCs/>
          <w:i/>
          <w:iCs/>
          <w:sz w:val="24"/>
        </w:rPr>
      </w:pPr>
      <w:r>
        <w:rPr>
          <w:sz w:val="24"/>
        </w:rPr>
        <w:t xml:space="preserve">- </w:t>
      </w:r>
      <w:r>
        <w:rPr>
          <w:b/>
          <w:bCs/>
          <w:i/>
          <w:iCs/>
          <w:sz w:val="24"/>
        </w:rPr>
        <w:t xml:space="preserve">granulocyty </w:t>
      </w:r>
      <w:r>
        <w:rPr>
          <w:sz w:val="24"/>
        </w:rPr>
        <w:t xml:space="preserve">reagují na cizorodý Ag tím, že </w:t>
      </w:r>
      <w:r>
        <w:rPr>
          <w:b/>
          <w:bCs/>
          <w:i/>
          <w:iCs/>
          <w:sz w:val="24"/>
        </w:rPr>
        <w:t>LYZUJÍ</w:t>
      </w:r>
    </w:p>
    <w:p w:rsidR="0027794C" w:rsidRDefault="0027794C" w:rsidP="0027794C">
      <w:pPr>
        <w:jc w:val="both"/>
        <w:rPr>
          <w:sz w:val="24"/>
        </w:rPr>
      </w:pPr>
      <w:r>
        <w:rPr>
          <w:sz w:val="24"/>
        </w:rPr>
        <w:t xml:space="preserve">- uvolňují se složky </w:t>
      </w:r>
      <w:r>
        <w:rPr>
          <w:b/>
          <w:bCs/>
          <w:i/>
          <w:iCs/>
          <w:sz w:val="24"/>
        </w:rPr>
        <w:t>FENOLOXIDÁZOVÉ kaskády</w:t>
      </w:r>
      <w:r>
        <w:rPr>
          <w:sz w:val="24"/>
        </w:rPr>
        <w:t xml:space="preserve"> – ta se tím sama aktivuje, vytváří se také melanin</w:t>
      </w:r>
    </w:p>
    <w:p w:rsidR="0027794C" w:rsidRDefault="0027794C" w:rsidP="0027794C">
      <w:pPr>
        <w:jc w:val="both"/>
        <w:rPr>
          <w:sz w:val="24"/>
        </w:rPr>
      </w:pPr>
      <w:r>
        <w:rPr>
          <w:sz w:val="24"/>
        </w:rPr>
        <w:t xml:space="preserve">- dochází k </w:t>
      </w:r>
      <w:r>
        <w:rPr>
          <w:b/>
          <w:bCs/>
          <w:i/>
          <w:iCs/>
          <w:sz w:val="24"/>
        </w:rPr>
        <w:t>AKTIVACI plazmatocytů</w:t>
      </w:r>
      <w:r>
        <w:rPr>
          <w:sz w:val="24"/>
        </w:rPr>
        <w:t xml:space="preserve"> </w:t>
      </w:r>
    </w:p>
    <w:p w:rsidR="0027794C" w:rsidRDefault="0027794C" w:rsidP="0027794C">
      <w:pPr>
        <w:ind w:firstLine="709"/>
        <w:jc w:val="both"/>
        <w:rPr>
          <w:sz w:val="24"/>
        </w:rPr>
      </w:pPr>
      <w:r>
        <w:rPr>
          <w:sz w:val="24"/>
        </w:rPr>
        <w:t xml:space="preserve">- </w:t>
      </w:r>
      <w:r>
        <w:rPr>
          <w:b/>
          <w:bCs/>
          <w:i/>
          <w:iCs/>
          <w:sz w:val="24"/>
        </w:rPr>
        <w:t>shlukují se</w:t>
      </w:r>
      <w:r>
        <w:rPr>
          <w:sz w:val="24"/>
        </w:rPr>
        <w:t xml:space="preserve"> kolem cizorodého materiálu a zlyzovaných granulocytů </w:t>
      </w:r>
    </w:p>
    <w:p w:rsidR="0027794C" w:rsidRDefault="0027794C" w:rsidP="0027794C">
      <w:pPr>
        <w:ind w:left="960" w:hanging="251"/>
        <w:jc w:val="both"/>
        <w:rPr>
          <w:sz w:val="24"/>
        </w:rPr>
      </w:pPr>
      <w:r>
        <w:rPr>
          <w:sz w:val="24"/>
        </w:rPr>
        <w:t>- vytváří mezi sebou zvláštní spojení zv.</w:t>
      </w:r>
      <w:r>
        <w:rPr>
          <w:b/>
          <w:bCs/>
          <w:i/>
          <w:iCs/>
          <w:sz w:val="24"/>
        </w:rPr>
        <w:t>GAP JUNCTION</w:t>
      </w:r>
    </w:p>
    <w:p w:rsidR="0027794C" w:rsidRPr="00EF665D" w:rsidRDefault="0027794C" w:rsidP="0027794C">
      <w:pPr>
        <w:ind w:left="960" w:hanging="251"/>
        <w:jc w:val="both"/>
        <w:rPr>
          <w:iCs/>
          <w:sz w:val="24"/>
        </w:rPr>
      </w:pPr>
      <w:r>
        <w:rPr>
          <w:sz w:val="24"/>
        </w:rPr>
        <w:sym w:font="Symbol" w:char="F0AE"/>
      </w:r>
      <w:r>
        <w:rPr>
          <w:sz w:val="24"/>
        </w:rPr>
        <w:t xml:space="preserve"> dochází k vytvoření </w:t>
      </w:r>
      <w:r>
        <w:rPr>
          <w:i/>
          <w:iCs/>
          <w:sz w:val="24"/>
        </w:rPr>
        <w:t>NODULE</w:t>
      </w:r>
      <w:r w:rsidRPr="00EF665D">
        <w:rPr>
          <w:iCs/>
          <w:sz w:val="24"/>
        </w:rPr>
        <w:t>, která je tvořena z 20-30 vrstev PL</w:t>
      </w:r>
    </w:p>
    <w:p w:rsidR="0027794C" w:rsidRDefault="0027794C" w:rsidP="0027794C">
      <w:pPr>
        <w:ind w:left="960" w:hanging="251"/>
        <w:jc w:val="both"/>
        <w:rPr>
          <w:b/>
          <w:bCs/>
          <w:i/>
          <w:iCs/>
          <w:sz w:val="24"/>
        </w:rPr>
      </w:pPr>
      <w:r>
        <w:rPr>
          <w:sz w:val="24"/>
        </w:rPr>
        <w:t>- dochází k </w:t>
      </w:r>
      <w:r>
        <w:rPr>
          <w:b/>
          <w:bCs/>
          <w:i/>
          <w:iCs/>
          <w:sz w:val="24"/>
        </w:rPr>
        <w:t>FILTRACI cizorodého materiálu</w:t>
      </w:r>
      <w:r>
        <w:rPr>
          <w:sz w:val="24"/>
        </w:rPr>
        <w:t xml:space="preserve"> a jeho zachycení, a ten  může být v konečném důsledku fagocytován</w:t>
      </w:r>
    </w:p>
    <w:p w:rsidR="0027794C" w:rsidRDefault="0027794C" w:rsidP="0027794C">
      <w:pPr>
        <w:jc w:val="both"/>
        <w:rPr>
          <w:b/>
          <w:bCs/>
          <w:i/>
          <w:iCs/>
          <w:sz w:val="24"/>
        </w:rPr>
      </w:pPr>
    </w:p>
    <w:p w:rsidR="0027794C" w:rsidRDefault="0027794C" w:rsidP="0027794C">
      <w:pPr>
        <w:ind w:firstLine="2127"/>
        <w:jc w:val="both"/>
        <w:rPr>
          <w:sz w:val="24"/>
        </w:rPr>
      </w:pPr>
      <w:r>
        <w:rPr>
          <w:noProof/>
          <w:sz w:val="24"/>
        </w:rPr>
        <w:lastRenderedPageBreak/>
        <w:pict>
          <v:shape id="_x0000_s1033" type="#_x0000_t202" style="position:absolute;left:0;text-align:left;margin-left:293.2pt;margin-top:86.85pt;width:153pt;height:27pt;z-index:251667456" stroked="f">
            <v:textbox>
              <w:txbxContent>
                <w:p w:rsidR="0027794C" w:rsidRDefault="0027794C" w:rsidP="0027794C">
                  <w:pPr>
                    <w:pStyle w:val="Zkladntext"/>
                  </w:pPr>
                  <w:r>
                    <w:t>zlyzovaný Ag a granulocyty</w:t>
                  </w:r>
                </w:p>
              </w:txbxContent>
            </v:textbox>
          </v:shape>
        </w:pict>
      </w:r>
      <w:r>
        <w:rPr>
          <w:noProof/>
          <w:sz w:val="24"/>
        </w:rPr>
        <w:pict>
          <v:shape id="_x0000_s1032" type="#_x0000_t202" style="position:absolute;left:0;text-align:left;margin-left:302.2pt;margin-top:41.85pt;width:81pt;height:27pt;z-index:251666432" stroked="f">
            <v:textbox>
              <w:txbxContent>
                <w:p w:rsidR="0027794C" w:rsidRDefault="0027794C" w:rsidP="0027794C">
                  <w:pPr>
                    <w:rPr>
                      <w:sz w:val="24"/>
                    </w:rPr>
                  </w:pPr>
                  <w:r>
                    <w:rPr>
                      <w:sz w:val="24"/>
                    </w:rPr>
                    <w:t>plazmatocyty</w:t>
                  </w:r>
                </w:p>
              </w:txbxContent>
            </v:textbox>
          </v:shape>
        </w:pict>
      </w:r>
      <w:r>
        <w:rPr>
          <w:noProof/>
          <w:sz w:val="24"/>
        </w:rPr>
        <w:drawing>
          <wp:inline distT="0" distB="0" distL="0" distR="0">
            <wp:extent cx="3057525" cy="1790700"/>
            <wp:effectExtent l="19050" t="0" r="9525" b="0"/>
            <wp:docPr id="1" name="obrázek 1" descr="N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DULE"/>
                    <pic:cNvPicPr>
                      <a:picLocks noChangeAspect="1" noChangeArrowheads="1"/>
                    </pic:cNvPicPr>
                  </pic:nvPicPr>
                  <pic:blipFill>
                    <a:blip r:embed="rId9" cstate="print"/>
                    <a:srcRect l="19405" t="15591" r="27406" b="53328"/>
                    <a:stretch>
                      <a:fillRect/>
                    </a:stretch>
                  </pic:blipFill>
                  <pic:spPr bwMode="auto">
                    <a:xfrm>
                      <a:off x="0" y="0"/>
                      <a:ext cx="3057525" cy="1790700"/>
                    </a:xfrm>
                    <a:prstGeom prst="rect">
                      <a:avLst/>
                    </a:prstGeom>
                    <a:noFill/>
                    <a:ln w="9525">
                      <a:noFill/>
                      <a:miter lim="800000"/>
                      <a:headEnd/>
                      <a:tailEnd/>
                    </a:ln>
                  </pic:spPr>
                </pic:pic>
              </a:graphicData>
            </a:graphic>
          </wp:inline>
        </w:drawing>
      </w:r>
    </w:p>
    <w:p w:rsidR="0027794C" w:rsidRPr="00AE4B61" w:rsidRDefault="0027794C" w:rsidP="0027794C">
      <w:pPr>
        <w:jc w:val="both"/>
        <w:rPr>
          <w:b/>
          <w:sz w:val="24"/>
        </w:rPr>
      </w:pPr>
    </w:p>
    <w:p w:rsidR="0027794C" w:rsidRPr="00AE4B61" w:rsidRDefault="0027794C" w:rsidP="0027794C">
      <w:pPr>
        <w:pStyle w:val="Nadpis2"/>
        <w:rPr>
          <w:b/>
          <w:bCs/>
          <w:smallCaps/>
        </w:rPr>
      </w:pPr>
      <w:r w:rsidRPr="00AE4B61">
        <w:rPr>
          <w:b/>
          <w:bCs/>
          <w:smallCaps/>
        </w:rPr>
        <w:t>ENKAPSULACE</w:t>
      </w:r>
    </w:p>
    <w:p w:rsidR="0027794C" w:rsidRPr="00AE4B61" w:rsidRDefault="0027794C" w:rsidP="0027794C">
      <w:pPr>
        <w:rPr>
          <w:sz w:val="24"/>
        </w:rPr>
      </w:pPr>
      <w:r>
        <w:rPr>
          <w:sz w:val="24"/>
        </w:rPr>
        <w:t>Je proces, při kterém může být pohlcena nodule vznikající u větších cizorodých organismů, např. prvoků a jiných</w:t>
      </w:r>
      <w:r w:rsidRPr="00AE4B61">
        <w:rPr>
          <w:sz w:val="24"/>
        </w:rPr>
        <w:t xml:space="preserve"> </w:t>
      </w:r>
      <w:r>
        <w:rPr>
          <w:sz w:val="24"/>
        </w:rPr>
        <w:t xml:space="preserve">parazitů, má dva </w:t>
      </w:r>
      <w:r w:rsidRPr="00AE4B61">
        <w:rPr>
          <w:iCs/>
          <w:sz w:val="24"/>
        </w:rPr>
        <w:t>mechanismy:</w:t>
      </w:r>
    </w:p>
    <w:p w:rsidR="0027794C" w:rsidRDefault="0027794C" w:rsidP="0027794C">
      <w:pPr>
        <w:rPr>
          <w:b/>
          <w:bCs/>
          <w:i/>
          <w:iCs/>
          <w:sz w:val="24"/>
        </w:rPr>
      </w:pPr>
      <w:r>
        <w:rPr>
          <w:b/>
          <w:bCs/>
          <w:i/>
          <w:iCs/>
          <w:sz w:val="24"/>
        </w:rPr>
        <w:t>látkový:</w:t>
      </w:r>
      <w:r>
        <w:rPr>
          <w:sz w:val="24"/>
        </w:rPr>
        <w:t xml:space="preserve"> - </w:t>
      </w:r>
      <w:r>
        <w:rPr>
          <w:i/>
          <w:iCs/>
          <w:sz w:val="24"/>
        </w:rPr>
        <w:t>granulocyty</w:t>
      </w:r>
      <w:r>
        <w:rPr>
          <w:sz w:val="24"/>
        </w:rPr>
        <w:t xml:space="preserve"> reagují na cizorodý Ag </w:t>
      </w:r>
      <w:r>
        <w:rPr>
          <w:sz w:val="24"/>
        </w:rPr>
        <w:sym w:font="Symbol" w:char="F0AE"/>
      </w:r>
      <w:r>
        <w:rPr>
          <w:sz w:val="24"/>
        </w:rPr>
        <w:t xml:space="preserve"> </w:t>
      </w:r>
      <w:r>
        <w:rPr>
          <w:b/>
          <w:bCs/>
          <w:i/>
          <w:iCs/>
          <w:sz w:val="24"/>
        </w:rPr>
        <w:t>LYZUJÍ</w:t>
      </w:r>
    </w:p>
    <w:p w:rsidR="0027794C" w:rsidRDefault="0027794C" w:rsidP="0027794C">
      <w:pPr>
        <w:rPr>
          <w:sz w:val="24"/>
        </w:rPr>
      </w:pPr>
      <w:r>
        <w:rPr>
          <w:sz w:val="24"/>
        </w:rPr>
        <w:t xml:space="preserve">                  - aktivují se složky </w:t>
      </w:r>
      <w:r>
        <w:rPr>
          <w:b/>
          <w:bCs/>
          <w:i/>
          <w:iCs/>
          <w:sz w:val="24"/>
        </w:rPr>
        <w:t>fenoloxidázové kaskády</w:t>
      </w:r>
      <w:r>
        <w:rPr>
          <w:sz w:val="24"/>
        </w:rPr>
        <w:t xml:space="preserve"> , jde o intenzivní proces </w:t>
      </w:r>
    </w:p>
    <w:p w:rsidR="0027794C" w:rsidRDefault="0027794C" w:rsidP="0027794C">
      <w:pPr>
        <w:rPr>
          <w:sz w:val="24"/>
        </w:rPr>
      </w:pPr>
      <w:r>
        <w:rPr>
          <w:sz w:val="24"/>
        </w:rPr>
        <w:t xml:space="preserve">                  - vytvaří se velké množství </w:t>
      </w:r>
      <w:r>
        <w:rPr>
          <w:b/>
          <w:bCs/>
          <w:i/>
          <w:iCs/>
          <w:sz w:val="24"/>
        </w:rPr>
        <w:t>melaninu, který obaluje cizorodý Ag</w:t>
      </w:r>
    </w:p>
    <w:p w:rsidR="0027794C" w:rsidRDefault="0027794C" w:rsidP="0027794C">
      <w:pPr>
        <w:rPr>
          <w:sz w:val="24"/>
        </w:rPr>
      </w:pPr>
      <w:r>
        <w:rPr>
          <w:b/>
          <w:bCs/>
          <w:i/>
          <w:iCs/>
          <w:sz w:val="24"/>
        </w:rPr>
        <w:t xml:space="preserve">buněčný: </w:t>
      </w:r>
      <w:r>
        <w:rPr>
          <w:sz w:val="24"/>
        </w:rPr>
        <w:t xml:space="preserve">- stejný postup </w:t>
      </w:r>
      <w:r>
        <w:rPr>
          <w:b/>
          <w:bCs/>
          <w:i/>
          <w:iCs/>
          <w:sz w:val="24"/>
        </w:rPr>
        <w:t>jako u nodulace</w:t>
      </w:r>
    </w:p>
    <w:p w:rsidR="0027794C" w:rsidRDefault="0027794C" w:rsidP="0027794C">
      <w:pPr>
        <w:rPr>
          <w:b/>
          <w:bCs/>
          <w:i/>
          <w:iCs/>
          <w:sz w:val="24"/>
        </w:rPr>
      </w:pPr>
      <w:r>
        <w:rPr>
          <w:sz w:val="24"/>
        </w:rPr>
        <w:t xml:space="preserve">                  - dochází však ještě k obalení nodule </w:t>
      </w:r>
      <w:r>
        <w:rPr>
          <w:b/>
          <w:bCs/>
          <w:i/>
          <w:iCs/>
          <w:sz w:val="24"/>
        </w:rPr>
        <w:t>melaninem</w:t>
      </w:r>
    </w:p>
    <w:p w:rsidR="0027794C" w:rsidRDefault="0027794C" w:rsidP="0027794C">
      <w:pPr>
        <w:ind w:firstLine="2127"/>
        <w:rPr>
          <w:b/>
          <w:bCs/>
          <w:i/>
          <w:iCs/>
          <w:sz w:val="24"/>
        </w:rPr>
      </w:pPr>
      <w:r>
        <w:rPr>
          <w:b/>
          <w:bCs/>
          <w:i/>
          <w:iCs/>
          <w:noProof/>
          <w:sz w:val="24"/>
        </w:rPr>
        <w:pict>
          <v:shape id="_x0000_s1036" type="#_x0000_t202" style="position:absolute;left:0;text-align:left;margin-left:275.2pt;margin-top:11.9pt;width:1in;height:27pt;z-index:251670528" stroked="f">
            <v:textbox>
              <w:txbxContent>
                <w:p w:rsidR="0027794C" w:rsidRDefault="0027794C" w:rsidP="0027794C">
                  <w:pPr>
                    <w:rPr>
                      <w:sz w:val="24"/>
                    </w:rPr>
                  </w:pPr>
                  <w:r>
                    <w:rPr>
                      <w:sz w:val="24"/>
                    </w:rPr>
                    <w:t>melanin</w:t>
                  </w:r>
                </w:p>
              </w:txbxContent>
            </v:textbox>
          </v:shape>
        </w:pict>
      </w:r>
      <w:r>
        <w:rPr>
          <w:b/>
          <w:bCs/>
          <w:i/>
          <w:iCs/>
          <w:noProof/>
          <w:sz w:val="24"/>
        </w:rPr>
        <w:pict>
          <v:shape id="_x0000_s1035" type="#_x0000_t202" style="position:absolute;left:0;text-align:left;margin-left:293.2pt;margin-top:97.3pt;width:81pt;height:27pt;z-index:251669504" stroked="f">
            <v:textbox>
              <w:txbxContent>
                <w:p w:rsidR="0027794C" w:rsidRDefault="0027794C" w:rsidP="0027794C">
                  <w:pPr>
                    <w:rPr>
                      <w:sz w:val="24"/>
                    </w:rPr>
                  </w:pPr>
                  <w:r>
                    <w:rPr>
                      <w:sz w:val="24"/>
                    </w:rPr>
                    <w:t>plazmatocyty</w:t>
                  </w:r>
                </w:p>
              </w:txbxContent>
            </v:textbox>
          </v:shape>
        </w:pict>
      </w:r>
      <w:r>
        <w:rPr>
          <w:b/>
          <w:bCs/>
          <w:i/>
          <w:iCs/>
          <w:noProof/>
          <w:sz w:val="24"/>
        </w:rPr>
        <w:pict>
          <v:shape id="_x0000_s1034" type="#_x0000_t202" style="position:absolute;left:0;text-align:left;margin-left:266.2pt;margin-top:43.3pt;width:153pt;height:27pt;z-index:251668480" stroked="f">
            <v:textbox>
              <w:txbxContent>
                <w:p w:rsidR="0027794C" w:rsidRDefault="0027794C" w:rsidP="0027794C">
                  <w:pPr>
                    <w:pStyle w:val="Zkladntext"/>
                  </w:pPr>
                  <w:r>
                    <w:t>zlyzovaný Ag a granulocyty</w:t>
                  </w:r>
                </w:p>
              </w:txbxContent>
            </v:textbox>
          </v:shape>
        </w:pict>
      </w:r>
      <w:r>
        <w:rPr>
          <w:b/>
          <w:bCs/>
          <w:i/>
          <w:iCs/>
          <w:noProof/>
          <w:sz w:val="24"/>
        </w:rPr>
        <w:drawing>
          <wp:inline distT="0" distB="0" distL="0" distR="0">
            <wp:extent cx="2714625" cy="1943100"/>
            <wp:effectExtent l="19050" t="0" r="9525" b="0"/>
            <wp:docPr id="2" name="obrázek 2" descr="ENKAPSU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KAPSULACE"/>
                    <pic:cNvPicPr>
                      <a:picLocks noChangeAspect="1" noChangeArrowheads="1"/>
                    </pic:cNvPicPr>
                  </pic:nvPicPr>
                  <pic:blipFill>
                    <a:blip r:embed="rId10" cstate="print"/>
                    <a:srcRect l="15437" t="10995" r="27405" b="48282"/>
                    <a:stretch>
                      <a:fillRect/>
                    </a:stretch>
                  </pic:blipFill>
                  <pic:spPr bwMode="auto">
                    <a:xfrm>
                      <a:off x="0" y="0"/>
                      <a:ext cx="2714625" cy="1943100"/>
                    </a:xfrm>
                    <a:prstGeom prst="rect">
                      <a:avLst/>
                    </a:prstGeom>
                    <a:noFill/>
                    <a:ln w="9525">
                      <a:noFill/>
                      <a:miter lim="800000"/>
                      <a:headEnd/>
                      <a:tailEnd/>
                    </a:ln>
                  </pic:spPr>
                </pic:pic>
              </a:graphicData>
            </a:graphic>
          </wp:inline>
        </w:drawing>
      </w:r>
    </w:p>
    <w:p w:rsidR="0027794C" w:rsidRDefault="0027794C" w:rsidP="0027794C">
      <w:pPr>
        <w:rPr>
          <w:b/>
          <w:bCs/>
          <w:i/>
          <w:iCs/>
          <w:sz w:val="24"/>
          <w:u w:val="single"/>
        </w:rPr>
      </w:pPr>
    </w:p>
    <w:p w:rsidR="0027794C" w:rsidRDefault="0027794C" w:rsidP="0027794C">
      <w:pPr>
        <w:pStyle w:val="Nadpis2"/>
        <w:rPr>
          <w:bCs/>
          <w:i w:val="0"/>
        </w:rPr>
      </w:pPr>
      <w:r w:rsidRPr="00AE4B61">
        <w:rPr>
          <w:bCs/>
          <w:i w:val="0"/>
        </w:rPr>
        <w:t>V obou případech enkapsulace je vždy cizorodý materiál obklopen nodulemi, čímž se liší nodulace od enkapsulace</w:t>
      </w:r>
    </w:p>
    <w:p w:rsidR="0027794C" w:rsidRPr="00AE4B61" w:rsidRDefault="0027794C" w:rsidP="0027794C">
      <w:pPr>
        <w:rPr>
          <w:b/>
        </w:rPr>
      </w:pPr>
    </w:p>
    <w:p w:rsidR="0027794C" w:rsidRDefault="0027794C" w:rsidP="0027794C">
      <w:pPr>
        <w:pStyle w:val="Nadpis2"/>
        <w:rPr>
          <w:b/>
          <w:bCs/>
          <w:smallCaps/>
        </w:rPr>
      </w:pPr>
      <w:r w:rsidRPr="00AE4B61">
        <w:rPr>
          <w:b/>
          <w:bCs/>
          <w:smallCaps/>
        </w:rPr>
        <w:t>KOAGULACE</w:t>
      </w:r>
    </w:p>
    <w:p w:rsidR="0027794C" w:rsidRPr="00AE4B61" w:rsidRDefault="0027794C" w:rsidP="0027794C">
      <w:pPr>
        <w:rPr>
          <w:bCs/>
          <w:iCs/>
          <w:caps/>
          <w:sz w:val="24"/>
          <w:szCs w:val="24"/>
        </w:rPr>
      </w:pPr>
      <w:r w:rsidRPr="00AE4B61">
        <w:rPr>
          <w:sz w:val="24"/>
          <w:szCs w:val="24"/>
        </w:rPr>
        <w:t>Reakci zprostředkovávají CO, které se po stimulaci během poranění</w:t>
      </w:r>
      <w:r>
        <w:rPr>
          <w:b/>
          <w:bCs/>
          <w:i/>
          <w:iCs/>
          <w:sz w:val="24"/>
          <w:szCs w:val="24"/>
        </w:rPr>
        <w:t xml:space="preserve"> </w:t>
      </w:r>
      <w:r w:rsidRPr="00AE4B61">
        <w:rPr>
          <w:bCs/>
          <w:iCs/>
          <w:sz w:val="24"/>
          <w:szCs w:val="24"/>
        </w:rPr>
        <w:t>rozpadají, uvolňují složky koagulační kaskády a aktivují ji</w:t>
      </w:r>
      <w:r w:rsidRPr="00AE4B61">
        <w:rPr>
          <w:bCs/>
          <w:i/>
          <w:iCs/>
          <w:sz w:val="24"/>
          <w:szCs w:val="24"/>
        </w:rPr>
        <w:t xml:space="preserve">. </w:t>
      </w:r>
      <w:r>
        <w:rPr>
          <w:bCs/>
          <w:iCs/>
          <w:sz w:val="24"/>
          <w:szCs w:val="24"/>
        </w:rPr>
        <w:t>Ú</w:t>
      </w:r>
      <w:r w:rsidRPr="00AE4B61">
        <w:rPr>
          <w:bCs/>
          <w:iCs/>
          <w:sz w:val="24"/>
          <w:szCs w:val="24"/>
        </w:rPr>
        <w:t>častní se někdy i další hemocyty</w:t>
      </w:r>
    </w:p>
    <w:p w:rsidR="0027794C" w:rsidRDefault="0027794C" w:rsidP="0027794C">
      <w:pPr>
        <w:pStyle w:val="Nadpis2"/>
        <w:rPr>
          <w:b/>
          <w:bCs/>
          <w:caps/>
        </w:rPr>
      </w:pPr>
    </w:p>
    <w:p w:rsidR="0027794C" w:rsidRPr="00AE4B61" w:rsidRDefault="0027794C" w:rsidP="0027794C">
      <w:pPr>
        <w:pStyle w:val="Nadpis2"/>
        <w:rPr>
          <w:b/>
          <w:bCs/>
          <w:caps/>
        </w:rPr>
      </w:pPr>
      <w:r w:rsidRPr="00AE4B61">
        <w:rPr>
          <w:b/>
          <w:bCs/>
          <w:caps/>
        </w:rPr>
        <w:t>FENOLOXIDÁZová kaskáda</w:t>
      </w:r>
    </w:p>
    <w:p w:rsidR="0027794C" w:rsidRPr="000959C9" w:rsidRDefault="0027794C" w:rsidP="0027794C">
      <w:pPr>
        <w:rPr>
          <w:bCs/>
          <w:sz w:val="24"/>
        </w:rPr>
      </w:pPr>
      <w:r>
        <w:rPr>
          <w:sz w:val="24"/>
        </w:rPr>
        <w:t xml:space="preserve">Je přeměna zbytků aminokyseliny tyroxinu na polymer melanin za vzniku hnědého barviva </w:t>
      </w:r>
      <w:r w:rsidRPr="000959C9">
        <w:rPr>
          <w:sz w:val="24"/>
        </w:rPr>
        <w:t xml:space="preserve">Jako </w:t>
      </w:r>
      <w:r w:rsidRPr="000959C9">
        <w:rPr>
          <w:bCs/>
          <w:sz w:val="24"/>
        </w:rPr>
        <w:t>PROENZYM je profenoloxidáza neaktivní, aktivuje se následujícími molekulami:</w:t>
      </w:r>
    </w:p>
    <w:p w:rsidR="0027794C" w:rsidRDefault="0027794C" w:rsidP="0027794C">
      <w:pPr>
        <w:rPr>
          <w:sz w:val="24"/>
        </w:rPr>
      </w:pPr>
      <w:r>
        <w:rPr>
          <w:sz w:val="24"/>
        </w:rPr>
        <w:t>1. β-1,3-glukanembakteriálních stěn nebo kvasinek</w:t>
      </w:r>
    </w:p>
    <w:p w:rsidR="0027794C" w:rsidRDefault="0027794C" w:rsidP="0027794C">
      <w:pPr>
        <w:rPr>
          <w:sz w:val="24"/>
        </w:rPr>
      </w:pPr>
      <w:r>
        <w:rPr>
          <w:sz w:val="24"/>
        </w:rPr>
        <w:t xml:space="preserve">2. lypopolysacharidem (LPS) u G – bakterií </w:t>
      </w:r>
    </w:p>
    <w:p w:rsidR="0027794C" w:rsidRDefault="0027794C" w:rsidP="0027794C">
      <w:pPr>
        <w:rPr>
          <w:sz w:val="24"/>
        </w:rPr>
      </w:pPr>
      <w:r>
        <w:rPr>
          <w:sz w:val="24"/>
        </w:rPr>
        <w:t>3. peptidoglykanových fragmentů</w:t>
      </w:r>
      <w:r w:rsidRPr="000959C9">
        <w:rPr>
          <w:sz w:val="24"/>
        </w:rPr>
        <w:t xml:space="preserve"> </w:t>
      </w:r>
      <w:r>
        <w:rPr>
          <w:sz w:val="24"/>
        </w:rPr>
        <w:t>G+</w:t>
      </w:r>
      <w:r w:rsidRPr="000959C9">
        <w:rPr>
          <w:sz w:val="24"/>
        </w:rPr>
        <w:t xml:space="preserve"> </w:t>
      </w:r>
      <w:r>
        <w:rPr>
          <w:sz w:val="24"/>
        </w:rPr>
        <w:t xml:space="preserve">i G – bakterií </w:t>
      </w:r>
    </w:p>
    <w:p w:rsidR="0027794C" w:rsidRPr="000959C9" w:rsidRDefault="0027794C" w:rsidP="0027794C">
      <w:pPr>
        <w:rPr>
          <w:sz w:val="24"/>
        </w:rPr>
      </w:pPr>
    </w:p>
    <w:p w:rsidR="0027794C" w:rsidRPr="000959C9" w:rsidRDefault="0027794C" w:rsidP="0027794C">
      <w:pPr>
        <w:rPr>
          <w:sz w:val="24"/>
        </w:rPr>
      </w:pPr>
      <w:r>
        <w:rPr>
          <w:sz w:val="24"/>
        </w:rPr>
        <w:t xml:space="preserve">- Reakce probíhá působením </w:t>
      </w:r>
      <w:r>
        <w:rPr>
          <w:b/>
          <w:bCs/>
          <w:i/>
          <w:iCs/>
          <w:sz w:val="24"/>
        </w:rPr>
        <w:t xml:space="preserve">proteolytických serin-proteinázových </w:t>
      </w:r>
      <w:r w:rsidRPr="000959C9">
        <w:rPr>
          <w:bCs/>
          <w:i/>
          <w:iCs/>
          <w:sz w:val="24"/>
        </w:rPr>
        <w:t xml:space="preserve">enzymů </w:t>
      </w:r>
      <w:r w:rsidRPr="000959C9">
        <w:rPr>
          <w:bCs/>
          <w:iCs/>
          <w:sz w:val="24"/>
        </w:rPr>
        <w:t>přes několik produktů jako jsou např. DOPA, dopachinon</w:t>
      </w:r>
      <w:r>
        <w:rPr>
          <w:bCs/>
          <w:iCs/>
          <w:sz w:val="24"/>
        </w:rPr>
        <w:t>, je závislá na přítomnosti Ca</w:t>
      </w:r>
      <w:r>
        <w:rPr>
          <w:bCs/>
          <w:iCs/>
          <w:sz w:val="24"/>
          <w:szCs w:val="24"/>
          <w:vertAlign w:val="superscript"/>
        </w:rPr>
        <w:t>2</w:t>
      </w:r>
      <w:r>
        <w:rPr>
          <w:sz w:val="24"/>
        </w:rPr>
        <w:t>+</w:t>
      </w:r>
      <w:r>
        <w:rPr>
          <w:bCs/>
          <w:iCs/>
          <w:sz w:val="24"/>
        </w:rPr>
        <w:t xml:space="preserve">. Systém aktivující profenoloxidázu se nachází buď v integumentu nebo v hemolymfě.  </w:t>
      </w:r>
    </w:p>
    <w:p w:rsidR="0027794C" w:rsidRDefault="0027794C" w:rsidP="0027794C"/>
    <w:p w:rsidR="0027794C" w:rsidRDefault="0027794C" w:rsidP="0027794C">
      <w:pPr>
        <w:rPr>
          <w:smallCaps/>
          <w:sz w:val="24"/>
        </w:rPr>
      </w:pPr>
    </w:p>
    <w:sectPr w:rsidR="0027794C" w:rsidSect="00192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3410F"/>
    <w:multiLevelType w:val="hybridMultilevel"/>
    <w:tmpl w:val="617E9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EAE0E9A"/>
    <w:multiLevelType w:val="hybridMultilevel"/>
    <w:tmpl w:val="14C2AF06"/>
    <w:lvl w:ilvl="0" w:tplc="0405000F">
      <w:start w:val="1"/>
      <w:numFmt w:val="decimal"/>
      <w:lvlText w:val="%1."/>
      <w:lvlJc w:val="left"/>
      <w:pPr>
        <w:tabs>
          <w:tab w:val="num" w:pos="720"/>
        </w:tabs>
        <w:ind w:left="720" w:hanging="360"/>
      </w:pPr>
      <w:rPr>
        <w:rFonts w:hint="default"/>
      </w:rPr>
    </w:lvl>
    <w:lvl w:ilvl="1" w:tplc="134C9004">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794C"/>
    <w:rsid w:val="00192FBD"/>
    <w:rsid w:val="0027794C"/>
    <w:rsid w:val="005525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794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7794C"/>
    <w:pPr>
      <w:keepNext/>
      <w:spacing w:line="240" w:lineRule="atLeast"/>
      <w:outlineLvl w:val="0"/>
    </w:pPr>
    <w:rPr>
      <w:b/>
      <w:bCs/>
      <w:smallCaps/>
      <w:sz w:val="24"/>
      <w:szCs w:val="24"/>
    </w:rPr>
  </w:style>
  <w:style w:type="paragraph" w:styleId="Nadpis2">
    <w:name w:val="heading 2"/>
    <w:basedOn w:val="Normln"/>
    <w:next w:val="Normln"/>
    <w:link w:val="Nadpis2Char"/>
    <w:qFormat/>
    <w:rsid w:val="0027794C"/>
    <w:pPr>
      <w:keepNext/>
      <w:spacing w:line="240" w:lineRule="atLeas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794C"/>
    <w:rPr>
      <w:rFonts w:ascii="Times New Roman" w:eastAsia="Times New Roman" w:hAnsi="Times New Roman" w:cs="Times New Roman"/>
      <w:b/>
      <w:bCs/>
      <w:smallCaps/>
      <w:sz w:val="24"/>
      <w:szCs w:val="24"/>
      <w:lang w:eastAsia="cs-CZ"/>
    </w:rPr>
  </w:style>
  <w:style w:type="character" w:customStyle="1" w:styleId="Nadpis2Char">
    <w:name w:val="Nadpis 2 Char"/>
    <w:basedOn w:val="Standardnpsmoodstavce"/>
    <w:link w:val="Nadpis2"/>
    <w:rsid w:val="0027794C"/>
    <w:rPr>
      <w:rFonts w:ascii="Times New Roman" w:eastAsia="Times New Roman" w:hAnsi="Times New Roman" w:cs="Times New Roman"/>
      <w:i/>
      <w:iCs/>
      <w:sz w:val="24"/>
      <w:szCs w:val="24"/>
      <w:lang w:eastAsia="cs-CZ"/>
    </w:rPr>
  </w:style>
  <w:style w:type="paragraph" w:styleId="Zkladntext">
    <w:name w:val="Body Text"/>
    <w:basedOn w:val="Normln"/>
    <w:link w:val="ZkladntextChar"/>
    <w:rsid w:val="0027794C"/>
    <w:pPr>
      <w:jc w:val="both"/>
    </w:pPr>
    <w:rPr>
      <w:sz w:val="24"/>
    </w:rPr>
  </w:style>
  <w:style w:type="character" w:customStyle="1" w:styleId="ZkladntextChar">
    <w:name w:val="Základní text Char"/>
    <w:basedOn w:val="Standardnpsmoodstavce"/>
    <w:link w:val="Zkladntext"/>
    <w:rsid w:val="0027794C"/>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27794C"/>
    <w:rPr>
      <w:rFonts w:ascii="Tahoma" w:hAnsi="Tahoma" w:cs="Tahoma"/>
      <w:sz w:val="16"/>
      <w:szCs w:val="16"/>
    </w:rPr>
  </w:style>
  <w:style w:type="character" w:customStyle="1" w:styleId="TextbublinyChar">
    <w:name w:val="Text bubliny Char"/>
    <w:basedOn w:val="Standardnpsmoodstavce"/>
    <w:link w:val="Textbubliny"/>
    <w:uiPriority w:val="99"/>
    <w:semiHidden/>
    <w:rsid w:val="0027794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4527</Characters>
  <Application>Microsoft Office Word</Application>
  <DocSecurity>0</DocSecurity>
  <Lines>37</Lines>
  <Paragraphs>10</Paragraphs>
  <ScaleCrop>false</ScaleCrop>
  <Company>MU</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1</cp:revision>
  <dcterms:created xsi:type="dcterms:W3CDTF">2011-01-25T14:24:00Z</dcterms:created>
  <dcterms:modified xsi:type="dcterms:W3CDTF">2011-01-25T14:24:00Z</dcterms:modified>
</cp:coreProperties>
</file>