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92" w:rsidRPr="006940BB" w:rsidRDefault="007D5A92" w:rsidP="007D5A92">
      <w:pPr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  <w:bookmarkStart w:id="0" w:name="_GoBack"/>
      <w:bookmarkEnd w:id="0"/>
      <w:r w:rsidRPr="006940BB"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>Výpočet indexů</w:t>
      </w:r>
    </w:p>
    <w:p w:rsidR="007D5A92" w:rsidRPr="006940BB" w:rsidRDefault="007D5A92" w:rsidP="007D5A92">
      <w:pPr>
        <w:rPr>
          <w:rFonts w:ascii="Times New Roman" w:hAnsi="Times New Roman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D5A92" w:rsidRDefault="007D5A92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b/>
          <w:lang w:val="cs-CZ"/>
          <w14:shadow w14:blurRad="0" w14:dist="0" w14:dir="0" w14:sx="0" w14:sy="0" w14:kx="0" w14:ky="0" w14:algn="none">
            <w14:srgbClr w14:val="000000"/>
          </w14:shadow>
        </w:rPr>
        <w:t>TDI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(Trophic diatom index)</w:t>
      </w:r>
    </w:p>
    <w:p w:rsidR="00167CE1" w:rsidRDefault="00167CE1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296259" w:rsidRPr="00167CE1" w:rsidRDefault="00CA7EFE" w:rsidP="00167CE1">
      <w:pPr>
        <w:numPr>
          <w:ilvl w:val="0"/>
          <w:numId w:val="2"/>
        </w:num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Interpretace struktury rozsivkových nárostů v závislosti na koncentraci živin v řekách</w:t>
      </w:r>
    </w:p>
    <w:p w:rsidR="00296259" w:rsidRPr="00167CE1" w:rsidRDefault="00CA7EFE" w:rsidP="00167CE1">
      <w:pPr>
        <w:numPr>
          <w:ilvl w:val="0"/>
          <w:numId w:val="2"/>
        </w:num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Součástí výpočtu je stanovení procenta tolerantních druhů k znečištění (suma valv taxonů se širokou ekologickou valencí)</w:t>
      </w:r>
    </w:p>
    <w:p w:rsidR="00167CE1" w:rsidRPr="006940BB" w:rsidRDefault="00167CE1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Index =    </w:t>
      </w:r>
      <w:r w:rsidR="00DD1E61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aj vj sj                     </w:t>
      </w:r>
    </w:p>
    <w:p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--------------           </w:t>
      </w:r>
    </w:p>
    <w:p w:rsidR="007D5A92" w:rsidRPr="006940BB" w:rsidRDefault="007D5A92" w:rsidP="007D5A92">
      <w:pPr>
        <w:overflowPunct/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aj vj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druhu j ve vzorku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vj= indikační hodnota druhu j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sj= citlivost k znečištění</w:t>
      </w:r>
    </w:p>
    <w:p w:rsidR="007D5A92" w:rsidRPr="006940BB" w:rsidRDefault="007D5A92" w:rsidP="007D5A92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hod</w:t>
      </w:r>
      <w:r w:rsidR="00DD1E61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n</w:t>
      </w: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oty indexu v rozmezí 1 (velmi čistá voda) – 5 (velmi znečištěná voda)</w:t>
      </w:r>
    </w:p>
    <w:p w:rsidR="007D5A92" w:rsidRPr="006940BB" w:rsidRDefault="007D5A92" w:rsidP="007D5A92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s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a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TDI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                                                   </w:t>
      </w:r>
      <w:proofErr w:type="gramStart"/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>s         v</w:t>
      </w:r>
      <w:proofErr w:type="gramEnd"/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Brébisson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rostrata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Ostr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minutissima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BD6E04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pellucida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Anomoeoneis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vitrea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Ross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Asterionella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formosa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Hassall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Aulacoseira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Thwaites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placentula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Cyclostephanos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Round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Cyclotella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ex.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affinis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silesiaca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Bleisch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C. minuta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Hilse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ex.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Rabh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Gregory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Cymbella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large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forms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normally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&gt;50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6D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m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C.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caespitosa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Brun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Kirchner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Denticula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tenuis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Bory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Diploneis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Epithemia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Eunotia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capucina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Desmazieres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vaucheriae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Petersen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angustatum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olivaceum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Hornemann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Brébisson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Hassall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Hantzschia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varians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Meridion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circulare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Greville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cryptotenella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includes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menisculus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Schumann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Donkin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Agardh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tripunctata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proofErr w:type="gram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O.F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proofErr w:type="gram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Miller) Bory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taxa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excluding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small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small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&lt;12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6D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Neidium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Pfitzer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acicularis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) W. Smith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amphibia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pusilla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curvata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Grunow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Rhopalodia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Müller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Stauroneis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Stephanodiscus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Surirella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Turp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BD6E04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pulchella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Ralfs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Kützing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ulna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)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Ehrenberg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Thalassiosira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D34428" w:rsidRPr="006940BB" w:rsidRDefault="009D7420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___________________________________________________________________             </w:t>
      </w:r>
    </w:p>
    <w:p w:rsidR="00D34428" w:rsidRPr="006940BB" w:rsidRDefault="00D34428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8C72E6" w:rsidRPr="006940BB" w:rsidRDefault="008C72E6" w:rsidP="009D7420">
      <w:pP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Index (</w:t>
      </w: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L</w:t>
      </w:r>
      <w:r w:rsidR="00D34428"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B</w:t>
      </w:r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I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)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Vytvořen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Lange-Bertalot</w:t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em</w:t>
      </w:r>
      <w:proofErr w:type="spellEnd"/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 roce 1979. Zkoumal vztah mezi ekologií kosmopolitně rozšířených a abundantních sladkovodních rozsivek a kvalitou vody v řekách Rýn a Mohan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.  </w:t>
      </w:r>
      <w:r w:rsidR="006940BB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Rozsivky rozděleny do 3 kategorií: </w:t>
      </w:r>
    </w:p>
    <w:p w:rsidR="006940BB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1) tolerantní k znečištění 2) středně tolerantní k </w:t>
      </w:r>
      <w:proofErr w:type="gramStart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znečištění  3) citlivé</w:t>
      </w:r>
      <w:proofErr w:type="gramEnd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k znečištění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746F1" w:rsidRPr="006940BB" w:rsidRDefault="007746F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Index =  --------------- ,          </w:t>
      </w: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</w:t>
      </w:r>
      <w:r w:rsidRPr="006940BB">
        <w:rPr>
          <w:rFonts w:ascii="Times New Roman" w:hAnsi="Times New Roman"/>
          <w:noProof w:val="0"/>
          <w:position w:val="-7"/>
          <w:lang w:val="cs-CZ"/>
          <w14:shadow w14:blurRad="0" w14:dist="0" w14:dir="0" w14:sx="0" w14:sy="0" w14:kx="0" w14:ky="0" w14:algn="none">
            <w14:srgbClr w14:val="000000"/>
          </w14:shadow>
        </w:rPr>
        <w:t>j</w:t>
      </w:r>
    </w:p>
    <w:p w:rsidR="007746F1" w:rsidRPr="006940BB" w:rsidRDefault="007746F1" w:rsidP="007746F1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druhu j ve vzorku</w:t>
      </w:r>
    </w:p>
    <w:p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vj= indikační hodnota druhu j</w:t>
      </w:r>
    </w:p>
    <w:p w:rsidR="00D34428" w:rsidRPr="006940BB" w:rsidRDefault="00D34428" w:rsidP="00D34428">
      <w:pPr>
        <w:spacing w:after="200" w:line="276" w:lineRule="auto"/>
        <w:textAlignment w:val="auto"/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eastAsiaTheme="minorEastAsia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hodoty indexu v rozmezí 1 (velmi znečištěná voda) -  3 (velmi čistá voda)</w:t>
      </w:r>
    </w:p>
    <w:p w:rsidR="009D7420" w:rsidRPr="006940BB" w:rsidRDefault="00D34428" w:rsidP="009D7420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hodnoty </w:t>
      </w:r>
      <w:r w:rsidRPr="006940BB">
        <w:rPr>
          <w:rFonts w:ascii="Times New Roman" w:hAnsi="Times New Roman"/>
          <w:i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Pr="006940BB"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LBI</w:t>
      </w:r>
    </w:p>
    <w:p w:rsidR="008C72E6" w:rsidRPr="006940BB" w:rsidRDefault="008C72E6" w:rsidP="009D7420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clevei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hungarica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Achnanthes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minutissima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pellucida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veneta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amphisbaena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bacillum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pediculus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placentula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affinis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prostrata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Cymbella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tumida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capucina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vaucheriae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rhomboides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vulgaris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angustatum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augur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olivaceum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f.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exilissimum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truncatum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acuminatum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attenuatum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varians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accomoda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permitis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capitata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capitatoradiata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cincta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goeppertiana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halophila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55132A" w:rsidRPr="006940BB" w:rsidRDefault="009D7420" w:rsidP="0055132A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 minima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mutica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phyllepta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pupula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pygmaea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rhynchocephala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seminulum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tripunctata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veneta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acicularis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amphibia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apiculata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clausii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communis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filiformis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fonticola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hungarica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levidensis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linearis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microcephala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palea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paleacea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recta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sigma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sinuata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sociabilis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supralitorea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microstauron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brebissonii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curvata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fasciculata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parasitica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subconstricta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pulchella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2.0</w:t>
      </w:r>
    </w:p>
    <w:p w:rsidR="009D7420" w:rsidRPr="006940BB" w:rsidRDefault="009D7420" w:rsidP="009D7420">
      <w:pPr>
        <w:pBdr>
          <w:bottom w:val="single" w:sz="12" w:space="1" w:color="auto"/>
        </w:pBd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ulna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 xml:space="preserve">    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1.0</w:t>
      </w:r>
    </w:p>
    <w:p w:rsid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6940BB" w:rsidRDefault="006940BB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8C72E6" w:rsidRPr="006940BB" w:rsidRDefault="008C72E6" w:rsidP="009D7420">
      <w:pPr>
        <w:rPr>
          <w:rFonts w:ascii="Times New Roman" w:hAnsi="Times New Roman"/>
          <w:b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Stejná tabulka slouží i pro výpočet indexu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gramStart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SSI</w:t>
      </w:r>
      <w:proofErr w:type="gramEnd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–</w:t>
      </w:r>
      <w:proofErr w:type="gramStart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Sensitive</w:t>
      </w:r>
      <w:proofErr w:type="gramEnd"/>
      <w:r w:rsidRPr="00167CE1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index</w:t>
      </w:r>
    </w:p>
    <w:p w:rsidR="008C72E6" w:rsidRPr="006940BB" w:rsidRDefault="008C72E6" w:rsidP="009D7420">
      <w:pPr>
        <w:rPr>
          <w:rFonts w:ascii="Times New Roman" w:hAnsi="Times New Roman"/>
          <w:b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8C72E6" w:rsidRPr="006940BB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Hodnota indexu odpovídá procentu druhů citlivých k znečištění, které se vyskytují ve vzorku. Druhy s hodnotou 3 jsou citlivé (senzitivní).</w:t>
      </w:r>
    </w:p>
    <w:p w:rsidR="008C72E6" w:rsidRPr="006940BB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167CE1" w:rsidRDefault="008C72E6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Čím vyšší hodnota, tím čistější voda</w:t>
      </w:r>
    </w:p>
    <w:p w:rsidR="00167CE1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Tolerant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Species Index (</w:t>
      </w: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TSI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)</w:t>
      </w:r>
      <w:r w:rsidR="00144A6C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</w:p>
    <w:p w:rsidR="00144A6C" w:rsidRDefault="00144A6C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296259" w:rsidRPr="00144A6C" w:rsidRDefault="00CA7EFE" w:rsidP="00144A6C">
      <w:pPr>
        <w:numPr>
          <w:ilvl w:val="0"/>
          <w:numId w:val="3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Hodnota indexu odpovídá procentu druhů tolerantních k znečištění, které se vyskytují ve vzorku.</w:t>
      </w:r>
    </w:p>
    <w:p w:rsidR="009D7420" w:rsidRPr="00144A6C" w:rsidRDefault="00CA7EFE" w:rsidP="009D7420">
      <w:pPr>
        <w:numPr>
          <w:ilvl w:val="0"/>
          <w:numId w:val="3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44A6C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Čím vyšší hodnota, tím špinavější voda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Procento t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olerant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ních </w:t>
      </w:r>
      <w:proofErr w:type="gramStart"/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taxonů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Interpretace</w:t>
      </w:r>
      <w:proofErr w:type="gramEnd"/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&lt;20%   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Bez organického znečištění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21-40%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Organické znečištění přítomno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41-60%                             </w:t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Organické znečištění přítomno ve větší míře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&gt;61%                        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Těžká kontaminace organickým </w:t>
      </w:r>
      <w:proofErr w:type="spellStart"/>
      <w:r w:rsidR="00144A6C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zněčištěním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144A6C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Tabulka druhů tolerantních k znečištění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parvulum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gregaria</w:t>
      </w:r>
      <w:proofErr w:type="spellEnd"/>
    </w:p>
    <w:p w:rsidR="00144A6C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lanceolata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agrestis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atomus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permitis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contenta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fossalis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indifferens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lacunolaciniata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 minima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minuscula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minuscula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var.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proofErr w:type="gram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muralis</w:t>
      </w:r>
      <w:proofErr w:type="spellEnd"/>
      <w:proofErr w:type="gram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pupula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saprophila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schroeteri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seminulum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subminuscula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Navicula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subrotunda</w:t>
      </w:r>
      <w:proofErr w:type="spellEnd"/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spp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.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Default="009D7420" w:rsidP="009D7420">
      <w:pPr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Generic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>Diatom</w:t>
      </w:r>
      <w:proofErr w:type="spellEnd"/>
      <w:r w:rsidRPr="006940BB">
        <w:rPr>
          <w:rFonts w:ascii="Times New Roman" w:hAnsi="Times New Roman"/>
          <w:b/>
          <w:noProof w:val="0"/>
          <w:sz w:val="28"/>
          <w:szCs w:val="28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Index (GDI)</w:t>
      </w:r>
    </w:p>
    <w:p w:rsidR="006940BB" w:rsidRPr="00167CE1" w:rsidRDefault="006940BB" w:rsidP="009D7420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296259" w:rsidRPr="00167CE1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Minimalizuje chyby způsobené chybnou determinací druhů</w:t>
      </w:r>
    </w:p>
    <w:p w:rsidR="00296259" w:rsidRPr="00167CE1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Determinace jen na rodovou úroveň</w:t>
      </w:r>
    </w:p>
    <w:p w:rsidR="00296259" w:rsidRDefault="00CA7EFE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Překvapivě přesný</w:t>
      </w:r>
    </w:p>
    <w:p w:rsidR="00167CE1" w:rsidRPr="00167CE1" w:rsidRDefault="00167CE1" w:rsidP="006940BB">
      <w:pPr>
        <w:numPr>
          <w:ilvl w:val="0"/>
          <w:numId w:val="1"/>
        </w:num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ab/>
        <w:t xml:space="preserve">Index =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aj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proofErr w:type="gram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  <w:proofErr w:type="gram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sj</w:t>
      </w:r>
      <w:proofErr w:type="spell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</w:t>
      </w:r>
    </w:p>
    <w:p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--------------           </w:t>
      </w:r>
    </w:p>
    <w:p w:rsidR="006940BB" w:rsidRDefault="006940BB" w:rsidP="006940BB">
      <w:pPr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                           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</w:t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sym w:font="Symbol" w:char="F0E5"/>
      </w:r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proofErr w:type="gram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aj</w:t>
      </w:r>
      <w:proofErr w:type="spellEnd"/>
      <w:proofErr w:type="gramEnd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167CE1">
        <w:rPr>
          <w:rFonts w:ascii="Times New Roman" w:hAnsi="Times New Roman"/>
          <w:noProof w:val="0"/>
          <w:szCs w:val="24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</w:p>
    <w:p w:rsidR="00167CE1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6940BB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aj= relativní početnost rodu</w:t>
      </w:r>
      <w:r w:rsidR="006940BB"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j ve vzorku</w:t>
      </w:r>
    </w:p>
    <w:p w:rsidR="006940BB" w:rsidRPr="00167CE1" w:rsidRDefault="00167CE1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vj</w:t>
      </w:r>
      <w:proofErr w:type="spellEnd"/>
      <w: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= indikační hodnota rodu</w:t>
      </w:r>
      <w:r w:rsidR="006940BB"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j</w:t>
      </w:r>
    </w:p>
    <w:p w:rsidR="006940BB" w:rsidRPr="00167CE1" w:rsidRDefault="006940BB" w:rsidP="006940BB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sj</w:t>
      </w:r>
      <w:proofErr w:type="spellEnd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= citlivost k znečištění</w:t>
      </w:r>
    </w:p>
    <w:p w:rsidR="009D7420" w:rsidRPr="00CA7EFE" w:rsidRDefault="006940BB" w:rsidP="009D7420">
      <w:pPr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hod</w:t>
      </w:r>
      <w:r w:rsidR="00DD1E6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n</w:t>
      </w:r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oty indexu v rozmezí 1 (velmi znečištěná voda) – 5 (velmi čistá </w:t>
      </w:r>
      <w:proofErr w:type="gramStart"/>
      <w:r w:rsidRP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>voda)</w:t>
      </w:r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(opačně</w:t>
      </w:r>
      <w:proofErr w:type="gramEnd"/>
      <w:r w:rsidR="00167CE1">
        <w:rPr>
          <w:rFonts w:ascii="Times New Roman" w:hAnsi="Times New Roman"/>
          <w:noProof w:val="0"/>
          <w:szCs w:val="24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než TDI!)</w:t>
      </w:r>
    </w:p>
    <w:p w:rsidR="009D7420" w:rsidRPr="006940BB" w:rsidRDefault="009D7420" w:rsidP="006940BB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</w:p>
    <w:p w:rsidR="00167CE1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Tabulka hodnot </w:t>
      </w:r>
      <w:r w:rsidR="00167CE1" w:rsidRPr="00167CE1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 a </w:t>
      </w:r>
      <w:r w:rsidR="00167CE1" w:rsidRPr="00167CE1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v</w:t>
      </w:r>
      <w:r w:rsidR="00167CE1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 pro výpočet indexu GDI</w:t>
      </w:r>
    </w:p>
    <w:p w:rsidR="009D7420" w:rsidRPr="006940BB" w:rsidRDefault="00167CE1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</w:t>
      </w:r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                                                          </w:t>
      </w:r>
      <w:r w:rsidR="0055132A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</w:t>
      </w:r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           </w:t>
      </w:r>
      <w:proofErr w:type="gramStart"/>
      <w:r w:rsidR="009D7420" w:rsidRPr="006940BB">
        <w:rPr>
          <w:rFonts w:ascii="Times New Roman" w:hAnsi="Times New Roman"/>
          <w:noProof w:val="0"/>
          <w:u w:val="single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s          v                    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Achnanthidium</w:t>
      </w:r>
      <w:proofErr w:type="spellEnd"/>
      <w:proofErr w:type="gram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&amp;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Psammothidium</w:t>
      </w:r>
      <w:proofErr w:type="spellEnd"/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="009D7420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Amphipleura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Amphora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Anomoeoneis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Asterionella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Caloneis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Cocconeis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332DC" w:rsidRPr="006940BB" w:rsidRDefault="009332DC" w:rsidP="009332DC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Cyclostephanos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Cyclotella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Discostella</w:t>
      </w:r>
      <w:proofErr w:type="spellEnd"/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&amp;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Stephanocyclus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Cymbella</w:t>
      </w:r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Denticula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Diatoma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lastRenderedPageBreak/>
        <w:t>Diploneis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332DC" w:rsidRPr="006940BB" w:rsidRDefault="009332DC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Encyonema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Epithemia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Eunotia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Fragilaria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D032AE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Frustulia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Gomphonema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Gyrosigma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Hantzschia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D032AE" w:rsidRPr="006940BB" w:rsidRDefault="00D032AE" w:rsidP="00D032AE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Luticola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Melosira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Meridion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Navicula</w:t>
      </w:r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sensu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lato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Neidium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dissipata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Nitzschia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proofErr w:type="spellStart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other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Pinnularia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D032AE" w:rsidRPr="006940BB" w:rsidRDefault="00D032AE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Planothidium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Rhoicosphenia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4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Rhopalodia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Stauroneis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Stephanodiscus</w:t>
      </w:r>
      <w:proofErr w:type="spellEnd"/>
      <w:r w:rsidR="00D032AE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Surirella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Synedra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,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Ctenophora</w:t>
      </w:r>
      <w:proofErr w:type="spellEnd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 </w:t>
      </w:r>
      <w:r w:rsidR="009332DC"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 xml:space="preserve">&amp; </w:t>
      </w:r>
      <w:proofErr w:type="spellStart"/>
      <w:r w:rsidR="009332DC"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Tabularia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Tabellaria</w:t>
      </w:r>
      <w:proofErr w:type="spellEnd"/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5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1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proofErr w:type="spellStart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Thalassiosira</w:t>
      </w:r>
      <w:proofErr w:type="spellEnd"/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i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2</w:t>
      </w: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ab/>
        <w:t>3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  <w:r w:rsidRPr="006940BB"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  <w:t>_____________________________________________________________</w:t>
      </w: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9D7420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9D7420" w:rsidRPr="006940BB" w:rsidRDefault="009D7420" w:rsidP="00D032AE">
      <w:pPr>
        <w:rPr>
          <w:rFonts w:ascii="Times New Roman" w:hAnsi="Times New Roman"/>
          <w:noProof w:val="0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p w:rsidR="00CA7EFE" w:rsidRPr="006940BB" w:rsidRDefault="00CA7EFE" w:rsidP="00167CE1">
      <w:pPr>
        <w:rPr>
          <w:rFonts w:ascii="Times New Roman" w:hAnsi="Times New Roman"/>
          <w:lang w:val="cs-CZ"/>
          <w14:shadow w14:blurRad="0" w14:dist="0" w14:dir="0" w14:sx="0" w14:sy="0" w14:kx="0" w14:ky="0" w14:algn="none">
            <w14:srgbClr w14:val="000000"/>
          </w14:shadow>
        </w:rPr>
      </w:pPr>
    </w:p>
    <w:sectPr w:rsidR="00CA7EFE" w:rsidRPr="006940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142A1"/>
    <w:multiLevelType w:val="hybridMultilevel"/>
    <w:tmpl w:val="BC92C91E"/>
    <w:lvl w:ilvl="0" w:tplc="208AC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42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48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A66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40A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88C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89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FA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6A1F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99278D3"/>
    <w:multiLevelType w:val="hybridMultilevel"/>
    <w:tmpl w:val="F4761084"/>
    <w:lvl w:ilvl="0" w:tplc="FD0A0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A7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5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48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14E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24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123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20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498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643E2A"/>
    <w:multiLevelType w:val="hybridMultilevel"/>
    <w:tmpl w:val="2BD04786"/>
    <w:lvl w:ilvl="0" w:tplc="473C5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E0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60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80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C6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221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410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A4A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86B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20"/>
    <w:rsid w:val="000A1B15"/>
    <w:rsid w:val="00144A6C"/>
    <w:rsid w:val="00167CE1"/>
    <w:rsid w:val="00296259"/>
    <w:rsid w:val="0055132A"/>
    <w:rsid w:val="006940BB"/>
    <w:rsid w:val="00753734"/>
    <w:rsid w:val="007746F1"/>
    <w:rsid w:val="007D5A92"/>
    <w:rsid w:val="008C72E6"/>
    <w:rsid w:val="008E51E0"/>
    <w:rsid w:val="009332DC"/>
    <w:rsid w:val="009D7420"/>
    <w:rsid w:val="00BD6E04"/>
    <w:rsid w:val="00CA7EFE"/>
    <w:rsid w:val="00D032AE"/>
    <w:rsid w:val="00D34428"/>
    <w:rsid w:val="00DA17EA"/>
    <w:rsid w:val="00DD1E61"/>
    <w:rsid w:val="00E0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67A9B-14CB-46C8-85B4-40AF2055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420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73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8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2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76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4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2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9554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DIATOM  METRIC DESCRIPTIONS</vt:lpstr>
      <vt:lpstr>DIATOM  METRIC DESCRIPTIONS</vt:lpstr>
    </vt:vector>
  </TitlesOfParts>
  <Company>John Carroll University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DIATOM  METRIC DESCRIPTIONS</dc:title>
  <dc:creator>johansen</dc:creator>
  <cp:lastModifiedBy>Bara</cp:lastModifiedBy>
  <cp:revision>2</cp:revision>
  <dcterms:created xsi:type="dcterms:W3CDTF">2014-11-10T17:24:00Z</dcterms:created>
  <dcterms:modified xsi:type="dcterms:W3CDTF">2014-11-10T17:24:00Z</dcterms:modified>
</cp:coreProperties>
</file>