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14F" w:rsidRPr="002D3026" w:rsidRDefault="00656ED2" w:rsidP="00B87806">
      <w:pPr>
        <w:jc w:val="center"/>
        <w:rPr>
          <w:b/>
          <w:sz w:val="24"/>
          <w:szCs w:val="24"/>
          <w:lang w:val="en-US"/>
        </w:rPr>
      </w:pPr>
      <w:r w:rsidRPr="002D3026">
        <w:rPr>
          <w:b/>
          <w:sz w:val="24"/>
          <w:szCs w:val="24"/>
          <w:lang w:val="en-US"/>
        </w:rPr>
        <w:t xml:space="preserve">Xanthene dyes: </w:t>
      </w:r>
      <w:r w:rsidR="007D09C9">
        <w:rPr>
          <w:b/>
          <w:sz w:val="24"/>
          <w:szCs w:val="24"/>
          <w:lang w:val="en-US"/>
        </w:rPr>
        <w:t>O</w:t>
      </w:r>
      <w:bookmarkStart w:id="0" w:name="_GoBack"/>
      <w:bookmarkEnd w:id="0"/>
      <w:r w:rsidRPr="002D3026">
        <w:rPr>
          <w:b/>
          <w:sz w:val="24"/>
          <w:szCs w:val="24"/>
          <w:lang w:val="en-US"/>
        </w:rPr>
        <w:t>ld scaffold offering new possibilities</w:t>
      </w:r>
    </w:p>
    <w:p w:rsidR="00823EF1" w:rsidRDefault="00656ED2" w:rsidP="00B87806">
      <w:pPr>
        <w:jc w:val="center"/>
        <w:rPr>
          <w:lang w:val="cs-CZ"/>
        </w:rPr>
      </w:pPr>
      <w:r>
        <w:rPr>
          <w:lang w:val="en-US"/>
        </w:rPr>
        <w:t xml:space="preserve">Peter </w:t>
      </w:r>
      <w:r>
        <w:rPr>
          <w:lang w:val="cs-CZ"/>
        </w:rPr>
        <w:t>Šebej</w:t>
      </w:r>
    </w:p>
    <w:p w:rsidR="00656ED2" w:rsidRDefault="00656ED2" w:rsidP="00B87806">
      <w:pPr>
        <w:jc w:val="center"/>
        <w:rPr>
          <w:lang w:val="cs-CZ"/>
        </w:rPr>
      </w:pPr>
      <w:r>
        <w:rPr>
          <w:lang w:val="cs-CZ"/>
        </w:rPr>
        <w:t>RECETOX and Department of Chemistry, Faculty of Science, Masaryk university</w:t>
      </w:r>
    </w:p>
    <w:p w:rsidR="00656ED2" w:rsidRPr="00656ED2" w:rsidRDefault="00656ED2" w:rsidP="00B87806">
      <w:pPr>
        <w:jc w:val="center"/>
        <w:rPr>
          <w:lang w:val="en-US"/>
        </w:rPr>
      </w:pPr>
      <w:r>
        <w:rPr>
          <w:lang w:val="cs-CZ"/>
        </w:rPr>
        <w:t>sebej</w:t>
      </w:r>
      <w:r>
        <w:rPr>
          <w:lang w:val="en-US"/>
        </w:rPr>
        <w:t>@mail.muni.cz</w:t>
      </w:r>
    </w:p>
    <w:p w:rsidR="0059268D" w:rsidRDefault="0059268D" w:rsidP="0059268D">
      <w:pPr>
        <w:jc w:val="both"/>
        <w:rPr>
          <w:lang w:val="en-US"/>
        </w:rPr>
      </w:pPr>
      <w:r>
        <w:rPr>
          <w:lang w:val="en-US"/>
        </w:rPr>
        <w:t xml:space="preserve">Since the von Bayer synthesis of fluorescein in 1871 the synthetic dyes emerged as one of the most successful fields of chemistry. </w:t>
      </w:r>
      <w:r w:rsidR="00823EF1" w:rsidRPr="00823EF1">
        <w:rPr>
          <w:lang w:val="en-US"/>
        </w:rPr>
        <w:t xml:space="preserve">Small molecule organic fluorophores are </w:t>
      </w:r>
      <w:r>
        <w:rPr>
          <w:lang w:val="en-US"/>
        </w:rPr>
        <w:t xml:space="preserve">now </w:t>
      </w:r>
      <w:r w:rsidR="00823EF1" w:rsidRPr="00823EF1">
        <w:rPr>
          <w:lang w:val="en-US"/>
        </w:rPr>
        <w:t xml:space="preserve">essential tools in molecular biology, medicine and material science. </w:t>
      </w:r>
      <w:r>
        <w:rPr>
          <w:lang w:val="en-US"/>
        </w:rPr>
        <w:t>But the xanthene scaffold could also be turned in</w:t>
      </w:r>
      <w:r w:rsidR="00B87806">
        <w:rPr>
          <w:lang w:val="en-US"/>
        </w:rPr>
        <w:t>t</w:t>
      </w:r>
      <w:r>
        <w:rPr>
          <w:lang w:val="en-US"/>
        </w:rPr>
        <w:t>o a photoactivatable system allowing release of caged substrates as diverse as carboxylates, phosphates and CO – all biologically relevant molecules.</w:t>
      </w:r>
    </w:p>
    <w:p w:rsidR="0059268D" w:rsidRDefault="0059268D" w:rsidP="0059268D">
      <w:pPr>
        <w:jc w:val="both"/>
        <w:rPr>
          <w:lang w:val="en-US"/>
        </w:rPr>
      </w:pPr>
      <w:r>
        <w:rPr>
          <w:lang w:val="en-US"/>
        </w:rPr>
        <w:t xml:space="preserve">In addition the xanthene moiety could be modified </w:t>
      </w:r>
      <w:r w:rsidR="00B87806">
        <w:rPr>
          <w:lang w:val="en-US"/>
        </w:rPr>
        <w:t xml:space="preserve">on four principal positions – two of them are very well mapped, while the influence of the various functionalities positioned in the other two are not so well explored. Our journey on mapping these unexplored areas of chemistry will be discussed with the following examples: </w:t>
      </w:r>
      <w:r w:rsidR="00B87806" w:rsidRPr="00823EF1">
        <w:rPr>
          <w:lang w:val="en-US"/>
        </w:rPr>
        <w:t>9-Imido-pyronin analogues</w:t>
      </w:r>
      <w:r w:rsidR="00B87806">
        <w:rPr>
          <w:lang w:val="en-US"/>
        </w:rPr>
        <w:t xml:space="preserve"> - s</w:t>
      </w:r>
      <w:r w:rsidR="00B87806" w:rsidRPr="00823EF1">
        <w:rPr>
          <w:lang w:val="en-US"/>
        </w:rPr>
        <w:t>mall-molecule fluorophores with large Stokes shifts</w:t>
      </w:r>
      <w:r w:rsidR="00B87806">
        <w:rPr>
          <w:lang w:val="en-US"/>
        </w:rPr>
        <w:t xml:space="preserve"> and 9-Phenylethylene-pyronin analogues</w:t>
      </w:r>
      <w:r w:rsidR="002D3026">
        <w:rPr>
          <w:lang w:val="en-US"/>
        </w:rPr>
        <w:t xml:space="preserve"> – dually addressable fluorophores.</w:t>
      </w:r>
    </w:p>
    <w:p w:rsidR="002D3026" w:rsidRDefault="002D3026" w:rsidP="0059268D">
      <w:pPr>
        <w:jc w:val="both"/>
        <w:rPr>
          <w:lang w:val="en-US"/>
        </w:rPr>
      </w:pPr>
      <w:r>
        <w:rPr>
          <w:lang w:val="en-US"/>
        </w:rPr>
        <w:t>The build chemical library of xanthene dyes also allows us to understand the structure-properties relationship within the old xanthene scaffold and rationally design new xanthene analogues and fine-tuning their</w:t>
      </w:r>
      <w:r w:rsidRPr="00823EF1">
        <w:rPr>
          <w:lang w:val="en-US"/>
        </w:rPr>
        <w:t xml:space="preserve"> </w:t>
      </w:r>
      <w:proofErr w:type="spellStart"/>
      <w:r w:rsidRPr="00823EF1">
        <w:rPr>
          <w:lang w:val="en-US"/>
        </w:rPr>
        <w:t>photophysical</w:t>
      </w:r>
      <w:proofErr w:type="spellEnd"/>
      <w:r w:rsidRPr="00823EF1">
        <w:rPr>
          <w:lang w:val="en-US"/>
        </w:rPr>
        <w:t xml:space="preserve"> properties</w:t>
      </w:r>
      <w:r>
        <w:rPr>
          <w:lang w:val="en-US"/>
        </w:rPr>
        <w:t>.</w:t>
      </w:r>
    </w:p>
    <w:p w:rsidR="00B87806" w:rsidRDefault="00B87806" w:rsidP="00B87806">
      <w:pPr>
        <w:jc w:val="center"/>
      </w:pPr>
      <w:r>
        <w:object w:dxaOrig="5661" w:dyaOrig="3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75pt;height:171.75pt" o:ole="">
            <v:imagedata r:id="rId5" o:title=""/>
          </v:shape>
          <o:OLEObject Type="Embed" ProgID="ChemDraw.Document.6.0" ShapeID="_x0000_i1025" DrawAspect="Content" ObjectID="_1504365792" r:id="rId6"/>
        </w:object>
      </w:r>
    </w:p>
    <w:p w:rsidR="00B87806" w:rsidRPr="002D3026" w:rsidRDefault="00B87806" w:rsidP="002D3026">
      <w:pPr>
        <w:jc w:val="both"/>
        <w:rPr>
          <w:sz w:val="24"/>
          <w:szCs w:val="24"/>
        </w:rPr>
      </w:pPr>
      <w:r w:rsidRPr="002D3026">
        <w:rPr>
          <w:sz w:val="24"/>
          <w:szCs w:val="24"/>
        </w:rPr>
        <w:t>References</w:t>
      </w:r>
    </w:p>
    <w:p w:rsidR="002D3026" w:rsidRPr="002D3026" w:rsidRDefault="002D3026" w:rsidP="002D3026">
      <w:pPr>
        <w:pStyle w:val="Default"/>
        <w:rPr>
          <w:rFonts w:asciiTheme="minorHAnsi" w:hAnsiTheme="minorHAnsi"/>
        </w:rPr>
      </w:pPr>
      <w:proofErr w:type="spellStart"/>
      <w:r w:rsidRPr="002D3026">
        <w:rPr>
          <w:rFonts w:asciiTheme="minorHAnsi" w:hAnsiTheme="minorHAnsi"/>
        </w:rPr>
        <w:t>Šebej</w:t>
      </w:r>
      <w:proofErr w:type="spellEnd"/>
      <w:r w:rsidRPr="002D3026">
        <w:rPr>
          <w:rFonts w:asciiTheme="minorHAnsi" w:hAnsiTheme="minorHAnsi"/>
        </w:rPr>
        <w:t xml:space="preserve"> P., </w:t>
      </w:r>
      <w:proofErr w:type="spellStart"/>
      <w:r w:rsidRPr="002D3026">
        <w:rPr>
          <w:rFonts w:asciiTheme="minorHAnsi" w:hAnsiTheme="minorHAnsi"/>
        </w:rPr>
        <w:t>Wintner</w:t>
      </w:r>
      <w:proofErr w:type="spellEnd"/>
      <w:r w:rsidRPr="002D3026">
        <w:rPr>
          <w:rFonts w:asciiTheme="minorHAnsi" w:hAnsiTheme="minorHAnsi"/>
        </w:rPr>
        <w:t xml:space="preserve"> J., Müller P., </w:t>
      </w:r>
      <w:proofErr w:type="spellStart"/>
      <w:r w:rsidRPr="002D3026">
        <w:rPr>
          <w:rFonts w:asciiTheme="minorHAnsi" w:hAnsiTheme="minorHAnsi"/>
        </w:rPr>
        <w:t>Slanina</w:t>
      </w:r>
      <w:proofErr w:type="spellEnd"/>
      <w:r w:rsidRPr="002D3026">
        <w:rPr>
          <w:rFonts w:asciiTheme="minorHAnsi" w:hAnsiTheme="minorHAnsi"/>
        </w:rPr>
        <w:t xml:space="preserve"> T., Al </w:t>
      </w:r>
      <w:proofErr w:type="spellStart"/>
      <w:r w:rsidRPr="002D3026">
        <w:rPr>
          <w:rFonts w:asciiTheme="minorHAnsi" w:hAnsiTheme="minorHAnsi"/>
        </w:rPr>
        <w:t>Anshori</w:t>
      </w:r>
      <w:proofErr w:type="spellEnd"/>
      <w:r w:rsidRPr="002D3026">
        <w:rPr>
          <w:rFonts w:asciiTheme="minorHAnsi" w:hAnsiTheme="minorHAnsi"/>
        </w:rPr>
        <w:t xml:space="preserve"> J., Antony L.A.P., </w:t>
      </w:r>
      <w:proofErr w:type="spellStart"/>
      <w:r w:rsidRPr="002D3026">
        <w:rPr>
          <w:rFonts w:asciiTheme="minorHAnsi" w:hAnsiTheme="minorHAnsi"/>
        </w:rPr>
        <w:t>Klán</w:t>
      </w:r>
      <w:proofErr w:type="spellEnd"/>
      <w:r w:rsidRPr="002D3026">
        <w:rPr>
          <w:rFonts w:asciiTheme="minorHAnsi" w:hAnsiTheme="minorHAnsi"/>
        </w:rPr>
        <w:t xml:space="preserve"> P., </w:t>
      </w:r>
      <w:proofErr w:type="spellStart"/>
      <w:r w:rsidRPr="002D3026">
        <w:rPr>
          <w:rFonts w:asciiTheme="minorHAnsi" w:hAnsiTheme="minorHAnsi"/>
        </w:rPr>
        <w:t>Wirz</w:t>
      </w:r>
      <w:proofErr w:type="spellEnd"/>
      <w:r w:rsidRPr="002D3026">
        <w:rPr>
          <w:rFonts w:asciiTheme="minorHAnsi" w:hAnsiTheme="minorHAnsi"/>
        </w:rPr>
        <w:t xml:space="preserve"> J.: </w:t>
      </w:r>
      <w:r w:rsidRPr="002D3026">
        <w:rPr>
          <w:rFonts w:asciiTheme="minorHAnsi" w:hAnsiTheme="minorHAnsi"/>
          <w:i/>
          <w:iCs/>
        </w:rPr>
        <w:t>J. Org. Chem.</w:t>
      </w:r>
      <w:r w:rsidRPr="002D3026">
        <w:rPr>
          <w:rFonts w:asciiTheme="minorHAnsi" w:hAnsiTheme="minorHAnsi"/>
        </w:rPr>
        <w:t xml:space="preserve">, </w:t>
      </w:r>
      <w:r w:rsidRPr="002D3026">
        <w:rPr>
          <w:rFonts w:asciiTheme="minorHAnsi" w:hAnsiTheme="minorHAnsi"/>
          <w:b/>
          <w:bCs/>
        </w:rPr>
        <w:t>2013</w:t>
      </w:r>
      <w:r w:rsidRPr="002D3026">
        <w:rPr>
          <w:rFonts w:asciiTheme="minorHAnsi" w:hAnsiTheme="minorHAnsi"/>
        </w:rPr>
        <w:t xml:space="preserve">, </w:t>
      </w:r>
      <w:r w:rsidRPr="002D3026">
        <w:rPr>
          <w:rFonts w:asciiTheme="minorHAnsi" w:hAnsiTheme="minorHAnsi"/>
          <w:i/>
          <w:iCs/>
        </w:rPr>
        <w:t>78</w:t>
      </w:r>
      <w:r w:rsidRPr="002D3026">
        <w:rPr>
          <w:rFonts w:asciiTheme="minorHAnsi" w:hAnsiTheme="minorHAnsi"/>
        </w:rPr>
        <w:t>(5)</w:t>
      </w:r>
      <w:r>
        <w:rPr>
          <w:rFonts w:asciiTheme="minorHAnsi" w:hAnsiTheme="minorHAnsi"/>
        </w:rPr>
        <w:t>, 1833–1843.</w:t>
      </w:r>
    </w:p>
    <w:p w:rsidR="002D3026" w:rsidRPr="002D3026" w:rsidRDefault="002D3026" w:rsidP="002D3026">
      <w:pPr>
        <w:pStyle w:val="Default"/>
        <w:rPr>
          <w:rFonts w:asciiTheme="minorHAnsi" w:hAnsiTheme="minorHAnsi"/>
        </w:rPr>
      </w:pPr>
      <w:r w:rsidRPr="002D3026">
        <w:rPr>
          <w:rFonts w:asciiTheme="minorHAnsi" w:hAnsiTheme="minorHAnsi"/>
        </w:rPr>
        <w:t xml:space="preserve">Antony L.A.P., </w:t>
      </w:r>
      <w:proofErr w:type="spellStart"/>
      <w:r w:rsidRPr="002D3026">
        <w:rPr>
          <w:rFonts w:asciiTheme="minorHAnsi" w:hAnsiTheme="minorHAnsi"/>
        </w:rPr>
        <w:t>Slanina</w:t>
      </w:r>
      <w:proofErr w:type="spellEnd"/>
      <w:r w:rsidRPr="002D3026">
        <w:rPr>
          <w:rFonts w:asciiTheme="minorHAnsi" w:hAnsiTheme="minorHAnsi"/>
        </w:rPr>
        <w:t xml:space="preserve"> T., </w:t>
      </w:r>
      <w:proofErr w:type="spellStart"/>
      <w:r w:rsidRPr="002D3026">
        <w:rPr>
          <w:rFonts w:asciiTheme="minorHAnsi" w:hAnsiTheme="minorHAnsi"/>
        </w:rPr>
        <w:t>Šebej</w:t>
      </w:r>
      <w:proofErr w:type="spellEnd"/>
      <w:r w:rsidRPr="002D3026">
        <w:rPr>
          <w:rFonts w:asciiTheme="minorHAnsi" w:hAnsiTheme="minorHAnsi"/>
        </w:rPr>
        <w:t xml:space="preserve"> P., </w:t>
      </w:r>
      <w:proofErr w:type="spellStart"/>
      <w:r w:rsidRPr="002D3026">
        <w:rPr>
          <w:rFonts w:asciiTheme="minorHAnsi" w:hAnsiTheme="minorHAnsi"/>
        </w:rPr>
        <w:t>Šolomek</w:t>
      </w:r>
      <w:proofErr w:type="spellEnd"/>
      <w:r w:rsidRPr="002D3026">
        <w:rPr>
          <w:rFonts w:asciiTheme="minorHAnsi" w:hAnsiTheme="minorHAnsi"/>
        </w:rPr>
        <w:t xml:space="preserve"> T., </w:t>
      </w:r>
      <w:proofErr w:type="spellStart"/>
      <w:r w:rsidRPr="002D3026">
        <w:rPr>
          <w:rFonts w:asciiTheme="minorHAnsi" w:hAnsiTheme="minorHAnsi"/>
        </w:rPr>
        <w:t>Klán</w:t>
      </w:r>
      <w:proofErr w:type="spellEnd"/>
      <w:r w:rsidRPr="002D3026">
        <w:rPr>
          <w:rFonts w:asciiTheme="minorHAnsi" w:hAnsiTheme="minorHAnsi"/>
        </w:rPr>
        <w:t xml:space="preserve"> P.: </w:t>
      </w:r>
      <w:r w:rsidRPr="002D3026">
        <w:rPr>
          <w:rFonts w:asciiTheme="minorHAnsi" w:hAnsiTheme="minorHAnsi"/>
          <w:i/>
          <w:iCs/>
        </w:rPr>
        <w:t>Org. Lett.</w:t>
      </w:r>
      <w:r w:rsidRPr="002D3026">
        <w:rPr>
          <w:rFonts w:asciiTheme="minorHAnsi" w:hAnsiTheme="minorHAnsi"/>
        </w:rPr>
        <w:t xml:space="preserve">, </w:t>
      </w:r>
      <w:r w:rsidRPr="002D3026">
        <w:rPr>
          <w:rFonts w:asciiTheme="minorHAnsi" w:hAnsiTheme="minorHAnsi"/>
          <w:b/>
          <w:bCs/>
        </w:rPr>
        <w:t>2013</w:t>
      </w:r>
      <w:r w:rsidRPr="002D3026">
        <w:rPr>
          <w:rFonts w:asciiTheme="minorHAnsi" w:hAnsiTheme="minorHAnsi"/>
        </w:rPr>
        <w:t xml:space="preserve">, </w:t>
      </w:r>
      <w:r w:rsidRPr="002D3026">
        <w:rPr>
          <w:rFonts w:asciiTheme="minorHAnsi" w:hAnsiTheme="minorHAnsi"/>
          <w:i/>
          <w:iCs/>
        </w:rPr>
        <w:t>15</w:t>
      </w:r>
      <w:r>
        <w:rPr>
          <w:rFonts w:asciiTheme="minorHAnsi" w:hAnsiTheme="minorHAnsi"/>
        </w:rPr>
        <w:t>(17), 4552–4555.</w:t>
      </w:r>
    </w:p>
    <w:p w:rsidR="002D3026" w:rsidRPr="002D3026" w:rsidRDefault="002D3026" w:rsidP="002D3026">
      <w:pPr>
        <w:pStyle w:val="Default"/>
        <w:rPr>
          <w:rFonts w:asciiTheme="minorHAnsi" w:hAnsiTheme="minorHAnsi"/>
        </w:rPr>
      </w:pPr>
      <w:proofErr w:type="spellStart"/>
      <w:r w:rsidRPr="002D3026">
        <w:rPr>
          <w:rFonts w:asciiTheme="minorHAnsi" w:hAnsiTheme="minorHAnsi"/>
        </w:rPr>
        <w:t>Pastierik</w:t>
      </w:r>
      <w:proofErr w:type="spellEnd"/>
      <w:r w:rsidRPr="002D3026">
        <w:rPr>
          <w:rFonts w:asciiTheme="minorHAnsi" w:hAnsiTheme="minorHAnsi"/>
        </w:rPr>
        <w:t xml:space="preserve"> T., </w:t>
      </w:r>
      <w:proofErr w:type="spellStart"/>
      <w:r w:rsidRPr="002D3026">
        <w:rPr>
          <w:rFonts w:asciiTheme="minorHAnsi" w:hAnsiTheme="minorHAnsi"/>
        </w:rPr>
        <w:t>Šebej</w:t>
      </w:r>
      <w:proofErr w:type="spellEnd"/>
      <w:r w:rsidRPr="002D3026">
        <w:rPr>
          <w:rFonts w:asciiTheme="minorHAnsi" w:hAnsiTheme="minorHAnsi"/>
        </w:rPr>
        <w:t xml:space="preserve"> P., </w:t>
      </w:r>
      <w:proofErr w:type="spellStart"/>
      <w:r w:rsidRPr="002D3026">
        <w:rPr>
          <w:rFonts w:asciiTheme="minorHAnsi" w:hAnsiTheme="minorHAnsi"/>
        </w:rPr>
        <w:t>Medalová</w:t>
      </w:r>
      <w:proofErr w:type="spellEnd"/>
      <w:r w:rsidRPr="002D3026">
        <w:rPr>
          <w:rFonts w:asciiTheme="minorHAnsi" w:hAnsiTheme="minorHAnsi"/>
        </w:rPr>
        <w:t xml:space="preserve"> J., </w:t>
      </w:r>
      <w:proofErr w:type="spellStart"/>
      <w:r w:rsidRPr="002D3026">
        <w:rPr>
          <w:rFonts w:asciiTheme="minorHAnsi" w:hAnsiTheme="minorHAnsi"/>
        </w:rPr>
        <w:t>Štacko</w:t>
      </w:r>
      <w:proofErr w:type="spellEnd"/>
      <w:r w:rsidRPr="002D3026">
        <w:rPr>
          <w:rFonts w:asciiTheme="minorHAnsi" w:hAnsiTheme="minorHAnsi"/>
        </w:rPr>
        <w:t xml:space="preserve"> P., </w:t>
      </w:r>
      <w:proofErr w:type="spellStart"/>
      <w:r w:rsidRPr="002D3026">
        <w:rPr>
          <w:rFonts w:asciiTheme="minorHAnsi" w:hAnsiTheme="minorHAnsi"/>
        </w:rPr>
        <w:t>Klán</w:t>
      </w:r>
      <w:proofErr w:type="spellEnd"/>
      <w:r w:rsidRPr="002D3026">
        <w:rPr>
          <w:rFonts w:asciiTheme="minorHAnsi" w:hAnsiTheme="minorHAnsi"/>
        </w:rPr>
        <w:t xml:space="preserve"> P: </w:t>
      </w:r>
      <w:r w:rsidRPr="002D3026">
        <w:rPr>
          <w:rFonts w:asciiTheme="minorHAnsi" w:hAnsiTheme="minorHAnsi"/>
          <w:i/>
          <w:iCs/>
        </w:rPr>
        <w:t>J. Org. Chem.</w:t>
      </w:r>
      <w:r w:rsidRPr="002D3026">
        <w:rPr>
          <w:rFonts w:asciiTheme="minorHAnsi" w:hAnsiTheme="minorHAnsi"/>
        </w:rPr>
        <w:t xml:space="preserve">, </w:t>
      </w:r>
      <w:r w:rsidRPr="002D3026">
        <w:rPr>
          <w:rFonts w:asciiTheme="minorHAnsi" w:hAnsiTheme="minorHAnsi"/>
          <w:b/>
          <w:bCs/>
        </w:rPr>
        <w:t>2014</w:t>
      </w:r>
      <w:r w:rsidRPr="002D3026">
        <w:rPr>
          <w:rFonts w:asciiTheme="minorHAnsi" w:hAnsiTheme="minorHAnsi"/>
        </w:rPr>
        <w:t xml:space="preserve">, </w:t>
      </w:r>
      <w:r w:rsidRPr="002D3026">
        <w:rPr>
          <w:rFonts w:asciiTheme="minorHAnsi" w:hAnsiTheme="minorHAnsi"/>
          <w:i/>
          <w:iCs/>
        </w:rPr>
        <w:t xml:space="preserve">79 </w:t>
      </w:r>
      <w:r>
        <w:rPr>
          <w:rFonts w:asciiTheme="minorHAnsi" w:hAnsiTheme="minorHAnsi"/>
        </w:rPr>
        <w:t>(8), 3374–3382.</w:t>
      </w:r>
    </w:p>
    <w:p w:rsidR="002D3026" w:rsidRPr="002D3026" w:rsidRDefault="002D3026" w:rsidP="002D3026">
      <w:pPr>
        <w:pStyle w:val="Default"/>
        <w:rPr>
          <w:rFonts w:asciiTheme="minorHAnsi" w:hAnsiTheme="minorHAnsi"/>
        </w:rPr>
      </w:pPr>
      <w:proofErr w:type="spellStart"/>
      <w:r w:rsidRPr="002D3026">
        <w:rPr>
          <w:rFonts w:asciiTheme="minorHAnsi" w:hAnsiTheme="minorHAnsi"/>
        </w:rPr>
        <w:t>Horváth</w:t>
      </w:r>
      <w:proofErr w:type="spellEnd"/>
      <w:r w:rsidRPr="002D3026">
        <w:rPr>
          <w:rFonts w:asciiTheme="minorHAnsi" w:hAnsiTheme="minorHAnsi"/>
        </w:rPr>
        <w:t xml:space="preserve"> P., </w:t>
      </w:r>
      <w:proofErr w:type="spellStart"/>
      <w:r w:rsidRPr="002D3026">
        <w:rPr>
          <w:rFonts w:asciiTheme="minorHAnsi" w:hAnsiTheme="minorHAnsi"/>
        </w:rPr>
        <w:t>Šebej</w:t>
      </w:r>
      <w:proofErr w:type="spellEnd"/>
      <w:r w:rsidRPr="002D3026">
        <w:rPr>
          <w:rFonts w:asciiTheme="minorHAnsi" w:hAnsiTheme="minorHAnsi"/>
        </w:rPr>
        <w:t xml:space="preserve"> P., </w:t>
      </w:r>
      <w:proofErr w:type="spellStart"/>
      <w:r w:rsidRPr="002D3026">
        <w:rPr>
          <w:rFonts w:asciiTheme="minorHAnsi" w:hAnsiTheme="minorHAnsi"/>
        </w:rPr>
        <w:t>Šolomek</w:t>
      </w:r>
      <w:proofErr w:type="spellEnd"/>
      <w:r w:rsidRPr="002D3026">
        <w:rPr>
          <w:rFonts w:asciiTheme="minorHAnsi" w:hAnsiTheme="minorHAnsi"/>
        </w:rPr>
        <w:t xml:space="preserve"> T., </w:t>
      </w:r>
      <w:proofErr w:type="spellStart"/>
      <w:r w:rsidRPr="002D3026">
        <w:rPr>
          <w:rFonts w:asciiTheme="minorHAnsi" w:hAnsiTheme="minorHAnsi"/>
        </w:rPr>
        <w:t>Klán</w:t>
      </w:r>
      <w:proofErr w:type="spellEnd"/>
      <w:r w:rsidRPr="002D3026">
        <w:rPr>
          <w:rFonts w:asciiTheme="minorHAnsi" w:hAnsiTheme="minorHAnsi"/>
        </w:rPr>
        <w:t xml:space="preserve"> P.: </w:t>
      </w:r>
      <w:r w:rsidRPr="002D3026">
        <w:rPr>
          <w:rFonts w:asciiTheme="minorHAnsi" w:hAnsiTheme="minorHAnsi"/>
          <w:i/>
          <w:iCs/>
        </w:rPr>
        <w:t>J. Org. Chem.</w:t>
      </w:r>
      <w:r w:rsidRPr="002D3026">
        <w:rPr>
          <w:rFonts w:asciiTheme="minorHAnsi" w:hAnsiTheme="minorHAnsi"/>
        </w:rPr>
        <w:t xml:space="preserve">, </w:t>
      </w:r>
      <w:r w:rsidRPr="002D3026">
        <w:rPr>
          <w:rFonts w:asciiTheme="minorHAnsi" w:hAnsiTheme="minorHAnsi"/>
          <w:b/>
          <w:bCs/>
        </w:rPr>
        <w:t>2015</w:t>
      </w:r>
      <w:r w:rsidRPr="002D3026">
        <w:rPr>
          <w:rFonts w:asciiTheme="minorHAnsi" w:hAnsiTheme="minorHAnsi"/>
        </w:rPr>
        <w:t xml:space="preserve">, </w:t>
      </w:r>
      <w:r w:rsidRPr="002D3026">
        <w:rPr>
          <w:rFonts w:asciiTheme="minorHAnsi" w:hAnsiTheme="minorHAnsi"/>
          <w:i/>
          <w:iCs/>
        </w:rPr>
        <w:t xml:space="preserve">80 </w:t>
      </w:r>
      <w:r>
        <w:rPr>
          <w:rFonts w:asciiTheme="minorHAnsi" w:hAnsiTheme="minorHAnsi"/>
        </w:rPr>
        <w:t>(3), 1299-1311.</w:t>
      </w:r>
    </w:p>
    <w:sectPr w:rsidR="002D3026" w:rsidRPr="002D30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D27"/>
    <w:rsid w:val="00165DA3"/>
    <w:rsid w:val="00170FEB"/>
    <w:rsid w:val="002D3026"/>
    <w:rsid w:val="00336D20"/>
    <w:rsid w:val="0059268D"/>
    <w:rsid w:val="00656ED2"/>
    <w:rsid w:val="007733A5"/>
    <w:rsid w:val="007D09C9"/>
    <w:rsid w:val="00823EF1"/>
    <w:rsid w:val="00B87806"/>
    <w:rsid w:val="00BB0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302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302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Sebej</dc:creator>
  <cp:keywords/>
  <dc:description/>
  <cp:lastModifiedBy>Sebej</cp:lastModifiedBy>
  <cp:revision>6</cp:revision>
  <dcterms:created xsi:type="dcterms:W3CDTF">2015-06-05T21:22:00Z</dcterms:created>
  <dcterms:modified xsi:type="dcterms:W3CDTF">2015-09-21T16:35:00Z</dcterms:modified>
</cp:coreProperties>
</file>