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:rsidR="004C438D" w:rsidRDefault="004C438D" w:rsidP="004C438D">
      <w:pPr>
        <w:jc w:val="center"/>
      </w:pPr>
    </w:p>
    <w:p w:rsidR="006E1DA1" w:rsidRDefault="006E1DA1" w:rsidP="004C438D">
      <w:pPr>
        <w:jc w:val="left"/>
        <w:rPr>
          <w:b/>
          <w:caps/>
          <w:sz w:val="18"/>
          <w:szCs w:val="18"/>
        </w:rPr>
      </w:pPr>
    </w:p>
    <w:p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r w:rsidRPr="00A57347">
        <w:rPr>
          <w:b/>
          <w:caps/>
          <w:sz w:val="18"/>
          <w:szCs w:val="18"/>
        </w:rPr>
        <w:t>Princip TITRACE ZALOŽENÉ NA OXIDAČNĚ - REDUKČNÍCH REAKCÍCH</w:t>
      </w:r>
    </w:p>
    <w:p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Potenciometrické metody určování koncentrace (aktivity) iontů v roztoku jsou založeny na měření elektromotorického napětí EMN (tj. rozdílu potenciálů elektrod EMN =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 -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ref</w:t>
      </w:r>
      <w:proofErr w:type="spellEnd"/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) elektrody. Počátek potenciálové osy (tj. nula) je dán konstantním a známým potenciálem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 xml:space="preserve">proto podle konvence můžeme položit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ref</w:t>
      </w:r>
      <w:proofErr w:type="spellEnd"/>
      <w:r w:rsidRPr="006E1DA1">
        <w:rPr>
          <w:i/>
          <w:sz w:val="18"/>
          <w:szCs w:val="18"/>
        </w:rPr>
        <w:t xml:space="preserve"> = 0, tj. měřené EMN se rovná přímo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. Hodnota potenciálu potom musí být vždy označena typem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elektrody, na kterou je uváděný potenciál vztažen (např. E = + 56 </w:t>
      </w:r>
      <w:proofErr w:type="spellStart"/>
      <w:r w:rsidRPr="006E1DA1">
        <w:rPr>
          <w:i/>
          <w:sz w:val="18"/>
          <w:szCs w:val="18"/>
        </w:rPr>
        <w:t>mV</w:t>
      </w:r>
      <w:proofErr w:type="spellEnd"/>
      <w:r w:rsidRPr="006E1DA1">
        <w:rPr>
          <w:i/>
          <w:sz w:val="18"/>
          <w:szCs w:val="18"/>
        </w:rPr>
        <w:t xml:space="preserve"> [SCE], kde  SCE je mezinárodní zkratka pro nasycenou kalomelovou elektrodu (tj. </w:t>
      </w:r>
      <w:proofErr w:type="spellStart"/>
      <w:r w:rsidRPr="006E1DA1">
        <w:rPr>
          <w:i/>
          <w:sz w:val="18"/>
          <w:szCs w:val="18"/>
        </w:rPr>
        <w:t>saturated</w:t>
      </w:r>
      <w:proofErr w:type="spellEnd"/>
      <w:r w:rsidRPr="006E1DA1">
        <w:rPr>
          <w:i/>
          <w:sz w:val="18"/>
          <w:szCs w:val="18"/>
        </w:rPr>
        <w:t xml:space="preserve"> </w:t>
      </w:r>
      <w:proofErr w:type="spellStart"/>
      <w:r w:rsidRPr="006E1DA1">
        <w:rPr>
          <w:i/>
          <w:sz w:val="18"/>
          <w:szCs w:val="18"/>
        </w:rPr>
        <w:t>calomel</w:t>
      </w:r>
      <w:proofErr w:type="spellEnd"/>
      <w:r w:rsidRPr="006E1DA1">
        <w:rPr>
          <w:i/>
          <w:sz w:val="18"/>
          <w:szCs w:val="18"/>
        </w:rPr>
        <w:t xml:space="preserve"> </w:t>
      </w:r>
      <w:proofErr w:type="spellStart"/>
      <w:r w:rsidRPr="006E1DA1">
        <w:rPr>
          <w:i/>
          <w:sz w:val="18"/>
          <w:szCs w:val="18"/>
        </w:rPr>
        <w:t>electrod</w:t>
      </w:r>
      <w:proofErr w:type="spellEnd"/>
      <w:r w:rsidRPr="006E1DA1">
        <w:rPr>
          <w:i/>
          <w:sz w:val="18"/>
          <w:szCs w:val="18"/>
        </w:rPr>
        <w:t xml:space="preserve">). Při známé hodnotě potenciálu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 lze tyto potenciály snadno přepočítat na standardní vodíkovou stupnici.</w:t>
      </w:r>
    </w:p>
    <w:p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</w:t>
      </w:r>
      <w:proofErr w:type="gramStart"/>
      <w:r w:rsidRPr="006E1DA1">
        <w:rPr>
          <w:i/>
          <w:sz w:val="18"/>
          <w:szCs w:val="18"/>
        </w:rPr>
        <w:t>tvořená  indiferentním</w:t>
      </w:r>
      <w:proofErr w:type="gramEnd"/>
      <w:r w:rsidRPr="006E1DA1">
        <w:rPr>
          <w:i/>
          <w:sz w:val="18"/>
          <w:szCs w:val="18"/>
        </w:rPr>
        <w:t xml:space="preserve"> kovem (např. platina), který je ponořen do roztoku obsahujícího oxidovanou a redukovanou formu redoxního systému,  její potenciál je určován poměrem koncentrací oxidované (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) a redukované (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 xml:space="preserve">) formy daného redoxního páru podle upraveného </w:t>
      </w:r>
      <w:proofErr w:type="spellStart"/>
      <w:r w:rsidRPr="006E1DA1">
        <w:rPr>
          <w:b/>
          <w:i/>
          <w:sz w:val="18"/>
          <w:szCs w:val="18"/>
        </w:rPr>
        <w:t>Nernst</w:t>
      </w:r>
      <w:proofErr w:type="spellEnd"/>
      <w:r w:rsidRPr="006E1DA1">
        <w:rPr>
          <w:b/>
          <w:i/>
          <w:sz w:val="18"/>
          <w:szCs w:val="18"/>
        </w:rPr>
        <w:t>-</w:t>
      </w:r>
      <w:proofErr w:type="spellStart"/>
      <w:r w:rsidRPr="006E1DA1">
        <w:rPr>
          <w:b/>
          <w:i/>
          <w:sz w:val="18"/>
          <w:szCs w:val="18"/>
        </w:rPr>
        <w:t>Petersova</w:t>
      </w:r>
      <w:proofErr w:type="spellEnd"/>
      <w:r w:rsidRPr="006E1DA1">
        <w:rPr>
          <w:b/>
          <w:i/>
          <w:sz w:val="18"/>
          <w:szCs w:val="18"/>
        </w:rPr>
        <w:t xml:space="preserve"> vztahu</w:t>
      </w:r>
      <w:r w:rsidRPr="006E1DA1">
        <w:rPr>
          <w:i/>
          <w:sz w:val="18"/>
          <w:szCs w:val="18"/>
        </w:rPr>
        <w:t>:</w:t>
      </w:r>
    </w:p>
    <w:p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>
          <v:shape id="_x0000_i1025" type="#_x0000_t75" style="width:103pt;height:25.3pt" o:ole="" fillcolor="window">
            <v:imagedata r:id="rId8" o:title=""/>
          </v:shape>
          <o:OLEObject Type="Embed" ProgID="Equation.3" ShapeID="_x0000_i1025" DrawAspect="Content" ObjectID="_1567415806" r:id="rId9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proofErr w:type="spellEnd"/>
      <w:r w:rsidRPr="006E1DA1">
        <w:rPr>
          <w:i/>
          <w:sz w:val="18"/>
          <w:szCs w:val="18"/>
        </w:rPr>
        <w:t xml:space="preserve"> je formální potenciál pro redoxní pár 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/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 xml:space="preserve">, </w:t>
      </w:r>
    </w:p>
    <w:p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>[</w:t>
      </w:r>
      <w:proofErr w:type="spellStart"/>
      <w:r w:rsidR="004C438D" w:rsidRPr="006E1DA1">
        <w:rPr>
          <w:i/>
          <w:sz w:val="18"/>
          <w:szCs w:val="18"/>
        </w:rPr>
        <w:t>Ox</w:t>
      </w:r>
      <w:proofErr w:type="spellEnd"/>
      <w:r w:rsidR="004C438D" w:rsidRPr="006E1DA1">
        <w:rPr>
          <w:i/>
          <w:sz w:val="18"/>
          <w:szCs w:val="18"/>
        </w:rPr>
        <w:t>] a [</w:t>
      </w:r>
      <w:proofErr w:type="spellStart"/>
      <w:r w:rsidR="004C438D" w:rsidRPr="006E1DA1">
        <w:rPr>
          <w:i/>
          <w:sz w:val="18"/>
          <w:szCs w:val="18"/>
        </w:rPr>
        <w:t>Red</w:t>
      </w:r>
      <w:proofErr w:type="spellEnd"/>
      <w:r w:rsidR="004C438D" w:rsidRPr="006E1DA1">
        <w:rPr>
          <w:i/>
          <w:sz w:val="18"/>
          <w:szCs w:val="18"/>
        </w:rPr>
        <w:t xml:space="preserve">] jsou rovnovážné koncentrace obou forem příslušného redoxního páru, </w:t>
      </w:r>
    </w:p>
    <w:p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proofErr w:type="spellStart"/>
      <w:r w:rsidR="004C438D" w:rsidRPr="006E1DA1">
        <w:rPr>
          <w:i/>
          <w:color w:val="0D0D0D"/>
          <w:sz w:val="18"/>
          <w:szCs w:val="18"/>
        </w:rPr>
        <w:t>Ox</w:t>
      </w:r>
      <w:proofErr w:type="spellEnd"/>
      <w:r w:rsidR="004C438D" w:rsidRPr="006E1DA1">
        <w:rPr>
          <w:i/>
          <w:color w:val="0D0D0D"/>
          <w:sz w:val="18"/>
          <w:szCs w:val="18"/>
        </w:rPr>
        <w:t xml:space="preserve">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</w:t>
      </w:r>
      <w:proofErr w:type="spellStart"/>
      <w:r w:rsidR="004C438D" w:rsidRPr="006E1DA1">
        <w:rPr>
          <w:i/>
          <w:color w:val="0D0D0D"/>
          <w:sz w:val="18"/>
          <w:szCs w:val="18"/>
        </w:rPr>
        <w:t>Red</w:t>
      </w:r>
      <w:proofErr w:type="spellEnd"/>
      <w:r w:rsidR="004C438D" w:rsidRPr="006E1DA1">
        <w:rPr>
          <w:i/>
          <w:color w:val="0D0D0D"/>
          <w:sz w:val="18"/>
          <w:szCs w:val="18"/>
        </w:rPr>
        <w:t>.</w:t>
      </w:r>
      <w:r w:rsidR="004C438D" w:rsidRPr="006E1DA1">
        <w:rPr>
          <w:i/>
          <w:sz w:val="18"/>
          <w:szCs w:val="18"/>
        </w:rPr>
        <w:t xml:space="preserve">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elektrodu kalomelová (tj. elektroda druhého druhu), kterou tvoří kov pokrytý vrstvičkou své málo rozpustné soli a ponořený v roztoku aniontů této soli.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Elektronickým </w:t>
      </w:r>
      <w:proofErr w:type="spellStart"/>
      <w:r w:rsidRPr="006E1DA1">
        <w:rPr>
          <w:i/>
          <w:sz w:val="18"/>
          <w:szCs w:val="18"/>
        </w:rPr>
        <w:t>multimetrem</w:t>
      </w:r>
      <w:proofErr w:type="spellEnd"/>
      <w:r w:rsidRPr="006E1DA1">
        <w:rPr>
          <w:i/>
          <w:sz w:val="18"/>
          <w:szCs w:val="18"/>
        </w:rPr>
        <w:t xml:space="preserve"> (tj. voltmetrem s vysokým vstupním odporem) </w:t>
      </w:r>
      <w:proofErr w:type="gramStart"/>
      <w:r w:rsidRPr="006E1DA1">
        <w:rPr>
          <w:i/>
          <w:sz w:val="18"/>
          <w:szCs w:val="18"/>
        </w:rPr>
        <w:t>je  měřeno</w:t>
      </w:r>
      <w:proofErr w:type="gramEnd"/>
      <w:r w:rsidRPr="006E1DA1">
        <w:rPr>
          <w:i/>
          <w:sz w:val="18"/>
          <w:szCs w:val="18"/>
        </w:rPr>
        <w:t xml:space="preserve">  bezproudově elektromotorické napětí EMN (≡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>) mezi platinovou a kalomelovou elektrodou, jehož změny v průběhu titrace jsou závislé na změnách poměru [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]/[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>], tj. poměru koncentrací oxidované a redukované formy titrované látky před ekvivalenčním bodem titrace nebo oxidované a redukované formy titračního činidla za ekvivalenčním bodem titrace.</w:t>
      </w:r>
    </w:p>
    <w:p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Typickou redoxní titrační křivku jako závislost potenciálu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 xml:space="preserve">Inflexní bod ve strmé části křivky je prakticky shodný s ekvivalenčním bodem </w:t>
      </w:r>
      <w:proofErr w:type="spellStart"/>
      <w:r w:rsidR="003F238A" w:rsidRPr="006E1DA1">
        <w:rPr>
          <w:i/>
          <w:sz w:val="18"/>
          <w:szCs w:val="18"/>
        </w:rPr>
        <w:t>V</w:t>
      </w:r>
      <w:r w:rsidR="003F238A" w:rsidRPr="006E1DA1">
        <w:rPr>
          <w:i/>
          <w:sz w:val="18"/>
          <w:szCs w:val="18"/>
          <w:vertAlign w:val="subscript"/>
        </w:rPr>
        <w:t>ekv</w:t>
      </w:r>
      <w:proofErr w:type="spellEnd"/>
      <w:r w:rsidR="003F238A" w:rsidRPr="006E1DA1">
        <w:rPr>
          <w:i/>
          <w:sz w:val="18"/>
          <w:szCs w:val="18"/>
        </w:rPr>
        <w:t>.</w:t>
      </w:r>
    </w:p>
    <w:p w:rsidR="004C438D" w:rsidRPr="00A57347" w:rsidRDefault="000D287A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177" style="position:absolute;margin-left:128.85pt;margin-top:19.25pt;width:213.95pt;height:110.7pt;z-index:6" coordorigin="-15" coordsize="20054,20001" o:allowoverlap="f">
            <v:group id="_x0000_s1178" style="position:absolute;left:-15;width:20054;height:20001" coordorigin="-15" coordsize="20054,20001">
              <v:line id="_x0000_s1179" style="position:absolute" from="5685,3299" to="5869,8643">
                <v:stroke startarrow="block" startarrowwidth="narrow" startarrowlength="short" endarrow="block" endarrowwidth="narrow" endarrowlength="short"/>
              </v:line>
              <v:group id="_x0000_s1180" style="position:absolute;left:-15;width:20054;height:20001" coordsize="19999,20001">
                <v:group id="_x0000_s1181" style="position:absolute;left:5414;top:637;width:10976;height:13788" coordorigin="-2" coordsize="20002,20001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2" type="#_x0000_t19" style="position:absolute;left:10008;width:9992;height:9957;flip:x" strokeweight="1pt"/>
                  <v:shape id="_x0000_s1183" type="#_x0000_t19" style="position:absolute;left:-2;top:10044;width:9992;height:9957;flip:y" strokeweight="1pt"/>
                </v:group>
                <v:line id="_x0000_s1184" style="position:absolute;flip:y" from="2057,0" to="18519,4149">
                  <v:stroke startarrowwidth="narrow" startarrowlength="short" endarrowwidth="narrow" endarrowlength="short"/>
                </v:line>
                <v:line id="_x0000_s1185" style="position:absolute;flip:y" from="4764,6227" to="15920,9021">
                  <v:stroke dashstyle="3 1" startarrowwidth="narrow" startarrowlength="short" endarrowwidth="narrow" endarrowlength="short"/>
                </v:line>
                <v:line id="_x0000_s1186" style="position:absolute;flip:y" from="1480,12765" to="12636,15560">
                  <v:stroke startarrowwidth="narrow" startarrowlength="short" endarrowwidth="narrow" endarrowlength="short"/>
                </v:line>
                <v:line id="_x0000_s1187" style="position:absolute" from="10900,7441" to="10903,16808" strokeweight=".5pt">
                  <v:stroke dashstyle="3 1" startarrowwidth="narrow" startarrowlength="short" endarrow="block" endarrowwidth="narrow" endarrowlength="short"/>
                </v:line>
                <v:line id="_x0000_s1188" style="position:absolute" from="1784,319" to="1787,17877" strokeweight=".5pt">
                  <v:stroke startarrowwidth="narrow" startarrowlength="short" endarrowwidth="narrow" endarrowlength="short"/>
                </v:line>
                <v:line id="_x0000_s1189" style="position:absolute;flip:x" from="950,16961" to="19999,16974" strokeweight=".5pt">
                  <v:stroke startarrowwidth="narrow" startarrowlength="short" endarrowwidth="narrow" endarrowlength="short"/>
                </v:line>
                <v:rect id="_x0000_s1190" style="position:absolute;top:564;width:2205;height:4621" filled="f" stroked="f" strokeweight=".5pt">
                  <v:textbox style="mso-next-textbox:#_x0000_s1190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gramStart"/>
                        <w:r w:rsidRPr="00592617">
                          <w:rPr>
                            <w:sz w:val="16"/>
                            <w:szCs w:val="16"/>
                          </w:rPr>
                          <w:t>E  (</w:t>
                        </w:r>
                        <w:proofErr w:type="spellStart"/>
                        <w:r w:rsidRPr="00592617">
                          <w:rPr>
                            <w:sz w:val="16"/>
                            <w:szCs w:val="16"/>
                          </w:rPr>
                          <w:t>mV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B86B01" w:rsidRDefault="00B86B01" w:rsidP="004C438D"/>
                    </w:txbxContent>
                  </v:textbox>
                </v:rect>
                <v:rect id="_x0000_s1191" style="position:absolute;left:17145;top:17691;width:2493;height:2310" filled="f" stroked="f" strokeweight=".5pt">
                  <v:textbox style="mso-next-textbox:#_x0000_s1191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 xml:space="preserve"> (ml)</w:t>
                        </w:r>
                      </w:p>
                    </w:txbxContent>
                  </v:textbox>
                </v:rect>
                <v:rect id="_x0000_s1192" style="position:absolute;left:11261;top:14651;width:2855;height:2635" filled="f" stroked="f" strokeweight=".5pt">
                  <v:textbox style="mso-next-textbox:#_x0000_s1192"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592617">
                          <w:rPr>
                            <w:sz w:val="18"/>
                            <w:szCs w:val="18"/>
                            <w:vertAlign w:val="subscript"/>
                          </w:rPr>
                          <w:t>ekv</w:t>
                        </w:r>
                        <w:proofErr w:type="spellEnd"/>
                      </w:p>
                    </w:txbxContent>
                  </v:textbox>
                </v:rect>
                <v:line id="_x0000_s1193" style="position:absolute" from="5902,9041" to="6085,14385">
                  <v:stroke startarrow="block" startarrowwidth="narrow" startarrowlength="short" endarrow="block" endarrowwidth="narrow" endarrowlength="short"/>
                </v:line>
              </v:group>
            </v:group>
            <v:rect id="_x0000_s1194" style="position:absolute;left:5052;top:5503;width:727;height:2396" filled="f" stroked="f">
              <v:textbox style="mso-next-textbox:#_x0000_s1194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1195" style="position:absolute;left:5233;top:10986;width:727;height:2397" filled="f" stroked="f">
              <v:textbox style="mso-next-textbox:#_x0000_s1195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wrap type="topAndBottom"/>
          </v:group>
        </w:pict>
      </w:r>
    </w:p>
    <w:p w:rsidR="00380554" w:rsidRPr="006E1DA1" w:rsidRDefault="00380554" w:rsidP="00D12090">
      <w:pPr>
        <w:pStyle w:val="txtchem"/>
        <w:spacing w:line="240" w:lineRule="auto"/>
        <w:ind w:left="709" w:firstLine="709"/>
        <w:jc w:val="left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 pro systém: Fe</w:t>
      </w:r>
      <w:r w:rsidRPr="006E1DA1">
        <w:rPr>
          <w:i/>
          <w:sz w:val="16"/>
          <w:szCs w:val="16"/>
          <w:vertAlign w:val="superscript"/>
        </w:rPr>
        <w:t>2+</w:t>
      </w:r>
      <w:r w:rsidRPr="006E1DA1">
        <w:rPr>
          <w:i/>
          <w:sz w:val="16"/>
          <w:szCs w:val="16"/>
        </w:rPr>
        <w:t xml:space="preserve"> titrováno MnO</w:t>
      </w:r>
      <w:r w:rsidRPr="006E1DA1">
        <w:rPr>
          <w:i/>
          <w:sz w:val="16"/>
          <w:szCs w:val="16"/>
          <w:vertAlign w:val="subscript"/>
        </w:rPr>
        <w:t>4</w:t>
      </w:r>
      <w:r w:rsidRPr="006E1DA1">
        <w:rPr>
          <w:i/>
          <w:sz w:val="16"/>
          <w:szCs w:val="16"/>
          <w:vertAlign w:val="superscript"/>
        </w:rPr>
        <w:t>-</w:t>
      </w:r>
    </w:p>
    <w:p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8A0838" w:rsidRDefault="008A0838" w:rsidP="009A099C">
      <w:pPr>
        <w:spacing w:line="240" w:lineRule="auto"/>
        <w:rPr>
          <w:sz w:val="20"/>
        </w:rPr>
      </w:pPr>
    </w:p>
    <w:p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:rsidR="009A099C" w:rsidRPr="00A57347" w:rsidRDefault="000D287A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pict>
          <v:line id="_x0000_s1197" style="position:absolute;left:0;text-align:left;z-index:8" from="5.2pt,1.35pt" to="5.2pt,1.35pt"/>
        </w:pic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E1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E2 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</w:t>
      </w:r>
      <w:proofErr w:type="spellStart"/>
      <w:r w:rsidRPr="003F238A">
        <w:rPr>
          <w:sz w:val="18"/>
          <w:szCs w:val="18"/>
        </w:rPr>
        <w:t>Ox</w:t>
      </w:r>
      <w:proofErr w:type="spellEnd"/>
      <w:r w:rsidRPr="003F238A">
        <w:rPr>
          <w:sz w:val="18"/>
          <w:szCs w:val="18"/>
        </w:rPr>
        <w:t>] = [</w:t>
      </w:r>
      <w:proofErr w:type="spellStart"/>
      <w:r w:rsidRPr="003F238A">
        <w:rPr>
          <w:sz w:val="18"/>
          <w:szCs w:val="18"/>
        </w:rPr>
        <w:t>Red</w:t>
      </w:r>
      <w:proofErr w:type="spellEnd"/>
      <w:r w:rsidRPr="003F238A">
        <w:rPr>
          <w:sz w:val="18"/>
          <w:szCs w:val="18"/>
        </w:rPr>
        <w:t>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 xml:space="preserve">), který je vztažený na potenciál </w:t>
      </w:r>
      <w:proofErr w:type="spellStart"/>
      <w:r w:rsidRPr="003F238A">
        <w:rPr>
          <w:sz w:val="18"/>
          <w:szCs w:val="18"/>
        </w:rPr>
        <w:t>referentní</w:t>
      </w:r>
      <w:proofErr w:type="spellEnd"/>
      <w:r w:rsidRPr="003F238A">
        <w:rPr>
          <w:sz w:val="18"/>
          <w:szCs w:val="18"/>
        </w:rPr>
        <w:t xml:space="preserve">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</w:t>
      </w:r>
      <w:proofErr w:type="spellStart"/>
      <w:r w:rsidRPr="003F238A">
        <w:rPr>
          <w:color w:val="0D0D0D"/>
          <w:sz w:val="18"/>
          <w:szCs w:val="18"/>
        </w:rPr>
        <w:t>E</w:t>
      </w:r>
      <w:r w:rsidRPr="003F238A">
        <w:rPr>
          <w:color w:val="0D0D0D"/>
          <w:sz w:val="18"/>
          <w:szCs w:val="18"/>
          <w:vertAlign w:val="superscript"/>
        </w:rPr>
        <w:t>f</w:t>
      </w:r>
      <w:proofErr w:type="spellEnd"/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</w:t>
      </w:r>
      <w:proofErr w:type="spellStart"/>
      <w:r w:rsidRPr="003F238A">
        <w:rPr>
          <w:color w:val="0D0D0D"/>
          <w:sz w:val="18"/>
          <w:szCs w:val="18"/>
        </w:rPr>
        <w:t>mV</w:t>
      </w:r>
      <w:proofErr w:type="spellEnd"/>
      <w:r w:rsidRPr="003F238A">
        <w:rPr>
          <w:color w:val="0D0D0D"/>
          <w:sz w:val="18"/>
          <w:szCs w:val="18"/>
        </w:rPr>
        <w:t xml:space="preserve">]. 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 xml:space="preserve">, zvětšený o 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odpovídá formálnímu potenciálu činidla </w:t>
      </w:r>
      <w:proofErr w:type="spellStart"/>
      <w:r w:rsidRPr="003F238A">
        <w:rPr>
          <w:sz w:val="18"/>
          <w:szCs w:val="18"/>
        </w:rPr>
        <w:t>E</w:t>
      </w:r>
      <w:r w:rsidRPr="003F238A">
        <w:rPr>
          <w:sz w:val="18"/>
          <w:szCs w:val="18"/>
          <w:vertAlign w:val="superscript"/>
        </w:rPr>
        <w:t>f’</w:t>
      </w:r>
      <w:proofErr w:type="spellEnd"/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  <w:r w:rsidRPr="00A57347">
              <w:rPr>
                <w:sz w:val="18"/>
                <w:szCs w:val="18"/>
              </w:rPr>
              <w:t>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57347">
              <w:rPr>
                <w:color w:val="000000"/>
                <w:sz w:val="18"/>
                <w:szCs w:val="18"/>
              </w:rPr>
              <w:t>mV</w:t>
            </w:r>
            <w:proofErr w:type="spellEnd"/>
          </w:p>
        </w:tc>
      </w:tr>
    </w:tbl>
    <w:p w:rsidR="009A099C" w:rsidRPr="00A57347" w:rsidRDefault="009A099C" w:rsidP="009A099C">
      <w:pPr>
        <w:pStyle w:val="txtchem"/>
        <w:rPr>
          <w:sz w:val="18"/>
          <w:szCs w:val="18"/>
        </w:rPr>
      </w:pPr>
    </w:p>
    <w:p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proofErr w:type="gramStart"/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>= f(V) nabývá</w:t>
      </w:r>
      <w:proofErr w:type="gramEnd"/>
      <w:r w:rsidRPr="00A57347">
        <w:rPr>
          <w:sz w:val="18"/>
          <w:szCs w:val="18"/>
        </w:rPr>
        <w:t xml:space="preserve"> v inflexním bodě nulové hodnoty. Spotřebu </w:t>
      </w:r>
      <w:proofErr w:type="spellStart"/>
      <w:r w:rsidRPr="00A57347">
        <w:rPr>
          <w:sz w:val="18"/>
          <w:szCs w:val="18"/>
        </w:rPr>
        <w:t>V</w:t>
      </w:r>
      <w:r w:rsidRPr="00A57347">
        <w:rPr>
          <w:sz w:val="18"/>
          <w:szCs w:val="18"/>
          <w:vertAlign w:val="subscript"/>
        </w:rPr>
        <w:t>ekv</w:t>
      </w:r>
      <w:proofErr w:type="spellEnd"/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>
          <v:shape id="_x0000_i1026" type="#_x0000_t75" style="width:126.55pt;height:29.65pt" o:ole="" fillcolor="window">
            <v:imagedata r:id="rId10" o:title=""/>
          </v:shape>
          <o:OLEObject Type="Embed" ProgID="Equation.3" ShapeID="_x0000_i1026" DrawAspect="Content" ObjectID="_1567415807" r:id="rId11"/>
        </w:object>
      </w:r>
    </w:p>
    <w:p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r w:rsidRPr="00A57347">
        <w:rPr>
          <w:i/>
          <w:sz w:val="18"/>
          <w:szCs w:val="18"/>
        </w:rPr>
        <w:t xml:space="preserve">kde:   </w:t>
      </w:r>
      <w:proofErr w:type="spellStart"/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proofErr w:type="spellEnd"/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</w:t>
      </w:r>
      <w:proofErr w:type="gramStart"/>
      <w:r w:rsidRPr="00A57347">
        <w:rPr>
          <w:sz w:val="18"/>
          <w:szCs w:val="18"/>
        </w:rPr>
        <w:t>je</w:t>
      </w:r>
      <w:proofErr w:type="gramEnd"/>
      <w:r w:rsidRPr="00A57347">
        <w:rPr>
          <w:sz w:val="18"/>
          <w:szCs w:val="18"/>
        </w:rPr>
        <w:t xml:space="preserve"> konstantní přídavek činidla v  ml, který se přidává v oblasti ekvivalenčního bodu,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  <w:r w:rsidRPr="003F238A">
              <w:rPr>
                <w:sz w:val="16"/>
                <w:szCs w:val="16"/>
              </w:rPr>
              <w:t>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38A">
              <w:rPr>
                <w:color w:val="000000"/>
                <w:sz w:val="16"/>
                <w:szCs w:val="16"/>
              </w:rPr>
              <w:t>mV</w:t>
            </w:r>
            <w:proofErr w:type="spellEnd"/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47ABC" w:rsidRPr="00A57347" w:rsidRDefault="00947ABC" w:rsidP="002F1AB4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0D287A" w:rsidP="002F1AB4">
      <w:pPr>
        <w:pStyle w:val="txtchem"/>
        <w:spacing w:line="240" w:lineRule="auto"/>
        <w:rPr>
          <w:sz w:val="18"/>
          <w:szCs w:val="18"/>
        </w:rPr>
      </w:pPr>
      <w:r w:rsidRPr="000D287A">
        <w:pict>
          <v:shape id="_x0000_s1196" type="#_x0000_t75" style="position:absolute;left:0;text-align:left;margin-left:175.7pt;margin-top:17.7pt;width:137.65pt;height:23.3pt;z-index:7">
            <v:imagedata r:id="rId12" o:title=""/>
            <w10:wrap type="topAndBottom"/>
          </v:shape>
          <o:OLEObject Type="Embed" ProgID="Equation.3" ShapeID="_x0000_s1196" DrawAspect="Content" ObjectID="_1567415809" r:id="rId13"/>
        </w:pict>
      </w:r>
      <w:r w:rsidR="009A099C"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</w:t>
      </w:r>
      <w:proofErr w:type="spellStart"/>
      <w:r w:rsidR="00592617">
        <w:rPr>
          <w:sz w:val="18"/>
          <w:szCs w:val="18"/>
        </w:rPr>
        <w:t>V</w:t>
      </w:r>
      <w:r w:rsidR="00592617" w:rsidRPr="00592617">
        <w:rPr>
          <w:sz w:val="18"/>
          <w:szCs w:val="18"/>
          <w:vertAlign w:val="subscript"/>
        </w:rPr>
        <w:t>ekv</w:t>
      </w:r>
      <w:proofErr w:type="spellEnd"/>
      <w:r w:rsidR="00592617" w:rsidRPr="00592617">
        <w:rPr>
          <w:sz w:val="18"/>
          <w:szCs w:val="18"/>
          <w:vertAlign w:val="subscript"/>
        </w:rPr>
        <w:t>.</w:t>
      </w:r>
      <w:r w:rsidR="009A099C" w:rsidRPr="00A57347">
        <w:rPr>
          <w:sz w:val="18"/>
          <w:szCs w:val="18"/>
        </w:rPr>
        <w:t>:</w:t>
      </w:r>
    </w:p>
    <w:p w:rsidR="002F1AB4" w:rsidRPr="00592617" w:rsidRDefault="002F1AB4" w:rsidP="002F1AB4">
      <w:pPr>
        <w:pStyle w:val="txtchem"/>
        <w:rPr>
          <w:sz w:val="22"/>
          <w:szCs w:val="22"/>
        </w:rPr>
      </w:pPr>
    </w:p>
    <w:p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proofErr w:type="gramStart"/>
      <w:r w:rsidRPr="002213CA">
        <w:rPr>
          <w:b/>
          <w:sz w:val="22"/>
          <w:szCs w:val="22"/>
        </w:rPr>
        <w:lastRenderedPageBreak/>
        <w:t>12.1</w:t>
      </w:r>
      <w:proofErr w:type="gramEnd"/>
      <w:r w:rsidRPr="002213CA">
        <w:rPr>
          <w:b/>
          <w:sz w:val="22"/>
          <w:szCs w:val="22"/>
        </w:rPr>
        <w:t>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</w:t>
      </w:r>
      <w:proofErr w:type="spellStart"/>
      <w:r w:rsidR="004C438D" w:rsidRPr="002213CA">
        <w:rPr>
          <w:b/>
          <w:sz w:val="22"/>
          <w:szCs w:val="22"/>
        </w:rPr>
        <w:t>hex</w:t>
      </w:r>
      <w:r w:rsidR="00592617" w:rsidRPr="002213CA">
        <w:rPr>
          <w:b/>
          <w:sz w:val="22"/>
          <w:szCs w:val="22"/>
        </w:rPr>
        <w:t>akyanoželeznatan</w:t>
      </w:r>
      <w:proofErr w:type="spellEnd"/>
      <w:r w:rsidR="00592617" w:rsidRPr="002213CA">
        <w:rPr>
          <w:b/>
          <w:sz w:val="22"/>
          <w:szCs w:val="22"/>
        </w:rPr>
        <w:t xml:space="preserve"> </w:t>
      </w:r>
      <w:proofErr w:type="spellStart"/>
      <w:r w:rsidR="00592617" w:rsidRPr="002213CA">
        <w:rPr>
          <w:b/>
          <w:sz w:val="22"/>
          <w:szCs w:val="22"/>
        </w:rPr>
        <w:t>tetradraselný</w:t>
      </w:r>
      <w:proofErr w:type="spellEnd"/>
      <w:r w:rsidR="004C438D" w:rsidRPr="002213CA">
        <w:rPr>
          <w:b/>
          <w:sz w:val="22"/>
          <w:szCs w:val="22"/>
        </w:rPr>
        <w:t> </w:t>
      </w:r>
    </w:p>
    <w:p w:rsidR="00592617" w:rsidRDefault="00592617" w:rsidP="000C7572">
      <w:pPr>
        <w:spacing w:before="120" w:line="240" w:lineRule="auto"/>
        <w:ind w:left="705"/>
        <w:rPr>
          <w:sz w:val="20"/>
        </w:rPr>
      </w:pP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</w:t>
      </w:r>
      <w:proofErr w:type="spellStart"/>
      <w:r w:rsidRPr="003F238A">
        <w:rPr>
          <w:i/>
          <w:sz w:val="20"/>
        </w:rPr>
        <w:t>trihydrát</w:t>
      </w:r>
      <w:proofErr w:type="spellEnd"/>
      <w:r w:rsidRPr="003F238A">
        <w:rPr>
          <w:i/>
          <w:sz w:val="20"/>
        </w:rPr>
        <w:t xml:space="preserve"> </w:t>
      </w:r>
      <w:proofErr w:type="spellStart"/>
      <w:r w:rsidRPr="003F238A">
        <w:rPr>
          <w:i/>
          <w:sz w:val="20"/>
        </w:rPr>
        <w:t>hexakyanoželeznatanu</w:t>
      </w:r>
      <w:proofErr w:type="spellEnd"/>
      <w:r w:rsidRPr="003F238A">
        <w:rPr>
          <w:i/>
          <w:sz w:val="20"/>
        </w:rPr>
        <w:t xml:space="preserve"> draselného.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 xml:space="preserve">Roztok </w:t>
      </w:r>
      <w:proofErr w:type="spellStart"/>
      <w:r w:rsidRPr="003F238A">
        <w:rPr>
          <w:i/>
          <w:sz w:val="20"/>
        </w:rPr>
        <w:t>hexakyanoželeznatanu</w:t>
      </w:r>
      <w:proofErr w:type="spellEnd"/>
      <w:r w:rsidRPr="003F238A">
        <w:rPr>
          <w:i/>
          <w:sz w:val="20"/>
        </w:rPr>
        <w:t xml:space="preserve">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. Při potenciometrickém stanovení je naměřen potenciálový skok z oblasti, definované formálním potenciálem 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</w:rPr>
        <w:t xml:space="preserve">  pro soustavu </w:t>
      </w:r>
      <w:proofErr w:type="spellStart"/>
      <w:proofErr w:type="gram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</w:t>
      </w:r>
      <w:proofErr w:type="gramEnd"/>
      <w:r w:rsidRPr="003F238A">
        <w:rPr>
          <w:i/>
          <w:sz w:val="20"/>
        </w:rPr>
        <w:t>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 xml:space="preserve">Původně nažloutlý roztok se v průběhu titrace barví do </w:t>
      </w:r>
      <w:proofErr w:type="spellStart"/>
      <w:r w:rsidRPr="003F238A">
        <w:rPr>
          <w:i/>
          <w:sz w:val="20"/>
        </w:rPr>
        <w:t>žlutozelena</w:t>
      </w:r>
      <w:proofErr w:type="spellEnd"/>
      <w:r w:rsidRPr="003F238A">
        <w:rPr>
          <w:i/>
          <w:sz w:val="20"/>
        </w:rPr>
        <w:t xml:space="preserve"> (patrně vznikem stopových množství berlínské modři pozvolným rozkladem méně stálé kyseliny </w:t>
      </w:r>
      <w:proofErr w:type="spellStart"/>
      <w:proofErr w:type="gramStart"/>
      <w:r w:rsidRPr="003F238A">
        <w:rPr>
          <w:i/>
          <w:sz w:val="20"/>
        </w:rPr>
        <w:t>hexakyanoželeznaté</w:t>
      </w:r>
      <w:proofErr w:type="spellEnd"/>
      <w:r w:rsidRPr="003F238A">
        <w:rPr>
          <w:i/>
          <w:sz w:val="20"/>
        </w:rPr>
        <w:t>).Oxidace</w:t>
      </w:r>
      <w:proofErr w:type="gramEnd"/>
      <w:r w:rsidRPr="003F238A">
        <w:rPr>
          <w:i/>
          <w:sz w:val="20"/>
        </w:rPr>
        <w:t xml:space="preserve"> </w:t>
      </w:r>
      <w:proofErr w:type="spellStart"/>
      <w:r w:rsidRPr="003F238A">
        <w:rPr>
          <w:i/>
          <w:sz w:val="20"/>
        </w:rPr>
        <w:t>hexakyanoželeznatého</w:t>
      </w:r>
      <w:proofErr w:type="spellEnd"/>
      <w:r w:rsidRPr="003F238A">
        <w:rPr>
          <w:i/>
          <w:sz w:val="20"/>
        </w:rPr>
        <w:t xml:space="preserve"> aniontu na </w:t>
      </w:r>
      <w:proofErr w:type="spellStart"/>
      <w:r w:rsidRPr="003F238A">
        <w:rPr>
          <w:i/>
          <w:sz w:val="20"/>
        </w:rPr>
        <w:t>hexakyanoželezitanový</w:t>
      </w:r>
      <w:proofErr w:type="spellEnd"/>
      <w:r w:rsidRPr="003F238A">
        <w:rPr>
          <w:i/>
          <w:sz w:val="20"/>
        </w:rPr>
        <w:t xml:space="preserve"> probíhá velmi snadno, potenciál se ustaluje rychle, v blízkosti ekvivalenčního bodu je ustalování potenciálu pomalejší, je třeba vyčkat 1 – 2 minuty do odečtení potenciálu. Zatímco redoxní pár primárního standardu se chová reverzibilně (elektrodový děj </w:t>
      </w:r>
      <w:proofErr w:type="spellStart"/>
      <w:proofErr w:type="gram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</w:t>
      </w:r>
      <w:proofErr w:type="gramEnd"/>
      <w:r w:rsidRPr="003F238A">
        <w:rPr>
          <w:i/>
          <w:sz w:val="20"/>
        </w:rPr>
        <w:t>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rychle),  je reverzibilita elektrodového děje činidla jen zdánlivá (reakce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</w:rPr>
        <w:t xml:space="preserve"> = +1,5 V). Tato skutečnost zapříčiňuje pomalejší ustalování potenciálu za bodem ekvivalence  a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:rsidR="00592617" w:rsidRDefault="000D287A" w:rsidP="004C438D">
      <w:pPr>
        <w:pStyle w:val="txtchem"/>
      </w:pPr>
      <w:r w:rsidRPr="000D287A">
        <w:rPr>
          <w:noProof/>
          <w:sz w:val="22"/>
          <w:szCs w:val="22"/>
        </w:rPr>
        <w:pict>
          <v:shape id="_x0000_s1173" type="#_x0000_t75" style="position:absolute;left:0;text-align:left;margin-left:166.95pt;margin-top:19.1pt;width:126.05pt;height:17.6pt;z-index:3">
            <v:imagedata r:id="rId14" o:title=""/>
            <w10:wrap type="topAndBottom"/>
          </v:shape>
          <o:OLEObject Type="Embed" ProgID="Equation.3" ShapeID="_x0000_s1173" DrawAspect="Content" ObjectID="_1567415810" r:id="rId15"/>
        </w:pict>
      </w:r>
    </w:p>
    <w:p w:rsidR="000E59F6" w:rsidRDefault="000D287A" w:rsidP="004C438D">
      <w:pPr>
        <w:pStyle w:val="txtchem"/>
      </w:pPr>
      <w:r w:rsidRPr="000D287A">
        <w:rPr>
          <w:noProof/>
          <w:sz w:val="22"/>
          <w:szCs w:val="22"/>
        </w:rPr>
        <w:pict>
          <v:shape id="_x0000_s1175" type="#_x0000_t75" style="position:absolute;left:0;text-align:left;margin-left:108.5pt;margin-top:80.5pt;width:251.5pt;height:17.5pt;z-index:4">
            <v:imagedata r:id="rId16" o:title=""/>
            <w10:wrap type="topAndBottom"/>
          </v:shape>
          <o:OLEObject Type="Embed" ProgID="Equation.3" ShapeID="_x0000_s1175" DrawAspect="Content" ObjectID="_1567415811" r:id="rId17"/>
        </w:pict>
      </w:r>
      <w:r w:rsidRPr="000D287A">
        <w:rPr>
          <w:noProof/>
          <w:sz w:val="22"/>
          <w:szCs w:val="22"/>
        </w:rPr>
        <w:pict>
          <v:shape id="_x0000_s1172" type="#_x0000_t75" style="position:absolute;left:0;text-align:left;margin-left:148.65pt;margin-top:29.45pt;width:169.35pt;height:16.35pt;z-index:2">
            <v:imagedata r:id="rId18" o:title=""/>
            <w10:wrap type="topAndBottom"/>
          </v:shape>
          <o:OLEObject Type="Embed" ProgID="Equation.3" ShapeID="_x0000_s1172" DrawAspect="Content" ObjectID="_1567415812" r:id="rId19"/>
        </w:pict>
      </w:r>
      <w:r w:rsidR="000E59F6">
        <w:tab/>
      </w:r>
      <w:r w:rsidR="000E59F6">
        <w:tab/>
      </w:r>
      <w:r w:rsidR="00332DAD">
        <w:t>______________________________________________________</w:t>
      </w:r>
    </w:p>
    <w:p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</w:t>
      </w:r>
      <w:proofErr w:type="spellStart"/>
      <w:proofErr w:type="gramStart"/>
      <w:r>
        <w:t>Fe</w:t>
      </w:r>
      <w:proofErr w:type="spellEnd"/>
      <w:r>
        <w:t>(CN</w:t>
      </w:r>
      <w:proofErr w:type="gramEnd"/>
      <w:r>
        <w:t>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</w:t>
      </w:r>
      <w:proofErr w:type="spellStart"/>
      <w:r w:rsidRPr="00264635">
        <w:rPr>
          <w:color w:val="0D0D0D"/>
        </w:rPr>
        <w:t>Fe</w:t>
      </w:r>
      <w:proofErr w:type="spellEnd"/>
      <w:r w:rsidRPr="00264635">
        <w:rPr>
          <w:color w:val="0D0D0D"/>
        </w:rPr>
        <w:t>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 xml:space="preserve">= 0,002 </w:t>
      </w:r>
      <w:proofErr w:type="spellStart"/>
      <w:r w:rsidR="004C438D" w:rsidRPr="00264635">
        <w:rPr>
          <w:color w:val="0D0D0D"/>
        </w:rPr>
        <w:t>mmol</w:t>
      </w:r>
      <w:proofErr w:type="spellEnd"/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</w:t>
      </w:r>
      <w:proofErr w:type="spellStart"/>
      <w:r w:rsidR="004C438D" w:rsidRPr="00264635">
        <w:rPr>
          <w:color w:val="0D0D0D"/>
        </w:rPr>
        <w:t>mmol</w:t>
      </w:r>
      <w:proofErr w:type="spellEnd"/>
      <w:r w:rsidR="004C438D" w:rsidRPr="00264635">
        <w:rPr>
          <w:color w:val="0D0D0D"/>
        </w:rPr>
        <w:t xml:space="preserve"> </w:t>
      </w:r>
      <w:proofErr w:type="spellStart"/>
      <w:proofErr w:type="gramStart"/>
      <w:r w:rsidR="004C438D" w:rsidRPr="00264635">
        <w:rPr>
          <w:color w:val="0D0D0D"/>
        </w:rPr>
        <w:t>Fe</w:t>
      </w:r>
      <w:proofErr w:type="spellEnd"/>
      <w:r w:rsidR="004C438D" w:rsidRPr="00264635">
        <w:rPr>
          <w:color w:val="0D0D0D"/>
        </w:rPr>
        <w:t>(CN</w:t>
      </w:r>
      <w:proofErr w:type="gramEnd"/>
      <w:r w:rsidR="004C438D" w:rsidRPr="00264635">
        <w:rPr>
          <w:color w:val="0D0D0D"/>
        </w:rPr>
        <w:t>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</w:t>
      </w:r>
      <w:proofErr w:type="spellStart"/>
      <w:r w:rsidR="004C438D" w:rsidRPr="00264635">
        <w:rPr>
          <w:color w:val="0D0D0D"/>
        </w:rPr>
        <w:t>Fe</w:t>
      </w:r>
      <w:proofErr w:type="spellEnd"/>
      <w:r w:rsidR="004C438D" w:rsidRPr="00264635">
        <w:rPr>
          <w:color w:val="0D0D0D"/>
        </w:rPr>
        <w:t>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:rsidR="004C438D" w:rsidRDefault="004C438D" w:rsidP="004C438D"/>
    <w:p w:rsidR="004C438D" w:rsidRPr="000E59F6" w:rsidRDefault="004C438D" w:rsidP="000E59F6">
      <w:pPr>
        <w:spacing w:line="240" w:lineRule="auto"/>
        <w:ind w:left="709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:rsidR="004C438D" w:rsidRDefault="00592617" w:rsidP="00B90EB9">
      <w:pPr>
        <w:pStyle w:val="txtchem"/>
        <w:spacing w:line="240" w:lineRule="auto"/>
        <w:ind w:left="709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:rsidR="004C438D" w:rsidRDefault="004C438D" w:rsidP="00B90EB9">
      <w:pPr>
        <w:pStyle w:val="txtchem"/>
        <w:spacing w:line="240" w:lineRule="auto"/>
        <w:ind w:left="708"/>
      </w:pPr>
      <w:r>
        <w:t>Do vysoké kádinky na 150 ml vlož</w:t>
      </w:r>
      <w:r w:rsidR="00592617">
        <w:t>it</w:t>
      </w:r>
      <w:r>
        <w:t xml:space="preserve"> </w:t>
      </w:r>
      <w:proofErr w:type="spellStart"/>
      <w:r>
        <w:t>míchadélko</w:t>
      </w:r>
      <w:proofErr w:type="spellEnd"/>
      <w:r>
        <w:t xml:space="preserve">, </w:t>
      </w:r>
      <w:proofErr w:type="spellStart"/>
      <w:r w:rsidR="002213CA">
        <w:t>na</w:t>
      </w:r>
      <w:r>
        <w:t>pipet</w:t>
      </w:r>
      <w:r w:rsidR="00592617">
        <w:t>ovat</w:t>
      </w:r>
      <w:proofErr w:type="spellEnd"/>
      <w:r>
        <w:t xml:space="preserve"> 10,00 ml roztoku </w:t>
      </w:r>
      <w:proofErr w:type="gramStart"/>
      <w:r>
        <w:t xml:space="preserve">standardu, </w:t>
      </w:r>
      <w:r w:rsidR="002213CA">
        <w:t xml:space="preserve"> přidat</w:t>
      </w:r>
      <w:proofErr w:type="gramEnd"/>
      <w:r w:rsidR="002213CA">
        <w:t xml:space="preserve">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:rsidR="004C438D" w:rsidRDefault="002213CA" w:rsidP="000C7572">
      <w:pPr>
        <w:pStyle w:val="txtchem"/>
        <w:ind w:left="708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</w:t>
      </w:r>
      <w:proofErr w:type="spellStart"/>
      <w:r w:rsidR="004C438D">
        <w:t>Nernst</w:t>
      </w:r>
      <w:proofErr w:type="spellEnd"/>
      <w:r w:rsidR="004C438D">
        <w:t>-</w:t>
      </w:r>
      <w:proofErr w:type="spellStart"/>
      <w:r w:rsidR="004C438D">
        <w:t>Petersovy</w:t>
      </w:r>
      <w:proofErr w:type="spellEnd"/>
      <w:r w:rsidR="004C438D">
        <w:t xml:space="preserve">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4C438D">
        <w:t xml:space="preserve">. </w:t>
      </w:r>
    </w:p>
    <w:p w:rsidR="004C438D" w:rsidRDefault="004C438D" w:rsidP="000C7572">
      <w:pPr>
        <w:pStyle w:val="txtchem"/>
        <w:ind w:left="708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</w:t>
      </w:r>
      <w:proofErr w:type="spellStart"/>
      <w:r>
        <w:t>multimetru</w:t>
      </w:r>
      <w:proofErr w:type="spellEnd"/>
      <w:r>
        <w:t xml:space="preserve">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</w:t>
      </w:r>
      <w:proofErr w:type="spellStart"/>
      <w:r>
        <w:t>V</w:t>
      </w:r>
      <w:r>
        <w:rPr>
          <w:vertAlign w:val="subscript"/>
        </w:rPr>
        <w:t>ekv</w:t>
      </w:r>
      <w:proofErr w:type="spellEnd"/>
      <w:r>
        <w:t>.</w:t>
      </w:r>
    </w:p>
    <w:p w:rsidR="004C438D" w:rsidRDefault="004C438D" w:rsidP="000C7572">
      <w:pPr>
        <w:pStyle w:val="txtchem"/>
        <w:ind w:left="708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:rsidR="00D13718" w:rsidRDefault="00D13718" w:rsidP="00D13718">
      <w:pPr>
        <w:spacing w:before="120" w:line="240" w:lineRule="auto"/>
        <w:ind w:left="1440"/>
        <w:rPr>
          <w:i/>
          <w:iCs/>
          <w:sz w:val="18"/>
          <w:szCs w:val="18"/>
        </w:rPr>
      </w:pP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lastRenderedPageBreak/>
        <w:t xml:space="preserve">stanovení provádět s využitím programu </w:t>
      </w:r>
      <w:proofErr w:type="spellStart"/>
      <w:r w:rsidRPr="00D13718">
        <w:rPr>
          <w:i/>
          <w:iCs/>
          <w:sz w:val="18"/>
          <w:szCs w:val="18"/>
        </w:rPr>
        <w:t>LabView</w:t>
      </w:r>
      <w:proofErr w:type="spellEnd"/>
      <w:r w:rsidRPr="00D13718">
        <w:rPr>
          <w:i/>
          <w:iCs/>
          <w:sz w:val="18"/>
          <w:szCs w:val="18"/>
        </w:rPr>
        <w:t>, jednotky jsou nastaveny ve V (ne v </w:t>
      </w:r>
      <w:proofErr w:type="spellStart"/>
      <w:r w:rsidRPr="00D13718">
        <w:rPr>
          <w:i/>
          <w:iCs/>
          <w:sz w:val="18"/>
          <w:szCs w:val="18"/>
        </w:rPr>
        <w:t>mV</w:t>
      </w:r>
      <w:proofErr w:type="spellEnd"/>
      <w:r w:rsidRPr="00D13718">
        <w:rPr>
          <w:i/>
          <w:iCs/>
          <w:sz w:val="18"/>
          <w:szCs w:val="18"/>
        </w:rPr>
        <w:t>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POZOR - nezapomínat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:rsidR="000C7572" w:rsidRPr="000C7572" w:rsidRDefault="000C7572" w:rsidP="000C7572">
      <w:pPr>
        <w:pStyle w:val="txtchem"/>
        <w:ind w:left="709"/>
      </w:pPr>
    </w:p>
    <w:p w:rsidR="004C438D" w:rsidRPr="000C7572" w:rsidRDefault="000D287A" w:rsidP="000C7572">
      <w:pPr>
        <w:ind w:left="708"/>
        <w:rPr>
          <w:i/>
          <w:iCs/>
          <w:caps/>
        </w:rPr>
      </w:pPr>
      <w:r w:rsidRPr="000D287A">
        <w:rPr>
          <w:noProof/>
        </w:rPr>
        <w:pict>
          <v:shape id="_x0000_s1201" type="#_x0000_t75" style="position:absolute;left:0;text-align:left;margin-left:0;margin-top:20.7pt;width:153.5pt;height:34.15pt;z-index:9;mso-position-horizontal:center">
            <v:imagedata r:id="rId20" o:title=""/>
            <w10:wrap type="square"/>
          </v:shape>
          <o:OLEObject Type="Embed" ProgID="Equation.3" ShapeID="_x0000_s1201" DrawAspect="Content" ObjectID="_1567415813" r:id="rId21"/>
        </w:pict>
      </w:r>
      <w:r w:rsidRPr="000D287A">
        <w:rPr>
          <w:b/>
          <w:sz w:val="20"/>
        </w:rPr>
        <w:pict>
          <v:shape id="_x0000_s1150" type="#_x0000_t75" style="position:absolute;left:0;text-align:left;margin-left:44.35pt;margin-top:33.55pt;width:9pt;height:17pt;z-index:1" o:allowincell="f">
            <v:imagedata r:id="rId22" o:title=""/>
            <w10:wrap type="topAndBottom"/>
          </v:shape>
          <o:OLEObject Type="Embed" ProgID="Equation.3" ShapeID="_x0000_s1150" DrawAspect="Content" ObjectID="_1567415814" r:id="rId23"/>
        </w:pi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</w:p>
    <w:p w:rsidR="004C438D" w:rsidRDefault="004C438D" w:rsidP="000C7572"/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proofErr w:type="spellStart"/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proofErr w:type="spellEnd"/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proofErr w:type="spellEnd"/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proofErr w:type="spellStart"/>
      <w:r w:rsidRPr="003F238A">
        <w:rPr>
          <w:i/>
          <w:color w:val="0D0D0D"/>
          <w:sz w:val="16"/>
          <w:szCs w:val="16"/>
          <w:vertAlign w:val="subscript"/>
        </w:rPr>
        <w:t>Fe</w:t>
      </w:r>
      <w:proofErr w:type="spellEnd"/>
      <w:r w:rsidRPr="003F238A">
        <w:rPr>
          <w:i/>
          <w:color w:val="0D0D0D"/>
          <w:sz w:val="16"/>
          <w:szCs w:val="16"/>
          <w:vertAlign w:val="subscript"/>
        </w:rPr>
        <w:t>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proofErr w:type="spellStart"/>
      <w:r w:rsidRPr="003F238A">
        <w:rPr>
          <w:color w:val="0D0D0D"/>
          <w:sz w:val="16"/>
          <w:szCs w:val="16"/>
        </w:rPr>
        <w:t>trihydrátu</w:t>
      </w:r>
      <w:proofErr w:type="spellEnd"/>
      <w:r w:rsidRPr="003F238A">
        <w:rPr>
          <w:sz w:val="16"/>
          <w:szCs w:val="16"/>
        </w:rPr>
        <w:t xml:space="preserve"> </w:t>
      </w:r>
      <w:proofErr w:type="spellStart"/>
      <w:r w:rsidRPr="003F238A">
        <w:rPr>
          <w:sz w:val="16"/>
          <w:szCs w:val="16"/>
        </w:rPr>
        <w:t>hexakyanoželeznatanu</w:t>
      </w:r>
      <w:proofErr w:type="spellEnd"/>
      <w:r w:rsidRPr="003F238A">
        <w:rPr>
          <w:sz w:val="16"/>
          <w:szCs w:val="16"/>
        </w:rPr>
        <w:t xml:space="preserve"> </w:t>
      </w:r>
      <w:proofErr w:type="spellStart"/>
      <w:r w:rsidRPr="003F238A">
        <w:rPr>
          <w:sz w:val="16"/>
          <w:szCs w:val="16"/>
        </w:rPr>
        <w:t>tetradraselného</w:t>
      </w:r>
      <w:proofErr w:type="spellEnd"/>
      <w:r w:rsidRPr="003F238A">
        <w:rPr>
          <w:sz w:val="16"/>
          <w:szCs w:val="16"/>
        </w:rPr>
        <w:t xml:space="preserve"> v mg, </w:t>
      </w:r>
    </w:p>
    <w:p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proofErr w:type="spellStart"/>
      <w:r w:rsidRPr="003F238A">
        <w:rPr>
          <w:i/>
          <w:color w:val="0D0D0D"/>
          <w:sz w:val="16"/>
          <w:szCs w:val="16"/>
          <w:vertAlign w:val="subscript"/>
        </w:rPr>
        <w:t>Fe</w:t>
      </w:r>
      <w:proofErr w:type="spellEnd"/>
      <w:r w:rsidRPr="003F238A">
        <w:rPr>
          <w:i/>
          <w:color w:val="0D0D0D"/>
          <w:sz w:val="16"/>
          <w:szCs w:val="16"/>
          <w:vertAlign w:val="subscript"/>
        </w:rPr>
        <w:t>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proofErr w:type="spellEnd"/>
      <w:r w:rsidRPr="003F238A">
        <w:rPr>
          <w:sz w:val="16"/>
          <w:szCs w:val="16"/>
        </w:rPr>
        <w:t xml:space="preserve"> je pipetovaný objem standardního roztoku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proofErr w:type="spellEnd"/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:rsidR="002213CA" w:rsidRDefault="002213CA" w:rsidP="002213CA">
      <w:pPr>
        <w:pStyle w:val="txtchem"/>
        <w:rPr>
          <w:b/>
        </w:rPr>
      </w:pPr>
    </w:p>
    <w:p w:rsidR="004C438D" w:rsidRPr="00A86E72" w:rsidRDefault="004C438D" w:rsidP="002213CA">
      <w:pPr>
        <w:pStyle w:val="txtchem"/>
        <w:rPr>
          <w:b/>
          <w:sz w:val="22"/>
          <w:szCs w:val="22"/>
        </w:rPr>
      </w:pPr>
      <w:proofErr w:type="gramStart"/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proofErr w:type="gramEnd"/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</w:t>
      </w:r>
      <w:proofErr w:type="spellStart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</w:t>
      </w:r>
      <w:proofErr w:type="spellStart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se chová zcela reverzibilně (stejně jako jeho </w:t>
      </w:r>
      <w:proofErr w:type="spellStart"/>
      <w:r w:rsidRPr="003F238A">
        <w:rPr>
          <w:i/>
        </w:rPr>
        <w:t>hexakyanokomplexy</w:t>
      </w:r>
      <w:proofErr w:type="spellEnd"/>
      <w:r w:rsidRPr="003F238A">
        <w:rPr>
          <w:i/>
        </w:rPr>
        <w:t>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. Vizuální indikace je však zatížena titrační chybou, která bude tím menší, čím menší přebytek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 pozorovat při odečítání </w:t>
      </w:r>
      <w:proofErr w:type="spellStart"/>
      <w:r w:rsidRPr="003F238A">
        <w:rPr>
          <w:i/>
        </w:rPr>
        <w:t>V</w:t>
      </w:r>
      <w:r w:rsidRPr="003F238A">
        <w:rPr>
          <w:i/>
          <w:vertAlign w:val="subscript"/>
        </w:rPr>
        <w:t>ekv</w:t>
      </w:r>
      <w:proofErr w:type="spellEnd"/>
    </w:p>
    <w:p w:rsidR="004C438D" w:rsidRDefault="004C438D" w:rsidP="004C438D">
      <w:pPr>
        <w:jc w:val="left"/>
        <w:rPr>
          <w:sz w:val="20"/>
        </w:rPr>
      </w:pPr>
    </w:p>
    <w:p w:rsidR="004C438D" w:rsidRPr="00FB3090" w:rsidRDefault="000D287A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 w:rsidRPr="000D287A">
        <w:rPr>
          <w:noProof/>
        </w:rPr>
        <w:pict>
          <v:shape id="_x0000_s1176" type="#_x0000_t75" style="position:absolute;left:0;text-align:left;margin-left:121.15pt;margin-top:22.6pt;width:224.4pt;height:16.85pt;z-index:5">
            <v:imagedata r:id="rId24" o:title=""/>
            <w10:wrap type="topAndBottom"/>
          </v:shape>
          <o:OLEObject Type="Embed" ProgID="Equation.3" ShapeID="_x0000_s1176" DrawAspect="Content" ObjectID="_1567415815" r:id="rId25"/>
        </w:pict>
      </w:r>
      <w:r w:rsidR="004C438D" w:rsidRPr="00FB3090">
        <w:rPr>
          <w:b/>
          <w:bCs/>
          <w:i w:val="0"/>
        </w:rPr>
        <w:t>Stechiometrie:</w:t>
      </w:r>
    </w:p>
    <w:p w:rsidR="004C438D" w:rsidRDefault="004C438D" w:rsidP="00FB3090"/>
    <w:p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</w:t>
      </w:r>
      <w:proofErr w:type="spellStart"/>
      <w:r>
        <w:t>Fe</w:t>
      </w:r>
      <w:proofErr w:type="spellEnd"/>
      <w:r>
        <w:t>) = 55,847 g/mol</w:t>
      </w:r>
    </w:p>
    <w:p w:rsidR="004C438D" w:rsidRDefault="004C438D" w:rsidP="004C438D">
      <w:pPr>
        <w:pStyle w:val="txtchem"/>
        <w:spacing w:before="0"/>
      </w:pPr>
    </w:p>
    <w:p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</w:t>
      </w:r>
      <w:proofErr w:type="spellStart"/>
      <w:r>
        <w:t>mmol</w:t>
      </w:r>
      <w:proofErr w:type="spellEnd"/>
      <w:r>
        <w:t xml:space="preserve">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</w:t>
      </w:r>
      <w:proofErr w:type="spellStart"/>
      <w:r>
        <w:t>mmol</w:t>
      </w:r>
      <w:proofErr w:type="spellEnd"/>
      <w:r>
        <w:t xml:space="preserve">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:rsidR="004C438D" w:rsidRPr="00FB3090" w:rsidRDefault="004C438D" w:rsidP="00FB3090">
      <w:pPr>
        <w:ind w:left="709"/>
        <w:rPr>
          <w:sz w:val="20"/>
        </w:rPr>
      </w:pPr>
    </w:p>
    <w:p w:rsidR="004C438D" w:rsidRPr="00FB3090" w:rsidRDefault="004C438D" w:rsidP="00FB3090">
      <w:pPr>
        <w:spacing w:before="120" w:line="240" w:lineRule="auto"/>
        <w:ind w:left="709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:rsidR="004C438D" w:rsidRDefault="004C438D" w:rsidP="00FB3090">
      <w:pPr>
        <w:pStyle w:val="txtchem"/>
        <w:spacing w:line="240" w:lineRule="auto"/>
        <w:ind w:left="709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:rsidR="00A86E72" w:rsidRDefault="004C438D" w:rsidP="00FB3090">
      <w:pPr>
        <w:pStyle w:val="txtchem"/>
        <w:spacing w:line="240" w:lineRule="auto"/>
        <w:ind w:left="709"/>
      </w:pPr>
      <w:r>
        <w:t>Do kádinky na 150 ml vlož</w:t>
      </w:r>
      <w:r w:rsidR="00A86E72">
        <w:t>it</w:t>
      </w:r>
      <w:r>
        <w:t xml:space="preserve"> </w:t>
      </w:r>
      <w:proofErr w:type="spellStart"/>
      <w:r>
        <w:t>míchadélko</w:t>
      </w:r>
      <w:proofErr w:type="spellEnd"/>
      <w:r>
        <w:t xml:space="preserve">, </w:t>
      </w:r>
      <w:proofErr w:type="spellStart"/>
      <w:r>
        <w:t>napipet</w:t>
      </w:r>
      <w:r w:rsidR="00A86E72">
        <w:t>ovat</w:t>
      </w:r>
      <w:proofErr w:type="spellEnd"/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:rsidR="004C438D" w:rsidRDefault="00A86E72" w:rsidP="00FB3090">
      <w:pPr>
        <w:pStyle w:val="txtchem"/>
        <w:spacing w:line="240" w:lineRule="auto"/>
        <w:ind w:left="709"/>
      </w:pPr>
      <w:r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 xml:space="preserve">Po každém přídavku odměrného roztoku ke vzorku vždy odečíst hodnotu napětí mezi platinovou a kalomelovou elektrodou na </w:t>
      </w:r>
      <w:proofErr w:type="spellStart"/>
      <w:r>
        <w:t>multimetru</w:t>
      </w:r>
      <w:proofErr w:type="spellEnd"/>
      <w:r>
        <w:t xml:space="preserve">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 xml:space="preserve">, které odpovídá </w:t>
      </w:r>
      <w:proofErr w:type="spellStart"/>
      <w:r>
        <w:t>V</w:t>
      </w:r>
      <w:r>
        <w:rPr>
          <w:vertAlign w:val="subscript"/>
        </w:rPr>
        <w:t>ekv</w:t>
      </w:r>
      <w:proofErr w:type="spellEnd"/>
      <w:r w:rsidR="004C438D">
        <w:t xml:space="preserve">. </w:t>
      </w:r>
    </w:p>
    <w:p w:rsidR="004C438D" w:rsidRDefault="004C438D" w:rsidP="00FB3090">
      <w:pPr>
        <w:pStyle w:val="txtchem"/>
        <w:spacing w:line="240" w:lineRule="auto"/>
        <w:ind w:left="709"/>
      </w:pPr>
      <w:r>
        <w:t xml:space="preserve">Z titrační křivky </w:t>
      </w:r>
      <w:r w:rsidR="00A86E72">
        <w:t>určit</w:t>
      </w:r>
      <w:r>
        <w:t xml:space="preserve"> </w:t>
      </w:r>
      <w:proofErr w:type="spellStart"/>
      <w:r>
        <w:t>V</w:t>
      </w:r>
      <w:r>
        <w:rPr>
          <w:vertAlign w:val="subscript"/>
        </w:rPr>
        <w:t>ekv</w:t>
      </w:r>
      <w:proofErr w:type="spellEnd"/>
      <w:r w:rsidR="00A86E72">
        <w:t xml:space="preserve"> </w:t>
      </w:r>
      <w:r>
        <w:t xml:space="preserve">a </w:t>
      </w:r>
      <w:r w:rsidR="00A86E72">
        <w:t>také</w:t>
      </w:r>
      <w:r>
        <w:t xml:space="preserve"> odeč</w:t>
      </w:r>
      <w:r w:rsidR="00A86E72">
        <w:t>íst</w:t>
      </w:r>
      <w:r>
        <w:t xml:space="preserve"> formální potenciály obou redoxních párů.</w:t>
      </w:r>
    </w:p>
    <w:p w:rsidR="00A86E72" w:rsidRDefault="00A86E72" w:rsidP="00FB3090">
      <w:pPr>
        <w:pStyle w:val="txtchem"/>
        <w:spacing w:line="240" w:lineRule="auto"/>
        <w:rPr>
          <w:b/>
          <w:sz w:val="18"/>
        </w:rPr>
      </w:pPr>
    </w:p>
    <w:p w:rsidR="004C438D" w:rsidRDefault="004C438D" w:rsidP="004C438D">
      <w:pPr>
        <w:pStyle w:val="txtchem"/>
        <w:rPr>
          <w:b/>
        </w:rPr>
      </w:pPr>
      <w:r w:rsidRPr="002213CA">
        <w:rPr>
          <w:b/>
        </w:rPr>
        <w:lastRenderedPageBreak/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:rsidR="003F238A" w:rsidRPr="002213CA" w:rsidRDefault="003F238A" w:rsidP="004C438D">
      <w:pPr>
        <w:pStyle w:val="txtchem"/>
        <w:rPr>
          <w:b/>
        </w:rPr>
      </w:pPr>
    </w:p>
    <w:p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>
          <v:shape id="_x0000_i1027" type="#_x0000_t75" style="width:148.8pt;height:26.6pt" o:ole="" fillcolor="window">
            <v:imagedata r:id="rId26" o:title=""/>
          </v:shape>
          <o:OLEObject Type="Embed" ProgID="Equation.3" ShapeID="_x0000_i1027" DrawAspect="Content" ObjectID="_1567415808" r:id="rId27"/>
        </w:object>
      </w:r>
    </w:p>
    <w:p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proofErr w:type="spellStart"/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proofErr w:type="spellEnd"/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</w:t>
      </w:r>
      <w:proofErr w:type="spellStart"/>
      <w:r w:rsidRPr="003F238A">
        <w:rPr>
          <w:i/>
          <w:szCs w:val="16"/>
        </w:rPr>
        <w:t>Fe</w:t>
      </w:r>
      <w:proofErr w:type="spellEnd"/>
      <w:r w:rsidRPr="003F238A">
        <w:rPr>
          <w:i/>
          <w:szCs w:val="16"/>
        </w:rPr>
        <w:t>)</w:t>
      </w:r>
      <w:r w:rsidRPr="003F238A">
        <w:rPr>
          <w:szCs w:val="16"/>
        </w:rPr>
        <w:t xml:space="preserve"> je molární hmotnost </w:t>
      </w:r>
      <w:proofErr w:type="spellStart"/>
      <w:r w:rsidRPr="003F238A">
        <w:rPr>
          <w:szCs w:val="16"/>
        </w:rPr>
        <w:t>Fe</w:t>
      </w:r>
      <w:proofErr w:type="spellEnd"/>
      <w:r w:rsidRPr="003F238A">
        <w:rPr>
          <w:szCs w:val="16"/>
        </w:rPr>
        <w:t xml:space="preserve"> v g/mol, </w:t>
      </w:r>
    </w:p>
    <w:p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proofErr w:type="spellStart"/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proofErr w:type="spellEnd"/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proofErr w:type="spellStart"/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proofErr w:type="spellEnd"/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proofErr w:type="spellStart"/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proofErr w:type="spellEnd"/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proofErr w:type="gramStart"/>
      <w:r w:rsidRPr="00A86E72">
        <w:rPr>
          <w:b/>
          <w:sz w:val="22"/>
          <w:szCs w:val="22"/>
        </w:rPr>
        <w:t>12.3</w:t>
      </w:r>
      <w:proofErr w:type="gramEnd"/>
      <w:r w:rsidRPr="00A86E72">
        <w:rPr>
          <w:b/>
          <w:sz w:val="22"/>
          <w:szCs w:val="22"/>
        </w:rPr>
        <w:t>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:rsidR="00FB3090" w:rsidRDefault="00FB3090" w:rsidP="00FB3090">
      <w:pPr>
        <w:spacing w:line="240" w:lineRule="auto"/>
        <w:rPr>
          <w:sz w:val="20"/>
        </w:rPr>
      </w:pPr>
    </w:p>
    <w:p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:rsidR="003F238A" w:rsidRDefault="00A86E72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>
        <w:rPr>
          <w:b/>
        </w:rPr>
        <w:t xml:space="preserve">graficky i </w:t>
      </w:r>
      <w:r w:rsidR="003F238A">
        <w:rPr>
          <w:b/>
        </w:rPr>
        <w:t>početně dle odstavce 12.1.1.2.</w:t>
      </w:r>
    </w:p>
    <w:p w:rsidR="004C438D" w:rsidRDefault="003F238A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Odečtené formální potenciály obou redoxních párů z titrační křivky pro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  <w:u w:val="single"/>
        </w:rPr>
      </w:pPr>
      <w:r>
        <w:rPr>
          <w:b/>
        </w:rPr>
        <w:t>Srovnání grafické a početní metody určování inflexního bodu při potenciometrickém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Pr="00916F53" w:rsidRDefault="004C438D" w:rsidP="00916F53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Zdůvodnění možného chybného stanovení, zhodnocení příp. problémů během měření.</w:t>
      </w:r>
    </w:p>
    <w:sectPr w:rsidR="004C438D" w:rsidRPr="00916F53" w:rsidSect="003F238A">
      <w:footerReference w:type="even" r:id="rId2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A0" w:rsidRDefault="002A63A0">
      <w:pPr>
        <w:spacing w:line="240" w:lineRule="auto"/>
      </w:pPr>
      <w:r>
        <w:separator/>
      </w:r>
    </w:p>
  </w:endnote>
  <w:endnote w:type="continuationSeparator" w:id="0">
    <w:p w:rsidR="002A63A0" w:rsidRDefault="002A6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A0" w:rsidRDefault="002A63A0">
      <w:pPr>
        <w:spacing w:line="240" w:lineRule="auto"/>
      </w:pPr>
      <w:r>
        <w:separator/>
      </w:r>
    </w:p>
  </w:footnote>
  <w:footnote w:type="continuationSeparator" w:id="0">
    <w:p w:rsidR="002A63A0" w:rsidRDefault="002A63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1.3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8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9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2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5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9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4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8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1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4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6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95"/>
  </w:num>
  <w:num w:numId="4">
    <w:abstractNumId w:val="82"/>
  </w:num>
  <w:num w:numId="5">
    <w:abstractNumId w:val="16"/>
  </w:num>
  <w:num w:numId="6">
    <w:abstractNumId w:val="11"/>
  </w:num>
  <w:num w:numId="7">
    <w:abstractNumId w:val="97"/>
  </w:num>
  <w:num w:numId="8">
    <w:abstractNumId w:val="43"/>
  </w:num>
  <w:num w:numId="9">
    <w:abstractNumId w:val="98"/>
  </w:num>
  <w:num w:numId="10">
    <w:abstractNumId w:val="35"/>
  </w:num>
  <w:num w:numId="11">
    <w:abstractNumId w:val="36"/>
  </w:num>
  <w:num w:numId="12">
    <w:abstractNumId w:val="17"/>
  </w:num>
  <w:num w:numId="13">
    <w:abstractNumId w:val="69"/>
  </w:num>
  <w:num w:numId="14">
    <w:abstractNumId w:val="57"/>
  </w:num>
  <w:num w:numId="15">
    <w:abstractNumId w:val="100"/>
  </w:num>
  <w:num w:numId="16">
    <w:abstractNumId w:val="66"/>
  </w:num>
  <w:num w:numId="17">
    <w:abstractNumId w:val="37"/>
  </w:num>
  <w:num w:numId="18">
    <w:abstractNumId w:val="79"/>
  </w:num>
  <w:num w:numId="19">
    <w:abstractNumId w:val="64"/>
  </w:num>
  <w:num w:numId="20">
    <w:abstractNumId w:val="30"/>
  </w:num>
  <w:num w:numId="21">
    <w:abstractNumId w:val="34"/>
  </w:num>
  <w:num w:numId="22">
    <w:abstractNumId w:val="108"/>
  </w:num>
  <w:num w:numId="23">
    <w:abstractNumId w:val="28"/>
  </w:num>
  <w:num w:numId="24">
    <w:abstractNumId w:val="56"/>
  </w:num>
  <w:num w:numId="25">
    <w:abstractNumId w:val="19"/>
  </w:num>
  <w:num w:numId="26">
    <w:abstractNumId w:val="102"/>
  </w:num>
  <w:num w:numId="27">
    <w:abstractNumId w:val="2"/>
  </w:num>
  <w:num w:numId="28">
    <w:abstractNumId w:val="93"/>
  </w:num>
  <w:num w:numId="29">
    <w:abstractNumId w:val="10"/>
  </w:num>
  <w:num w:numId="30">
    <w:abstractNumId w:val="75"/>
  </w:num>
  <w:num w:numId="31">
    <w:abstractNumId w:val="14"/>
  </w:num>
  <w:num w:numId="32">
    <w:abstractNumId w:val="71"/>
  </w:num>
  <w:num w:numId="33">
    <w:abstractNumId w:val="49"/>
  </w:num>
  <w:num w:numId="34">
    <w:abstractNumId w:val="76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5"/>
  </w:num>
  <w:num w:numId="39">
    <w:abstractNumId w:val="77"/>
  </w:num>
  <w:num w:numId="40">
    <w:abstractNumId w:val="13"/>
  </w:num>
  <w:num w:numId="41">
    <w:abstractNumId w:val="72"/>
  </w:num>
  <w:num w:numId="42">
    <w:abstractNumId w:val="88"/>
  </w:num>
  <w:num w:numId="43">
    <w:abstractNumId w:val="94"/>
  </w:num>
  <w:num w:numId="44">
    <w:abstractNumId w:val="48"/>
  </w:num>
  <w:num w:numId="45">
    <w:abstractNumId w:val="21"/>
  </w:num>
  <w:num w:numId="46">
    <w:abstractNumId w:val="84"/>
  </w:num>
  <w:num w:numId="47">
    <w:abstractNumId w:val="50"/>
  </w:num>
  <w:num w:numId="48">
    <w:abstractNumId w:val="109"/>
  </w:num>
  <w:num w:numId="49">
    <w:abstractNumId w:val="99"/>
  </w:num>
  <w:num w:numId="50">
    <w:abstractNumId w:val="68"/>
  </w:num>
  <w:num w:numId="51">
    <w:abstractNumId w:val="107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8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6"/>
  </w:num>
  <w:num w:numId="60">
    <w:abstractNumId w:val="67"/>
  </w:num>
  <w:num w:numId="61">
    <w:abstractNumId w:val="44"/>
  </w:num>
  <w:num w:numId="62">
    <w:abstractNumId w:val="74"/>
  </w:num>
  <w:num w:numId="63">
    <w:abstractNumId w:val="40"/>
  </w:num>
  <w:num w:numId="64">
    <w:abstractNumId w:val="6"/>
  </w:num>
  <w:num w:numId="65">
    <w:abstractNumId w:val="85"/>
  </w:num>
  <w:num w:numId="66">
    <w:abstractNumId w:val="4"/>
  </w:num>
  <w:num w:numId="67">
    <w:abstractNumId w:val="47"/>
  </w:num>
  <w:num w:numId="68">
    <w:abstractNumId w:val="81"/>
  </w:num>
  <w:num w:numId="69">
    <w:abstractNumId w:val="39"/>
  </w:num>
  <w:num w:numId="70">
    <w:abstractNumId w:val="86"/>
  </w:num>
  <w:num w:numId="71">
    <w:abstractNumId w:val="65"/>
  </w:num>
  <w:num w:numId="72">
    <w:abstractNumId w:val="55"/>
  </w:num>
  <w:num w:numId="73">
    <w:abstractNumId w:val="45"/>
  </w:num>
  <w:num w:numId="74">
    <w:abstractNumId w:val="23"/>
  </w:num>
  <w:num w:numId="75">
    <w:abstractNumId w:val="63"/>
  </w:num>
  <w:num w:numId="76">
    <w:abstractNumId w:val="9"/>
  </w:num>
  <w:num w:numId="77">
    <w:abstractNumId w:val="26"/>
  </w:num>
  <w:num w:numId="78">
    <w:abstractNumId w:val="42"/>
  </w:num>
  <w:num w:numId="79">
    <w:abstractNumId w:val="32"/>
  </w:num>
  <w:num w:numId="80">
    <w:abstractNumId w:val="92"/>
  </w:num>
  <w:num w:numId="81">
    <w:abstractNumId w:val="24"/>
  </w:num>
  <w:num w:numId="82">
    <w:abstractNumId w:val="18"/>
  </w:num>
  <w:num w:numId="83">
    <w:abstractNumId w:val="90"/>
  </w:num>
  <w:num w:numId="84">
    <w:abstractNumId w:val="29"/>
  </w:num>
  <w:num w:numId="85">
    <w:abstractNumId w:val="59"/>
  </w:num>
  <w:num w:numId="86">
    <w:abstractNumId w:val="87"/>
  </w:num>
  <w:num w:numId="87">
    <w:abstractNumId w:val="91"/>
  </w:num>
  <w:num w:numId="88">
    <w:abstractNumId w:val="83"/>
  </w:num>
  <w:num w:numId="89">
    <w:abstractNumId w:val="31"/>
  </w:num>
  <w:num w:numId="90">
    <w:abstractNumId w:val="103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4"/>
  </w:num>
  <w:num w:numId="97">
    <w:abstractNumId w:val="33"/>
  </w:num>
  <w:num w:numId="98">
    <w:abstractNumId w:val="5"/>
  </w:num>
  <w:num w:numId="99">
    <w:abstractNumId w:val="22"/>
  </w:num>
  <w:num w:numId="100">
    <w:abstractNumId w:val="70"/>
  </w:num>
  <w:num w:numId="101">
    <w:abstractNumId w:val="101"/>
  </w:num>
  <w:num w:numId="102">
    <w:abstractNumId w:val="51"/>
  </w:num>
  <w:num w:numId="103">
    <w:abstractNumId w:val="20"/>
  </w:num>
  <w:num w:numId="104">
    <w:abstractNumId w:val="96"/>
  </w:num>
  <w:num w:numId="105">
    <w:abstractNumId w:val="8"/>
  </w:num>
  <w:num w:numId="106">
    <w:abstractNumId w:val="89"/>
  </w:num>
  <w:num w:numId="107">
    <w:abstractNumId w:val="41"/>
  </w:num>
  <w:num w:numId="108">
    <w:abstractNumId w:val="25"/>
  </w:num>
  <w:num w:numId="109">
    <w:abstractNumId w:val="80"/>
  </w:num>
  <w:num w:numId="110">
    <w:abstractNumId w:val="15"/>
  </w:num>
  <w:num w:numId="111">
    <w:abstractNumId w:val="7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287A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A63A0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2090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543A-A38D-4017-9D59-6EA1C2B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12163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9</cp:revision>
  <cp:lastPrinted>2011-07-08T17:15:00Z</cp:lastPrinted>
  <dcterms:created xsi:type="dcterms:W3CDTF">2016-02-14T22:22:00Z</dcterms:created>
  <dcterms:modified xsi:type="dcterms:W3CDTF">2017-09-20T10:30:00Z</dcterms:modified>
</cp:coreProperties>
</file>