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D" w:rsidRPr="00A57347" w:rsidRDefault="00A57347" w:rsidP="004C438D">
      <w:pPr>
        <w:pStyle w:val="Nadpis1"/>
        <w:tabs>
          <w:tab w:val="num" w:pos="465"/>
        </w:tabs>
        <w:spacing w:after="0" w:line="240" w:lineRule="auto"/>
        <w:ind w:left="465" w:hanging="465"/>
        <w:rPr>
          <w:rFonts w:ascii="Times New Roman" w:hAnsi="Times New Roman"/>
          <w:sz w:val="32"/>
          <w:szCs w:val="32"/>
        </w:rPr>
      </w:pPr>
      <w:r w:rsidRPr="00A57347">
        <w:rPr>
          <w:rFonts w:ascii="Times New Roman" w:hAnsi="Times New Roman"/>
          <w:sz w:val="32"/>
          <w:szCs w:val="32"/>
        </w:rPr>
        <w:t xml:space="preserve">12.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</w:p>
    <w:p w:rsidR="004C438D" w:rsidRDefault="004C438D" w:rsidP="004C438D">
      <w:pPr>
        <w:jc w:val="center"/>
      </w:pPr>
    </w:p>
    <w:p w:rsidR="006E1DA1" w:rsidRDefault="006E1DA1" w:rsidP="004C438D">
      <w:pPr>
        <w:jc w:val="left"/>
        <w:rPr>
          <w:b/>
          <w:caps/>
          <w:sz w:val="18"/>
          <w:szCs w:val="18"/>
        </w:rPr>
      </w:pPr>
    </w:p>
    <w:p w:rsidR="004C438D" w:rsidRPr="00A57347" w:rsidRDefault="004C438D" w:rsidP="004C438D">
      <w:pPr>
        <w:jc w:val="left"/>
        <w:rPr>
          <w:b/>
          <w:caps/>
          <w:sz w:val="18"/>
          <w:szCs w:val="18"/>
        </w:rPr>
      </w:pPr>
      <w:r w:rsidRPr="00A57347">
        <w:rPr>
          <w:b/>
          <w:caps/>
          <w:sz w:val="18"/>
          <w:szCs w:val="18"/>
        </w:rPr>
        <w:t xml:space="preserve">Princip </w:t>
      </w:r>
      <w:r w:rsidR="00995B04">
        <w:rPr>
          <w:b/>
          <w:caps/>
          <w:sz w:val="18"/>
          <w:szCs w:val="18"/>
        </w:rPr>
        <w:t xml:space="preserve"> </w:t>
      </w:r>
      <w:r w:rsidRPr="00A57347">
        <w:rPr>
          <w:b/>
          <w:caps/>
          <w:sz w:val="18"/>
          <w:szCs w:val="18"/>
        </w:rPr>
        <w:t>TITRACE ZALOŽENÉ NA OXIDAČNĚ - REDUKČNÍCH REAKCÍCH</w:t>
      </w:r>
    </w:p>
    <w:p w:rsidR="004C438D" w:rsidRPr="006E1DA1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Potenciometrické metody určování koncentrace (aktivity) iontů v roztoku jsou založeny na měření elektromotorického napětí EMN (tj. rozdílu potenciálů elektrod EMN =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-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v bezproudovém stavu) vhodně sestaveného galvanického článku.  Článek je sestaven z měrné (indikační) a srovnávací (referentní) elektrody. Počátek potenciálové osy (tj. nula) je dán konstantním a známým potenciálem referentní elektrody, a</w:t>
      </w:r>
      <w:r w:rsidR="00C0755E" w:rsidRPr="006E1DA1">
        <w:rPr>
          <w:i/>
          <w:sz w:val="18"/>
          <w:szCs w:val="18"/>
        </w:rPr>
        <w:t> </w:t>
      </w:r>
      <w:r w:rsidRPr="006E1DA1">
        <w:rPr>
          <w:i/>
          <w:sz w:val="18"/>
          <w:szCs w:val="18"/>
        </w:rPr>
        <w:t>proto podle konvence můžeme položit E</w:t>
      </w:r>
      <w:r w:rsidRPr="006E1DA1">
        <w:rPr>
          <w:i/>
          <w:sz w:val="18"/>
          <w:szCs w:val="18"/>
          <w:vertAlign w:val="subscript"/>
        </w:rPr>
        <w:t>ref</w:t>
      </w:r>
      <w:r w:rsidRPr="006E1DA1">
        <w:rPr>
          <w:i/>
          <w:sz w:val="18"/>
          <w:szCs w:val="18"/>
        </w:rPr>
        <w:t xml:space="preserve"> = 0, tj. měřené EMN se rovná přímo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. Hodnota potenciálu potom musí být vždy označena typem referentní elektrody, na kterou je uváděný potenciál vztažen (např. E = + 56 mV [SCE], kde  SCE je mezinárodní zkratka pro nasycenou kalomelovou elektrodu (tj. saturated calomel electrod). Při známé hodnotě potenciálu referentní elektrody lze tyto potenciály snadno přepočítat na standardní vodíkovou stupnici.</w:t>
      </w:r>
    </w:p>
    <w:p w:rsidR="004C438D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Indikační redoxní elektroda je tvořená  indiferentním kovem (např. platina), který je ponořen do roztoku obsahujícího oxidovanou a redukovanou formu redoxního systému,  její potenciál je určován poměrem koncentrací oxidované (Ox) a redukované (Red) formy daného redoxního páru podle upraveného </w:t>
      </w:r>
      <w:r w:rsidRPr="006E1DA1">
        <w:rPr>
          <w:b/>
          <w:i/>
          <w:sz w:val="18"/>
          <w:szCs w:val="18"/>
        </w:rPr>
        <w:t>Nernst-Petersova vztahu</w:t>
      </w:r>
      <w:r w:rsidRPr="006E1DA1">
        <w:rPr>
          <w:i/>
          <w:sz w:val="18"/>
          <w:szCs w:val="18"/>
        </w:rPr>
        <w:t>:</w:t>
      </w:r>
    </w:p>
    <w:p w:rsidR="003F238A" w:rsidRPr="006E1DA1" w:rsidRDefault="003F238A" w:rsidP="007D6161">
      <w:pPr>
        <w:spacing w:before="120" w:line="240" w:lineRule="auto"/>
        <w:rPr>
          <w:i/>
          <w:sz w:val="18"/>
          <w:szCs w:val="18"/>
        </w:rPr>
      </w:pPr>
    </w:p>
    <w:p w:rsidR="004C438D" w:rsidRPr="00A57347" w:rsidRDefault="006E1DA1" w:rsidP="004C438D">
      <w:pPr>
        <w:pStyle w:val="ncvtext"/>
        <w:ind w:firstLine="0"/>
        <w:jc w:val="center"/>
        <w:rPr>
          <w:sz w:val="18"/>
          <w:szCs w:val="18"/>
        </w:rPr>
      </w:pPr>
      <w:r w:rsidRPr="00A57347">
        <w:rPr>
          <w:b/>
          <w:position w:val="-28"/>
          <w:sz w:val="18"/>
          <w:szCs w:val="18"/>
        </w:rPr>
        <w:object w:dxaOrig="2700" w:dyaOrig="660">
          <v:shape id="_x0000_i1025" type="#_x0000_t75" style="width:102.75pt;height:25.5pt" o:ole="" fillcolor="window">
            <v:imagedata r:id="rId8" o:title=""/>
          </v:shape>
          <o:OLEObject Type="Embed" ProgID="Equation.3" ShapeID="_x0000_i1025" DrawAspect="Content" ObjectID="_1663147425" r:id="rId9"/>
        </w:object>
      </w:r>
      <w:r w:rsidR="007D6161" w:rsidRPr="00A57347">
        <w:rPr>
          <w:b/>
          <w:sz w:val="18"/>
          <w:szCs w:val="18"/>
        </w:rPr>
        <w:tab/>
      </w:r>
      <w:r w:rsidR="004C438D" w:rsidRPr="00A57347">
        <w:rPr>
          <w:sz w:val="18"/>
          <w:szCs w:val="18"/>
        </w:rPr>
        <w:t xml:space="preserve">pro 25 </w:t>
      </w:r>
      <w:r w:rsidR="004C438D" w:rsidRPr="00A57347">
        <w:rPr>
          <w:sz w:val="18"/>
          <w:szCs w:val="18"/>
        </w:rPr>
        <w:sym w:font="Symbol" w:char="F0B0"/>
      </w:r>
      <w:r w:rsidR="004C438D" w:rsidRPr="00A57347">
        <w:rPr>
          <w:sz w:val="18"/>
          <w:szCs w:val="18"/>
        </w:rPr>
        <w:t>C</w:t>
      </w:r>
    </w:p>
    <w:p w:rsidR="004C438D" w:rsidRPr="00A57347" w:rsidRDefault="004C438D" w:rsidP="004C438D">
      <w:pPr>
        <w:pStyle w:val="txtchem"/>
        <w:spacing w:before="0" w:line="240" w:lineRule="auto"/>
        <w:rPr>
          <w:i/>
          <w:sz w:val="18"/>
          <w:szCs w:val="18"/>
        </w:rPr>
      </w:pPr>
    </w:p>
    <w:p w:rsidR="004C438D" w:rsidRPr="006E1DA1" w:rsidRDefault="004C438D" w:rsidP="00745863">
      <w:pPr>
        <w:pStyle w:val="txtchem"/>
        <w:tabs>
          <w:tab w:val="left" w:pos="1800"/>
        </w:tabs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kde</w:t>
      </w:r>
      <w:r w:rsidR="00745863" w:rsidRPr="006E1DA1">
        <w:rPr>
          <w:i/>
          <w:sz w:val="18"/>
          <w:szCs w:val="18"/>
        </w:rPr>
        <w:t xml:space="preserve">:  </w:t>
      </w:r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perscript"/>
        </w:rPr>
        <w:t>f</w:t>
      </w:r>
      <w:r w:rsidRPr="006E1DA1">
        <w:rPr>
          <w:i/>
          <w:sz w:val="18"/>
          <w:szCs w:val="18"/>
        </w:rPr>
        <w:t xml:space="preserve"> je formální potenciál pro redoxní pár Ox/Red, </w:t>
      </w:r>
    </w:p>
    <w:p w:rsidR="004C438D" w:rsidRPr="006E1DA1" w:rsidRDefault="00745863" w:rsidP="00745863">
      <w:pPr>
        <w:pStyle w:val="txtchem"/>
        <w:spacing w:before="0" w:line="240" w:lineRule="auto"/>
        <w:ind w:firstLine="382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</w:t>
      </w:r>
      <w:r w:rsidR="004C438D" w:rsidRPr="006E1DA1">
        <w:rPr>
          <w:i/>
          <w:sz w:val="18"/>
          <w:szCs w:val="18"/>
        </w:rPr>
        <w:t xml:space="preserve">[Ox] a [Red] jsou rovnovážné koncentrace obou forem příslušného redoxního páru, </w:t>
      </w:r>
    </w:p>
    <w:p w:rsidR="004C438D" w:rsidRPr="006E1DA1" w:rsidRDefault="00745863" w:rsidP="00745863">
      <w:pPr>
        <w:pStyle w:val="txtchem"/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        </w:t>
      </w:r>
      <w:r w:rsidR="004C438D" w:rsidRPr="006E1DA1">
        <w:rPr>
          <w:i/>
          <w:sz w:val="18"/>
          <w:szCs w:val="18"/>
        </w:rPr>
        <w:t xml:space="preserve">n je počet elektronů, vyměněných v průběhu reakce </w:t>
      </w:r>
      <w:r w:rsidR="004C438D" w:rsidRPr="006E1DA1">
        <w:rPr>
          <w:i/>
          <w:color w:val="0D0D0D"/>
          <w:sz w:val="18"/>
          <w:szCs w:val="18"/>
        </w:rPr>
        <w:t xml:space="preserve">Ox </w:t>
      </w:r>
      <w:r w:rsidR="004C438D" w:rsidRPr="006E1DA1">
        <w:rPr>
          <w:i/>
          <w:color w:val="0D0D0D"/>
          <w:sz w:val="18"/>
          <w:szCs w:val="18"/>
        </w:rPr>
        <w:sym w:font="Symbol" w:char="00AB"/>
      </w:r>
      <w:r w:rsidR="004C438D" w:rsidRPr="006E1DA1">
        <w:rPr>
          <w:i/>
          <w:color w:val="0D0D0D"/>
          <w:sz w:val="18"/>
          <w:szCs w:val="18"/>
        </w:rPr>
        <w:t xml:space="preserve"> Red.</w:t>
      </w:r>
      <w:r w:rsidR="004C438D" w:rsidRPr="006E1DA1">
        <w:rPr>
          <w:i/>
          <w:sz w:val="18"/>
          <w:szCs w:val="18"/>
        </w:rPr>
        <w:t xml:space="preserve">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Jako druhá elektroda článku je použita referentní elektrodu kalomelová (tj. elektroda druhého druhu), kterou tvoří kov pokrytý vrstvičkou své málo rozpustné soli a ponořený v roztoku aniontů této soli. </w:t>
      </w:r>
    </w:p>
    <w:p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Elektronickým multimetrem (tj. voltmetrem s vysokým vstupním odporem) je  měřeno  bezproudově elektromotorické napětí EMN (≡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>) mezi platinovou a kalomelovou elektrodou, jehož změny v průběhu titrace jsou závislé na změnách poměru [Ox]/[Red], tj. poměru koncentrací oxidované a redukované formy titrované látky před ekvivalenčním bodem titrace nebo oxidované a redukované formy titračního činidla za ekvivalenčním bodem titrace.</w:t>
      </w:r>
    </w:p>
    <w:p w:rsidR="003F238A" w:rsidRPr="006E1DA1" w:rsidRDefault="004C438D" w:rsidP="003F238A">
      <w:pPr>
        <w:pStyle w:val="txtchem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Typickou redoxní titrační křivku jako závislost potenciálu E</w:t>
      </w:r>
      <w:r w:rsidRPr="006E1DA1">
        <w:rPr>
          <w:i/>
          <w:sz w:val="18"/>
          <w:szCs w:val="18"/>
          <w:vertAlign w:val="subscript"/>
        </w:rPr>
        <w:t>ind</w:t>
      </w:r>
      <w:r w:rsidRPr="006E1DA1">
        <w:rPr>
          <w:i/>
          <w:sz w:val="18"/>
          <w:szCs w:val="18"/>
        </w:rPr>
        <w:t xml:space="preserve"> na objemu přidávaného titračního činidla V(KMnO</w:t>
      </w:r>
      <w:r w:rsidRPr="006E1DA1">
        <w:rPr>
          <w:i/>
          <w:sz w:val="18"/>
          <w:szCs w:val="18"/>
          <w:vertAlign w:val="subscript"/>
        </w:rPr>
        <w:t>4</w:t>
      </w:r>
      <w:r w:rsidRPr="006E1DA1">
        <w:rPr>
          <w:i/>
          <w:sz w:val="18"/>
          <w:szCs w:val="18"/>
        </w:rPr>
        <w:t xml:space="preserve">) znázorňuje obr. </w:t>
      </w:r>
      <w:r w:rsidR="00876602" w:rsidRPr="006E1DA1">
        <w:rPr>
          <w:i/>
          <w:sz w:val="18"/>
          <w:szCs w:val="18"/>
        </w:rPr>
        <w:t>12.</w:t>
      </w:r>
      <w:r w:rsidRPr="006E1DA1">
        <w:rPr>
          <w:i/>
          <w:sz w:val="18"/>
          <w:szCs w:val="18"/>
        </w:rPr>
        <w:t>1.</w:t>
      </w:r>
      <w:r w:rsidR="003F238A">
        <w:rPr>
          <w:i/>
          <w:sz w:val="18"/>
          <w:szCs w:val="18"/>
        </w:rPr>
        <w:t xml:space="preserve"> </w:t>
      </w:r>
      <w:r w:rsidR="003F238A" w:rsidRPr="006E1DA1">
        <w:rPr>
          <w:i/>
          <w:sz w:val="18"/>
          <w:szCs w:val="18"/>
        </w:rPr>
        <w:t>Inflexní bod ve strmé části křivky je prakticky shodný s ekvivalenčním bodem V</w:t>
      </w:r>
      <w:r w:rsidR="003F238A" w:rsidRPr="006E1DA1">
        <w:rPr>
          <w:i/>
          <w:sz w:val="18"/>
          <w:szCs w:val="18"/>
          <w:vertAlign w:val="subscript"/>
        </w:rPr>
        <w:t>ekv</w:t>
      </w:r>
      <w:r w:rsidR="003F238A" w:rsidRPr="006E1DA1">
        <w:rPr>
          <w:i/>
          <w:sz w:val="18"/>
          <w:szCs w:val="18"/>
        </w:rPr>
        <w:t>.</w:t>
      </w:r>
    </w:p>
    <w:p w:rsidR="004C438D" w:rsidRPr="00A57347" w:rsidRDefault="00F819AC" w:rsidP="004C438D">
      <w:pPr>
        <w:pStyle w:val="txtchem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_x0000_s1177" style="position:absolute;margin-left:128.85pt;margin-top:19.25pt;width:213.95pt;height:110.7pt;z-index:6" coordorigin="-15" coordsize="20054,20001" o:allowoverlap="f">
            <v:group id="_x0000_s1178" style="position:absolute;left:-15;width:20054;height:20001" coordorigin="-15" coordsize="20054,20001">
              <v:line id="_x0000_s1179" style="position:absolute" from="5685,3299" to="5869,8643">
                <v:stroke startarrow="block" startarrowwidth="narrow" startarrowlength="short" endarrow="block" endarrowwidth="narrow" endarrowlength="short"/>
              </v:line>
              <v:group id="_x0000_s1180" style="position:absolute;left:-15;width:20054;height:20001" coordsize="19999,20001">
                <v:group id="_x0000_s1181" style="position:absolute;left:5414;top:637;width:10976;height:13788" coordorigin="-2" coordsize="20002,20001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82" type="#_x0000_t19" style="position:absolute;left:10008;width:9992;height:9957;flip:x" strokeweight="1pt"/>
                  <v:shape id="_x0000_s1183" type="#_x0000_t19" style="position:absolute;left:-2;top:10044;width:9992;height:9957;flip:y" strokeweight="1pt"/>
                </v:group>
                <v:line id="_x0000_s1184" style="position:absolute;flip:y" from="2057,0" to="18519,4149">
                  <v:stroke startarrowwidth="narrow" startarrowlength="short" endarrowwidth="narrow" endarrowlength="short"/>
                </v:line>
                <v:line id="_x0000_s1185" style="position:absolute;flip:y" from="4764,6227" to="15920,9021">
                  <v:stroke dashstyle="3 1" startarrowwidth="narrow" startarrowlength="short" endarrowwidth="narrow" endarrowlength="short"/>
                </v:line>
                <v:line id="_x0000_s1186" style="position:absolute;flip:y" from="1480,12765" to="12636,15560">
                  <v:stroke startarrowwidth="narrow" startarrowlength="short" endarrowwidth="narrow" endarrowlength="short"/>
                </v:line>
                <v:line id="_x0000_s1187" style="position:absolute" from="10900,7441" to="10903,16808" strokeweight=".5pt">
                  <v:stroke dashstyle="3 1" startarrowwidth="narrow" startarrowlength="short" endarrow="block" endarrowwidth="narrow" endarrowlength="short"/>
                </v:line>
                <v:line id="_x0000_s1188" style="position:absolute" from="1784,319" to="1787,17877" strokeweight=".5pt">
                  <v:stroke startarrowwidth="narrow" startarrowlength="short" endarrowwidth="narrow" endarrowlength="short"/>
                </v:line>
                <v:line id="_x0000_s1189" style="position:absolute;flip:x" from="950,16961" to="19999,16974" strokeweight=".5pt">
                  <v:stroke startarrowwidth="narrow" startarrowlength="short" endarrowwidth="narrow" endarrowlength="short"/>
                </v:line>
                <v:rect id="_x0000_s1190" style="position:absolute;top:564;width:2205;height:4621" filled="f" stroked="f" strokeweight=".5pt">
                  <v:textbox style="mso-next-textbox:#_x0000_s1190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Pr="00592617">
                          <w:rPr>
                            <w:sz w:val="16"/>
                            <w:szCs w:val="16"/>
                          </w:rPr>
                          <w:t>E  (mV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B86B01" w:rsidRDefault="00B86B01" w:rsidP="004C438D"/>
                    </w:txbxContent>
                  </v:textbox>
                </v:rect>
                <v:rect id="_x0000_s1191" style="position:absolute;left:17145;top:17691;width:2493;height:2310" filled="f" stroked="f" strokeweight=".5pt">
                  <v:textbox style="mso-next-textbox:#_x0000_s1191" inset="1pt,1pt,1pt,1pt">
                    <w:txbxContent>
                      <w:p w:rsidR="00B86B01" w:rsidRDefault="00B86B01" w:rsidP="004C438D">
                        <w:pPr>
                          <w:rPr>
                            <w:sz w:val="20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 xml:space="preserve"> (ml)</w:t>
                        </w:r>
                      </w:p>
                    </w:txbxContent>
                  </v:textbox>
                </v:rect>
                <v:rect id="_x0000_s1192" style="position:absolute;left:11261;top:14651;width:2855;height:2635" filled="f" stroked="f" strokeweight=".5pt">
                  <v:textbox style="mso-next-textbox:#_x0000_s1192" inset="1pt,1pt,1pt,1pt">
                    <w:txbxContent>
                      <w:p w:rsidR="00B86B01" w:rsidRPr="00592617" w:rsidRDefault="00B86B01" w:rsidP="004C438D">
                        <w:pPr>
                          <w:rPr>
                            <w:sz w:val="18"/>
                            <w:szCs w:val="18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592617">
                          <w:rPr>
                            <w:sz w:val="18"/>
                            <w:szCs w:val="18"/>
                            <w:vertAlign w:val="subscript"/>
                          </w:rPr>
                          <w:t>ekv</w:t>
                        </w:r>
                      </w:p>
                    </w:txbxContent>
                  </v:textbox>
                </v:rect>
                <v:line id="_x0000_s1193" style="position:absolute" from="5902,9041" to="6085,14385">
                  <v:stroke startarrow="block" startarrowwidth="narrow" startarrowlength="short" endarrow="block" endarrowwidth="narrow" endarrowlength="short"/>
                </v:line>
              </v:group>
            </v:group>
            <v:rect id="_x0000_s1194" style="position:absolute;left:5052;top:5503;width:727;height:2396" filled="f" stroked="f">
              <v:textbox style="mso-next-textbox:#_x0000_s1194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_x0000_s1195" style="position:absolute;left:5233;top:10986;width:727;height:2397" filled="f" stroked="f">
              <v:textbox style="mso-next-textbox:#_x0000_s1195" inset="1pt,1pt,1pt,1pt">
                <w:txbxContent>
                  <w:p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w10:wrap type="topAndBottom"/>
          </v:group>
        </w:pict>
      </w:r>
    </w:p>
    <w:p w:rsidR="00380554" w:rsidRPr="006E1DA1" w:rsidRDefault="00380554" w:rsidP="00D12090">
      <w:pPr>
        <w:pStyle w:val="txtchem"/>
        <w:spacing w:line="240" w:lineRule="auto"/>
        <w:ind w:left="709" w:firstLine="709"/>
        <w:jc w:val="left"/>
        <w:rPr>
          <w:i/>
          <w:sz w:val="16"/>
          <w:szCs w:val="16"/>
        </w:rPr>
      </w:pPr>
      <w:r w:rsidRPr="006E1DA1">
        <w:rPr>
          <w:i/>
          <w:iCs/>
          <w:sz w:val="16"/>
          <w:szCs w:val="16"/>
        </w:rPr>
        <w:t>Obr. 12.1</w:t>
      </w:r>
      <w:r w:rsidRPr="006E1DA1">
        <w:rPr>
          <w:i/>
          <w:sz w:val="16"/>
          <w:szCs w:val="16"/>
        </w:rPr>
        <w:t>: Titrační křivka pro systém: Fe</w:t>
      </w:r>
      <w:r w:rsidRPr="006E1DA1">
        <w:rPr>
          <w:i/>
          <w:sz w:val="16"/>
          <w:szCs w:val="16"/>
          <w:vertAlign w:val="superscript"/>
        </w:rPr>
        <w:t>2+</w:t>
      </w:r>
      <w:r w:rsidRPr="006E1DA1">
        <w:rPr>
          <w:i/>
          <w:sz w:val="16"/>
          <w:szCs w:val="16"/>
        </w:rPr>
        <w:t xml:space="preserve"> titrováno MnO</w:t>
      </w:r>
      <w:r w:rsidRPr="006E1DA1">
        <w:rPr>
          <w:i/>
          <w:sz w:val="16"/>
          <w:szCs w:val="16"/>
          <w:vertAlign w:val="subscript"/>
        </w:rPr>
        <w:t>4</w:t>
      </w:r>
      <w:r w:rsidRPr="006E1DA1">
        <w:rPr>
          <w:i/>
          <w:sz w:val="16"/>
          <w:szCs w:val="16"/>
          <w:vertAlign w:val="superscript"/>
        </w:rPr>
        <w:t>-</w:t>
      </w:r>
    </w:p>
    <w:p w:rsidR="009A099C" w:rsidRPr="00A57347" w:rsidRDefault="009A099C" w:rsidP="009A099C">
      <w:pPr>
        <w:pStyle w:val="txtchem"/>
        <w:spacing w:before="0" w:line="240" w:lineRule="auto"/>
        <w:jc w:val="left"/>
        <w:rPr>
          <w:sz w:val="18"/>
          <w:szCs w:val="18"/>
        </w:rPr>
      </w:pPr>
    </w:p>
    <w:p w:rsidR="008A0838" w:rsidRDefault="008A0838" w:rsidP="009A099C">
      <w:pPr>
        <w:spacing w:line="240" w:lineRule="auto"/>
        <w:rPr>
          <w:sz w:val="20"/>
        </w:rPr>
      </w:pPr>
    </w:p>
    <w:p w:rsidR="00380554" w:rsidRPr="00A57347" w:rsidRDefault="00380554" w:rsidP="009A099C">
      <w:pPr>
        <w:spacing w:line="240" w:lineRule="auto"/>
        <w:rPr>
          <w:b/>
          <w:caps/>
          <w:sz w:val="18"/>
          <w:szCs w:val="18"/>
        </w:rPr>
      </w:pPr>
    </w:p>
    <w:p w:rsidR="009A099C" w:rsidRPr="00A57347" w:rsidRDefault="00F819AC" w:rsidP="009A099C">
      <w:pPr>
        <w:spacing w:line="240" w:lineRule="auto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pict>
          <v:line id="_x0000_s1197" style="position:absolute;left:0;text-align:left;z-index:8" from="5.2pt,1.35pt" to="5.2pt,1.35pt"/>
        </w:pict>
      </w:r>
      <w:r w:rsidR="009A099C" w:rsidRPr="00A57347">
        <w:rPr>
          <w:b/>
          <w:caps/>
          <w:sz w:val="18"/>
          <w:szCs w:val="18"/>
        </w:rPr>
        <w:t>Určování ekvivalenčníh</w:t>
      </w:r>
      <w:r w:rsidR="00335B77" w:rsidRPr="00A57347">
        <w:rPr>
          <w:b/>
          <w:caps/>
          <w:sz w:val="18"/>
          <w:szCs w:val="18"/>
        </w:rPr>
        <w:t>o bodu potenciometrické titrace</w:t>
      </w:r>
    </w:p>
    <w:p w:rsidR="00A57347" w:rsidRPr="006E1DA1" w:rsidRDefault="00A57347" w:rsidP="00A57347">
      <w:pPr>
        <w:pStyle w:val="txtchem"/>
        <w:spacing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Bod ekvivalence lze zjistit graficky metodou tří rovnoběžek (viz obr. 12.1) nebo početní metodou.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Grafické vyhodnocení</w:t>
      </w:r>
    </w:p>
    <w:p w:rsidR="00A57347" w:rsidRPr="003F238A" w:rsidRDefault="009A099C" w:rsidP="00A57347">
      <w:pPr>
        <w:pStyle w:val="txtchem"/>
        <w:spacing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Z tabulky v Excelu sestroj</w:t>
      </w:r>
      <w:r w:rsidR="00A57347" w:rsidRPr="003F238A">
        <w:rPr>
          <w:sz w:val="18"/>
          <w:szCs w:val="18"/>
        </w:rPr>
        <w:t>it</w:t>
      </w:r>
      <w:r w:rsidRPr="003F238A">
        <w:rPr>
          <w:sz w:val="18"/>
          <w:szCs w:val="18"/>
        </w:rPr>
        <w:t xml:space="preserve"> graf </w:t>
      </w:r>
      <w:r w:rsidR="00855A1A" w:rsidRPr="003F238A">
        <w:rPr>
          <w:sz w:val="18"/>
          <w:szCs w:val="18"/>
        </w:rPr>
        <w:t>–</w:t>
      </w:r>
      <w:r w:rsidRPr="003F238A">
        <w:rPr>
          <w:sz w:val="18"/>
          <w:szCs w:val="18"/>
        </w:rPr>
        <w:t xml:space="preserve"> titrační křivku. </w:t>
      </w:r>
      <w:r w:rsidR="00A57347" w:rsidRPr="003F238A">
        <w:rPr>
          <w:sz w:val="18"/>
          <w:szCs w:val="18"/>
        </w:rPr>
        <w:t>Do grafu vynést závislost měřeného napětí E na objemu přidávaného titračního činidla V(KMnO</w:t>
      </w:r>
      <w:r w:rsidR="00A57347" w:rsidRPr="003F238A">
        <w:rPr>
          <w:sz w:val="18"/>
          <w:szCs w:val="18"/>
          <w:vertAlign w:val="subscript"/>
        </w:rPr>
        <w:t>4</w:t>
      </w:r>
      <w:r w:rsidR="00A57347" w:rsidRPr="003F238A">
        <w:rPr>
          <w:sz w:val="18"/>
          <w:szCs w:val="18"/>
        </w:rPr>
        <w:t xml:space="preserve">). </w:t>
      </w:r>
    </w:p>
    <w:p w:rsidR="009A099C" w:rsidRPr="003F238A" w:rsidRDefault="009A099C" w:rsidP="009A099C">
      <w:pPr>
        <w:spacing w:before="120"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Grafické určení bodu ekvivalence prov</w:t>
      </w:r>
      <w:r w:rsidR="00A57347" w:rsidRPr="003F238A">
        <w:rPr>
          <w:sz w:val="18"/>
          <w:szCs w:val="18"/>
        </w:rPr>
        <w:t>ést</w:t>
      </w:r>
      <w:r w:rsidRPr="003F238A">
        <w:rPr>
          <w:sz w:val="18"/>
          <w:szCs w:val="18"/>
        </w:rPr>
        <w:t xml:space="preserve"> proložením dvou rovnoběžek, které se dotýkají potenciometrické křivky v místech maximálního zakřivení před a za ekvivalencí, rozpůlením vzdálenosti mezi nimi, proložením třetí rovnoběžky získaným středem a určením průsečíku této třetí rovnoběžky s titrační křivkou. Z titrační křivky odeč</w:t>
      </w:r>
      <w:r w:rsidR="00A57347" w:rsidRPr="003F238A">
        <w:rPr>
          <w:sz w:val="18"/>
          <w:szCs w:val="18"/>
        </w:rPr>
        <w:t xml:space="preserve">íst </w:t>
      </w:r>
      <w:r w:rsidRPr="003F238A">
        <w:rPr>
          <w:sz w:val="18"/>
          <w:szCs w:val="18"/>
        </w:rPr>
        <w:t>dále hodnoty potenciálů E1 a</w:t>
      </w:r>
      <w:r w:rsidRPr="006E1DA1">
        <w:rPr>
          <w:i/>
          <w:sz w:val="18"/>
          <w:szCs w:val="18"/>
        </w:rPr>
        <w:t xml:space="preserve"> </w:t>
      </w:r>
      <w:r w:rsidRPr="003F238A">
        <w:rPr>
          <w:sz w:val="18"/>
          <w:szCs w:val="18"/>
        </w:rPr>
        <w:lastRenderedPageBreak/>
        <w:t>E2 v</w:t>
      </w:r>
      <w:r w:rsidR="00C0755E" w:rsidRPr="003F238A">
        <w:rPr>
          <w:sz w:val="18"/>
          <w:szCs w:val="18"/>
        </w:rPr>
        <w:t> </w:t>
      </w:r>
      <w:r w:rsidRPr="003F238A">
        <w:rPr>
          <w:sz w:val="18"/>
          <w:szCs w:val="18"/>
        </w:rPr>
        <w:t>bodech</w:t>
      </w:r>
      <w:r w:rsidR="00A57347" w:rsidRPr="003F238A">
        <w:rPr>
          <w:sz w:val="18"/>
          <w:szCs w:val="18"/>
        </w:rPr>
        <w:t>: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color w:val="0D0D0D"/>
          <w:sz w:val="18"/>
          <w:szCs w:val="18"/>
        </w:rPr>
      </w:pPr>
      <w:r w:rsidRPr="003F238A">
        <w:rPr>
          <w:sz w:val="18"/>
          <w:szCs w:val="18"/>
        </w:rPr>
        <w:t>při spotřebě odměrného roztoku odpovídající polovině spotřeby v bodě ekvivalence (pro stav v roztoku, kdy se rovnají rovnovážné koncentrace obou forem titrované sloučeniny, tj. platí [Ox] = [Red]). Tento potenciál (označme ho jako E</w:t>
      </w:r>
      <w:r w:rsidRPr="003F238A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>), který je vztažený na potenciál referentní kalomelové elektrody E</w:t>
      </w:r>
      <w:r w:rsidRPr="003F238A">
        <w:rPr>
          <w:sz w:val="18"/>
          <w:szCs w:val="18"/>
          <w:vertAlign w:val="subscript"/>
        </w:rPr>
        <w:t>SCE</w:t>
      </w:r>
      <w:r w:rsidRPr="003F238A">
        <w:rPr>
          <w:sz w:val="18"/>
          <w:szCs w:val="18"/>
        </w:rPr>
        <w:t xml:space="preserve"> = +241 mV </w:t>
      </w:r>
      <w:r w:rsidRPr="003F238A">
        <w:rPr>
          <w:color w:val="0D0D0D"/>
          <w:sz w:val="18"/>
          <w:szCs w:val="18"/>
        </w:rPr>
        <w:t>(ve standardní vodíkové stupnici), přepočí</w:t>
      </w:r>
      <w:r w:rsidR="00A57347" w:rsidRPr="003F238A">
        <w:rPr>
          <w:color w:val="0D0D0D"/>
          <w:sz w:val="18"/>
          <w:szCs w:val="18"/>
        </w:rPr>
        <w:t>tat</w:t>
      </w:r>
      <w:r w:rsidRPr="003F238A">
        <w:rPr>
          <w:color w:val="0D0D0D"/>
          <w:sz w:val="18"/>
          <w:szCs w:val="18"/>
        </w:rPr>
        <w:t xml:space="preserve"> na formální potenciál E</w:t>
      </w:r>
      <w:r w:rsidRPr="003F238A">
        <w:rPr>
          <w:color w:val="0D0D0D"/>
          <w:sz w:val="18"/>
          <w:szCs w:val="18"/>
          <w:vertAlign w:val="superscript"/>
        </w:rPr>
        <w:t>f</w:t>
      </w:r>
      <w:r w:rsidRPr="003F238A">
        <w:rPr>
          <w:color w:val="0D0D0D"/>
          <w:sz w:val="18"/>
          <w:szCs w:val="18"/>
        </w:rPr>
        <w:t xml:space="preserve"> titrovaného redoxního páru následovně: E</w:t>
      </w:r>
      <w:r w:rsidRPr="003F238A">
        <w:rPr>
          <w:color w:val="0D0D0D"/>
          <w:sz w:val="18"/>
          <w:szCs w:val="18"/>
          <w:vertAlign w:val="subscript"/>
        </w:rPr>
        <w:t>1</w:t>
      </w:r>
      <w:r w:rsidRPr="003F238A">
        <w:rPr>
          <w:color w:val="0D0D0D"/>
          <w:sz w:val="18"/>
          <w:szCs w:val="18"/>
        </w:rPr>
        <w:t xml:space="preserve"> + 241 [mV]. </w:t>
      </w:r>
    </w:p>
    <w:p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sz w:val="18"/>
          <w:szCs w:val="18"/>
        </w:rPr>
      </w:pPr>
      <w:r w:rsidRPr="003F238A">
        <w:rPr>
          <w:sz w:val="18"/>
          <w:szCs w:val="18"/>
        </w:rPr>
        <w:t>při dvojnásobné spotřebě odměrného roztoku než v bodě ekvivalence (pro stav v roztoku, kdy se rovnají rovnovážné koncentrace obou forem odměrného činidla, tj. platí [MnO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] = [Mn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]). Naměřený potenciál E</w:t>
      </w:r>
      <w:r w:rsidRPr="003F238A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>, zvětšený o 241 mV odpovídá formálnímu potenciálu činidla E</w:t>
      </w:r>
      <w:r w:rsidRPr="003F238A">
        <w:rPr>
          <w:sz w:val="18"/>
          <w:szCs w:val="18"/>
          <w:vertAlign w:val="superscript"/>
        </w:rPr>
        <w:t>f’</w:t>
      </w:r>
      <w:r w:rsidRPr="003F238A">
        <w:rPr>
          <w:sz w:val="18"/>
          <w:szCs w:val="18"/>
        </w:rPr>
        <w:t>(MnO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/Mn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) pro použité prostředí (tj. pH, iontovou sílu, složení roztoku).</w:t>
      </w:r>
    </w:p>
    <w:p w:rsidR="009A099C" w:rsidRPr="00A57347" w:rsidRDefault="009A099C" w:rsidP="009A099C">
      <w:pPr>
        <w:pStyle w:val="ncvtext"/>
        <w:ind w:firstLine="0"/>
        <w:rPr>
          <w:b/>
          <w:sz w:val="18"/>
          <w:szCs w:val="18"/>
        </w:rPr>
      </w:pPr>
    </w:p>
    <w:p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Početní metody určování inflexního bodu titrační křivky</w:t>
      </w:r>
    </w:p>
    <w:p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  <w:r w:rsidRPr="00A57347">
        <w:rPr>
          <w:sz w:val="18"/>
          <w:szCs w:val="18"/>
        </w:rPr>
        <w:t>Inflexní bod titrační křivky stanov</w:t>
      </w:r>
      <w:r w:rsidR="00A5734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přesně pomocí druhé diference</w:t>
      </w:r>
      <w:r w:rsidR="00A57347">
        <w:rPr>
          <w:sz w:val="18"/>
          <w:szCs w:val="18"/>
        </w:rPr>
        <w:t>, tj. h</w:t>
      </w:r>
      <w:r w:rsidRPr="00A57347">
        <w:rPr>
          <w:sz w:val="18"/>
          <w:szCs w:val="18"/>
        </w:rPr>
        <w:t>led</w:t>
      </w:r>
      <w:r w:rsidR="00A57347">
        <w:rPr>
          <w:sz w:val="18"/>
          <w:szCs w:val="18"/>
        </w:rPr>
        <w:t>at</w:t>
      </w:r>
      <w:r w:rsidRPr="00A57347">
        <w:rPr>
          <w:sz w:val="18"/>
          <w:szCs w:val="18"/>
        </w:rPr>
        <w:t xml:space="preserve"> maximální hodnotu směrnice titrační křivky 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V, příslušející největšímu sklonu titrační křivky v inflexním bodě.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p w:rsidR="009A099C" w:rsidRPr="00A57347" w:rsidRDefault="009A099C" w:rsidP="009A099C">
      <w:pPr>
        <w:pStyle w:val="ncvtext"/>
        <w:spacing w:before="120"/>
        <w:ind w:firstLine="0"/>
        <w:rPr>
          <w:sz w:val="18"/>
          <w:szCs w:val="18"/>
        </w:rPr>
      </w:pPr>
      <w:r w:rsidRPr="00A57347">
        <w:rPr>
          <w:sz w:val="18"/>
          <w:szCs w:val="18"/>
        </w:rPr>
        <w:t>Z naměřených hodnot sestav</w:t>
      </w:r>
      <w:r w:rsidR="0059261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tabulku:</w:t>
      </w:r>
    </w:p>
    <w:p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35"/>
        <w:gridCol w:w="879"/>
        <w:gridCol w:w="836"/>
        <w:gridCol w:w="890"/>
        <w:gridCol w:w="2116"/>
        <w:gridCol w:w="1290"/>
      </w:tblGrid>
      <w:tr w:rsidR="009A099C" w:rsidRPr="00A57347" w:rsidTr="00592617">
        <w:trPr>
          <w:trHeight w:val="446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pStyle w:val="ncvtext"/>
              <w:ind w:firstLine="0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V (0,002M KMnO</w:t>
            </w:r>
            <w:r w:rsidRPr="00A57347">
              <w:rPr>
                <w:sz w:val="18"/>
                <w:szCs w:val="18"/>
                <w:vertAlign w:val="subscript"/>
              </w:rPr>
              <w:t>4</w:t>
            </w:r>
            <w:r w:rsidRPr="00A57347">
              <w:rPr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E/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(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E)</w:t>
            </w:r>
            <w:r w:rsidRPr="00A57347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9A099C" w:rsidRPr="00A57347" w:rsidTr="00592617">
        <w:trPr>
          <w:trHeight w:val="229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mV/ml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A57347" w:rsidRDefault="009A099C" w:rsidP="00A37DE6">
            <w:pPr>
              <w:spacing w:before="12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57347">
              <w:rPr>
                <w:color w:val="000000"/>
                <w:sz w:val="18"/>
                <w:szCs w:val="18"/>
              </w:rPr>
              <w:t>mV</w:t>
            </w:r>
          </w:p>
        </w:tc>
      </w:tr>
    </w:tbl>
    <w:p w:rsidR="009A099C" w:rsidRPr="00A57347" w:rsidRDefault="009A099C" w:rsidP="009A099C">
      <w:pPr>
        <w:pStyle w:val="txtchem"/>
        <w:rPr>
          <w:sz w:val="18"/>
          <w:szCs w:val="18"/>
        </w:rPr>
      </w:pPr>
    </w:p>
    <w:p w:rsidR="009A099C" w:rsidRPr="00A57347" w:rsidRDefault="009A099C" w:rsidP="009A099C">
      <w:pPr>
        <w:pStyle w:val="txtchem"/>
        <w:spacing w:before="0" w:line="240" w:lineRule="auto"/>
        <w:rPr>
          <w:color w:val="FF0000"/>
          <w:sz w:val="18"/>
          <w:szCs w:val="18"/>
        </w:rPr>
      </w:pPr>
      <w:r w:rsidRPr="00A57347">
        <w:rPr>
          <w:sz w:val="18"/>
          <w:szCs w:val="18"/>
        </w:rPr>
        <w:t>Závislost ((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V)</w:t>
      </w:r>
      <w:r w:rsidRPr="00A57347">
        <w:rPr>
          <w:sz w:val="18"/>
          <w:szCs w:val="18"/>
          <w:vertAlign w:val="superscript"/>
        </w:rPr>
        <w:t xml:space="preserve">2 </w:t>
      </w:r>
      <w:r w:rsidRPr="00A57347">
        <w:rPr>
          <w:sz w:val="18"/>
          <w:szCs w:val="18"/>
        </w:rPr>
        <w:t>= f(V) nabývá v inflexním bodě nulové hodnoty. Spotřebu V</w:t>
      </w:r>
      <w:r w:rsidRPr="00A57347">
        <w:rPr>
          <w:sz w:val="18"/>
          <w:szCs w:val="18"/>
          <w:vertAlign w:val="subscript"/>
        </w:rPr>
        <w:t>ekv</w:t>
      </w:r>
      <w:r w:rsidRPr="00A57347">
        <w:rPr>
          <w:sz w:val="18"/>
          <w:szCs w:val="18"/>
        </w:rPr>
        <w:t xml:space="preserve"> odpovídající této nulové hodnotě </w:t>
      </w:r>
      <w:r w:rsidR="00592617">
        <w:rPr>
          <w:sz w:val="18"/>
          <w:szCs w:val="18"/>
        </w:rPr>
        <w:t xml:space="preserve">lze </w:t>
      </w:r>
      <w:r w:rsidRPr="00A57347">
        <w:rPr>
          <w:sz w:val="18"/>
          <w:szCs w:val="18"/>
        </w:rPr>
        <w:t>vypoč</w:t>
      </w:r>
      <w:r w:rsidR="00592617">
        <w:rPr>
          <w:sz w:val="18"/>
          <w:szCs w:val="18"/>
        </w:rPr>
        <w:t>ítat</w:t>
      </w:r>
      <w:r w:rsidRPr="00A57347">
        <w:rPr>
          <w:sz w:val="18"/>
          <w:szCs w:val="18"/>
        </w:rPr>
        <w:t xml:space="preserve"> s použitím poslední kladné a prvé záporné hodnoty 2. diference podle vztahu:</w:t>
      </w:r>
    </w:p>
    <w:p w:rsidR="009A099C" w:rsidRPr="00A57347" w:rsidRDefault="003F238A" w:rsidP="009A099C">
      <w:pPr>
        <w:spacing w:before="120"/>
        <w:jc w:val="center"/>
        <w:rPr>
          <w:sz w:val="18"/>
          <w:szCs w:val="18"/>
        </w:rPr>
      </w:pPr>
      <w:r w:rsidRPr="00A57347">
        <w:rPr>
          <w:position w:val="-38"/>
          <w:sz w:val="18"/>
          <w:szCs w:val="18"/>
        </w:rPr>
        <w:object w:dxaOrig="3420" w:dyaOrig="800">
          <v:shape id="_x0000_i1026" type="#_x0000_t75" style="width:126.75pt;height:30pt" o:ole="" fillcolor="window">
            <v:imagedata r:id="rId10" o:title=""/>
          </v:shape>
          <o:OLEObject Type="Embed" ProgID="Equation.3" ShapeID="_x0000_i1026" DrawAspect="Content" ObjectID="_1663147426" r:id="rId11"/>
        </w:object>
      </w:r>
    </w:p>
    <w:p w:rsidR="009A099C" w:rsidRPr="00A57347" w:rsidRDefault="00745863" w:rsidP="00745863">
      <w:pPr>
        <w:pStyle w:val="txtchem"/>
        <w:tabs>
          <w:tab w:val="left" w:pos="1680"/>
        </w:tabs>
        <w:spacing w:before="0" w:line="240" w:lineRule="auto"/>
        <w:rPr>
          <w:sz w:val="18"/>
          <w:szCs w:val="18"/>
        </w:rPr>
      </w:pPr>
      <w:r w:rsidRPr="00A57347">
        <w:rPr>
          <w:i/>
          <w:sz w:val="18"/>
          <w:szCs w:val="18"/>
        </w:rPr>
        <w:t xml:space="preserve">kde:   </w:t>
      </w:r>
      <w:r w:rsidR="009A099C" w:rsidRPr="00A57347">
        <w:rPr>
          <w:i/>
          <w:sz w:val="18"/>
          <w:szCs w:val="18"/>
        </w:rPr>
        <w:t>V</w:t>
      </w:r>
      <w:r w:rsidR="009A099C" w:rsidRPr="00A57347">
        <w:rPr>
          <w:i/>
          <w:sz w:val="18"/>
          <w:szCs w:val="18"/>
          <w:vertAlign w:val="subscript"/>
        </w:rPr>
        <w:t>ekv</w:t>
      </w:r>
      <w:r w:rsidR="009A099C" w:rsidRPr="00A57347">
        <w:rPr>
          <w:sz w:val="18"/>
          <w:szCs w:val="18"/>
        </w:rPr>
        <w:t xml:space="preserve"> je objem činidla v ml odpovídající inflexnímu bodu titrační křivky, 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t>V</w:t>
      </w:r>
      <w:r w:rsidRPr="00A57347">
        <w:rPr>
          <w:i/>
          <w:sz w:val="18"/>
          <w:szCs w:val="18"/>
          <w:vertAlign w:val="superscript"/>
        </w:rPr>
        <w:t>+</w:t>
      </w:r>
      <w:r w:rsidRPr="00A57347">
        <w:rPr>
          <w:sz w:val="18"/>
          <w:szCs w:val="18"/>
        </w:rPr>
        <w:t xml:space="preserve">  je objem činidla v ml odpovídající poslední kladné 2. Diferenci napětí 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V</w:t>
      </w:r>
      <w:r w:rsidRPr="00A57347">
        <w:rPr>
          <w:sz w:val="18"/>
          <w:szCs w:val="18"/>
        </w:rPr>
        <w:t xml:space="preserve"> je konstantní přídavek činidla v  ml, který se přidává v oblasti ekvivalenčního bodu,</w:t>
      </w:r>
    </w:p>
    <w:p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</w:t>
      </w:r>
      <w:r w:rsidRPr="00A57347">
        <w:rPr>
          <w:sz w:val="18"/>
          <w:szCs w:val="18"/>
          <w:vertAlign w:val="superscript"/>
        </w:rPr>
        <w:t xml:space="preserve">+ </w:t>
      </w:r>
      <w:r w:rsidRPr="00A57347">
        <w:rPr>
          <w:sz w:val="18"/>
          <w:szCs w:val="18"/>
        </w:rPr>
        <w:t xml:space="preserve">a </w:t>
      </w: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2-</w:t>
      </w:r>
      <w:r w:rsidRPr="00A57347">
        <w:rPr>
          <w:sz w:val="18"/>
          <w:szCs w:val="18"/>
          <w:vertAlign w:val="superscript"/>
        </w:rPr>
        <w:t xml:space="preserve">  </w:t>
      </w:r>
      <w:r w:rsidRPr="00A57347">
        <w:rPr>
          <w:sz w:val="18"/>
          <w:szCs w:val="18"/>
        </w:rPr>
        <w:t>jsou</w:t>
      </w:r>
      <w:r w:rsidRPr="00A57347">
        <w:rPr>
          <w:sz w:val="18"/>
          <w:szCs w:val="18"/>
          <w:vertAlign w:val="superscript"/>
        </w:rPr>
        <w:t xml:space="preserve"> </w:t>
      </w:r>
      <w:r w:rsidRPr="00A57347">
        <w:rPr>
          <w:sz w:val="18"/>
          <w:szCs w:val="18"/>
        </w:rPr>
        <w:t>poslední kladná a první záporná 2. diference E</w:t>
      </w:r>
      <w:r w:rsidR="00947ABC" w:rsidRPr="00A57347">
        <w:rPr>
          <w:sz w:val="18"/>
          <w:szCs w:val="18"/>
        </w:rPr>
        <w:t>.</w:t>
      </w:r>
    </w:p>
    <w:p w:rsidR="009A099C" w:rsidRPr="00A57347" w:rsidRDefault="009A099C" w:rsidP="002F1AB4">
      <w:pPr>
        <w:pStyle w:val="txtchem"/>
        <w:spacing w:line="240" w:lineRule="auto"/>
        <w:jc w:val="left"/>
        <w:rPr>
          <w:sz w:val="18"/>
          <w:szCs w:val="18"/>
        </w:rPr>
      </w:pPr>
      <w:r w:rsidRPr="00A57347">
        <w:rPr>
          <w:sz w:val="18"/>
          <w:szCs w:val="18"/>
        </w:rPr>
        <w:t>Aplikace shora uvedeného postupu je zřejmá z následující tabulky:</w:t>
      </w:r>
    </w:p>
    <w:p w:rsidR="00947ABC" w:rsidRPr="00A57347" w:rsidRDefault="00947ABC" w:rsidP="002F1AB4">
      <w:pPr>
        <w:pStyle w:val="txtchem"/>
        <w:spacing w:line="240" w:lineRule="auto"/>
        <w:jc w:val="left"/>
        <w:rPr>
          <w:sz w:val="18"/>
          <w:szCs w:val="18"/>
        </w:rPr>
      </w:pPr>
    </w:p>
    <w:tbl>
      <w:tblPr>
        <w:tblW w:w="861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2"/>
        <w:gridCol w:w="661"/>
        <w:gridCol w:w="1105"/>
        <w:gridCol w:w="1030"/>
        <w:gridCol w:w="1618"/>
        <w:gridCol w:w="1326"/>
      </w:tblGrid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 xml:space="preserve">V </w:t>
            </w:r>
          </w:p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0,002 M"/>
              </w:smartTagPr>
              <w:r w:rsidRPr="003F238A">
                <w:rPr>
                  <w:sz w:val="16"/>
                  <w:szCs w:val="16"/>
                </w:rPr>
                <w:t>0,002 M</w:t>
              </w:r>
            </w:smartTag>
            <w:r w:rsidRPr="003F238A">
              <w:rPr>
                <w:sz w:val="16"/>
                <w:szCs w:val="16"/>
              </w:rPr>
              <w:t xml:space="preserve"> KMnO</w:t>
            </w:r>
            <w:r w:rsidRPr="003F238A">
              <w:rPr>
                <w:sz w:val="16"/>
                <w:szCs w:val="16"/>
                <w:vertAlign w:val="subscript"/>
              </w:rPr>
              <w:t>4</w:t>
            </w:r>
            <w:r w:rsidRPr="003F238A">
              <w:rPr>
                <w:sz w:val="16"/>
                <w:szCs w:val="16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E/</w:t>
            </w: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V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  <w:r w:rsidRPr="003F238A">
              <w:rPr>
                <w:sz w:val="16"/>
                <w:szCs w:val="16"/>
                <w:vertAlign w:val="superscript"/>
              </w:rPr>
              <w:t>2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mV/ml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238A">
              <w:rPr>
                <w:color w:val="000000"/>
                <w:sz w:val="16"/>
                <w:szCs w:val="16"/>
              </w:rPr>
              <w:t>mV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10,1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left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312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-308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-4</w:t>
            </w: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:rsidTr="00592617">
        <w:trPr>
          <w:trHeight w:val="60"/>
        </w:trPr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47ABC" w:rsidRPr="00A57347" w:rsidRDefault="00947ABC" w:rsidP="002F1AB4">
      <w:pPr>
        <w:pStyle w:val="txtchem"/>
        <w:spacing w:line="240" w:lineRule="auto"/>
        <w:rPr>
          <w:sz w:val="18"/>
          <w:szCs w:val="18"/>
        </w:rPr>
      </w:pPr>
    </w:p>
    <w:p w:rsidR="009A099C" w:rsidRPr="00A57347" w:rsidRDefault="00F819AC" w:rsidP="002F1AB4">
      <w:pPr>
        <w:pStyle w:val="txtchem"/>
        <w:spacing w:line="240" w:lineRule="auto"/>
        <w:rPr>
          <w:sz w:val="18"/>
          <w:szCs w:val="18"/>
        </w:rPr>
      </w:pPr>
      <w:r w:rsidRPr="00F819AC">
        <w:pict>
          <v:shape id="_x0000_s1196" type="#_x0000_t75" style="position:absolute;left:0;text-align:left;margin-left:175.7pt;margin-top:17.7pt;width:137.65pt;height:23.3pt;z-index:7">
            <v:imagedata r:id="rId12" o:title=""/>
            <w10:wrap type="topAndBottom"/>
          </v:shape>
          <o:OLEObject Type="Embed" ProgID="Equation.3" ShapeID="_x0000_s1196" DrawAspect="Content" ObjectID="_1663147428" r:id="rId13"/>
        </w:pict>
      </w:r>
      <w:r w:rsidR="009A099C" w:rsidRPr="00A57347">
        <w:rPr>
          <w:sz w:val="18"/>
          <w:szCs w:val="18"/>
        </w:rPr>
        <w:t>Dosazením do uvedeného vzorce</w:t>
      </w:r>
      <w:r w:rsidR="00592617">
        <w:rPr>
          <w:sz w:val="18"/>
          <w:szCs w:val="18"/>
        </w:rPr>
        <w:t xml:space="preserve"> lze početně určit V</w:t>
      </w:r>
      <w:r w:rsidR="00592617" w:rsidRPr="00592617">
        <w:rPr>
          <w:sz w:val="18"/>
          <w:szCs w:val="18"/>
          <w:vertAlign w:val="subscript"/>
        </w:rPr>
        <w:t>ekv.</w:t>
      </w:r>
      <w:r w:rsidR="009A099C" w:rsidRPr="00A57347">
        <w:rPr>
          <w:sz w:val="18"/>
          <w:szCs w:val="18"/>
        </w:rPr>
        <w:t>:</w:t>
      </w:r>
    </w:p>
    <w:p w:rsidR="002F1AB4" w:rsidRPr="00592617" w:rsidRDefault="002F1AB4" w:rsidP="002F1AB4">
      <w:pPr>
        <w:pStyle w:val="txtchem"/>
        <w:rPr>
          <w:sz w:val="22"/>
          <w:szCs w:val="22"/>
        </w:rPr>
      </w:pPr>
    </w:p>
    <w:p w:rsidR="004C438D" w:rsidRPr="002213CA" w:rsidRDefault="002F1AB4" w:rsidP="00C45174">
      <w:pPr>
        <w:spacing w:line="240" w:lineRule="auto"/>
        <w:ind w:left="705" w:hanging="705"/>
        <w:jc w:val="left"/>
        <w:rPr>
          <w:b/>
          <w:sz w:val="22"/>
          <w:szCs w:val="22"/>
        </w:rPr>
      </w:pPr>
      <w:r w:rsidRPr="002213CA">
        <w:rPr>
          <w:b/>
          <w:sz w:val="22"/>
          <w:szCs w:val="22"/>
        </w:rPr>
        <w:lastRenderedPageBreak/>
        <w:t>12.1.</w:t>
      </w:r>
      <w:r w:rsidRPr="002213CA">
        <w:rPr>
          <w:b/>
          <w:sz w:val="22"/>
          <w:szCs w:val="22"/>
        </w:rPr>
        <w:tab/>
      </w:r>
      <w:r w:rsidR="004C438D" w:rsidRPr="002213CA">
        <w:rPr>
          <w:b/>
          <w:sz w:val="22"/>
          <w:szCs w:val="22"/>
        </w:rPr>
        <w:t xml:space="preserve">Standardizace </w:t>
      </w:r>
      <w:smartTag w:uri="urn:schemas-microsoft-com:office:smarttags" w:element="metricconverter">
        <w:smartTagPr>
          <w:attr w:name="ProductID" w:val="0,002 M"/>
        </w:smartTagPr>
        <w:r w:rsidR="004C438D" w:rsidRPr="002213CA">
          <w:rPr>
            <w:b/>
            <w:sz w:val="22"/>
            <w:szCs w:val="22"/>
          </w:rPr>
          <w:t>0,002 M</w:t>
        </w:r>
      </w:smartTag>
      <w:r w:rsidR="004C438D" w:rsidRPr="002213CA">
        <w:rPr>
          <w:b/>
          <w:sz w:val="22"/>
          <w:szCs w:val="22"/>
        </w:rPr>
        <w:t xml:space="preserve"> KMnO</w:t>
      </w:r>
      <w:r w:rsidR="004C438D" w:rsidRPr="002213CA">
        <w:rPr>
          <w:b/>
          <w:sz w:val="22"/>
          <w:szCs w:val="22"/>
          <w:vertAlign w:val="subscript"/>
        </w:rPr>
        <w:t>4</w:t>
      </w:r>
      <w:r w:rsidR="004C438D" w:rsidRPr="002213CA">
        <w:rPr>
          <w:b/>
          <w:sz w:val="22"/>
          <w:szCs w:val="22"/>
        </w:rPr>
        <w:t xml:space="preserve"> na hex</w:t>
      </w:r>
      <w:r w:rsidR="00592617" w:rsidRPr="002213CA">
        <w:rPr>
          <w:b/>
          <w:sz w:val="22"/>
          <w:szCs w:val="22"/>
        </w:rPr>
        <w:t>akyanoželeznatan tetradraselný</w:t>
      </w:r>
      <w:r w:rsidR="004C438D" w:rsidRPr="002213CA">
        <w:rPr>
          <w:b/>
          <w:sz w:val="22"/>
          <w:szCs w:val="22"/>
        </w:rPr>
        <w:t> </w:t>
      </w:r>
    </w:p>
    <w:p w:rsidR="00592617" w:rsidRDefault="00592617" w:rsidP="000C7572">
      <w:pPr>
        <w:spacing w:before="120" w:line="240" w:lineRule="auto"/>
        <w:ind w:left="705"/>
        <w:rPr>
          <w:sz w:val="20"/>
        </w:rPr>
      </w:pP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Odměrný roztok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není stálý, zvolna se rozkládá na kyslík a oxid manganičitý, který katalyzuje další rozklad manganistanu. Přesnou koncentraci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neboli titr odměrného roztoku stanovíme titrací na tzv. primární standard. Jako primární standard použijeme trihydrát hexakyanoželeznatanu draselného.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Roztok hexakyanoželeznatanu se titruje odměrným roztokem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v prostředí zředěné H</w:t>
      </w:r>
      <w:r w:rsidRPr="003F238A">
        <w:rPr>
          <w:i/>
          <w:sz w:val="20"/>
          <w:vertAlign w:val="subscript"/>
        </w:rPr>
        <w:t>2</w:t>
      </w:r>
      <w:r w:rsidRPr="003F238A">
        <w:rPr>
          <w:i/>
          <w:sz w:val="20"/>
        </w:rPr>
        <w:t>SO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>. Při potenciometrickém stanovení je naměřen potenciálový skok z oblasti, definované formálním potenciálem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 pro soustavu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>/Fe(CN)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 (E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  <w:vertAlign w:val="subscript"/>
        </w:rPr>
        <w:t xml:space="preserve"> </w:t>
      </w:r>
      <w:r w:rsidRPr="003F238A">
        <w:rPr>
          <w:i/>
          <w:sz w:val="20"/>
        </w:rPr>
        <w:t>= +0,67 V) do oblasti potenciálu soustavy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>/Mn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(E</w:t>
      </w:r>
      <w:r w:rsidR="00FD7B48" w:rsidRPr="003F238A">
        <w:rPr>
          <w:i/>
          <w:sz w:val="20"/>
          <w:vertAlign w:val="superscript"/>
        </w:rPr>
        <w:t>0</w:t>
      </w:r>
      <w:r w:rsidRPr="003F238A">
        <w:rPr>
          <w:i/>
          <w:sz w:val="20"/>
        </w:rPr>
        <w:t xml:space="preserve"> = +1,51 V). </w:t>
      </w:r>
    </w:p>
    <w:p w:rsidR="004C438D" w:rsidRPr="003F238A" w:rsidRDefault="004C438D" w:rsidP="000C7572">
      <w:pPr>
        <w:spacing w:before="120" w:line="240" w:lineRule="auto"/>
        <w:ind w:left="705"/>
        <w:rPr>
          <w:i/>
          <w:sz w:val="20"/>
        </w:rPr>
      </w:pPr>
      <w:r w:rsidRPr="003F238A">
        <w:rPr>
          <w:i/>
          <w:sz w:val="20"/>
        </w:rPr>
        <w:t>Původně nažloutlý roztok se v průběhu titrace barví do žlutozelena (patrně vznikem stopových množství berlínské modři pozvolným rozkladem méně stálé kyseliny hexakyanoželeznaté).Oxidace hexakyanoželeznatého aniontu na hexakyanoželezitanový probíhá velmi snadno, potenciál se ustaluje rychle, v blízkosti ekvivalenčního bodu je ustalování potenciálu pomalejší, je třeba vyčkat 1 – 2 minuty do odečtení potenciálu. Zatímco redoxní pár primárního standardu se chová reverzibilně (elektrodový děj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↔ Fe(CN)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 xml:space="preserve"> je zcela vratný a jeho potenciál se ustaluje rychle),  je reverzibilita elektrodového děje činidla jen zdánlivá (reakce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je zcela nevratná a zpětnou oxidaci zastupuje reakce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3+</w:t>
      </w:r>
      <w:r w:rsidRPr="003F238A">
        <w:rPr>
          <w:i/>
          <w:sz w:val="20"/>
        </w:rPr>
        <w:t xml:space="preserve"> při E</w:t>
      </w:r>
      <w:r w:rsidRPr="003F238A">
        <w:rPr>
          <w:i/>
          <w:sz w:val="20"/>
          <w:vertAlign w:val="superscript"/>
        </w:rPr>
        <w:t>f</w:t>
      </w:r>
      <w:r w:rsidRPr="003F238A">
        <w:rPr>
          <w:i/>
          <w:sz w:val="20"/>
        </w:rPr>
        <w:t xml:space="preserve"> = +1,5 V). Tato skutečnost zapříčiňuje pomalejší ustalování potenciálu za bodem ekvivalence  a průběh titrační křivky v této oblasti neodpovídá přesně teoretickému. Bod ekvivalence není totožný s bodem inflexe křivky, při velké strmosti titrační křivky v blízkosti bodu ekvivalence je však tato chyba zanedbatelná.</w:t>
      </w:r>
    </w:p>
    <w:p w:rsidR="00592617" w:rsidRDefault="00F819AC" w:rsidP="004C438D">
      <w:pPr>
        <w:pStyle w:val="txtchem"/>
      </w:pPr>
      <w:r w:rsidRPr="00F819AC">
        <w:rPr>
          <w:noProof/>
          <w:sz w:val="22"/>
          <w:szCs w:val="22"/>
        </w:rPr>
        <w:pict>
          <v:shape id="_x0000_s1173" type="#_x0000_t75" style="position:absolute;left:0;text-align:left;margin-left:166.95pt;margin-top:19.1pt;width:126.05pt;height:17.6pt;z-index:3">
            <v:imagedata r:id="rId14" o:title=""/>
            <w10:wrap type="topAndBottom"/>
          </v:shape>
          <o:OLEObject Type="Embed" ProgID="Equation.3" ShapeID="_x0000_s1173" DrawAspect="Content" ObjectID="_1663147429" r:id="rId15"/>
        </w:pict>
      </w:r>
    </w:p>
    <w:p w:rsidR="000E59F6" w:rsidRDefault="00F819AC" w:rsidP="004C438D">
      <w:pPr>
        <w:pStyle w:val="txtchem"/>
      </w:pPr>
      <w:r w:rsidRPr="00F819AC">
        <w:rPr>
          <w:noProof/>
          <w:sz w:val="22"/>
          <w:szCs w:val="22"/>
        </w:rPr>
        <w:pict>
          <v:shape id="_x0000_s1175" type="#_x0000_t75" style="position:absolute;left:0;text-align:left;margin-left:108.5pt;margin-top:80.5pt;width:251.5pt;height:17.5pt;z-index:4">
            <v:imagedata r:id="rId16" o:title=""/>
            <w10:wrap type="topAndBottom"/>
          </v:shape>
          <o:OLEObject Type="Embed" ProgID="Equation.3" ShapeID="_x0000_s1175" DrawAspect="Content" ObjectID="_1663147430" r:id="rId17"/>
        </w:pict>
      </w:r>
      <w:r w:rsidRPr="00F819AC">
        <w:rPr>
          <w:noProof/>
          <w:sz w:val="22"/>
          <w:szCs w:val="22"/>
        </w:rPr>
        <w:pict>
          <v:shape id="_x0000_s1172" type="#_x0000_t75" style="position:absolute;left:0;text-align:left;margin-left:148.65pt;margin-top:29.45pt;width:169.35pt;height:16.35pt;z-index:2">
            <v:imagedata r:id="rId18" o:title=""/>
            <w10:wrap type="topAndBottom"/>
          </v:shape>
          <o:OLEObject Type="Embed" ProgID="Equation.3" ShapeID="_x0000_s1172" DrawAspect="Content" ObjectID="_1663147431" r:id="rId19"/>
        </w:pict>
      </w:r>
      <w:r w:rsidR="000E59F6">
        <w:tab/>
      </w:r>
      <w:r w:rsidR="000E59F6">
        <w:tab/>
      </w:r>
      <w:r w:rsidR="00332DAD">
        <w:t>______________________________________________________</w:t>
      </w:r>
    </w:p>
    <w:p w:rsidR="004C438D" w:rsidRPr="00264635" w:rsidRDefault="004C438D" w:rsidP="000E59F6">
      <w:pPr>
        <w:pStyle w:val="txtchem"/>
        <w:jc w:val="center"/>
        <w:rPr>
          <w:color w:val="0D0D0D"/>
        </w:rPr>
      </w:pPr>
      <w:r>
        <w:t>1 mol KMnO</w:t>
      </w:r>
      <w:r>
        <w:rPr>
          <w:vertAlign w:val="subscript"/>
        </w:rPr>
        <w:t xml:space="preserve">4 </w:t>
      </w:r>
      <w:r>
        <w:t xml:space="preserve">  </w:t>
      </w:r>
      <w:r w:rsidR="00444907">
        <w:sym w:font="Symbol" w:char="F0BB"/>
      </w:r>
      <w:r>
        <w:t xml:space="preserve">   5 mol Fe(CN)</w:t>
      </w:r>
      <w:r>
        <w:rPr>
          <w:vertAlign w:val="subscript"/>
        </w:rPr>
        <w:t>6</w:t>
      </w:r>
      <w:r>
        <w:rPr>
          <w:vertAlign w:val="superscript"/>
        </w:rPr>
        <w:t>4-</w:t>
      </w:r>
      <w:r w:rsidR="000E59F6">
        <w:tab/>
      </w:r>
      <w:r>
        <w:rPr>
          <w:i/>
        </w:rPr>
        <w:tab/>
      </w:r>
      <w:r>
        <w:rPr>
          <w:i/>
        </w:rPr>
        <w:tab/>
      </w:r>
      <w:r w:rsidRPr="00264635">
        <w:rPr>
          <w:i/>
          <w:color w:val="0D0D0D"/>
        </w:rPr>
        <w:t xml:space="preserve"> </w:t>
      </w:r>
      <w:r w:rsidRPr="00264635">
        <w:rPr>
          <w:color w:val="0D0D0D"/>
        </w:rPr>
        <w:t>M(K</w:t>
      </w:r>
      <w:r w:rsidRPr="00264635">
        <w:rPr>
          <w:color w:val="0D0D0D"/>
          <w:vertAlign w:val="subscript"/>
        </w:rPr>
        <w:t>4</w:t>
      </w:r>
      <w:r w:rsidRPr="00264635">
        <w:rPr>
          <w:color w:val="0D0D0D"/>
        </w:rPr>
        <w:t>[Fe(CN)</w:t>
      </w:r>
      <w:r w:rsidRPr="00264635">
        <w:rPr>
          <w:color w:val="0D0D0D"/>
          <w:vertAlign w:val="subscript"/>
        </w:rPr>
        <w:t>6</w:t>
      </w:r>
      <w:r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Pr="00264635">
        <w:rPr>
          <w:color w:val="0D0D0D"/>
        </w:rPr>
        <w:t>3 H</w:t>
      </w:r>
      <w:r w:rsidRPr="00264635">
        <w:rPr>
          <w:color w:val="0D0D0D"/>
          <w:vertAlign w:val="subscript"/>
        </w:rPr>
        <w:t>2</w:t>
      </w:r>
      <w:r w:rsidRPr="00264635">
        <w:rPr>
          <w:color w:val="0D0D0D"/>
        </w:rPr>
        <w:t>O) = 422,408 g/mol</w:t>
      </w:r>
    </w:p>
    <w:p w:rsidR="004C438D" w:rsidRPr="00264635" w:rsidRDefault="00705BBD" w:rsidP="000E59F6">
      <w:pPr>
        <w:pStyle w:val="txtchem"/>
        <w:jc w:val="center"/>
        <w:rPr>
          <w:color w:val="0D0D0D"/>
        </w:rPr>
      </w:pPr>
      <w:r>
        <w:rPr>
          <w:color w:val="0D0D0D"/>
        </w:rPr>
        <w:t xml:space="preserve">           </w:t>
      </w:r>
      <w:r w:rsidR="004C438D" w:rsidRPr="00264635">
        <w:rPr>
          <w:color w:val="0D0D0D"/>
        </w:rPr>
        <w:t xml:space="preserve">1 ml </w:t>
      </w:r>
      <w:smartTag w:uri="urn:schemas-microsoft-com:office:smarttags" w:element="metricconverter">
        <w:smartTagPr>
          <w:attr w:name="ProductID" w:val="0,002 M"/>
        </w:smartTagPr>
        <w:r w:rsidR="004C438D" w:rsidRPr="00264635">
          <w:rPr>
            <w:color w:val="0D0D0D"/>
          </w:rPr>
          <w:t>0,002 M</w:t>
        </w:r>
      </w:smartTag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</w:t>
      </w:r>
      <w:r w:rsidR="004C438D" w:rsidRPr="00264635">
        <w:rPr>
          <w:color w:val="0D0D0D"/>
        </w:rPr>
        <w:t>= 0,002 mmol KMnO</w:t>
      </w:r>
      <w:r w:rsidR="004C438D" w:rsidRPr="00264635">
        <w:rPr>
          <w:color w:val="0D0D0D"/>
          <w:vertAlign w:val="subscript"/>
        </w:rPr>
        <w:t xml:space="preserve">4   </w:t>
      </w:r>
      <w:r w:rsidR="00444907">
        <w:sym w:font="Symbol" w:char="F0BB"/>
      </w:r>
      <w:r w:rsidR="004C438D" w:rsidRPr="00264635">
        <w:rPr>
          <w:color w:val="0D0D0D"/>
        </w:rPr>
        <w:t xml:space="preserve"> 0,01 mmol 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  <w:vertAlign w:val="superscript"/>
        </w:rPr>
        <w:t>4-</w:t>
      </w:r>
      <w:r w:rsidR="004C438D" w:rsidRPr="00264635">
        <w:rPr>
          <w:color w:val="0D0D0D"/>
        </w:rPr>
        <w:t xml:space="preserve"> = 4,224 mg K</w:t>
      </w:r>
      <w:r w:rsidR="004C438D" w:rsidRPr="00264635">
        <w:rPr>
          <w:color w:val="0D0D0D"/>
          <w:vertAlign w:val="subscript"/>
        </w:rPr>
        <w:t>4</w:t>
      </w:r>
      <w:r w:rsidR="004C438D" w:rsidRPr="00264635">
        <w:rPr>
          <w:color w:val="0D0D0D"/>
        </w:rPr>
        <w:t>[Fe(CN)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="004C438D" w:rsidRPr="00264635">
        <w:rPr>
          <w:color w:val="0D0D0D"/>
        </w:rPr>
        <w:t>3</w:t>
      </w:r>
      <w:r w:rsidR="00FD6729">
        <w:rPr>
          <w:color w:val="0D0D0D"/>
        </w:rPr>
        <w:t xml:space="preserve"> </w:t>
      </w:r>
      <w:r w:rsidR="004C438D" w:rsidRPr="00264635">
        <w:rPr>
          <w:color w:val="0D0D0D"/>
        </w:rPr>
        <w:t>H</w:t>
      </w:r>
      <w:r w:rsidR="004C438D" w:rsidRPr="00264635">
        <w:rPr>
          <w:color w:val="0D0D0D"/>
          <w:vertAlign w:val="subscript"/>
        </w:rPr>
        <w:t>2</w:t>
      </w:r>
      <w:r w:rsidR="004C438D" w:rsidRPr="00264635">
        <w:rPr>
          <w:color w:val="0D0D0D"/>
        </w:rPr>
        <w:t>O</w:t>
      </w:r>
    </w:p>
    <w:p w:rsidR="004C438D" w:rsidRDefault="004C438D" w:rsidP="004C438D"/>
    <w:p w:rsidR="004C438D" w:rsidRPr="000E59F6" w:rsidRDefault="004C438D" w:rsidP="000E59F6">
      <w:pPr>
        <w:spacing w:line="240" w:lineRule="auto"/>
        <w:ind w:left="709"/>
        <w:rPr>
          <w:b/>
          <w:caps/>
          <w:sz w:val="20"/>
        </w:rPr>
      </w:pPr>
      <w:r w:rsidRPr="000E59F6">
        <w:rPr>
          <w:b/>
          <w:caps/>
          <w:sz w:val="20"/>
        </w:rPr>
        <w:t>Titrace</w:t>
      </w:r>
    </w:p>
    <w:p w:rsidR="004C438D" w:rsidRDefault="00592617" w:rsidP="00B90EB9">
      <w:pPr>
        <w:pStyle w:val="txtchem"/>
        <w:spacing w:line="240" w:lineRule="auto"/>
        <w:ind w:left="709"/>
      </w:pPr>
      <w:r>
        <w:t>Na</w:t>
      </w:r>
      <w:r w:rsidR="004C438D" w:rsidRPr="000E59F6">
        <w:t>váž</w:t>
      </w:r>
      <w:r>
        <w:t>it</w:t>
      </w:r>
      <w:r w:rsidR="004C438D" w:rsidRPr="000E59F6">
        <w:t xml:space="preserve"> přibližně </w:t>
      </w:r>
      <w:smartTag w:uri="urn:schemas-microsoft-com:office:smarttags" w:element="metricconverter">
        <w:smartTagPr>
          <w:attr w:name="ProductID" w:val="0,4 g"/>
        </w:smartTagPr>
        <w:r w:rsidR="004C438D" w:rsidRPr="000E59F6">
          <w:t>0,4 g</w:t>
        </w:r>
      </w:smartTag>
      <w:r w:rsidR="004C438D" w:rsidRPr="000E59F6">
        <w:t xml:space="preserve"> K</w:t>
      </w:r>
      <w:r w:rsidR="004C438D" w:rsidRPr="00FD6729">
        <w:rPr>
          <w:vertAlign w:val="subscript"/>
        </w:rPr>
        <w:t>4</w:t>
      </w:r>
      <w:r w:rsidR="004C438D" w:rsidRPr="000E59F6">
        <w:t>Fe(CN)</w:t>
      </w:r>
      <w:r w:rsidR="004C438D" w:rsidRPr="00FD6729">
        <w:rPr>
          <w:vertAlign w:val="subscript"/>
        </w:rPr>
        <w:t>6</w:t>
      </w:r>
      <w:r w:rsidR="00FD6729">
        <w:rPr>
          <w:color w:val="0D0D0D"/>
        </w:rPr>
        <w:sym w:font="Symbol" w:char="F0D7"/>
      </w:r>
      <w:r w:rsidR="004C438D" w:rsidRPr="000E59F6">
        <w:t>3H</w:t>
      </w:r>
      <w:r w:rsidR="004C438D" w:rsidRPr="00FD6729">
        <w:rPr>
          <w:vertAlign w:val="subscript"/>
        </w:rPr>
        <w:t>2</w:t>
      </w:r>
      <w:r w:rsidR="004C438D" w:rsidRPr="000E59F6">
        <w:t>O s přesností na 0,1 mg. Navážku přev</w:t>
      </w:r>
      <w:r>
        <w:t>ést</w:t>
      </w:r>
      <w:r w:rsidR="004C438D" w:rsidRPr="000E59F6">
        <w:t xml:space="preserve"> kvantitativně do odměrné baňky na 100 ml a po rozpuštění dopln</w:t>
      </w:r>
      <w:r>
        <w:t>it</w:t>
      </w:r>
      <w:r w:rsidR="004C438D" w:rsidRPr="000E59F6">
        <w:t xml:space="preserve"> destilovanou vodou po rysku.</w:t>
      </w:r>
      <w:r w:rsidR="004C438D">
        <w:t xml:space="preserve"> </w:t>
      </w:r>
    </w:p>
    <w:p w:rsidR="004C438D" w:rsidRDefault="004C438D" w:rsidP="00B90EB9">
      <w:pPr>
        <w:pStyle w:val="txtchem"/>
        <w:spacing w:line="240" w:lineRule="auto"/>
        <w:ind w:left="708"/>
      </w:pPr>
      <w:r>
        <w:t>Do vysoké kádinky na 150 ml vlož</w:t>
      </w:r>
      <w:r w:rsidR="00592617">
        <w:t>it</w:t>
      </w:r>
      <w:r>
        <w:t xml:space="preserve"> míchadélko, </w:t>
      </w:r>
      <w:r w:rsidR="002213CA">
        <w:t>na</w:t>
      </w:r>
      <w:r>
        <w:t>pipet</w:t>
      </w:r>
      <w:r w:rsidR="00592617">
        <w:t>ovat</w:t>
      </w:r>
      <w:r>
        <w:t xml:space="preserve"> 10,00 ml roztoku standardu, </w:t>
      </w:r>
      <w:r w:rsidR="002213CA">
        <w:t xml:space="preserve"> přidat 70 ml destilované vody (odměrným válcem) a </w:t>
      </w:r>
      <w:r>
        <w:t>20 ml 4M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(odměrným válcem). Kádinku postav</w:t>
      </w:r>
      <w:r w:rsidR="002213CA">
        <w:t>it</w:t>
      </w:r>
      <w:r>
        <w:t xml:space="preserve"> na magnetickou míchačku a do roztoku ponoř</w:t>
      </w:r>
      <w:r w:rsidR="002213CA">
        <w:t>it</w:t>
      </w:r>
      <w:r>
        <w:t xml:space="preserve"> elektrody opláchnuté destilovanou vodou. </w:t>
      </w:r>
    </w:p>
    <w:p w:rsidR="004C438D" w:rsidRDefault="002213CA" w:rsidP="000C7572">
      <w:pPr>
        <w:pStyle w:val="txtchem"/>
        <w:ind w:left="708"/>
      </w:pPr>
      <w:r>
        <w:t xml:space="preserve">Takto připravený roztok titrovat </w:t>
      </w:r>
      <w:r w:rsidR="004C438D">
        <w:t xml:space="preserve">odměrným roztokem </w:t>
      </w:r>
      <w:smartTag w:uri="urn:schemas-microsoft-com:office:smarttags" w:element="metricconverter">
        <w:smartTagPr>
          <w:attr w:name="ProductID" w:val="0,002 M"/>
        </w:smartTagPr>
        <w:r w:rsidR="004C438D">
          <w:t>0,002 M</w:t>
        </w:r>
      </w:smartTag>
      <w:r w:rsidR="004C438D">
        <w:t xml:space="preserve"> KMnO</w:t>
      </w:r>
      <w:r w:rsidR="004C438D">
        <w:rPr>
          <w:vertAlign w:val="subscript"/>
        </w:rPr>
        <w:t>4</w:t>
      </w:r>
      <w:r w:rsidR="004C438D">
        <w:t xml:space="preserve">. Na začátku titrace </w:t>
      </w:r>
      <w:r>
        <w:t>lze pozorovat</w:t>
      </w:r>
      <w:r w:rsidR="004C438D">
        <w:t xml:space="preserve"> posun potenciálu směrem k nižším hodnotám. To je způsobeno nepřítomností oxidované formy stanovované látky (podle Nernst-Petersovy rovnice by měl být potenciál teoreticky -∞). Proto je vhodné odečítat potenciál až od přídavku 1 ml odměrného roztoku, kdy se už potenciál ustaluje rychle</w:t>
      </w:r>
      <w:r>
        <w:t>, příp. počkat se začátkem titrace cca 5 min</w:t>
      </w:r>
      <w:r w:rsidR="004C438D">
        <w:t xml:space="preserve">. </w:t>
      </w:r>
    </w:p>
    <w:p w:rsidR="004C438D" w:rsidRDefault="004C438D" w:rsidP="000C7572">
      <w:pPr>
        <w:pStyle w:val="txtchem"/>
        <w:ind w:left="708"/>
      </w:pPr>
      <w:r>
        <w:t>Při první</w:t>
      </w:r>
      <w:r w:rsidR="002213CA">
        <w:t xml:space="preserve"> tzv. orientační</w:t>
      </w:r>
      <w:r>
        <w:t xml:space="preserve"> titraci přidá</w:t>
      </w:r>
      <w:r w:rsidR="002213CA">
        <w:t>vat</w:t>
      </w:r>
      <w:r>
        <w:t xml:space="preserve"> odm</w:t>
      </w:r>
      <w:r w:rsidR="002213CA">
        <w:t xml:space="preserve">ěrné činidlo ke vzorku po 1 ml pro rychlé </w:t>
      </w:r>
      <w:r>
        <w:t>a efektiv</w:t>
      </w:r>
      <w:r w:rsidR="002213CA">
        <w:t>ní</w:t>
      </w:r>
      <w:r>
        <w:t xml:space="preserve"> urč</w:t>
      </w:r>
      <w:r w:rsidR="002213CA">
        <w:t>ení</w:t>
      </w:r>
      <w:r>
        <w:t xml:space="preserve"> oblast</w:t>
      </w:r>
      <w:r w:rsidR="002213CA">
        <w:t>i</w:t>
      </w:r>
      <w:r>
        <w:t xml:space="preserve"> potenciálového skoku. Při druhé (příp. třetí) titraci přid</w:t>
      </w:r>
      <w:r w:rsidR="002213CA">
        <w:t>at</w:t>
      </w:r>
      <w:r>
        <w:t xml:space="preserve"> odměrné činidlo v okolí inflexního bodu titrační křivky (</w:t>
      </w:r>
      <w:r>
        <w:sym w:font="Symbol" w:char="00B1"/>
      </w:r>
      <w:r>
        <w:t xml:space="preserve"> 1,0 ml) po 0,1 ml. Po každém přídavku odměrného roztoku ke vzorku vždy odeč</w:t>
      </w:r>
      <w:r w:rsidR="002213CA">
        <w:t>íst</w:t>
      </w:r>
      <w:r>
        <w:t xml:space="preserve"> hodnotu napětí mezi platinovou a kalomelovou elektrodou na multimetru ve voltovém rozsahu na 3</w:t>
      </w:r>
      <w:r w:rsidR="00C0755E">
        <w:t> </w:t>
      </w:r>
      <w:r>
        <w:t>desetinná místa. Titraci ukonč</w:t>
      </w:r>
      <w:r w:rsidR="002213CA">
        <w:t>it</w:t>
      </w:r>
      <w:r>
        <w:t xml:space="preserve"> po přídavku dvojnásobného množství odměrného roztoku KMnO</w:t>
      </w:r>
      <w:r>
        <w:rPr>
          <w:vertAlign w:val="subscript"/>
        </w:rPr>
        <w:t>4</w:t>
      </w:r>
      <w:r>
        <w:t xml:space="preserve">, </w:t>
      </w:r>
      <w:r w:rsidR="002213CA">
        <w:t>které odpovídá</w:t>
      </w:r>
      <w:r>
        <w:t xml:space="preserve"> V</w:t>
      </w:r>
      <w:r>
        <w:rPr>
          <w:vertAlign w:val="subscript"/>
        </w:rPr>
        <w:t>ekv</w:t>
      </w:r>
      <w:r>
        <w:t>.</w:t>
      </w:r>
    </w:p>
    <w:p w:rsidR="004C438D" w:rsidRDefault="004C438D" w:rsidP="000C7572">
      <w:pPr>
        <w:pStyle w:val="txtchem"/>
        <w:ind w:left="708"/>
      </w:pPr>
      <w:r>
        <w:t>Stanov</w:t>
      </w:r>
      <w:r w:rsidR="002213CA">
        <w:t>it</w:t>
      </w:r>
      <w:r>
        <w:t xml:space="preserve"> inflexní bod. Při více paralelních titracích vypoč</w:t>
      </w:r>
      <w:r w:rsidR="002213CA">
        <w:t>ítat</w:t>
      </w:r>
      <w:r>
        <w:t xml:space="preserve"> průměrnou hodnotu </w:t>
      </w:r>
      <w:r w:rsidR="002213CA">
        <w:t>c</w:t>
      </w:r>
      <w:r w:rsidR="002213CA">
        <w:rPr>
          <w:vertAlign w:val="subscript"/>
        </w:rPr>
        <w:t>KMnO4</w:t>
      </w:r>
      <w:r>
        <w:t>.</w:t>
      </w:r>
    </w:p>
    <w:p w:rsidR="00D13718" w:rsidRDefault="00D13718" w:rsidP="00D13718">
      <w:pPr>
        <w:spacing w:before="120" w:line="240" w:lineRule="auto"/>
        <w:ind w:left="1440"/>
        <w:rPr>
          <w:i/>
          <w:iCs/>
          <w:sz w:val="18"/>
          <w:szCs w:val="18"/>
        </w:rPr>
      </w:pP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lastRenderedPageBreak/>
        <w:t>stanovení provádět s využitím programu LabView, jednotky jsou nastaveny ve V (ne v mV)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POZOR - nezapomínat na přepínání dávkovaného množství v oblasti inflexního bodu při dávkování 0,02M KMnO</w:t>
      </w:r>
      <w:r w:rsidRPr="00D13718">
        <w:rPr>
          <w:i/>
          <w:iCs/>
          <w:sz w:val="18"/>
          <w:szCs w:val="18"/>
          <w:vertAlign w:val="subscript"/>
        </w:rPr>
        <w:t>4</w:t>
      </w:r>
      <w:r w:rsidRPr="00D13718">
        <w:rPr>
          <w:i/>
          <w:iCs/>
          <w:sz w:val="18"/>
          <w:szCs w:val="18"/>
        </w:rPr>
        <w:t xml:space="preserve"> (po 1 ml, po 0,1 ml)</w:t>
      </w:r>
    </w:p>
    <w:p w:rsidR="00D13718" w:rsidRPr="00D13718" w:rsidRDefault="00D13718" w:rsidP="00D13718">
      <w:pPr>
        <w:numPr>
          <w:ilvl w:val="0"/>
          <w:numId w:val="111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před ukončením měření, vždy nejprve uložit naměřené hodnoty – je nutné přepsat cestu k uložení výsledků</w:t>
      </w:r>
    </w:p>
    <w:p w:rsidR="000C7572" w:rsidRPr="000C7572" w:rsidRDefault="000C7572" w:rsidP="000C7572">
      <w:pPr>
        <w:pStyle w:val="txtchem"/>
        <w:ind w:left="709"/>
      </w:pPr>
    </w:p>
    <w:p w:rsidR="004C438D" w:rsidRPr="000C7572" w:rsidRDefault="00F819AC" w:rsidP="000C7572">
      <w:pPr>
        <w:ind w:left="708"/>
        <w:rPr>
          <w:i/>
          <w:iCs/>
          <w:caps/>
        </w:rPr>
      </w:pPr>
      <w:r w:rsidRPr="00F819AC">
        <w:rPr>
          <w:noProof/>
        </w:rPr>
        <w:pict>
          <v:shape id="_x0000_s1201" type="#_x0000_t75" style="position:absolute;left:0;text-align:left;margin-left:0;margin-top:20.7pt;width:153.5pt;height:34.15pt;z-index:9;mso-position-horizontal:center">
            <v:imagedata r:id="rId20" o:title=""/>
            <w10:wrap type="square"/>
          </v:shape>
          <o:OLEObject Type="Embed" ProgID="Equation.3" ShapeID="_x0000_s1201" DrawAspect="Content" ObjectID="_1663147432" r:id="rId21"/>
        </w:pict>
      </w:r>
      <w:r w:rsidRPr="00F819AC">
        <w:rPr>
          <w:b/>
          <w:sz w:val="20"/>
        </w:rPr>
        <w:pict>
          <v:shape id="_x0000_s1150" type="#_x0000_t75" style="position:absolute;left:0;text-align:left;margin-left:44.35pt;margin-top:33.55pt;width:9pt;height:17pt;z-index:1" o:allowincell="f">
            <v:imagedata r:id="rId22" o:title=""/>
            <w10:wrap type="topAndBottom"/>
          </v:shape>
          <o:OLEObject Type="Embed" ProgID="Equation.3" ShapeID="_x0000_s1150" DrawAspect="Content" ObjectID="_1663147433" r:id="rId23"/>
        </w:pict>
      </w:r>
      <w:r w:rsidR="004C438D" w:rsidRPr="000C7572">
        <w:rPr>
          <w:b/>
          <w:sz w:val="20"/>
        </w:rPr>
        <w:t xml:space="preserve">Výpočet přesné koncentrace </w:t>
      </w:r>
      <w:smartTag w:uri="urn:schemas-microsoft-com:office:smarttags" w:element="metricconverter">
        <w:smartTagPr>
          <w:attr w:name="ProductID" w:val="0,002 M"/>
        </w:smartTagPr>
        <w:r w:rsidR="004C438D" w:rsidRPr="000C7572">
          <w:rPr>
            <w:b/>
            <w:sz w:val="20"/>
          </w:rPr>
          <w:t>0,002 M</w:t>
        </w:r>
      </w:smartTag>
      <w:r w:rsidR="004C438D" w:rsidRPr="000C7572">
        <w:rPr>
          <w:b/>
          <w:iCs/>
          <w:caps/>
          <w:sz w:val="20"/>
        </w:rPr>
        <w:t xml:space="preserve"> KMnO</w:t>
      </w:r>
      <w:r w:rsidR="004C438D" w:rsidRPr="000C7572">
        <w:rPr>
          <w:b/>
          <w:iCs/>
          <w:caps/>
          <w:sz w:val="20"/>
          <w:vertAlign w:val="subscript"/>
        </w:rPr>
        <w:t>4</w:t>
      </w:r>
      <w:r w:rsidR="004C438D" w:rsidRPr="000C7572">
        <w:rPr>
          <w:i/>
          <w:iCs/>
          <w:caps/>
        </w:rPr>
        <w:t xml:space="preserve"> :</w:t>
      </w:r>
    </w:p>
    <w:p w:rsidR="004C438D" w:rsidRDefault="004C438D" w:rsidP="000C7572"/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:rsidR="004C438D" w:rsidRPr="003F238A" w:rsidRDefault="004C438D" w:rsidP="00CD5E3F">
      <w:pPr>
        <w:tabs>
          <w:tab w:val="left" w:pos="1200"/>
        </w:tabs>
        <w:spacing w:line="240" w:lineRule="auto"/>
        <w:ind w:left="720"/>
        <w:rPr>
          <w:sz w:val="16"/>
          <w:szCs w:val="16"/>
        </w:rPr>
      </w:pPr>
      <w:r w:rsidRPr="003F238A">
        <w:rPr>
          <w:i/>
          <w:sz w:val="16"/>
          <w:szCs w:val="16"/>
        </w:rPr>
        <w:t>kde</w:t>
      </w:r>
      <w:r w:rsidRPr="003F238A">
        <w:rPr>
          <w:sz w:val="16"/>
          <w:szCs w:val="16"/>
        </w:rPr>
        <w:t>:</w:t>
      </w:r>
      <w:r w:rsidR="0041777E" w:rsidRPr="003F238A">
        <w:rPr>
          <w:sz w:val="16"/>
          <w:szCs w:val="16"/>
        </w:rPr>
        <w:tab/>
      </w:r>
      <w:r w:rsidRPr="003F238A">
        <w:rPr>
          <w:i/>
          <w:sz w:val="16"/>
          <w:szCs w:val="16"/>
        </w:rPr>
        <w:t>c</w:t>
      </w:r>
      <w:r w:rsidRPr="003F238A">
        <w:rPr>
          <w:i/>
          <w:sz w:val="16"/>
          <w:szCs w:val="16"/>
          <w:vertAlign w:val="subscript"/>
        </w:rPr>
        <w:t>KMnO</w:t>
      </w:r>
      <w:r w:rsidRPr="003F238A">
        <w:rPr>
          <w:i/>
          <w:position w:val="-6"/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je koncentrace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v mol/l,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="00FD6729"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je navážka </w:t>
      </w:r>
      <w:r w:rsidRPr="003F238A">
        <w:rPr>
          <w:color w:val="0D0D0D"/>
          <w:sz w:val="16"/>
          <w:szCs w:val="16"/>
        </w:rPr>
        <w:t>trihydrátu</w:t>
      </w:r>
      <w:r w:rsidRPr="003F238A">
        <w:rPr>
          <w:sz w:val="16"/>
          <w:szCs w:val="16"/>
        </w:rPr>
        <w:t xml:space="preserve"> hexakyanoželeznatanu tetradraselného v mg, </w:t>
      </w:r>
    </w:p>
    <w:p w:rsidR="004C438D" w:rsidRPr="003F238A" w:rsidRDefault="00FD6729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color w:val="0D0D0D"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r w:rsidRPr="003F238A">
        <w:rPr>
          <w:i/>
          <w:color w:val="0D0D0D"/>
          <w:sz w:val="16"/>
          <w:szCs w:val="16"/>
          <w:vertAlign w:val="subscript"/>
        </w:rPr>
        <w:t>Fe(CN)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</w:t>
      </w:r>
      <w:r w:rsidR="004C438D" w:rsidRPr="003F238A">
        <w:rPr>
          <w:sz w:val="16"/>
          <w:szCs w:val="16"/>
        </w:rPr>
        <w:t xml:space="preserve">  je molární hmotnost tohoto standardu v g/mol, 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pip</w:t>
      </w:r>
      <w:r w:rsidRPr="003F238A">
        <w:rPr>
          <w:sz w:val="16"/>
          <w:szCs w:val="16"/>
        </w:rPr>
        <w:t xml:space="preserve"> je pipetovaný objem standardního roztoku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0</w:t>
      </w:r>
      <w:r w:rsidRPr="003F238A">
        <w:rPr>
          <w:sz w:val="16"/>
          <w:szCs w:val="16"/>
        </w:rPr>
        <w:t xml:space="preserve"> je objem odměrné baňky v ml,</w:t>
      </w:r>
    </w:p>
    <w:p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ekv</w:t>
      </w:r>
      <w:r w:rsidRPr="003F238A">
        <w:rPr>
          <w:sz w:val="16"/>
          <w:szCs w:val="16"/>
        </w:rPr>
        <w:t xml:space="preserve">  je objem odměrného roztoku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 v bodě ekvivalence v</w:t>
      </w:r>
      <w:r w:rsidR="00FD6729" w:rsidRPr="003F238A">
        <w:rPr>
          <w:sz w:val="16"/>
          <w:szCs w:val="16"/>
        </w:rPr>
        <w:t> </w:t>
      </w:r>
      <w:r w:rsidRPr="003F238A">
        <w:rPr>
          <w:sz w:val="16"/>
          <w:szCs w:val="16"/>
        </w:rPr>
        <w:t>ml</w:t>
      </w:r>
      <w:r w:rsidR="00FD6729" w:rsidRPr="003F238A">
        <w:rPr>
          <w:sz w:val="16"/>
          <w:szCs w:val="16"/>
        </w:rPr>
        <w:t>.</w:t>
      </w:r>
    </w:p>
    <w:p w:rsidR="002213CA" w:rsidRDefault="002213CA" w:rsidP="002213CA">
      <w:pPr>
        <w:pStyle w:val="txtchem"/>
        <w:rPr>
          <w:b/>
        </w:rPr>
      </w:pPr>
    </w:p>
    <w:p w:rsidR="004C438D" w:rsidRPr="00A86E72" w:rsidRDefault="004C438D" w:rsidP="002213CA">
      <w:pPr>
        <w:pStyle w:val="txtchem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</w:t>
      </w:r>
      <w:r w:rsidR="00FB3090" w:rsidRPr="00A86E72">
        <w:rPr>
          <w:b/>
          <w:sz w:val="22"/>
          <w:szCs w:val="22"/>
        </w:rPr>
        <w:t>2</w:t>
      </w:r>
      <w:r w:rsidRPr="00A86E72">
        <w:rPr>
          <w:b/>
          <w:sz w:val="22"/>
          <w:szCs w:val="22"/>
        </w:rPr>
        <w:t>.</w:t>
      </w:r>
      <w:r w:rsidR="00061409" w:rsidRPr="00A86E72">
        <w:rPr>
          <w:b/>
          <w:sz w:val="22"/>
          <w:szCs w:val="22"/>
        </w:rPr>
        <w:tab/>
      </w:r>
      <w:r w:rsidRPr="00A86E72">
        <w:rPr>
          <w:b/>
          <w:sz w:val="22"/>
          <w:szCs w:val="22"/>
        </w:rPr>
        <w:t>Potenciometrické stanovení Fe</w:t>
      </w:r>
      <w:r w:rsidRPr="00A86E72">
        <w:rPr>
          <w:b/>
          <w:sz w:val="22"/>
          <w:szCs w:val="22"/>
          <w:vertAlign w:val="superscript"/>
        </w:rPr>
        <w:t>2+</w:t>
      </w:r>
      <w:r w:rsidRPr="00A86E72">
        <w:rPr>
          <w:b/>
          <w:sz w:val="22"/>
          <w:szCs w:val="22"/>
        </w:rPr>
        <w:t xml:space="preserve"> v neznámém vzorku </w:t>
      </w:r>
    </w:p>
    <w:p w:rsidR="004C438D" w:rsidRPr="00FB3090" w:rsidRDefault="004C438D" w:rsidP="004C438D">
      <w:pPr>
        <w:pStyle w:val="ndp1cv"/>
        <w:tabs>
          <w:tab w:val="left" w:pos="3892"/>
        </w:tabs>
        <w:rPr>
          <w:bCs/>
          <w:i w:val="0"/>
        </w:rPr>
      </w:pP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Roztok železnaté soli se titruje odměrným roztokem KMnO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 v prostředí zředěné H</w:t>
      </w:r>
      <w:r w:rsidRPr="003F238A">
        <w:rPr>
          <w:i/>
          <w:vertAlign w:val="subscript"/>
        </w:rPr>
        <w:t>2</w:t>
      </w:r>
      <w:r w:rsidRPr="003F238A">
        <w:rPr>
          <w:i/>
        </w:rPr>
        <w:t>SO</w:t>
      </w:r>
      <w:r w:rsidRPr="003F238A">
        <w:rPr>
          <w:i/>
          <w:vertAlign w:val="subscript"/>
        </w:rPr>
        <w:t>4</w:t>
      </w:r>
      <w:r w:rsidRPr="003F238A">
        <w:rPr>
          <w:i/>
        </w:rPr>
        <w:t>. Při potenciometrickém stanovení je naměřen potenciálový skok z oblasti, definované standardním potenciálem pro soustavu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0,770 V) do oblasti potenciálu soustavy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/Mn</w:t>
      </w:r>
      <w:r w:rsidRPr="003F238A">
        <w:rPr>
          <w:i/>
          <w:vertAlign w:val="superscript"/>
        </w:rPr>
        <w:t>2+</w:t>
      </w:r>
      <w:r w:rsidRPr="003F238A">
        <w:rPr>
          <w:i/>
        </w:rPr>
        <w:t xml:space="preserve"> (E</w:t>
      </w:r>
      <w:r w:rsidRPr="003F238A">
        <w:rPr>
          <w:i/>
          <w:vertAlign w:val="superscript"/>
        </w:rPr>
        <w:t>o</w:t>
      </w:r>
      <w:r w:rsidRPr="003F238A">
        <w:rPr>
          <w:i/>
        </w:rPr>
        <w:t xml:space="preserve"> = 1,51 V). Redoxní pár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se chová zcela reverzibilně (stejně jako jeho hexakyanokomplexy), chování redoxního páru činidla bylo popsáno v kap. 12.</w:t>
      </w:r>
      <w:r w:rsidR="00AB4BA1" w:rsidRPr="003F238A">
        <w:rPr>
          <w:i/>
        </w:rPr>
        <w:t>1</w:t>
      </w:r>
      <w:r w:rsidRPr="003F238A">
        <w:rPr>
          <w:i/>
        </w:rPr>
        <w:t xml:space="preserve">. Průběh titrační křivky znázorňuje obr. </w:t>
      </w:r>
      <w:r w:rsidR="005F0AE8" w:rsidRPr="003F238A">
        <w:rPr>
          <w:i/>
        </w:rPr>
        <w:t>12.</w:t>
      </w:r>
      <w:r w:rsidRPr="003F238A">
        <w:rPr>
          <w:i/>
        </w:rPr>
        <w:t xml:space="preserve">1. </w:t>
      </w:r>
    </w:p>
    <w:p w:rsidR="004C438D" w:rsidRPr="003F238A" w:rsidRDefault="004C438D" w:rsidP="00FB3090">
      <w:pPr>
        <w:pStyle w:val="txtchem"/>
        <w:spacing w:line="240" w:lineRule="auto"/>
        <w:ind w:left="709"/>
        <w:rPr>
          <w:i/>
        </w:rPr>
      </w:pPr>
      <w:r w:rsidRPr="003F238A">
        <w:rPr>
          <w:i/>
        </w:rPr>
        <w:t>Konec titrace lze kontrolovat i vizuálně, je indikován růžovým zbarvením roztoku při prvním přebytku 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. Vizuální indikace je však zatížena titrační chybou, která bude tím menší, čím menší přebytek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 xml:space="preserve"> budeme pozorovat při odečítání V</w:t>
      </w:r>
      <w:r w:rsidRPr="003F238A">
        <w:rPr>
          <w:i/>
          <w:vertAlign w:val="subscript"/>
        </w:rPr>
        <w:t>ekv</w:t>
      </w:r>
    </w:p>
    <w:p w:rsidR="004C438D" w:rsidRDefault="004C438D" w:rsidP="004C438D">
      <w:pPr>
        <w:jc w:val="left"/>
        <w:rPr>
          <w:sz w:val="20"/>
        </w:rPr>
      </w:pPr>
    </w:p>
    <w:p w:rsidR="004C438D" w:rsidRPr="00FB3090" w:rsidRDefault="00F819AC" w:rsidP="00FB3090">
      <w:pPr>
        <w:pStyle w:val="ndp1cv"/>
        <w:tabs>
          <w:tab w:val="left" w:pos="3892"/>
        </w:tabs>
        <w:ind w:left="709"/>
        <w:rPr>
          <w:b/>
          <w:bCs/>
          <w:i w:val="0"/>
        </w:rPr>
      </w:pPr>
      <w:r w:rsidRPr="00F819AC">
        <w:rPr>
          <w:noProof/>
        </w:rPr>
        <w:pict>
          <v:shape id="_x0000_s1176" type="#_x0000_t75" style="position:absolute;left:0;text-align:left;margin-left:121.15pt;margin-top:22.6pt;width:224.4pt;height:16.85pt;z-index:5">
            <v:imagedata r:id="rId24" o:title=""/>
            <w10:wrap type="topAndBottom"/>
          </v:shape>
          <o:OLEObject Type="Embed" ProgID="Equation.3" ShapeID="_x0000_s1176" DrawAspect="Content" ObjectID="_1663147434" r:id="rId25"/>
        </w:pict>
      </w:r>
      <w:r w:rsidR="004C438D" w:rsidRPr="00FB3090">
        <w:rPr>
          <w:b/>
          <w:bCs/>
          <w:i w:val="0"/>
        </w:rPr>
        <w:t>Stechiometrie:</w:t>
      </w:r>
    </w:p>
    <w:p w:rsidR="004C438D" w:rsidRDefault="004C438D" w:rsidP="00FB3090"/>
    <w:p w:rsidR="004C438D" w:rsidRDefault="004C438D" w:rsidP="00FB3090">
      <w:pPr>
        <w:pStyle w:val="txtchem"/>
        <w:spacing w:before="0"/>
        <w:jc w:val="center"/>
      </w:pPr>
      <w:r>
        <w:t>1 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>
        <w:t xml:space="preserve"> </w:t>
      </w:r>
      <w:r w:rsidR="00FD6729">
        <w:sym w:font="Symbol" w:char="F0BB"/>
      </w:r>
      <w:r>
        <w:t xml:space="preserve">   5 mol Fe</w:t>
      </w:r>
      <w:r>
        <w:rPr>
          <w:vertAlign w:val="superscript"/>
        </w:rPr>
        <w:t xml:space="preserve">2+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M(Fe) = 55,847 g/mol</w:t>
      </w:r>
    </w:p>
    <w:p w:rsidR="004C438D" w:rsidRDefault="004C438D" w:rsidP="004C438D">
      <w:pPr>
        <w:pStyle w:val="txtchem"/>
        <w:spacing w:before="0"/>
      </w:pPr>
    </w:p>
    <w:p w:rsidR="004C438D" w:rsidRDefault="004C438D" w:rsidP="00FB3090">
      <w:pPr>
        <w:pStyle w:val="txtchem"/>
        <w:spacing w:before="0"/>
        <w:jc w:val="center"/>
      </w:pPr>
      <w:r>
        <w:t xml:space="preserve">1 ml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MnO</w:t>
      </w:r>
      <w:r>
        <w:rPr>
          <w:vertAlign w:val="subscript"/>
        </w:rPr>
        <w:t xml:space="preserve">4 </w:t>
      </w:r>
      <w:r>
        <w:rPr>
          <w:vertAlign w:val="superscript"/>
        </w:rPr>
        <w:t>-</w:t>
      </w:r>
      <w:r>
        <w:t xml:space="preserve"> = 0,002 mmol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 w:rsidR="00FD6729">
        <w:sym w:font="Symbol" w:char="F0BB"/>
      </w:r>
      <w:r>
        <w:t xml:space="preserve">   0,01 mmol Fe</w:t>
      </w:r>
      <w:r>
        <w:rPr>
          <w:vertAlign w:val="superscript"/>
        </w:rPr>
        <w:t xml:space="preserve">2+ </w:t>
      </w:r>
      <w:r>
        <w:rPr>
          <w:position w:val="6"/>
        </w:rPr>
        <w:t xml:space="preserve"> </w:t>
      </w:r>
      <w:r>
        <w:t>= 0,558 mg Fe</w:t>
      </w:r>
      <w:r>
        <w:rPr>
          <w:vertAlign w:val="superscript"/>
        </w:rPr>
        <w:t>2+</w:t>
      </w:r>
    </w:p>
    <w:p w:rsidR="004C438D" w:rsidRPr="00FB3090" w:rsidRDefault="004C438D" w:rsidP="00FB3090">
      <w:pPr>
        <w:ind w:left="709"/>
        <w:rPr>
          <w:sz w:val="20"/>
        </w:rPr>
      </w:pPr>
    </w:p>
    <w:p w:rsidR="004C438D" w:rsidRPr="00FB3090" w:rsidRDefault="004C438D" w:rsidP="00FB3090">
      <w:pPr>
        <w:spacing w:before="120" w:line="240" w:lineRule="auto"/>
        <w:ind w:left="709"/>
        <w:rPr>
          <w:b/>
          <w:caps/>
          <w:sz w:val="20"/>
        </w:rPr>
      </w:pPr>
      <w:r w:rsidRPr="00FB3090">
        <w:rPr>
          <w:b/>
          <w:caps/>
          <w:sz w:val="20"/>
        </w:rPr>
        <w:t>Titrace</w:t>
      </w:r>
    </w:p>
    <w:p w:rsidR="004C438D" w:rsidRDefault="004C438D" w:rsidP="00FB3090">
      <w:pPr>
        <w:pStyle w:val="txtchem"/>
        <w:spacing w:line="240" w:lineRule="auto"/>
        <w:ind w:left="709"/>
      </w:pPr>
      <w:r>
        <w:t>Vzorek v odměrné baňce dopln</w:t>
      </w:r>
      <w:r w:rsidR="00A86E72">
        <w:t>it</w:t>
      </w:r>
      <w:r>
        <w:t xml:space="preserve"> po značku destilovanou vodou. </w:t>
      </w:r>
    </w:p>
    <w:p w:rsidR="00A86E72" w:rsidRDefault="004C438D" w:rsidP="00FB3090">
      <w:pPr>
        <w:pStyle w:val="txtchem"/>
        <w:spacing w:line="240" w:lineRule="auto"/>
        <w:ind w:left="709"/>
      </w:pPr>
      <w:r>
        <w:t>Do kádinky na 150 ml vlož</w:t>
      </w:r>
      <w:r w:rsidR="00A86E72">
        <w:t>it</w:t>
      </w:r>
      <w:r>
        <w:t xml:space="preserve"> míchadélko, napipet</w:t>
      </w:r>
      <w:r w:rsidR="00A86E72">
        <w:t>ovat</w:t>
      </w:r>
      <w:r>
        <w:t xml:space="preserve"> 10,00 ml vzorku, přid</w:t>
      </w:r>
      <w:r w:rsidR="00A86E72">
        <w:t>at</w:t>
      </w:r>
      <w:r>
        <w:t xml:space="preserve"> </w:t>
      </w:r>
      <w:r w:rsidR="00A86E72">
        <w:t xml:space="preserve">70 ml destilované vody (odměrným válcem) a </w:t>
      </w:r>
      <w:r>
        <w:t xml:space="preserve">20 ml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="00A86E72">
        <w:t>(odměrným válcem)</w:t>
      </w:r>
      <w:r>
        <w:t>. Kádinku postav</w:t>
      </w:r>
      <w:r w:rsidR="00A86E72">
        <w:t>it</w:t>
      </w:r>
      <w:r>
        <w:t xml:space="preserve"> na míchačku a do roztoku ponoř</w:t>
      </w:r>
      <w:r w:rsidR="00A86E72">
        <w:t>it</w:t>
      </w:r>
      <w:r>
        <w:t xml:space="preserve"> elektrody opláchnuté destilovanou vodou. </w:t>
      </w:r>
      <w:r w:rsidR="00A86E72">
        <w:t>Stanovovaný roztok t</w:t>
      </w:r>
      <w:r>
        <w:t>it</w:t>
      </w:r>
      <w:r w:rsidR="00A86E72">
        <w:t>rovat</w:t>
      </w:r>
      <w:r>
        <w:t xml:space="preserve"> odměrným roztokem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. </w:t>
      </w:r>
    </w:p>
    <w:p w:rsidR="004C438D" w:rsidRDefault="00A86E72" w:rsidP="00FB3090">
      <w:pPr>
        <w:pStyle w:val="txtchem"/>
        <w:spacing w:line="240" w:lineRule="auto"/>
        <w:ind w:left="709"/>
      </w:pPr>
      <w:r>
        <w:t>Při první tzv. orientační titraci přidávat odměrné činidlo ke vzorku po 1 ml pro rychlé a efektivní určení oblasti potenciálového skoku.</w:t>
      </w:r>
      <w:r w:rsidR="004C438D">
        <w:t xml:space="preserve"> </w:t>
      </w:r>
      <w:r>
        <w:t>Při druhé (příp. třetí) titraci přidat odměrné činidlo v okolí inflexního bodu titrační křivky (</w:t>
      </w:r>
      <w:r>
        <w:sym w:font="Symbol" w:char="00B1"/>
      </w:r>
      <w:r>
        <w:t xml:space="preserve"> 1,0 ml) po 0,1 ml.</w:t>
      </w:r>
      <w:r w:rsidR="004C438D">
        <w:t xml:space="preserve"> </w:t>
      </w:r>
      <w:r>
        <w:t>Po každém přídavku odměrného roztoku ke vzorku vždy odečíst hodnotu napětí mezi platinovou a kalomelovou elektrodou na multimetru ve voltovém rozsahu na 3 desetinná místa. Titraci ukončit po přídavku dvojnásobného množství odměrného roztoku KMnO</w:t>
      </w:r>
      <w:r>
        <w:rPr>
          <w:vertAlign w:val="subscript"/>
        </w:rPr>
        <w:t>4</w:t>
      </w:r>
      <w:r>
        <w:t>, které odpovídá V</w:t>
      </w:r>
      <w:r>
        <w:rPr>
          <w:vertAlign w:val="subscript"/>
        </w:rPr>
        <w:t>ekv</w:t>
      </w:r>
      <w:r w:rsidR="004C438D">
        <w:t xml:space="preserve">. </w:t>
      </w:r>
    </w:p>
    <w:p w:rsidR="004C438D" w:rsidRDefault="004C438D" w:rsidP="00FB3090">
      <w:pPr>
        <w:pStyle w:val="txtchem"/>
        <w:spacing w:line="240" w:lineRule="auto"/>
        <w:ind w:left="709"/>
      </w:pPr>
      <w:r>
        <w:t xml:space="preserve">Z titrační křivky </w:t>
      </w:r>
      <w:r w:rsidR="00A86E72">
        <w:t>určit</w:t>
      </w:r>
      <w:r>
        <w:t xml:space="preserve"> V</w:t>
      </w:r>
      <w:r>
        <w:rPr>
          <w:vertAlign w:val="subscript"/>
        </w:rPr>
        <w:t>ekv</w:t>
      </w:r>
      <w:r w:rsidR="00A86E72">
        <w:t xml:space="preserve"> </w:t>
      </w:r>
      <w:r>
        <w:t xml:space="preserve">a </w:t>
      </w:r>
      <w:r w:rsidR="00A86E72">
        <w:t>také</w:t>
      </w:r>
      <w:r>
        <w:t xml:space="preserve"> odeč</w:t>
      </w:r>
      <w:r w:rsidR="00A86E72">
        <w:t>íst</w:t>
      </w:r>
      <w:r>
        <w:t xml:space="preserve"> formální potenciály obou redoxních párů.</w:t>
      </w:r>
    </w:p>
    <w:p w:rsidR="00A86E72" w:rsidRDefault="00A86E72" w:rsidP="00FB3090">
      <w:pPr>
        <w:pStyle w:val="txtchem"/>
        <w:spacing w:line="240" w:lineRule="auto"/>
        <w:rPr>
          <w:b/>
          <w:sz w:val="18"/>
        </w:rPr>
      </w:pPr>
    </w:p>
    <w:p w:rsidR="004C438D" w:rsidRDefault="004C438D" w:rsidP="004C438D">
      <w:pPr>
        <w:pStyle w:val="txtchem"/>
        <w:rPr>
          <w:b/>
        </w:rPr>
      </w:pPr>
      <w:r w:rsidRPr="002213CA">
        <w:rPr>
          <w:b/>
        </w:rPr>
        <w:lastRenderedPageBreak/>
        <w:t>12</w:t>
      </w:r>
      <w:r w:rsidR="00FB3090" w:rsidRPr="002213CA">
        <w:rPr>
          <w:b/>
        </w:rPr>
        <w:t>.2</w:t>
      </w:r>
      <w:r w:rsidRPr="002213CA">
        <w:rPr>
          <w:b/>
        </w:rPr>
        <w:t>.</w:t>
      </w:r>
      <w:r w:rsidR="00FB3090" w:rsidRPr="002213CA">
        <w:rPr>
          <w:b/>
        </w:rPr>
        <w:t>1.</w:t>
      </w:r>
      <w:r w:rsidR="00FB3090" w:rsidRPr="002213CA">
        <w:rPr>
          <w:b/>
        </w:rPr>
        <w:tab/>
      </w:r>
      <w:r w:rsidRPr="002213CA">
        <w:rPr>
          <w:b/>
        </w:rPr>
        <w:t>Výpočet obsahu Fe</w:t>
      </w:r>
      <w:r w:rsidRPr="00A86E72">
        <w:rPr>
          <w:b/>
          <w:vertAlign w:val="superscript"/>
        </w:rPr>
        <w:t>2+</w:t>
      </w:r>
      <w:r w:rsidRPr="002213CA">
        <w:rPr>
          <w:b/>
        </w:rPr>
        <w:t xml:space="preserve"> ve vzorku:</w:t>
      </w:r>
    </w:p>
    <w:p w:rsidR="003F238A" w:rsidRPr="002213CA" w:rsidRDefault="003F238A" w:rsidP="004C438D">
      <w:pPr>
        <w:pStyle w:val="txtchem"/>
        <w:rPr>
          <w:b/>
        </w:rPr>
      </w:pPr>
    </w:p>
    <w:p w:rsidR="004C438D" w:rsidRPr="002A512A" w:rsidRDefault="00A86E72" w:rsidP="00A86E72">
      <w:pPr>
        <w:tabs>
          <w:tab w:val="left" w:pos="5387"/>
        </w:tabs>
        <w:spacing w:before="120"/>
        <w:ind w:firstLine="2124"/>
        <w:rPr>
          <w:color w:val="FF0000"/>
        </w:rPr>
      </w:pPr>
      <w:r>
        <w:rPr>
          <w:position w:val="-32"/>
        </w:rPr>
        <w:t xml:space="preserve">      </w:t>
      </w:r>
      <w:r w:rsidR="003F238A" w:rsidRPr="00573A6A">
        <w:rPr>
          <w:position w:val="-32"/>
        </w:rPr>
        <w:object w:dxaOrig="3220" w:dyaOrig="700">
          <v:shape id="_x0000_i1027" type="#_x0000_t75" style="width:148.5pt;height:26.25pt" o:ole="" fillcolor="window">
            <v:imagedata r:id="rId26" o:title=""/>
          </v:shape>
          <o:OLEObject Type="Embed" ProgID="Equation.3" ShapeID="_x0000_i1027" DrawAspect="Content" ObjectID="_1663147427" r:id="rId27"/>
        </w:object>
      </w:r>
    </w:p>
    <w:p w:rsidR="004C438D" w:rsidRPr="003F238A" w:rsidRDefault="004C438D" w:rsidP="00C04B89">
      <w:pPr>
        <w:pStyle w:val="txt8ncv"/>
        <w:spacing w:before="0"/>
        <w:ind w:left="720"/>
        <w:rPr>
          <w:szCs w:val="16"/>
        </w:rPr>
      </w:pPr>
      <w:r w:rsidRPr="003F238A">
        <w:rPr>
          <w:i/>
          <w:szCs w:val="16"/>
        </w:rPr>
        <w:t>kde:</w:t>
      </w:r>
      <w:r w:rsidR="00C04B89" w:rsidRPr="003F238A">
        <w:rPr>
          <w:i/>
          <w:szCs w:val="16"/>
        </w:rPr>
        <w:t xml:space="preserve">   </w:t>
      </w:r>
      <w:r w:rsidRPr="003F238A">
        <w:rPr>
          <w:i/>
          <w:szCs w:val="16"/>
        </w:rPr>
        <w:t>m</w:t>
      </w:r>
      <w:r w:rsidRPr="003F238A">
        <w:rPr>
          <w:i/>
          <w:szCs w:val="16"/>
          <w:vertAlign w:val="subscript"/>
        </w:rPr>
        <w:t>Fe</w:t>
      </w:r>
      <w:r w:rsidRPr="003F238A">
        <w:rPr>
          <w:szCs w:val="16"/>
        </w:rPr>
        <w:t xml:space="preserve"> je hmotnost Fe</w:t>
      </w:r>
      <w:r w:rsidRPr="003F238A">
        <w:rPr>
          <w:szCs w:val="16"/>
          <w:vertAlign w:val="superscript"/>
        </w:rPr>
        <w:t xml:space="preserve">2+ </w:t>
      </w:r>
      <w:r w:rsidRPr="003F238A">
        <w:rPr>
          <w:szCs w:val="16"/>
        </w:rPr>
        <w:t>v mg,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M(Fe)</w:t>
      </w:r>
      <w:r w:rsidRPr="003F238A">
        <w:rPr>
          <w:szCs w:val="16"/>
        </w:rPr>
        <w:t xml:space="preserve"> je molární hmotnost Fe v g/mol, </w:t>
      </w:r>
    </w:p>
    <w:p w:rsidR="004C438D" w:rsidRPr="003F238A" w:rsidRDefault="00FD6729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c</w:t>
      </w:r>
      <w:r w:rsidR="004C438D" w:rsidRPr="003F238A">
        <w:rPr>
          <w:i/>
          <w:szCs w:val="16"/>
          <w:vertAlign w:val="subscript"/>
        </w:rPr>
        <w:t>KMnO</w:t>
      </w:r>
      <w:r w:rsidR="004C438D" w:rsidRPr="003F238A">
        <w:rPr>
          <w:i/>
          <w:position w:val="-6"/>
          <w:szCs w:val="16"/>
          <w:vertAlign w:val="subscript"/>
        </w:rPr>
        <w:t>4</w:t>
      </w:r>
      <w:r w:rsidR="004C438D" w:rsidRPr="003F238A">
        <w:rPr>
          <w:szCs w:val="16"/>
        </w:rPr>
        <w:t xml:space="preserve"> je koncentrace KMnO</w:t>
      </w:r>
      <w:r w:rsidR="004C438D" w:rsidRPr="003F238A">
        <w:rPr>
          <w:szCs w:val="16"/>
          <w:vertAlign w:val="subscript"/>
        </w:rPr>
        <w:t>4</w:t>
      </w:r>
      <w:r w:rsidR="004C438D" w:rsidRPr="003F238A">
        <w:rPr>
          <w:szCs w:val="16"/>
        </w:rPr>
        <w:t xml:space="preserve"> v mol/l,</w:t>
      </w:r>
    </w:p>
    <w:p w:rsidR="004C438D" w:rsidRPr="003F238A" w:rsidRDefault="004C438D" w:rsidP="00C04B89">
      <w:pPr>
        <w:pStyle w:val="txt8ncv"/>
        <w:spacing w:before="0" w:line="240" w:lineRule="exact"/>
        <w:ind w:left="720" w:firstLine="505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ekv</w:t>
      </w:r>
      <w:r w:rsidRPr="003F238A">
        <w:rPr>
          <w:i/>
          <w:szCs w:val="16"/>
        </w:rPr>
        <w:t xml:space="preserve"> </w:t>
      </w:r>
      <w:r w:rsidRPr="003F238A">
        <w:rPr>
          <w:szCs w:val="16"/>
        </w:rPr>
        <w:t xml:space="preserve"> je objem KMnO</w:t>
      </w:r>
      <w:r w:rsidRPr="003F238A">
        <w:rPr>
          <w:szCs w:val="16"/>
          <w:vertAlign w:val="subscript"/>
        </w:rPr>
        <w:t>4</w:t>
      </w:r>
      <w:r w:rsidRPr="003F238A">
        <w:rPr>
          <w:szCs w:val="16"/>
        </w:rPr>
        <w:t xml:space="preserve">  v bodě ekvivalence (příp. průměr z více titrací) v ml,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0</w:t>
      </w:r>
      <w:r w:rsidRPr="003F238A">
        <w:rPr>
          <w:i/>
          <w:szCs w:val="16"/>
        </w:rPr>
        <w:t xml:space="preserve">  </w:t>
      </w:r>
      <w:r w:rsidRPr="003F238A">
        <w:rPr>
          <w:szCs w:val="16"/>
        </w:rPr>
        <w:t>je objem odměrné baňky s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v ml,    </w:t>
      </w:r>
    </w:p>
    <w:p w:rsidR="004C438D" w:rsidRPr="003F238A" w:rsidRDefault="004C438D" w:rsidP="00C04B89">
      <w:pPr>
        <w:pStyle w:val="txt8ncv"/>
        <w:spacing w:before="0"/>
        <w:ind w:left="720" w:firstLine="502"/>
        <w:rPr>
          <w:b/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pip</w:t>
      </w:r>
      <w:r w:rsidRPr="003F238A">
        <w:rPr>
          <w:szCs w:val="16"/>
        </w:rPr>
        <w:t xml:space="preserve">  je objem roztoku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  pipetovaný do kádinky k titraci v</w:t>
      </w:r>
      <w:r w:rsidR="00FD6729" w:rsidRPr="003F238A">
        <w:rPr>
          <w:szCs w:val="16"/>
        </w:rPr>
        <w:t> </w:t>
      </w:r>
      <w:r w:rsidRPr="003F238A">
        <w:rPr>
          <w:szCs w:val="16"/>
        </w:rPr>
        <w:t>ml</w:t>
      </w:r>
      <w:r w:rsidR="00FD6729" w:rsidRPr="003F238A">
        <w:rPr>
          <w:szCs w:val="16"/>
        </w:rPr>
        <w:t>.</w:t>
      </w:r>
    </w:p>
    <w:p w:rsidR="004C438D" w:rsidRPr="003F238A" w:rsidRDefault="004C438D" w:rsidP="00FB3090">
      <w:pPr>
        <w:pStyle w:val="txt8ncv"/>
        <w:spacing w:before="0"/>
        <w:rPr>
          <w:i/>
          <w:szCs w:val="16"/>
        </w:rPr>
      </w:pPr>
    </w:p>
    <w:p w:rsidR="004C438D" w:rsidRPr="00A86E72" w:rsidRDefault="00FB3090" w:rsidP="00FB3090">
      <w:pPr>
        <w:pStyle w:val="txtchem"/>
        <w:spacing w:line="240" w:lineRule="auto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12.3.</w:t>
      </w:r>
      <w:r w:rsidRPr="00A86E72">
        <w:rPr>
          <w:b/>
          <w:sz w:val="22"/>
          <w:szCs w:val="22"/>
        </w:rPr>
        <w:tab/>
      </w:r>
      <w:r w:rsidR="00A86E72">
        <w:rPr>
          <w:b/>
          <w:sz w:val="22"/>
          <w:szCs w:val="22"/>
        </w:rPr>
        <w:t>V</w:t>
      </w:r>
      <w:r w:rsidR="004C438D" w:rsidRPr="00A86E72">
        <w:rPr>
          <w:b/>
          <w:sz w:val="22"/>
          <w:szCs w:val="22"/>
        </w:rPr>
        <w:t xml:space="preserve">yhodnocení </w:t>
      </w:r>
      <w:r w:rsidR="00A86E72">
        <w:rPr>
          <w:b/>
          <w:sz w:val="22"/>
          <w:szCs w:val="22"/>
        </w:rPr>
        <w:t>redoxní</w:t>
      </w:r>
      <w:r w:rsidR="004C438D" w:rsidRPr="00A86E72">
        <w:rPr>
          <w:b/>
          <w:sz w:val="22"/>
          <w:szCs w:val="22"/>
        </w:rPr>
        <w:t xml:space="preserve"> </w:t>
      </w:r>
      <w:r w:rsidR="00A86E72">
        <w:rPr>
          <w:b/>
          <w:sz w:val="22"/>
          <w:szCs w:val="22"/>
        </w:rPr>
        <w:t>potenciometrické</w:t>
      </w:r>
      <w:r w:rsidR="004C438D" w:rsidRPr="00A86E72">
        <w:rPr>
          <w:b/>
          <w:sz w:val="22"/>
          <w:szCs w:val="22"/>
        </w:rPr>
        <w:t xml:space="preserve"> titrace  </w:t>
      </w:r>
    </w:p>
    <w:p w:rsidR="00FB3090" w:rsidRDefault="00FB3090" w:rsidP="00FB3090">
      <w:pPr>
        <w:spacing w:line="240" w:lineRule="auto"/>
        <w:rPr>
          <w:sz w:val="20"/>
        </w:rPr>
      </w:pPr>
    </w:p>
    <w:p w:rsidR="004C438D" w:rsidRDefault="004C438D" w:rsidP="00A01C8F">
      <w:pPr>
        <w:spacing w:before="120" w:line="240" w:lineRule="auto"/>
        <w:ind w:left="709"/>
        <w:rPr>
          <w:sz w:val="20"/>
        </w:rPr>
      </w:pPr>
      <w:r>
        <w:rPr>
          <w:sz w:val="20"/>
        </w:rPr>
        <w:t>Při vyhodnocení stanovení Fe</w:t>
      </w:r>
      <w:r>
        <w:rPr>
          <w:sz w:val="20"/>
          <w:vertAlign w:val="superscript"/>
        </w:rPr>
        <w:t xml:space="preserve">2+ </w:t>
      </w:r>
      <w:r w:rsidRPr="00335B77">
        <w:rPr>
          <w:sz w:val="20"/>
        </w:rPr>
        <w:t>v</w:t>
      </w:r>
      <w:r>
        <w:rPr>
          <w:sz w:val="20"/>
        </w:rPr>
        <w:t xml:space="preserve"> neznámém vzorku v protokolu </w:t>
      </w:r>
      <w:r w:rsidR="00A86E72">
        <w:rPr>
          <w:sz w:val="20"/>
        </w:rPr>
        <w:t>uvést</w:t>
      </w:r>
      <w:r>
        <w:rPr>
          <w:sz w:val="20"/>
        </w:rPr>
        <w:t>:</w:t>
      </w:r>
    </w:p>
    <w:p w:rsidR="003F238A" w:rsidRDefault="00A86E72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K</w:t>
      </w:r>
      <w:r w:rsidR="004C438D">
        <w:rPr>
          <w:b/>
        </w:rPr>
        <w:t>oncentrac</w:t>
      </w:r>
      <w:r>
        <w:rPr>
          <w:b/>
        </w:rPr>
        <w:t>i</w:t>
      </w:r>
      <w:r w:rsidR="004C438D">
        <w:rPr>
          <w:b/>
        </w:rPr>
        <w:t xml:space="preserve"> odměrného roztoku KMnO</w:t>
      </w:r>
      <w:r w:rsidR="004C438D">
        <w:rPr>
          <w:b/>
          <w:vertAlign w:val="subscript"/>
        </w:rPr>
        <w:t>4</w:t>
      </w:r>
      <w:r w:rsidR="004C438D">
        <w:rPr>
          <w:b/>
        </w:rPr>
        <w:t xml:space="preserve"> </w:t>
      </w:r>
      <w:r w:rsidR="003F238A">
        <w:rPr>
          <w:b/>
        </w:rPr>
        <w:t xml:space="preserve">stanovenou </w:t>
      </w:r>
      <w:r>
        <w:rPr>
          <w:b/>
        </w:rPr>
        <w:t xml:space="preserve">graficky i </w:t>
      </w:r>
      <w:r w:rsidR="003F238A">
        <w:rPr>
          <w:b/>
        </w:rPr>
        <w:t>početně.</w:t>
      </w:r>
    </w:p>
    <w:p w:rsidR="004C438D" w:rsidRDefault="003F238A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H</w:t>
      </w:r>
      <w:r w:rsidR="004C438D">
        <w:rPr>
          <w:b/>
        </w:rPr>
        <w:t>motnost Fe</w:t>
      </w:r>
      <w:r w:rsidR="004C438D">
        <w:rPr>
          <w:b/>
          <w:vertAlign w:val="superscript"/>
        </w:rPr>
        <w:t>2+</w:t>
      </w:r>
      <w:r w:rsidR="004C438D">
        <w:rPr>
          <w:b/>
        </w:rPr>
        <w:t xml:space="preserve"> v neznámém vzorku v mg za</w:t>
      </w:r>
      <w:r w:rsidR="00A86E72">
        <w:rPr>
          <w:b/>
        </w:rPr>
        <w:t>okrouhlenou na platný počet míst.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Odečtené formální potenciály obou redoxních párů z titrační křivky pro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  <w:u w:val="single"/>
        </w:rPr>
      </w:pPr>
      <w:r>
        <w:rPr>
          <w:b/>
        </w:rPr>
        <w:t>Srovnání grafické a početní metody určování inflexního bodu při potenciometrickém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:rsidR="004C438D" w:rsidRPr="00916F53" w:rsidRDefault="004C438D" w:rsidP="00916F53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Zdůvodnění možného chybného stanovení, zhodnocení příp. problémů během měření.</w:t>
      </w:r>
    </w:p>
    <w:sectPr w:rsidR="004C438D" w:rsidRPr="00916F53" w:rsidSect="003F238A">
      <w:footerReference w:type="even" r:id="rId2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31" w:rsidRDefault="00481D31">
      <w:pPr>
        <w:spacing w:line="240" w:lineRule="auto"/>
      </w:pPr>
      <w:r>
        <w:separator/>
      </w:r>
    </w:p>
  </w:endnote>
  <w:endnote w:type="continuationSeparator" w:id="0">
    <w:p w:rsidR="00481D31" w:rsidRDefault="00481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31" w:rsidRDefault="00481D31">
      <w:pPr>
        <w:spacing w:line="240" w:lineRule="auto"/>
      </w:pPr>
      <w:r>
        <w:separator/>
      </w:r>
    </w:p>
  </w:footnote>
  <w:footnote w:type="continuationSeparator" w:id="0">
    <w:p w:rsidR="00481D31" w:rsidRDefault="00481D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5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7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2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4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5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9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DE3BCE"/>
    <w:multiLevelType w:val="hybridMultilevel"/>
    <w:tmpl w:val="37FC0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8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9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1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2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5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7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9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4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8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1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3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4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6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7"/>
  </w:num>
  <w:num w:numId="3">
    <w:abstractNumId w:val="95"/>
  </w:num>
  <w:num w:numId="4">
    <w:abstractNumId w:val="82"/>
  </w:num>
  <w:num w:numId="5">
    <w:abstractNumId w:val="16"/>
  </w:num>
  <w:num w:numId="6">
    <w:abstractNumId w:val="11"/>
  </w:num>
  <w:num w:numId="7">
    <w:abstractNumId w:val="97"/>
  </w:num>
  <w:num w:numId="8">
    <w:abstractNumId w:val="43"/>
  </w:num>
  <w:num w:numId="9">
    <w:abstractNumId w:val="98"/>
  </w:num>
  <w:num w:numId="10">
    <w:abstractNumId w:val="35"/>
  </w:num>
  <w:num w:numId="11">
    <w:abstractNumId w:val="36"/>
  </w:num>
  <w:num w:numId="12">
    <w:abstractNumId w:val="17"/>
  </w:num>
  <w:num w:numId="13">
    <w:abstractNumId w:val="69"/>
  </w:num>
  <w:num w:numId="14">
    <w:abstractNumId w:val="57"/>
  </w:num>
  <w:num w:numId="15">
    <w:abstractNumId w:val="100"/>
  </w:num>
  <w:num w:numId="16">
    <w:abstractNumId w:val="66"/>
  </w:num>
  <w:num w:numId="17">
    <w:abstractNumId w:val="37"/>
  </w:num>
  <w:num w:numId="18">
    <w:abstractNumId w:val="79"/>
  </w:num>
  <w:num w:numId="19">
    <w:abstractNumId w:val="64"/>
  </w:num>
  <w:num w:numId="20">
    <w:abstractNumId w:val="30"/>
  </w:num>
  <w:num w:numId="21">
    <w:abstractNumId w:val="34"/>
  </w:num>
  <w:num w:numId="22">
    <w:abstractNumId w:val="108"/>
  </w:num>
  <w:num w:numId="23">
    <w:abstractNumId w:val="28"/>
  </w:num>
  <w:num w:numId="24">
    <w:abstractNumId w:val="56"/>
  </w:num>
  <w:num w:numId="25">
    <w:abstractNumId w:val="19"/>
  </w:num>
  <w:num w:numId="26">
    <w:abstractNumId w:val="102"/>
  </w:num>
  <w:num w:numId="27">
    <w:abstractNumId w:val="2"/>
  </w:num>
  <w:num w:numId="28">
    <w:abstractNumId w:val="93"/>
  </w:num>
  <w:num w:numId="29">
    <w:abstractNumId w:val="10"/>
  </w:num>
  <w:num w:numId="30">
    <w:abstractNumId w:val="75"/>
  </w:num>
  <w:num w:numId="31">
    <w:abstractNumId w:val="14"/>
  </w:num>
  <w:num w:numId="32">
    <w:abstractNumId w:val="71"/>
  </w:num>
  <w:num w:numId="33">
    <w:abstractNumId w:val="49"/>
  </w:num>
  <w:num w:numId="34">
    <w:abstractNumId w:val="76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5"/>
  </w:num>
  <w:num w:numId="39">
    <w:abstractNumId w:val="77"/>
  </w:num>
  <w:num w:numId="40">
    <w:abstractNumId w:val="13"/>
  </w:num>
  <w:num w:numId="41">
    <w:abstractNumId w:val="72"/>
  </w:num>
  <w:num w:numId="42">
    <w:abstractNumId w:val="88"/>
  </w:num>
  <w:num w:numId="43">
    <w:abstractNumId w:val="94"/>
  </w:num>
  <w:num w:numId="44">
    <w:abstractNumId w:val="48"/>
  </w:num>
  <w:num w:numId="45">
    <w:abstractNumId w:val="21"/>
  </w:num>
  <w:num w:numId="46">
    <w:abstractNumId w:val="84"/>
  </w:num>
  <w:num w:numId="47">
    <w:abstractNumId w:val="50"/>
  </w:num>
  <w:num w:numId="48">
    <w:abstractNumId w:val="109"/>
  </w:num>
  <w:num w:numId="49">
    <w:abstractNumId w:val="99"/>
  </w:num>
  <w:num w:numId="50">
    <w:abstractNumId w:val="68"/>
  </w:num>
  <w:num w:numId="51">
    <w:abstractNumId w:val="107"/>
  </w:num>
  <w:num w:numId="52">
    <w:abstractNumId w:val="62"/>
  </w:num>
  <w:num w:numId="53">
    <w:abstractNumId w:val="61"/>
  </w:num>
  <w:num w:numId="54">
    <w:abstractNumId w:val="53"/>
  </w:num>
  <w:num w:numId="55">
    <w:abstractNumId w:val="1"/>
  </w:num>
  <w:num w:numId="56">
    <w:abstractNumId w:val="78"/>
    <w:lvlOverride w:ilvl="0">
      <w:startOverride w:val="1"/>
    </w:lvlOverride>
  </w:num>
  <w:num w:numId="57">
    <w:abstractNumId w:val="12"/>
  </w:num>
  <w:num w:numId="58">
    <w:abstractNumId w:val="54"/>
  </w:num>
  <w:num w:numId="59">
    <w:abstractNumId w:val="106"/>
  </w:num>
  <w:num w:numId="60">
    <w:abstractNumId w:val="67"/>
  </w:num>
  <w:num w:numId="61">
    <w:abstractNumId w:val="44"/>
  </w:num>
  <w:num w:numId="62">
    <w:abstractNumId w:val="74"/>
  </w:num>
  <w:num w:numId="63">
    <w:abstractNumId w:val="40"/>
  </w:num>
  <w:num w:numId="64">
    <w:abstractNumId w:val="6"/>
  </w:num>
  <w:num w:numId="65">
    <w:abstractNumId w:val="85"/>
  </w:num>
  <w:num w:numId="66">
    <w:abstractNumId w:val="4"/>
  </w:num>
  <w:num w:numId="67">
    <w:abstractNumId w:val="47"/>
  </w:num>
  <w:num w:numId="68">
    <w:abstractNumId w:val="81"/>
  </w:num>
  <w:num w:numId="69">
    <w:abstractNumId w:val="39"/>
  </w:num>
  <w:num w:numId="70">
    <w:abstractNumId w:val="86"/>
  </w:num>
  <w:num w:numId="71">
    <w:abstractNumId w:val="65"/>
  </w:num>
  <w:num w:numId="72">
    <w:abstractNumId w:val="55"/>
  </w:num>
  <w:num w:numId="73">
    <w:abstractNumId w:val="45"/>
  </w:num>
  <w:num w:numId="74">
    <w:abstractNumId w:val="23"/>
  </w:num>
  <w:num w:numId="75">
    <w:abstractNumId w:val="63"/>
  </w:num>
  <w:num w:numId="76">
    <w:abstractNumId w:val="9"/>
  </w:num>
  <w:num w:numId="77">
    <w:abstractNumId w:val="26"/>
  </w:num>
  <w:num w:numId="78">
    <w:abstractNumId w:val="42"/>
  </w:num>
  <w:num w:numId="79">
    <w:abstractNumId w:val="32"/>
  </w:num>
  <w:num w:numId="80">
    <w:abstractNumId w:val="92"/>
  </w:num>
  <w:num w:numId="81">
    <w:abstractNumId w:val="24"/>
  </w:num>
  <w:num w:numId="82">
    <w:abstractNumId w:val="18"/>
  </w:num>
  <w:num w:numId="83">
    <w:abstractNumId w:val="90"/>
  </w:num>
  <w:num w:numId="84">
    <w:abstractNumId w:val="29"/>
  </w:num>
  <w:num w:numId="85">
    <w:abstractNumId w:val="59"/>
  </w:num>
  <w:num w:numId="86">
    <w:abstractNumId w:val="87"/>
  </w:num>
  <w:num w:numId="87">
    <w:abstractNumId w:val="91"/>
  </w:num>
  <w:num w:numId="88">
    <w:abstractNumId w:val="83"/>
  </w:num>
  <w:num w:numId="89">
    <w:abstractNumId w:val="31"/>
  </w:num>
  <w:num w:numId="90">
    <w:abstractNumId w:val="103"/>
  </w:num>
  <w:num w:numId="91">
    <w:abstractNumId w:val="38"/>
  </w:num>
  <w:num w:numId="92">
    <w:abstractNumId w:val="58"/>
  </w:num>
  <w:num w:numId="93">
    <w:abstractNumId w:val="7"/>
  </w:num>
  <w:num w:numId="94">
    <w:abstractNumId w:val="52"/>
  </w:num>
  <w:num w:numId="95">
    <w:abstractNumId w:val="46"/>
  </w:num>
  <w:num w:numId="96">
    <w:abstractNumId w:val="104"/>
  </w:num>
  <w:num w:numId="97">
    <w:abstractNumId w:val="33"/>
  </w:num>
  <w:num w:numId="98">
    <w:abstractNumId w:val="5"/>
  </w:num>
  <w:num w:numId="99">
    <w:abstractNumId w:val="22"/>
  </w:num>
  <w:num w:numId="100">
    <w:abstractNumId w:val="70"/>
  </w:num>
  <w:num w:numId="101">
    <w:abstractNumId w:val="101"/>
  </w:num>
  <w:num w:numId="102">
    <w:abstractNumId w:val="51"/>
  </w:num>
  <w:num w:numId="103">
    <w:abstractNumId w:val="20"/>
  </w:num>
  <w:num w:numId="104">
    <w:abstractNumId w:val="96"/>
  </w:num>
  <w:num w:numId="105">
    <w:abstractNumId w:val="8"/>
  </w:num>
  <w:num w:numId="106">
    <w:abstractNumId w:val="89"/>
  </w:num>
  <w:num w:numId="107">
    <w:abstractNumId w:val="41"/>
  </w:num>
  <w:num w:numId="108">
    <w:abstractNumId w:val="25"/>
  </w:num>
  <w:num w:numId="109">
    <w:abstractNumId w:val="80"/>
  </w:num>
  <w:num w:numId="110">
    <w:abstractNumId w:val="15"/>
  </w:num>
  <w:num w:numId="111">
    <w:abstractNumId w:val="73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287A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3C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A63A0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702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238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1D31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8B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870BC"/>
    <w:rsid w:val="00591171"/>
    <w:rsid w:val="00592617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017B"/>
    <w:rsid w:val="006C42BB"/>
    <w:rsid w:val="006C5246"/>
    <w:rsid w:val="006C554E"/>
    <w:rsid w:val="006C62C4"/>
    <w:rsid w:val="006D3FDF"/>
    <w:rsid w:val="006D724D"/>
    <w:rsid w:val="006D7502"/>
    <w:rsid w:val="006E1996"/>
    <w:rsid w:val="006E1DA1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D55"/>
    <w:rsid w:val="00837E1A"/>
    <w:rsid w:val="00846386"/>
    <w:rsid w:val="00854139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D787E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16F5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5B04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57347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861F7"/>
    <w:rsid w:val="00A86E72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2312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2090"/>
    <w:rsid w:val="00D13718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D7A8C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678C5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819AC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arc" idref="#_x0000_s1182"/>
        <o:r id="V:Rule2" type="arc" idref="#_x0000_s118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6B27-933E-46AC-96D4-15A72779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1763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12142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12</cp:revision>
  <cp:lastPrinted>2011-07-08T17:15:00Z</cp:lastPrinted>
  <dcterms:created xsi:type="dcterms:W3CDTF">2016-02-14T22:22:00Z</dcterms:created>
  <dcterms:modified xsi:type="dcterms:W3CDTF">2020-10-02T10:37:00Z</dcterms:modified>
</cp:coreProperties>
</file>