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DE5F2" w14:textId="7DED57F4" w:rsidR="002C6F96" w:rsidRPr="00BC308B" w:rsidRDefault="002C6F96" w:rsidP="002C6F96">
      <w:pPr>
        <w:pStyle w:val="2-title"/>
        <w:spacing w:after="240"/>
        <w:rPr>
          <w:sz w:val="24"/>
          <w:szCs w:val="24"/>
        </w:rPr>
      </w:pPr>
      <w:r w:rsidRPr="00BC308B">
        <w:rPr>
          <w:sz w:val="24"/>
          <w:szCs w:val="24"/>
        </w:rPr>
        <w:t xml:space="preserve">HYBRID ACID CATALYSTS PREPARED VIA </w:t>
      </w:r>
      <w:r w:rsidR="007175DD" w:rsidRPr="00BC308B">
        <w:rPr>
          <w:sz w:val="24"/>
          <w:szCs w:val="24"/>
        </w:rPr>
        <w:t xml:space="preserve">TRIMETHYLSILYLATION OF </w:t>
      </w:r>
      <w:r w:rsidRPr="00BC308B">
        <w:rPr>
          <w:sz w:val="24"/>
          <w:szCs w:val="24"/>
        </w:rPr>
        <w:t>ALUMINOSILICATES SYNTHESIZED BY NON-HYDROLYTIC SOL-GEL</w:t>
      </w:r>
    </w:p>
    <w:p w14:paraId="5C675FEB" w14:textId="7C1054C3" w:rsidR="002C6F96" w:rsidRPr="00BC308B" w:rsidRDefault="002C6F96" w:rsidP="00BC308B">
      <w:pPr>
        <w:pStyle w:val="3-author"/>
        <w:spacing w:after="240"/>
        <w:rPr>
          <w:sz w:val="22"/>
          <w:szCs w:val="22"/>
          <w:vertAlign w:val="superscript"/>
        </w:rPr>
      </w:pPr>
      <w:r w:rsidRPr="00BC308B">
        <w:rPr>
          <w:sz w:val="22"/>
          <w:szCs w:val="22"/>
          <w:u w:val="single"/>
        </w:rPr>
        <w:t>Lucie Leonova</w:t>
      </w:r>
      <w:r w:rsidRPr="00BC308B">
        <w:rPr>
          <w:sz w:val="22"/>
          <w:szCs w:val="22"/>
          <w:vertAlign w:val="superscript"/>
        </w:rPr>
        <w:t>1</w:t>
      </w:r>
      <w:r w:rsidRPr="00BC308B">
        <w:rPr>
          <w:sz w:val="22"/>
          <w:szCs w:val="22"/>
        </w:rPr>
        <w:t>,</w:t>
      </w:r>
      <w:r w:rsidR="00C65826">
        <w:rPr>
          <w:sz w:val="22"/>
          <w:szCs w:val="22"/>
        </w:rPr>
        <w:t xml:space="preserve"> </w:t>
      </w:r>
      <w:r w:rsidR="00BC308B" w:rsidRPr="00BC308B">
        <w:rPr>
          <w:sz w:val="22"/>
          <w:szCs w:val="22"/>
        </w:rPr>
        <w:t>Petr Sazama</w:t>
      </w:r>
      <w:r w:rsidR="00BC308B" w:rsidRPr="00BC308B">
        <w:rPr>
          <w:sz w:val="22"/>
          <w:szCs w:val="22"/>
          <w:vertAlign w:val="superscript"/>
        </w:rPr>
        <w:t>2</w:t>
      </w:r>
      <w:r w:rsidR="00BC308B" w:rsidRPr="00BC308B">
        <w:rPr>
          <w:sz w:val="22"/>
          <w:szCs w:val="22"/>
        </w:rPr>
        <w:t>, Jana Pastvova</w:t>
      </w:r>
      <w:r w:rsidR="00BC308B" w:rsidRPr="00BC308B">
        <w:rPr>
          <w:sz w:val="22"/>
          <w:szCs w:val="22"/>
          <w:vertAlign w:val="superscript"/>
        </w:rPr>
        <w:t>2</w:t>
      </w:r>
      <w:r w:rsidR="00BC308B" w:rsidRPr="00BC308B">
        <w:rPr>
          <w:sz w:val="22"/>
          <w:szCs w:val="22"/>
        </w:rPr>
        <w:t xml:space="preserve">, </w:t>
      </w:r>
      <w:r w:rsidRPr="00BC308B">
        <w:rPr>
          <w:sz w:val="22"/>
          <w:szCs w:val="22"/>
        </w:rPr>
        <w:t>Jiri Pinkas</w:t>
      </w:r>
      <w:r w:rsidRPr="00BC308B">
        <w:rPr>
          <w:sz w:val="22"/>
          <w:szCs w:val="22"/>
          <w:vertAlign w:val="superscript"/>
        </w:rPr>
        <w:t>1</w:t>
      </w:r>
      <w:r w:rsidR="00C65826" w:rsidRPr="00C65826">
        <w:rPr>
          <w:sz w:val="22"/>
          <w:szCs w:val="22"/>
        </w:rPr>
        <w:t>,</w:t>
      </w:r>
      <w:r w:rsidRPr="00BC308B">
        <w:rPr>
          <w:sz w:val="22"/>
          <w:szCs w:val="22"/>
        </w:rPr>
        <w:t xml:space="preserve"> </w:t>
      </w:r>
      <w:r w:rsidR="00C65826" w:rsidRPr="00BC308B">
        <w:rPr>
          <w:sz w:val="22"/>
          <w:szCs w:val="22"/>
        </w:rPr>
        <w:t>Ales Styskalik</w:t>
      </w:r>
      <w:r w:rsidR="00C65826" w:rsidRPr="00BC308B">
        <w:rPr>
          <w:sz w:val="22"/>
          <w:szCs w:val="22"/>
          <w:vertAlign w:val="superscript"/>
        </w:rPr>
        <w:t>1</w:t>
      </w:r>
    </w:p>
    <w:p w14:paraId="681A98AA" w14:textId="2B400D55" w:rsidR="002F14CC" w:rsidRPr="00BC308B" w:rsidRDefault="002C6F96" w:rsidP="002C6F96">
      <w:pPr>
        <w:pStyle w:val="4-dept"/>
        <w:spacing w:after="240"/>
        <w:rPr>
          <w:sz w:val="18"/>
          <w:szCs w:val="16"/>
        </w:rPr>
      </w:pPr>
      <w:r w:rsidRPr="00BC308B">
        <w:rPr>
          <w:rStyle w:val="Znakapoznpodarou"/>
          <w:sz w:val="18"/>
          <w:szCs w:val="16"/>
        </w:rPr>
        <w:t>1</w:t>
      </w:r>
      <w:r w:rsidRPr="00BC308B">
        <w:rPr>
          <w:sz w:val="18"/>
          <w:szCs w:val="16"/>
        </w:rPr>
        <w:t xml:space="preserve"> Masaryk University, Department of Chemistry, Brno, Czech Republic, (corresponding author: </w:t>
      </w:r>
      <w:bookmarkStart w:id="0" w:name="_GoBack"/>
      <w:bookmarkEnd w:id="0"/>
      <w:r w:rsidR="00A925A2">
        <w:fldChar w:fldCharType="begin"/>
      </w:r>
      <w:r w:rsidR="00A925A2">
        <w:instrText xml:space="preserve"> HYPERLINK "mailto:styskalik@chemi.muni.cz" </w:instrText>
      </w:r>
      <w:r w:rsidR="00A925A2">
        <w:fldChar w:fldCharType="separate"/>
      </w:r>
      <w:r w:rsidR="00BC308B" w:rsidRPr="00BC308B">
        <w:rPr>
          <w:rStyle w:val="Hypertextovodkaz"/>
          <w:sz w:val="18"/>
          <w:szCs w:val="16"/>
        </w:rPr>
        <w:t>styskalik@chemi.muni.cz</w:t>
      </w:r>
      <w:r w:rsidR="00A925A2">
        <w:rPr>
          <w:rStyle w:val="Hypertextovodkaz"/>
          <w:sz w:val="18"/>
          <w:szCs w:val="16"/>
        </w:rPr>
        <w:fldChar w:fldCharType="end"/>
      </w:r>
      <w:r w:rsidRPr="00BC308B">
        <w:rPr>
          <w:sz w:val="18"/>
          <w:szCs w:val="16"/>
        </w:rPr>
        <w:t>)</w:t>
      </w:r>
    </w:p>
    <w:p w14:paraId="4DD1BB70" w14:textId="30217CED" w:rsidR="00BC308B" w:rsidRPr="00BC308B" w:rsidRDefault="00BC308B" w:rsidP="00BC308B">
      <w:pPr>
        <w:pStyle w:val="4-dept"/>
        <w:spacing w:after="240"/>
        <w:rPr>
          <w:sz w:val="18"/>
          <w:szCs w:val="16"/>
          <w:lang w:val="en-US"/>
        </w:rPr>
      </w:pPr>
      <w:r w:rsidRPr="00BC308B">
        <w:rPr>
          <w:iCs/>
          <w:sz w:val="18"/>
          <w:szCs w:val="16"/>
          <w:vertAlign w:val="superscript"/>
          <w:lang w:val="en-US"/>
        </w:rPr>
        <w:t>2</w:t>
      </w:r>
      <w:r w:rsidRPr="00BC308B">
        <w:rPr>
          <w:iCs/>
          <w:sz w:val="18"/>
          <w:szCs w:val="16"/>
          <w:lang w:val="en-US"/>
        </w:rPr>
        <w:t>J. Heyrovsky Institute of Physical Chemistry</w:t>
      </w:r>
      <w:r w:rsidRPr="00BC308B">
        <w:rPr>
          <w:iCs/>
          <w:sz w:val="18"/>
          <w:szCs w:val="16"/>
          <w:lang w:val="sk-SK"/>
        </w:rPr>
        <w:t>,</w:t>
      </w:r>
      <w:r w:rsidRPr="00BC308B">
        <w:rPr>
          <w:iCs/>
          <w:sz w:val="18"/>
          <w:szCs w:val="16"/>
          <w:lang w:val="en-US"/>
        </w:rPr>
        <w:t xml:space="preserve"> </w:t>
      </w:r>
      <w:r w:rsidRPr="00BC308B">
        <w:rPr>
          <w:iCs/>
          <w:sz w:val="18"/>
          <w:szCs w:val="16"/>
          <w:lang w:val="cs-CZ"/>
        </w:rPr>
        <w:t xml:space="preserve">Czech </w:t>
      </w:r>
      <w:r w:rsidRPr="00BC308B">
        <w:rPr>
          <w:iCs/>
          <w:sz w:val="18"/>
          <w:szCs w:val="16"/>
          <w:lang w:val="en-US"/>
        </w:rPr>
        <w:t>Academy of Sciences, Prague</w:t>
      </w:r>
      <w:r w:rsidRPr="00BC308B">
        <w:rPr>
          <w:iCs/>
          <w:sz w:val="18"/>
          <w:szCs w:val="16"/>
          <w:lang w:val="cs-CZ"/>
        </w:rPr>
        <w:t>, Czech</w:t>
      </w:r>
      <w:r w:rsidR="00EA7776">
        <w:rPr>
          <w:iCs/>
          <w:sz w:val="18"/>
          <w:szCs w:val="16"/>
          <w:lang w:val="cs-CZ"/>
        </w:rPr>
        <w:t xml:space="preserve"> Republic</w:t>
      </w:r>
    </w:p>
    <w:p w14:paraId="0E069AC7" w14:textId="77777777" w:rsidR="002C6F96" w:rsidRDefault="002C6F96" w:rsidP="002C6F96">
      <w:pPr>
        <w:ind w:firstLine="708"/>
        <w:rPr>
          <w:rFonts w:ascii="Arial" w:hAnsi="Arial" w:cs="Arial"/>
          <w:sz w:val="20"/>
        </w:rPr>
      </w:pPr>
      <w:r>
        <w:rPr>
          <w:rFonts w:ascii="Arial" w:hAnsi="Arial" w:cs="Arial"/>
          <w:sz w:val="20"/>
        </w:rPr>
        <w:t xml:space="preserve">Hybrid materials based on aluminosilicates are extensively studied for their enhanced catalytic performance. Organic groups can change acidity, hydrothermal stability, and porosity. First, we have shown, that non-hydrolytic sol-gel (NHSG) provides highly homogeneous and porous aluminosilicate materials exhibiting superior activity and long-term stability in ethanol dehydration </w:t>
      </w:r>
      <w:r>
        <w:rPr>
          <w:rFonts w:ascii="Arial" w:hAnsi="Arial" w:cs="Arial"/>
          <w:sz w:val="20"/>
        </w:rPr>
        <w:fldChar w:fldCharType="begin" w:fldLock="1"/>
      </w:r>
      <w:r>
        <w:rPr>
          <w:rFonts w:ascii="Arial" w:hAnsi="Arial" w:cs="Arial"/>
          <w:sz w:val="20"/>
        </w:rPr>
        <w:instrText>ADDIN CSL_CITATION {"citationItems":[{"id":"ITEM-1","itemData":{"DOI":"10.1016/j.apcatb.2020.118926","ISSN":"09263373","author":[{"dropping-particle":"","family":"Styskalik","given":"Ales","non-dropping-particle":"","parse-names":false,"suffix":""},{"dropping-particle":"","family":"Vykoukal","given":"Vit","non-dropping-particle":"","parse-names":false,"suffix":""},{"dropping-particle":"","family":"Fusaro","given":"Luca","non-dropping-particle":"","parse-names":false,"suffix":""},{"dropping-particle":"","family":"Aprile","given":"Carmela","non-dropping-particle":"","parse-names":false,"suffix":""},{"dropping-particle":"","family":"Debecker","given":"Damien P.","non-dropping-particle":"","parse-names":false,"suffix":""}],"container-title":"Applied Catalysis B: Environmental","id":"ITEM-1","issued":{"date-parts":[["2020","4","3"]]},"page":"118926","publisher":"Elsevier","title":"Mildly acidic aluminosilicate catalysts for stable performance in ethanol dehydration","type":"article-journal"},"uris":["http://www.mendeley.com/documents/?uuid=b6d81571-c0aa-3624-9516-8bfc51cb8750"]}],"mendeley":{"formattedCitation":"[1]","manualFormatting":"[1]","plainTextFormattedCitation":"[1]","previouslyFormattedCitation":"[1]"},"properties":{"noteIndex":0},"schema":"https://github.com/citation-style-language/schema/raw/master/csl-citation.json"}</w:instrText>
      </w:r>
      <w:r>
        <w:rPr>
          <w:rFonts w:ascii="Arial" w:hAnsi="Arial" w:cs="Arial"/>
          <w:sz w:val="20"/>
        </w:rPr>
        <w:fldChar w:fldCharType="separate"/>
      </w:r>
      <w:r>
        <w:rPr>
          <w:rFonts w:ascii="Arial" w:hAnsi="Arial" w:cs="Arial"/>
          <w:noProof/>
          <w:sz w:val="20"/>
        </w:rPr>
        <w:t>[1]</w:t>
      </w:r>
      <w:r>
        <w:rPr>
          <w:rFonts w:ascii="Arial" w:hAnsi="Arial" w:cs="Arial"/>
          <w:sz w:val="20"/>
        </w:rPr>
        <w:fldChar w:fldCharType="end"/>
      </w:r>
      <w:r>
        <w:rPr>
          <w:rFonts w:ascii="Arial" w:hAnsi="Arial" w:cs="Arial"/>
          <w:sz w:val="20"/>
        </w:rPr>
        <w:t>. Second, the ethylene selectivity was improved by one</w:t>
      </w:r>
      <w:r>
        <w:rPr>
          <w:rFonts w:ascii="Arial" w:hAnsi="Arial" w:cs="Arial"/>
          <w:sz w:val="20"/>
        </w:rPr>
        <w:noBreakHyphen/>
        <w:t xml:space="preserve">pot incorporation of organic groups </w:t>
      </w:r>
      <w:r>
        <w:rPr>
          <w:rFonts w:ascii="Arial" w:hAnsi="Arial" w:cs="Arial"/>
          <w:sz w:val="20"/>
        </w:rPr>
        <w:fldChar w:fldCharType="begin" w:fldLock="1"/>
      </w:r>
      <w:r>
        <w:rPr>
          <w:rFonts w:ascii="Arial" w:hAnsi="Arial" w:cs="Arial"/>
          <w:sz w:val="20"/>
        </w:rPr>
        <w:instrText>ADDIN CSL_CITATION {"citationItems":[{"id":"ITEM-1","itemData":{"DOI":"10.1039/d0ta07016e","ISSN":"20507496","abstract":"Ethanol dehydration is effectively catalyzed by solid acids, such as HZSM-5, alumina, or silica-alumina. In these catalysts, the amount, nature, and strength of acid sites is believed to determine catalyst activity and stability. However, surface hydrophilicity or hydrophobicity can be suggested as another decisive materials property that can directly influence performance. For example, a more hydrophobic surface might be beneficial in repelling the co-product of the reaction, water. However, these aspects have been studied only scarcely in the context of alcohol dehydration. Here, a series of mesoporous hybrid aluminosilicate materials containing CH3Si groups was prepared in one pot by non-hydrolytic sol-gel (NHSG). The presence of the methyl groups was verified by IR, solid-state NMR, and ToF-SIMS. Aluminum is mostly incorporated in tetrahedral coordination in the hybrid silica matrix. Two parameters were varied: (i) the aluminum loading (Si : Al ratio) and (ii) the degree of methylation (Si : MeSi ratio). On the one hand, changing the Si : Al ratio had a marked and expected impact on acidity. On the other hand, unexpectedly, the introduction of methyl groups had no clear influence on sample hydrophobicity. Nevertheless, some of the methylated aluminosilicate catalysts markedly outperformed the purely inorganic catalysts and a commercial silica-alumina benchmark. While a direct influence of surface hydrophilicity or hydrophobicity is unlikely, characterization of acidity (IR-pyridine) revealed that the improved performance for hybrid catalysts is correlated with a modification of the acidic properties (higher proportion of Lewis acid sites) caused by the introduction of methyl groups during the sol-gel process. A decisive role of acidity in ethanol dehydration was confirmed by an experiment with delayed addition of the Al precursor in the NHSG synthesis of the hybrid aluminosilicate. This led to a higher Al surface concentration, marked acid sites number increase, and better catalytic performance, even competing with the state of the art HZSM-5 in terms of ethylene yield. This journal is","author":[{"dropping-particle":"","family":"Styskalik","given":"Ales","non-dropping-particle":"","parse-names":false,"suffix":""},{"dropping-particle":"","family":"Kordoghli","given":"Imene","non-dropping-particle":"","parse-names":false,"suffix":""},{"dropping-particle":"","family":"Poleunis","given":"Claude","non-dropping-particle":"","parse-names":false,"suffix":""},{"dropping-particle":"","family":"Delcorte","given":"Arnaud","non-dropping-particle":"","parse-names":false,"suffix":""},{"dropping-particle":"","family":"Moravec","given":"Zdenek","non-dropping-particle":"","parse-names":false,"suffix":""},{"dropping-particle":"","family":"Simonikova","given":"Lucie","non-dropping-particle":"","parse-names":false,"suffix":""},{"dropping-particle":"","family":"Kanicky","given":"Viktor","non-dropping-particle":"","parse-names":false,"suffix":""},{"dropping-particle":"","family":"Aprile","given":"Carmela","non-dropping-particle":"","parse-names":false,"suffix":""},{"dropping-particle":"","family":"Fusaro","given":"Luca","non-dropping-particle":"","parse-names":false,"suffix":""},{"dropping-particle":"","family":"Debecker","given":"Damien P.","non-dropping-particle":"","parse-names":false,"suffix":""}],"container-title":"Journal of Materials Chemistry A","id":"ITEM-1","issue":"44","issued":{"date-parts":[["2020","11","28"]]},"page":"23526-23542","publisher":"Royal Society of Chemistry","title":"Hybrid mesoporous aluminosilicate catalysts obtained by non-hydrolytic sol-gel for ethanol dehydration","type":"article-journal","volume":"8"},"uris":["http://www.mendeley.com/documents/?uuid=402cbc7e-3429-3e35-ae47-5f92d38ba7ee"]}],"mendeley":{"formattedCitation":"[2]","plainTextFormattedCitation":"[2]","previouslyFormattedCitation":"[2]"},"properties":{"noteIndex":0},"schema":"https://github.com/citation-style-language/schema/raw/master/csl-citation.json"}</w:instrText>
      </w:r>
      <w:r>
        <w:rPr>
          <w:rFonts w:ascii="Arial" w:hAnsi="Arial" w:cs="Arial"/>
          <w:sz w:val="20"/>
        </w:rPr>
        <w:fldChar w:fldCharType="separate"/>
      </w:r>
      <w:r>
        <w:rPr>
          <w:rFonts w:ascii="Arial" w:hAnsi="Arial" w:cs="Arial"/>
          <w:noProof/>
          <w:sz w:val="20"/>
        </w:rPr>
        <w:t>[2]</w:t>
      </w:r>
      <w:r>
        <w:rPr>
          <w:rFonts w:ascii="Arial" w:hAnsi="Arial" w:cs="Arial"/>
          <w:sz w:val="20"/>
        </w:rPr>
        <w:fldChar w:fldCharType="end"/>
      </w:r>
      <w:r>
        <w:rPr>
          <w:rFonts w:ascii="Arial" w:hAnsi="Arial" w:cs="Arial"/>
          <w:sz w:val="20"/>
        </w:rPr>
        <w:t xml:space="preserve">. Interestingly, this approach did not display the direct influence of hydrophobicity on alcohol dehydration in contrary to other reports </w:t>
      </w:r>
      <w:r>
        <w:rPr>
          <w:rFonts w:ascii="Arial" w:hAnsi="Arial" w:cs="Arial"/>
          <w:sz w:val="20"/>
        </w:rPr>
        <w:fldChar w:fldCharType="begin" w:fldLock="1"/>
      </w:r>
      <w:r>
        <w:rPr>
          <w:rFonts w:ascii="Arial" w:hAnsi="Arial" w:cs="Arial"/>
          <w:sz w:val="20"/>
        </w:rPr>
        <w:instrText>ADDIN CSL_CITATION {"citationItems":[{"id":"ITEM-1","itemData":{"DOI":"10.1016/j.molcata.2006.04.040","ISSN":"13811169","abstract":"Etherification of benzyl alcohols with 1-hexanol was performed in liquid-phase over propyl- and arene-SO3H-modified mesostructured SBA-15 silica. H2O TPD measurements indicate a stronger interaction of arene-sulfonic acid sites with water molecules than that occurring in propyl-sulfonic groups. Hence, the higher catalytic activity of propyl-sulfonic-modified SBA-15 material is related to the more hydrophobic microenvironment of -SO3H sites which reduces the acid site deactivation associated with adsorption of water generated during the reaction. Moreover, propyl- and arene-sulfonic functionalized SBA-15 materials show a clear improvement of the catalytic performances as compared to other commercial homogeneous and heterogeneous acid catalysts in this particular reaction. © 2006 Elsevier B.V. All rights reserved.","author":[{"dropping-particle":"","family":"Grieken","given":"Rafael","non-dropping-particle":"van","parse-names":false,"suffix":""},{"dropping-particle":"","family":"Melero","given":"Juan Antonio","non-dropping-particle":"","parse-names":false,"suffix":""},{"dropping-particle":"","family":"Morales","given":"Gabriel","non-dropping-particle":"","parse-names":false,"suffix":""}],"container-title":"Journal of Molecular Catalysis A: Chemical","id":"ITEM-1","issue":"1-2","issued":{"date-parts":[["2006","8","18"]]},"page":"29-36","publisher":"Elsevier","title":"Etherification of benzyl alcohols with 1-hexanol over organosulfonic acid mesostructured materials","type":"article-journal","volume":"256"},"uris":["http://www.mendeley.com/documents/?uuid=8d4e9eec-e703-3099-b24b-b65c86bbc273"]}],"mendeley":{"formattedCitation":"[3]","plainTextFormattedCitation":"[3]"},"properties":{"noteIndex":0},"schema":"https://github.com/citation-style-language/schema/raw/master/csl-citation.json"}</w:instrText>
      </w:r>
      <w:r>
        <w:rPr>
          <w:rFonts w:ascii="Arial" w:hAnsi="Arial" w:cs="Arial"/>
          <w:sz w:val="20"/>
        </w:rPr>
        <w:fldChar w:fldCharType="separate"/>
      </w:r>
      <w:r>
        <w:rPr>
          <w:rFonts w:ascii="Arial" w:hAnsi="Arial" w:cs="Arial"/>
          <w:noProof/>
          <w:sz w:val="20"/>
        </w:rPr>
        <w:t>[3]</w:t>
      </w:r>
      <w:r>
        <w:rPr>
          <w:rFonts w:ascii="Arial" w:hAnsi="Arial" w:cs="Arial"/>
          <w:sz w:val="20"/>
        </w:rPr>
        <w:fldChar w:fldCharType="end"/>
      </w:r>
      <w:r>
        <w:rPr>
          <w:rFonts w:ascii="Arial" w:hAnsi="Arial" w:cs="Arial"/>
          <w:sz w:val="20"/>
        </w:rPr>
        <w:t>.</w:t>
      </w:r>
    </w:p>
    <w:p w14:paraId="2E6C729A" w14:textId="40EACAF1" w:rsidR="002C6F96" w:rsidRDefault="002C6F96" w:rsidP="002C6F96">
      <w:pPr>
        <w:ind w:firstLine="709"/>
        <w:rPr>
          <w:rFonts w:ascii="Arial" w:hAnsi="Arial" w:cs="Arial"/>
          <w:sz w:val="20"/>
        </w:rPr>
      </w:pPr>
      <w:r>
        <w:rPr>
          <w:rFonts w:ascii="Arial" w:hAnsi="Arial" w:cs="Arial"/>
          <w:sz w:val="20"/>
        </w:rPr>
        <w:t>In this study, the NHSG-prepared aluminosilicate catalysts (fully inorganic) were post</w:t>
      </w:r>
      <w:r w:rsidR="00A43160">
        <w:rPr>
          <w:rFonts w:ascii="Arial" w:hAnsi="Arial" w:cs="Arial"/>
          <w:sz w:val="20"/>
        </w:rPr>
        <w:noBreakHyphen/>
      </w:r>
      <w:r>
        <w:rPr>
          <w:rFonts w:ascii="Arial" w:hAnsi="Arial" w:cs="Arial"/>
          <w:sz w:val="20"/>
        </w:rPr>
        <w:t>synthetically modified by grafting trimethylsilyl groups onto their surfaces. Trimethylsilyl groups were attached to the surface using trimethylchlorosilane or trimethyl(methoxy)silane. The number of reacted ≡Si−OH moieties and thus the trimethylsilyl groups loading was controlled via a</w:t>
      </w:r>
      <w:r w:rsidR="007353DF">
        <w:rPr>
          <w:rFonts w:ascii="Arial" w:hAnsi="Arial" w:cs="Arial"/>
          <w:sz w:val="20"/>
        </w:rPr>
        <w:t> </w:t>
      </w:r>
      <w:bookmarkStart w:id="1" w:name="_Hlk89173252"/>
      <w:r>
        <w:rPr>
          <w:rFonts w:ascii="Arial" w:hAnsi="Arial" w:cs="Arial"/>
          <w:sz w:val="20"/>
        </w:rPr>
        <w:t>temperature</w:t>
      </w:r>
      <w:r w:rsidR="00A43160">
        <w:rPr>
          <w:rFonts w:ascii="Arial" w:hAnsi="Arial" w:cs="Arial"/>
          <w:sz w:val="20"/>
        </w:rPr>
        <w:noBreakHyphen/>
      </w:r>
      <w:r>
        <w:rPr>
          <w:rFonts w:ascii="Arial" w:hAnsi="Arial" w:cs="Arial"/>
          <w:sz w:val="20"/>
        </w:rPr>
        <w:t xml:space="preserve">vacuum pretreatment </w:t>
      </w:r>
      <w:bookmarkEnd w:id="1"/>
      <w:r>
        <w:rPr>
          <w:rFonts w:ascii="Arial" w:hAnsi="Arial" w:cs="Arial"/>
          <w:sz w:val="20"/>
        </w:rPr>
        <w:t xml:space="preserve">of aluminosilicate samples. Trimethylsilyl groups loading was evaluated by </w:t>
      </w:r>
      <w:r>
        <w:rPr>
          <w:rFonts w:ascii="Arial" w:hAnsi="Arial" w:cs="Arial"/>
          <w:sz w:val="20"/>
          <w:vertAlign w:val="superscript"/>
        </w:rPr>
        <w:t>29</w:t>
      </w:r>
      <w:r>
        <w:rPr>
          <w:rFonts w:ascii="Arial" w:hAnsi="Arial" w:cs="Arial"/>
          <w:sz w:val="20"/>
        </w:rPr>
        <w:t>Si</w:t>
      </w:r>
      <w:r w:rsidR="00A43160">
        <w:rPr>
          <w:rFonts w:ascii="Arial" w:hAnsi="Arial" w:cs="Arial"/>
          <w:sz w:val="20"/>
        </w:rPr>
        <w:t> </w:t>
      </w:r>
      <w:r>
        <w:rPr>
          <w:rFonts w:ascii="Arial" w:hAnsi="Arial" w:cs="Arial"/>
          <w:sz w:val="20"/>
        </w:rPr>
        <w:t>MAS NMR measurements (Figure 1). Structure, porosity, acidity, and hydrophobicity of NHSG</w:t>
      </w:r>
      <w:r w:rsidR="00A43160">
        <w:rPr>
          <w:rFonts w:ascii="Arial" w:hAnsi="Arial" w:cs="Arial"/>
          <w:sz w:val="20"/>
        </w:rPr>
        <w:noBreakHyphen/>
      </w:r>
      <w:r>
        <w:rPr>
          <w:rFonts w:ascii="Arial" w:hAnsi="Arial" w:cs="Arial"/>
          <w:sz w:val="20"/>
        </w:rPr>
        <w:t>prepared catalysts were closely followed by MAS NMR studies, N</w:t>
      </w:r>
      <w:r>
        <w:rPr>
          <w:rFonts w:ascii="Arial" w:hAnsi="Arial" w:cs="Arial"/>
          <w:sz w:val="20"/>
          <w:vertAlign w:val="subscript"/>
        </w:rPr>
        <w:t>2</w:t>
      </w:r>
      <w:r>
        <w:rPr>
          <w:rFonts w:ascii="Arial" w:hAnsi="Arial" w:cs="Arial"/>
          <w:sz w:val="20"/>
        </w:rPr>
        <w:t xml:space="preserve"> physisorption, IR-pyridine analyses, and water adsorption. Moreover, aluminosilicates were tested in a gas-phase fixed-bed catalytic reactor in ethanol dehydration and in a batch reactor in aminolysis of styrene oxide (liquid phase). These tailored NHSG-prepared aluminosilicate catalysts exhibited varying catalytic activity and selectivity in both catalytic reactions depending on trimethylsilyl groups loading in the samples. </w:t>
      </w:r>
    </w:p>
    <w:p w14:paraId="0A784ED4" w14:textId="77777777" w:rsidR="00BC308B" w:rsidRDefault="00BC308B" w:rsidP="002C6F96">
      <w:pPr>
        <w:ind w:firstLine="709"/>
        <w:rPr>
          <w:rFonts w:ascii="Arial" w:hAnsi="Arial" w:cs="Arial"/>
          <w:sz w:val="20"/>
        </w:rPr>
      </w:pPr>
    </w:p>
    <w:p w14:paraId="10070784" w14:textId="0C4D5E7E" w:rsidR="00BC308B" w:rsidRDefault="00BC308B" w:rsidP="00BC308B">
      <w:pPr>
        <w:ind w:firstLine="709"/>
        <w:jc w:val="center"/>
        <w:rPr>
          <w:rFonts w:ascii="Arial" w:hAnsi="Arial" w:cs="Arial"/>
          <w:sz w:val="20"/>
        </w:rPr>
      </w:pPr>
      <w:r w:rsidRPr="00BC308B">
        <w:rPr>
          <w:rFonts w:ascii="Arial" w:hAnsi="Arial" w:cs="Arial"/>
          <w:noProof/>
          <w:sz w:val="20"/>
          <w:lang w:val="cs-CZ" w:eastAsia="cs-CZ"/>
        </w:rPr>
        <w:drawing>
          <wp:inline distT="0" distB="0" distL="0" distR="0" wp14:anchorId="0F2EAFDD" wp14:editId="6F3C4519">
            <wp:extent cx="3600983" cy="26860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0"/>
                        </a:ext>
                      </a:extLst>
                    </a:blip>
                    <a:stretch>
                      <a:fillRect/>
                    </a:stretch>
                  </pic:blipFill>
                  <pic:spPr>
                    <a:xfrm>
                      <a:off x="0" y="0"/>
                      <a:ext cx="3617791" cy="2698588"/>
                    </a:xfrm>
                    <a:prstGeom prst="rect">
                      <a:avLst/>
                    </a:prstGeom>
                  </pic:spPr>
                </pic:pic>
              </a:graphicData>
            </a:graphic>
          </wp:inline>
        </w:drawing>
      </w:r>
    </w:p>
    <w:p w14:paraId="5F5F8DD8" w14:textId="2E513553" w:rsidR="002F14CC" w:rsidRDefault="002F14CC" w:rsidP="002C6F96">
      <w:pPr>
        <w:jc w:val="center"/>
        <w:rPr>
          <w:b/>
          <w:lang w:val="en-US"/>
        </w:rPr>
      </w:pPr>
    </w:p>
    <w:p w14:paraId="47B33F5E" w14:textId="542A5545" w:rsidR="00BC308B" w:rsidRDefault="002C6F96" w:rsidP="002C6F96">
      <w:pPr>
        <w:jc w:val="center"/>
        <w:rPr>
          <w:rFonts w:ascii="Arial" w:hAnsi="Arial" w:cs="Arial"/>
          <w:b/>
          <w:sz w:val="20"/>
          <w:lang w:val="en-US"/>
        </w:rPr>
      </w:pPr>
      <w:r>
        <w:rPr>
          <w:rFonts w:ascii="Arial" w:hAnsi="Arial" w:cs="Arial"/>
          <w:b/>
          <w:sz w:val="20"/>
          <w:lang w:val="en-US"/>
        </w:rPr>
        <w:t xml:space="preserve">Figure 1: </w:t>
      </w:r>
      <w:r w:rsidR="00BC308B" w:rsidRPr="00BC308B">
        <w:rPr>
          <w:rFonts w:ascii="Arial" w:hAnsi="Arial" w:cs="Arial"/>
          <w:b/>
          <w:sz w:val="20"/>
        </w:rPr>
        <w:t>Comparison of pristine aluminosilicate with</w:t>
      </w:r>
      <w:r w:rsidR="00BC308B">
        <w:rPr>
          <w:rFonts w:ascii="Arial" w:hAnsi="Arial" w:cs="Arial"/>
          <w:b/>
          <w:sz w:val="20"/>
        </w:rPr>
        <w:t xml:space="preserve"> </w:t>
      </w:r>
      <w:r w:rsidR="00BC308B" w:rsidRPr="00BC308B">
        <w:rPr>
          <w:rFonts w:ascii="Arial" w:hAnsi="Arial" w:cs="Arial"/>
          <w:b/>
          <w:sz w:val="20"/>
        </w:rPr>
        <w:t>post-modified aluminosilicate samples</w:t>
      </w:r>
      <w:r w:rsidR="00BC308B" w:rsidRPr="00BC308B">
        <w:rPr>
          <w:rFonts w:ascii="Arial" w:hAnsi="Arial" w:cs="Arial"/>
          <w:b/>
          <w:sz w:val="20"/>
          <w:lang w:val="cs-CZ"/>
        </w:rPr>
        <w:t xml:space="preserve"> in</w:t>
      </w:r>
      <w:r w:rsidR="00C65826">
        <w:rPr>
          <w:rFonts w:ascii="Arial" w:hAnsi="Arial" w:cs="Arial"/>
          <w:b/>
          <w:sz w:val="20"/>
          <w:lang w:val="cs-CZ"/>
        </w:rPr>
        <w:t> </w:t>
      </w:r>
      <w:r w:rsidR="00BC308B" w:rsidRPr="00BC308B">
        <w:rPr>
          <w:rFonts w:ascii="Arial" w:hAnsi="Arial" w:cs="Arial"/>
          <w:b/>
          <w:sz w:val="20"/>
          <w:vertAlign w:val="superscript"/>
          <w:lang w:val="cs-CZ"/>
        </w:rPr>
        <w:t>29</w:t>
      </w:r>
      <w:r w:rsidR="00BC308B" w:rsidRPr="00BC308B">
        <w:rPr>
          <w:rFonts w:ascii="Arial" w:hAnsi="Arial" w:cs="Arial"/>
          <w:b/>
          <w:sz w:val="20"/>
          <w:lang w:val="cs-CZ"/>
        </w:rPr>
        <w:t>Si MAS NMR</w:t>
      </w:r>
    </w:p>
    <w:p w14:paraId="2E70B546" w14:textId="77777777" w:rsidR="00500515" w:rsidRDefault="00500515" w:rsidP="002C6F96">
      <w:pPr>
        <w:jc w:val="left"/>
        <w:rPr>
          <w:b/>
          <w:lang w:val="en-US"/>
        </w:rPr>
      </w:pPr>
    </w:p>
    <w:p w14:paraId="4E2D2E9B" w14:textId="34E7084F" w:rsidR="002C6F96" w:rsidRDefault="002C6F96" w:rsidP="002C6F96">
      <w:pPr>
        <w:jc w:val="left"/>
        <w:rPr>
          <w:rFonts w:ascii="Arial" w:hAnsi="Arial" w:cs="Arial"/>
          <w:b/>
          <w:sz w:val="20"/>
          <w:lang w:val="en-US"/>
        </w:rPr>
      </w:pPr>
      <w:r>
        <w:rPr>
          <w:rFonts w:ascii="Arial" w:hAnsi="Arial" w:cs="Arial"/>
          <w:b/>
          <w:sz w:val="20"/>
          <w:lang w:val="en-US"/>
        </w:rPr>
        <w:t>References</w:t>
      </w:r>
    </w:p>
    <w:p w14:paraId="1E369C49" w14:textId="5410987C" w:rsidR="00500515" w:rsidRPr="00500515" w:rsidRDefault="00500515" w:rsidP="00500515">
      <w:pPr>
        <w:ind w:left="705" w:hanging="705"/>
        <w:jc w:val="left"/>
        <w:rPr>
          <w:rFonts w:ascii="Arial" w:hAnsi="Arial" w:cs="Arial"/>
          <w:noProof/>
          <w:sz w:val="20"/>
        </w:rPr>
      </w:pPr>
      <w:r w:rsidRPr="00500515">
        <w:rPr>
          <w:rFonts w:ascii="Arial" w:hAnsi="Arial" w:cs="Arial"/>
          <w:bCs/>
          <w:sz w:val="20"/>
          <w:lang w:val="en-US"/>
        </w:rPr>
        <w:t>[1]</w:t>
      </w:r>
      <w:r w:rsidRPr="00500515">
        <w:rPr>
          <w:rFonts w:ascii="Arial" w:hAnsi="Arial" w:cs="Arial"/>
          <w:bCs/>
          <w:sz w:val="20"/>
          <w:lang w:val="en-US"/>
        </w:rPr>
        <w:tab/>
      </w:r>
      <w:r w:rsidRPr="00500515">
        <w:rPr>
          <w:rFonts w:ascii="Arial" w:hAnsi="Arial" w:cs="Arial"/>
          <w:noProof/>
          <w:sz w:val="20"/>
        </w:rPr>
        <w:t xml:space="preserve">A. Styskalik, V. Vykoukal, L. Fusaro, C. Aprile and D. P. Debecker, </w:t>
      </w:r>
      <w:r w:rsidRPr="00500515">
        <w:rPr>
          <w:rFonts w:ascii="Arial" w:hAnsi="Arial" w:cs="Arial"/>
          <w:i/>
          <w:iCs/>
          <w:noProof/>
          <w:sz w:val="20"/>
        </w:rPr>
        <w:t>Appl. Catal. B Environ.</w:t>
      </w:r>
      <w:r w:rsidRPr="00500515">
        <w:rPr>
          <w:rFonts w:ascii="Arial" w:hAnsi="Arial" w:cs="Arial"/>
          <w:noProof/>
          <w:sz w:val="20"/>
        </w:rPr>
        <w:t xml:space="preserve">, 2020, </w:t>
      </w:r>
      <w:r w:rsidRPr="00500515">
        <w:rPr>
          <w:rFonts w:ascii="Arial" w:hAnsi="Arial" w:cs="Arial"/>
          <w:b/>
          <w:bCs/>
          <w:noProof/>
          <w:sz w:val="20"/>
        </w:rPr>
        <w:t>271</w:t>
      </w:r>
      <w:r w:rsidRPr="00500515">
        <w:rPr>
          <w:rFonts w:ascii="Arial" w:hAnsi="Arial" w:cs="Arial"/>
          <w:noProof/>
          <w:sz w:val="20"/>
        </w:rPr>
        <w:t>, 118926.</w:t>
      </w:r>
    </w:p>
    <w:p w14:paraId="1BB6B593" w14:textId="788991CA" w:rsidR="00500515" w:rsidRPr="00500515" w:rsidRDefault="00500515" w:rsidP="00500515">
      <w:pPr>
        <w:ind w:left="705" w:hanging="705"/>
        <w:jc w:val="left"/>
        <w:rPr>
          <w:rFonts w:ascii="Arial" w:hAnsi="Arial" w:cs="Arial"/>
          <w:noProof/>
          <w:sz w:val="20"/>
        </w:rPr>
      </w:pPr>
      <w:r w:rsidRPr="00500515">
        <w:rPr>
          <w:rFonts w:ascii="Arial" w:hAnsi="Arial" w:cs="Arial"/>
          <w:noProof/>
          <w:sz w:val="20"/>
        </w:rPr>
        <w:t>[2]</w:t>
      </w:r>
      <w:r w:rsidRPr="00500515">
        <w:rPr>
          <w:rFonts w:ascii="Arial" w:hAnsi="Arial" w:cs="Arial"/>
          <w:noProof/>
          <w:sz w:val="20"/>
        </w:rPr>
        <w:tab/>
        <w:t xml:space="preserve">A. Styskalik, I. Kordoghli, C. Poleunis, A. Delcorte, Z. Moravec, L. Simonikova, V. Kanicky, C. Aprile, L. Fusaro and D. P. Debecker, </w:t>
      </w:r>
      <w:r w:rsidRPr="00500515">
        <w:rPr>
          <w:rFonts w:ascii="Arial" w:hAnsi="Arial" w:cs="Arial"/>
          <w:i/>
          <w:iCs/>
          <w:noProof/>
          <w:sz w:val="20"/>
        </w:rPr>
        <w:t>J. Mater. Chem. A</w:t>
      </w:r>
      <w:r w:rsidRPr="00500515">
        <w:rPr>
          <w:rFonts w:ascii="Arial" w:hAnsi="Arial" w:cs="Arial"/>
          <w:noProof/>
          <w:sz w:val="20"/>
        </w:rPr>
        <w:t xml:space="preserve">, 2020, </w:t>
      </w:r>
      <w:r w:rsidRPr="00500515">
        <w:rPr>
          <w:rFonts w:ascii="Arial" w:hAnsi="Arial" w:cs="Arial"/>
          <w:b/>
          <w:bCs/>
          <w:noProof/>
          <w:sz w:val="20"/>
        </w:rPr>
        <w:t>8</w:t>
      </w:r>
      <w:r w:rsidRPr="00500515">
        <w:rPr>
          <w:rFonts w:ascii="Arial" w:hAnsi="Arial" w:cs="Arial"/>
          <w:noProof/>
          <w:sz w:val="20"/>
        </w:rPr>
        <w:t>, 23526–23542.</w:t>
      </w:r>
    </w:p>
    <w:p w14:paraId="50AADB48" w14:textId="59C74AA0" w:rsidR="00500515" w:rsidRPr="00500515" w:rsidRDefault="00500515" w:rsidP="002C6F96">
      <w:pPr>
        <w:jc w:val="left"/>
        <w:rPr>
          <w:rFonts w:ascii="Arial" w:hAnsi="Arial" w:cs="Arial"/>
          <w:b/>
          <w:sz w:val="20"/>
          <w:lang w:val="en-US"/>
        </w:rPr>
      </w:pPr>
      <w:r w:rsidRPr="00500515">
        <w:rPr>
          <w:rFonts w:ascii="Arial" w:hAnsi="Arial" w:cs="Arial"/>
          <w:noProof/>
          <w:sz w:val="20"/>
        </w:rPr>
        <w:t>[3]</w:t>
      </w:r>
      <w:r w:rsidRPr="00500515">
        <w:rPr>
          <w:rFonts w:ascii="Arial" w:hAnsi="Arial" w:cs="Arial"/>
          <w:noProof/>
          <w:sz w:val="20"/>
        </w:rPr>
        <w:tab/>
        <w:t xml:space="preserve">R. van Grieken, J. A. Melero and G. Morales, </w:t>
      </w:r>
      <w:r w:rsidRPr="00500515">
        <w:rPr>
          <w:rFonts w:ascii="Arial" w:hAnsi="Arial" w:cs="Arial"/>
          <w:i/>
          <w:iCs/>
          <w:noProof/>
          <w:sz w:val="20"/>
        </w:rPr>
        <w:t>J. Mol. Catal. A Chem.</w:t>
      </w:r>
      <w:r w:rsidRPr="00500515">
        <w:rPr>
          <w:rFonts w:ascii="Arial" w:hAnsi="Arial" w:cs="Arial"/>
          <w:noProof/>
          <w:sz w:val="20"/>
        </w:rPr>
        <w:t xml:space="preserve">, 2006, </w:t>
      </w:r>
      <w:r w:rsidRPr="00500515">
        <w:rPr>
          <w:rFonts w:ascii="Arial" w:hAnsi="Arial" w:cs="Arial"/>
          <w:b/>
          <w:bCs/>
          <w:noProof/>
          <w:sz w:val="20"/>
        </w:rPr>
        <w:t>256</w:t>
      </w:r>
      <w:r w:rsidRPr="00500515">
        <w:rPr>
          <w:rFonts w:ascii="Arial" w:hAnsi="Arial" w:cs="Arial"/>
          <w:noProof/>
          <w:sz w:val="20"/>
        </w:rPr>
        <w:t>, 29–36.</w:t>
      </w:r>
    </w:p>
    <w:p w14:paraId="37297856" w14:textId="40EFC3D7" w:rsidR="00A43160" w:rsidRDefault="00A43160" w:rsidP="00A43160">
      <w:pPr>
        <w:widowControl w:val="0"/>
        <w:autoSpaceDE w:val="0"/>
        <w:autoSpaceDN w:val="0"/>
        <w:adjustRightInd w:val="0"/>
        <w:rPr>
          <w:rFonts w:ascii="Arial" w:hAnsi="Arial" w:cs="Arial"/>
          <w:sz w:val="16"/>
          <w:szCs w:val="16"/>
          <w:lang w:val="en-US"/>
        </w:rPr>
      </w:pPr>
    </w:p>
    <w:p w14:paraId="4885EB06" w14:textId="4007D5C6" w:rsidR="00B3698E" w:rsidRDefault="002C6F96" w:rsidP="00A43160">
      <w:pPr>
        <w:widowControl w:val="0"/>
        <w:autoSpaceDE w:val="0"/>
        <w:autoSpaceDN w:val="0"/>
        <w:adjustRightInd w:val="0"/>
        <w:rPr>
          <w:rFonts w:ascii="Arial" w:hAnsi="Arial" w:cs="Arial"/>
          <w:color w:val="0A0A0A"/>
          <w:sz w:val="18"/>
          <w:szCs w:val="18"/>
        </w:rPr>
      </w:pPr>
      <w:r>
        <w:rPr>
          <w:rFonts w:ascii="Arial" w:hAnsi="Arial" w:cs="Arial"/>
          <w:color w:val="0A0A0A"/>
          <w:sz w:val="18"/>
          <w:szCs w:val="18"/>
        </w:rPr>
        <w:t>The work has been financially supported by the Czech Science Foundation under the project GJ20-03636Y.</w:t>
      </w:r>
    </w:p>
    <w:p w14:paraId="11E9B58D" w14:textId="77777777" w:rsidR="0030281E" w:rsidRPr="00BC308B" w:rsidRDefault="0030281E" w:rsidP="00A43160">
      <w:pPr>
        <w:widowControl w:val="0"/>
        <w:autoSpaceDE w:val="0"/>
        <w:autoSpaceDN w:val="0"/>
        <w:adjustRightInd w:val="0"/>
        <w:rPr>
          <w:rFonts w:ascii="Arial" w:hAnsi="Arial" w:cs="Arial"/>
          <w:color w:val="0A0A0A"/>
          <w:sz w:val="18"/>
          <w:szCs w:val="18"/>
        </w:rPr>
      </w:pPr>
    </w:p>
    <w:sectPr w:rsidR="0030281E" w:rsidRPr="00BC308B" w:rsidSect="009D56CE">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ADC82" w14:textId="77777777" w:rsidR="00A925A2" w:rsidRDefault="00A925A2" w:rsidP="009D56CE">
      <w:r>
        <w:separator/>
      </w:r>
    </w:p>
  </w:endnote>
  <w:endnote w:type="continuationSeparator" w:id="0">
    <w:p w14:paraId="717B1DF7" w14:textId="77777777" w:rsidR="00A925A2" w:rsidRDefault="00A925A2" w:rsidP="009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379A7" w14:textId="77777777" w:rsidR="00A925A2" w:rsidRDefault="00A925A2" w:rsidP="009D56CE">
      <w:r>
        <w:separator/>
      </w:r>
    </w:p>
  </w:footnote>
  <w:footnote w:type="continuationSeparator" w:id="0">
    <w:p w14:paraId="0CEBD775" w14:textId="77777777" w:rsidR="00A925A2" w:rsidRDefault="00A925A2" w:rsidP="009D56C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F7852"/>
    <w:multiLevelType w:val="hybridMultilevel"/>
    <w:tmpl w:val="674EB546"/>
    <w:lvl w:ilvl="0" w:tplc="C6F05F8E">
      <w:start w:val="1"/>
      <w:numFmt w:val="decimal"/>
      <w:pStyle w:val="References"/>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6CE"/>
    <w:rsid w:val="00033527"/>
    <w:rsid w:val="00060C59"/>
    <w:rsid w:val="00133BD9"/>
    <w:rsid w:val="0015082E"/>
    <w:rsid w:val="00196140"/>
    <w:rsid w:val="002C6F96"/>
    <w:rsid w:val="002F14CC"/>
    <w:rsid w:val="002F48FA"/>
    <w:rsid w:val="0030281E"/>
    <w:rsid w:val="0031524A"/>
    <w:rsid w:val="0035010B"/>
    <w:rsid w:val="003E1301"/>
    <w:rsid w:val="00500515"/>
    <w:rsid w:val="005858B0"/>
    <w:rsid w:val="00587EF6"/>
    <w:rsid w:val="0059000F"/>
    <w:rsid w:val="005B6D3C"/>
    <w:rsid w:val="00622925"/>
    <w:rsid w:val="006D5443"/>
    <w:rsid w:val="007175DD"/>
    <w:rsid w:val="007353DF"/>
    <w:rsid w:val="00773637"/>
    <w:rsid w:val="00773FDC"/>
    <w:rsid w:val="007C53A0"/>
    <w:rsid w:val="007C7EBA"/>
    <w:rsid w:val="00860B8F"/>
    <w:rsid w:val="00890FF7"/>
    <w:rsid w:val="008B5BAF"/>
    <w:rsid w:val="009D3604"/>
    <w:rsid w:val="009D56CE"/>
    <w:rsid w:val="00A43160"/>
    <w:rsid w:val="00A925A2"/>
    <w:rsid w:val="00AB7B9A"/>
    <w:rsid w:val="00B3698E"/>
    <w:rsid w:val="00BB1C5B"/>
    <w:rsid w:val="00BC308B"/>
    <w:rsid w:val="00BD47BA"/>
    <w:rsid w:val="00C172D8"/>
    <w:rsid w:val="00C65826"/>
    <w:rsid w:val="00CF5358"/>
    <w:rsid w:val="00D3093B"/>
    <w:rsid w:val="00DB338F"/>
    <w:rsid w:val="00DB3A8E"/>
    <w:rsid w:val="00DE5ED7"/>
    <w:rsid w:val="00EA7776"/>
    <w:rsid w:val="00F27FD4"/>
    <w:rsid w:val="00F743D0"/>
    <w:rsid w:val="00FF38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5B0AB"/>
  <w15:docId w15:val="{1107C552-27B9-48AE-A050-D0EB5706A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60B8F"/>
    <w:pPr>
      <w:jc w:val="both"/>
    </w:pPr>
    <w:rPr>
      <w:sz w:val="24"/>
      <w:lang w:val="en-GB" w:eastAsia="en-US"/>
    </w:rPr>
  </w:style>
  <w:style w:type="paragraph" w:styleId="Nadpis1">
    <w:name w:val="heading 1"/>
    <w:basedOn w:val="Normln"/>
    <w:next w:val="Normln"/>
    <w:link w:val="Nadpis1Char"/>
    <w:qFormat/>
    <w:rsid w:val="00860B8F"/>
    <w:pPr>
      <w:keepNext/>
      <w:outlineLvl w:val="0"/>
    </w:pPr>
    <w:rPr>
      <w:b/>
    </w:rPr>
  </w:style>
  <w:style w:type="paragraph" w:styleId="Nadpis2">
    <w:name w:val="heading 2"/>
    <w:basedOn w:val="Normln"/>
    <w:next w:val="Normln"/>
    <w:link w:val="Nadpis2Char"/>
    <w:qFormat/>
    <w:rsid w:val="00860B8F"/>
    <w:pPr>
      <w:keepNext/>
      <w:outlineLvl w:val="1"/>
    </w:pPr>
    <w:rPr>
      <w:b/>
      <w:bCs/>
    </w:rPr>
  </w:style>
  <w:style w:type="paragraph" w:styleId="Nadpis3">
    <w:name w:val="heading 3"/>
    <w:basedOn w:val="Normln"/>
    <w:next w:val="Normln"/>
    <w:link w:val="Nadpis3Char"/>
    <w:qFormat/>
    <w:rsid w:val="00860B8F"/>
    <w:pPr>
      <w:keepNext/>
      <w:outlineLvl w:val="2"/>
    </w:pPr>
    <w:rPr>
      <w:caps/>
    </w:rPr>
  </w:style>
  <w:style w:type="paragraph" w:styleId="Nadpis4">
    <w:name w:val="heading 4"/>
    <w:basedOn w:val="Normln"/>
    <w:next w:val="Normln"/>
    <w:link w:val="Nadpis4Char"/>
    <w:qFormat/>
    <w:rsid w:val="00860B8F"/>
    <w:pPr>
      <w:keepNext/>
      <w:jc w:val="left"/>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860B8F"/>
    <w:rPr>
      <w:b/>
      <w:sz w:val="24"/>
      <w:lang w:val="en-GB" w:eastAsia="en-US"/>
    </w:rPr>
  </w:style>
  <w:style w:type="character" w:customStyle="1" w:styleId="Nadpis2Char">
    <w:name w:val="Nadpis 2 Char"/>
    <w:basedOn w:val="Standardnpsmoodstavce"/>
    <w:link w:val="Nadpis2"/>
    <w:rsid w:val="00860B8F"/>
    <w:rPr>
      <w:b/>
      <w:bCs/>
      <w:sz w:val="24"/>
      <w:lang w:val="en-GB" w:eastAsia="en-US"/>
    </w:rPr>
  </w:style>
  <w:style w:type="character" w:customStyle="1" w:styleId="Nadpis3Char">
    <w:name w:val="Nadpis 3 Char"/>
    <w:basedOn w:val="Standardnpsmoodstavce"/>
    <w:link w:val="Nadpis3"/>
    <w:rsid w:val="00860B8F"/>
    <w:rPr>
      <w:caps/>
      <w:sz w:val="24"/>
      <w:lang w:val="en-GB" w:eastAsia="en-US"/>
    </w:rPr>
  </w:style>
  <w:style w:type="character" w:customStyle="1" w:styleId="Nadpis4Char">
    <w:name w:val="Nadpis 4 Char"/>
    <w:basedOn w:val="Standardnpsmoodstavce"/>
    <w:link w:val="Nadpis4"/>
    <w:rsid w:val="00860B8F"/>
    <w:rPr>
      <w:sz w:val="24"/>
      <w:lang w:val="en-GB" w:eastAsia="en-US"/>
    </w:rPr>
  </w:style>
  <w:style w:type="paragraph" w:styleId="Titulek">
    <w:name w:val="caption"/>
    <w:basedOn w:val="Normln"/>
    <w:next w:val="Normln"/>
    <w:link w:val="TitulekChar"/>
    <w:uiPriority w:val="99"/>
    <w:qFormat/>
    <w:rsid w:val="00860B8F"/>
    <w:pPr>
      <w:jc w:val="center"/>
    </w:pPr>
  </w:style>
  <w:style w:type="character" w:customStyle="1" w:styleId="TitulekChar">
    <w:name w:val="Titulek Char"/>
    <w:link w:val="Titulek"/>
    <w:uiPriority w:val="99"/>
    <w:locked/>
    <w:rsid w:val="00860B8F"/>
    <w:rPr>
      <w:sz w:val="24"/>
      <w:lang w:val="en-GB" w:eastAsia="en-US"/>
    </w:rPr>
  </w:style>
  <w:style w:type="paragraph" w:styleId="Nzev">
    <w:name w:val="Title"/>
    <w:basedOn w:val="Normln"/>
    <w:link w:val="NzevChar"/>
    <w:qFormat/>
    <w:rsid w:val="00860B8F"/>
    <w:pPr>
      <w:jc w:val="center"/>
    </w:pPr>
    <w:rPr>
      <w:b/>
      <w:bCs/>
      <w:sz w:val="28"/>
    </w:rPr>
  </w:style>
  <w:style w:type="character" w:customStyle="1" w:styleId="NzevChar">
    <w:name w:val="Název Char"/>
    <w:basedOn w:val="Standardnpsmoodstavce"/>
    <w:link w:val="Nzev"/>
    <w:rsid w:val="00860B8F"/>
    <w:rPr>
      <w:b/>
      <w:bCs/>
      <w:sz w:val="28"/>
      <w:lang w:val="en-GB" w:eastAsia="en-US"/>
    </w:rPr>
  </w:style>
  <w:style w:type="character" w:styleId="Zdraznn">
    <w:name w:val="Emphasis"/>
    <w:basedOn w:val="Standardnpsmoodstavce"/>
    <w:uiPriority w:val="20"/>
    <w:qFormat/>
    <w:rsid w:val="00860B8F"/>
    <w:rPr>
      <w:i/>
      <w:iCs/>
    </w:rPr>
  </w:style>
  <w:style w:type="paragraph" w:styleId="Odstavecseseznamem">
    <w:name w:val="List Paragraph"/>
    <w:basedOn w:val="Normln"/>
    <w:uiPriority w:val="34"/>
    <w:qFormat/>
    <w:rsid w:val="00860B8F"/>
    <w:pPr>
      <w:spacing w:after="160" w:line="259" w:lineRule="auto"/>
      <w:ind w:left="720"/>
      <w:contextualSpacing/>
      <w:jc w:val="left"/>
    </w:pPr>
    <w:rPr>
      <w:rFonts w:asciiTheme="minorHAnsi" w:eastAsiaTheme="minorHAnsi" w:hAnsiTheme="minorHAnsi" w:cstheme="minorBidi"/>
      <w:sz w:val="22"/>
      <w:szCs w:val="22"/>
      <w:lang w:val="fr-FR"/>
    </w:rPr>
  </w:style>
  <w:style w:type="paragraph" w:styleId="Nadpisobsahu">
    <w:name w:val="TOC Heading"/>
    <w:basedOn w:val="Nadpis1"/>
    <w:next w:val="Normln"/>
    <w:uiPriority w:val="39"/>
    <w:semiHidden/>
    <w:unhideWhenUsed/>
    <w:qFormat/>
    <w:rsid w:val="00860B8F"/>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fr-FR"/>
    </w:rPr>
  </w:style>
  <w:style w:type="paragraph" w:customStyle="1" w:styleId="References">
    <w:name w:val="References"/>
    <w:basedOn w:val="Normln"/>
    <w:link w:val="ReferencesChar"/>
    <w:autoRedefine/>
    <w:qFormat/>
    <w:rsid w:val="00860B8F"/>
    <w:pPr>
      <w:numPr>
        <w:numId w:val="1"/>
      </w:numPr>
      <w:contextualSpacing/>
    </w:pPr>
    <w:rPr>
      <w:rFonts w:eastAsia="TimesNewRoman"/>
      <w:iCs/>
      <w:sz w:val="18"/>
      <w:bdr w:val="none" w:sz="0" w:space="0" w:color="auto" w:frame="1"/>
      <w:lang w:eastAsia="it-IT"/>
    </w:rPr>
  </w:style>
  <w:style w:type="character" w:customStyle="1" w:styleId="ReferencesChar">
    <w:name w:val="References Char"/>
    <w:link w:val="References"/>
    <w:rsid w:val="00860B8F"/>
    <w:rPr>
      <w:rFonts w:eastAsia="TimesNewRoman"/>
      <w:iCs/>
      <w:sz w:val="18"/>
      <w:bdr w:val="none" w:sz="0" w:space="0" w:color="auto" w:frame="1"/>
      <w:lang w:val="en-GB" w:eastAsia="it-IT"/>
    </w:rPr>
  </w:style>
  <w:style w:type="paragraph" w:customStyle="1" w:styleId="Titreprincipal">
    <w:name w:val="Titre principal"/>
    <w:basedOn w:val="Normln"/>
    <w:qFormat/>
    <w:rsid w:val="00860B8F"/>
    <w:pPr>
      <w:keepNext/>
      <w:suppressAutoHyphens/>
      <w:spacing w:before="240" w:after="120"/>
      <w:jc w:val="center"/>
    </w:pPr>
    <w:rPr>
      <w:rFonts w:ascii="Liberation Sans" w:eastAsia="Microsoft YaHei" w:hAnsi="Liberation Sans" w:cs="Mangal"/>
      <w:b/>
      <w:bCs/>
      <w:sz w:val="28"/>
      <w:szCs w:val="28"/>
    </w:rPr>
  </w:style>
  <w:style w:type="paragraph" w:styleId="Zhlav">
    <w:name w:val="header"/>
    <w:basedOn w:val="Normln"/>
    <w:link w:val="ZhlavChar"/>
    <w:uiPriority w:val="99"/>
    <w:unhideWhenUsed/>
    <w:rsid w:val="009D56CE"/>
    <w:pPr>
      <w:tabs>
        <w:tab w:val="center" w:pos="4536"/>
        <w:tab w:val="right" w:pos="9072"/>
      </w:tabs>
    </w:pPr>
  </w:style>
  <w:style w:type="character" w:customStyle="1" w:styleId="ZhlavChar">
    <w:name w:val="Záhlaví Char"/>
    <w:basedOn w:val="Standardnpsmoodstavce"/>
    <w:link w:val="Zhlav"/>
    <w:uiPriority w:val="99"/>
    <w:rsid w:val="009D56CE"/>
    <w:rPr>
      <w:sz w:val="24"/>
      <w:lang w:val="en-GB" w:eastAsia="en-US"/>
    </w:rPr>
  </w:style>
  <w:style w:type="paragraph" w:styleId="Zpat">
    <w:name w:val="footer"/>
    <w:basedOn w:val="Normln"/>
    <w:link w:val="ZpatChar"/>
    <w:uiPriority w:val="99"/>
    <w:unhideWhenUsed/>
    <w:rsid w:val="009D56CE"/>
    <w:pPr>
      <w:tabs>
        <w:tab w:val="center" w:pos="4536"/>
        <w:tab w:val="right" w:pos="9072"/>
      </w:tabs>
    </w:pPr>
  </w:style>
  <w:style w:type="character" w:customStyle="1" w:styleId="ZpatChar">
    <w:name w:val="Zápatí Char"/>
    <w:basedOn w:val="Standardnpsmoodstavce"/>
    <w:link w:val="Zpat"/>
    <w:uiPriority w:val="99"/>
    <w:rsid w:val="009D56CE"/>
    <w:rPr>
      <w:sz w:val="24"/>
      <w:lang w:val="en-GB" w:eastAsia="en-US"/>
    </w:rPr>
  </w:style>
  <w:style w:type="paragraph" w:styleId="Textbubliny">
    <w:name w:val="Balloon Text"/>
    <w:basedOn w:val="Normln"/>
    <w:link w:val="TextbublinyChar"/>
    <w:uiPriority w:val="99"/>
    <w:semiHidden/>
    <w:unhideWhenUsed/>
    <w:rsid w:val="009D56CE"/>
    <w:rPr>
      <w:rFonts w:ascii="Tahoma" w:hAnsi="Tahoma" w:cs="Tahoma"/>
      <w:sz w:val="16"/>
      <w:szCs w:val="16"/>
    </w:rPr>
  </w:style>
  <w:style w:type="character" w:customStyle="1" w:styleId="TextbublinyChar">
    <w:name w:val="Text bubliny Char"/>
    <w:basedOn w:val="Standardnpsmoodstavce"/>
    <w:link w:val="Textbubliny"/>
    <w:uiPriority w:val="99"/>
    <w:semiHidden/>
    <w:rsid w:val="009D56CE"/>
    <w:rPr>
      <w:rFonts w:ascii="Tahoma" w:hAnsi="Tahoma" w:cs="Tahoma"/>
      <w:sz w:val="16"/>
      <w:szCs w:val="16"/>
      <w:lang w:val="en-GB" w:eastAsia="en-US"/>
    </w:rPr>
  </w:style>
  <w:style w:type="character" w:styleId="Znakapoznpodarou">
    <w:name w:val="footnote reference"/>
    <w:semiHidden/>
    <w:unhideWhenUsed/>
    <w:rsid w:val="009D56CE"/>
    <w:rPr>
      <w:vertAlign w:val="superscript"/>
    </w:rPr>
  </w:style>
  <w:style w:type="paragraph" w:customStyle="1" w:styleId="2-title">
    <w:name w:val="2-title"/>
    <w:basedOn w:val="Normln"/>
    <w:rsid w:val="009D56CE"/>
    <w:pPr>
      <w:jc w:val="center"/>
    </w:pPr>
    <w:rPr>
      <w:rFonts w:ascii="Arial" w:eastAsia="Calibri" w:hAnsi="Arial" w:cs="Arial"/>
      <w:b/>
      <w:sz w:val="22"/>
      <w:szCs w:val="22"/>
    </w:rPr>
  </w:style>
  <w:style w:type="paragraph" w:customStyle="1" w:styleId="3-author">
    <w:name w:val="3-author"/>
    <w:basedOn w:val="Normln"/>
    <w:rsid w:val="009D56CE"/>
    <w:pPr>
      <w:jc w:val="center"/>
    </w:pPr>
    <w:rPr>
      <w:rFonts w:ascii="Arial" w:eastAsia="Calibri" w:hAnsi="Arial" w:cs="Arial"/>
      <w:b/>
      <w:sz w:val="18"/>
    </w:rPr>
  </w:style>
  <w:style w:type="paragraph" w:customStyle="1" w:styleId="4-dept">
    <w:name w:val="4-dept"/>
    <w:basedOn w:val="Normln"/>
    <w:rsid w:val="009D56CE"/>
    <w:pPr>
      <w:spacing w:before="60" w:after="60"/>
      <w:jc w:val="center"/>
    </w:pPr>
    <w:rPr>
      <w:rFonts w:ascii="Arial" w:eastAsia="Calibri" w:hAnsi="Arial" w:cs="Arial"/>
      <w:i/>
      <w:sz w:val="14"/>
      <w:szCs w:val="18"/>
    </w:rPr>
  </w:style>
  <w:style w:type="paragraph" w:customStyle="1" w:styleId="6-abstract">
    <w:name w:val="6-abstract"/>
    <w:basedOn w:val="Normln"/>
    <w:rsid w:val="009D56CE"/>
    <w:rPr>
      <w:rFonts w:ascii="Arial" w:eastAsia="Calibri" w:hAnsi="Arial" w:cs="Arial"/>
      <w:sz w:val="18"/>
      <w:szCs w:val="18"/>
    </w:rPr>
  </w:style>
  <w:style w:type="character" w:styleId="Hypertextovodkaz">
    <w:name w:val="Hyperlink"/>
    <w:basedOn w:val="Standardnpsmoodstavce"/>
    <w:uiPriority w:val="99"/>
    <w:unhideWhenUsed/>
    <w:rsid w:val="00BC308B"/>
    <w:rPr>
      <w:color w:val="0000FF" w:themeColor="hyperlink"/>
      <w:u w:val="single"/>
    </w:rPr>
  </w:style>
  <w:style w:type="character" w:customStyle="1" w:styleId="UnresolvedMention">
    <w:name w:val="Unresolved Mention"/>
    <w:basedOn w:val="Standardnpsmoodstavce"/>
    <w:uiPriority w:val="99"/>
    <w:semiHidden/>
    <w:unhideWhenUsed/>
    <w:rsid w:val="00BC3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021755">
      <w:bodyDiv w:val="1"/>
      <w:marLeft w:val="0"/>
      <w:marRight w:val="0"/>
      <w:marTop w:val="0"/>
      <w:marBottom w:val="0"/>
      <w:divBdr>
        <w:top w:val="none" w:sz="0" w:space="0" w:color="auto"/>
        <w:left w:val="none" w:sz="0" w:space="0" w:color="auto"/>
        <w:bottom w:val="none" w:sz="0" w:space="0" w:color="auto"/>
        <w:right w:val="none" w:sz="0" w:space="0" w:color="auto"/>
      </w:divBdr>
    </w:div>
    <w:div w:id="308438734">
      <w:bodyDiv w:val="1"/>
      <w:marLeft w:val="0"/>
      <w:marRight w:val="0"/>
      <w:marTop w:val="0"/>
      <w:marBottom w:val="0"/>
      <w:divBdr>
        <w:top w:val="none" w:sz="0" w:space="0" w:color="auto"/>
        <w:left w:val="none" w:sz="0" w:space="0" w:color="auto"/>
        <w:bottom w:val="none" w:sz="0" w:space="0" w:color="auto"/>
        <w:right w:val="none" w:sz="0" w:space="0" w:color="auto"/>
      </w:divBdr>
    </w:div>
    <w:div w:id="593974790">
      <w:bodyDiv w:val="1"/>
      <w:marLeft w:val="0"/>
      <w:marRight w:val="0"/>
      <w:marTop w:val="0"/>
      <w:marBottom w:val="0"/>
      <w:divBdr>
        <w:top w:val="none" w:sz="0" w:space="0" w:color="auto"/>
        <w:left w:val="none" w:sz="0" w:space="0" w:color="auto"/>
        <w:bottom w:val="none" w:sz="0" w:space="0" w:color="auto"/>
        <w:right w:val="none" w:sz="0" w:space="0" w:color="auto"/>
      </w:divBdr>
    </w:div>
    <w:div w:id="1168253480">
      <w:bodyDiv w:val="1"/>
      <w:marLeft w:val="0"/>
      <w:marRight w:val="0"/>
      <w:marTop w:val="0"/>
      <w:marBottom w:val="0"/>
      <w:divBdr>
        <w:top w:val="none" w:sz="0" w:space="0" w:color="auto"/>
        <w:left w:val="none" w:sz="0" w:space="0" w:color="auto"/>
        <w:bottom w:val="none" w:sz="0" w:space="0" w:color="auto"/>
        <w:right w:val="none" w:sz="0" w:space="0" w:color="auto"/>
      </w:divBdr>
    </w:div>
    <w:div w:id="1199970279">
      <w:bodyDiv w:val="1"/>
      <w:marLeft w:val="0"/>
      <w:marRight w:val="0"/>
      <w:marTop w:val="0"/>
      <w:marBottom w:val="0"/>
      <w:divBdr>
        <w:top w:val="none" w:sz="0" w:space="0" w:color="auto"/>
        <w:left w:val="none" w:sz="0" w:space="0" w:color="auto"/>
        <w:bottom w:val="none" w:sz="0" w:space="0" w:color="auto"/>
        <w:right w:val="none" w:sz="0" w:space="0" w:color="auto"/>
      </w:divBdr>
    </w:div>
    <w:div w:id="1292713633">
      <w:bodyDiv w:val="1"/>
      <w:marLeft w:val="0"/>
      <w:marRight w:val="0"/>
      <w:marTop w:val="0"/>
      <w:marBottom w:val="0"/>
      <w:divBdr>
        <w:top w:val="none" w:sz="0" w:space="0" w:color="auto"/>
        <w:left w:val="none" w:sz="0" w:space="0" w:color="auto"/>
        <w:bottom w:val="none" w:sz="0" w:space="0" w:color="auto"/>
        <w:right w:val="none" w:sz="0" w:space="0" w:color="auto"/>
      </w:divBdr>
    </w:div>
    <w:div w:id="1665621638">
      <w:bodyDiv w:val="1"/>
      <w:marLeft w:val="0"/>
      <w:marRight w:val="0"/>
      <w:marTop w:val="0"/>
      <w:marBottom w:val="0"/>
      <w:divBdr>
        <w:top w:val="none" w:sz="0" w:space="0" w:color="auto"/>
        <w:left w:val="none" w:sz="0" w:space="0" w:color="auto"/>
        <w:bottom w:val="none" w:sz="0" w:space="0" w:color="auto"/>
        <w:right w:val="none" w:sz="0" w:space="0" w:color="auto"/>
      </w:divBdr>
    </w:div>
    <w:div w:id="190567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svg"/><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625DE-36AC-4DBD-83C5-F574D178C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1357</Words>
  <Characters>8821</Characters>
  <Application>Microsoft Office Word</Application>
  <DocSecurity>0</DocSecurity>
  <Lines>144</Lines>
  <Paragraphs>51</Paragraphs>
  <ScaleCrop>false</ScaleCrop>
  <HeadingPairs>
    <vt:vector size="6" baseType="variant">
      <vt:variant>
        <vt:lpstr>Název</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Microsoft</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Jiří Pinkas</cp:lastModifiedBy>
  <cp:revision>2</cp:revision>
  <dcterms:created xsi:type="dcterms:W3CDTF">2023-01-09T08:32:00Z</dcterms:created>
  <dcterms:modified xsi:type="dcterms:W3CDTF">2023-01-09T08:32:00Z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http://www.zotero.org/styles/journal-of-the-american-chemical-society</vt:lpwstr>
  </property>
  <property fmtid="{D5CDD505-2E9C-101B-9397-08002B2CF9AE}" pid="13" name="Mendeley Recent Style Name 5_1">
    <vt:lpwstr>Journal of the American Chemical Society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http://www.zotero.org/styles/royal-society-of-chemistry</vt:lpwstr>
  </property>
  <property fmtid="{D5CDD505-2E9C-101B-9397-08002B2CF9AE}" pid="17" name="Mendeley Recent Style Name 7_1">
    <vt:lpwstr>Royal Society of Chemistry</vt:lpwstr>
  </property>
  <property fmtid="{D5CDD505-2E9C-101B-9397-08002B2CF9AE}" pid="18" name="Mendeley Recent Style Id 8_1">
    <vt:lpwstr>http://www.zotero.org/styles/royal-society-of-chemistry-with-titles</vt:lpwstr>
  </property>
  <property fmtid="{D5CDD505-2E9C-101B-9397-08002B2CF9AE}" pid="19" name="Mendeley Recent Style Name 8_1">
    <vt:lpwstr>Royal Society of Chemistry (with titles)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34f4f5b7-d795-3c69-8957-a1daec961ceb</vt:lpwstr>
  </property>
  <property fmtid="{D5CDD505-2E9C-101B-9397-08002B2CF9AE}" pid="24" name="Mendeley Citation Style_1">
    <vt:lpwstr>http://www.zotero.org/styles/royal-society-of-chemistry</vt:lpwstr>
  </property>
</Properties>
</file>