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F06" w:rsidRDefault="006A1F06">
      <w:pPr>
        <w:widowControl w:val="0"/>
        <w:pBdr>
          <w:top w:val="nil"/>
          <w:left w:val="nil"/>
          <w:bottom w:val="nil"/>
          <w:right w:val="nil"/>
          <w:between w:val="nil"/>
        </w:pBdr>
        <w:spacing w:line="276" w:lineRule="auto"/>
        <w:rPr>
          <w:rFonts w:ascii="Arial" w:eastAsia="Arial" w:hAnsi="Arial" w:cs="Arial"/>
          <w:sz w:val="22"/>
          <w:szCs w:val="22"/>
        </w:rPr>
      </w:pPr>
    </w:p>
    <w:tbl>
      <w:tblPr>
        <w:tblStyle w:val="a3"/>
        <w:tblW w:w="94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707"/>
        <w:gridCol w:w="6741"/>
      </w:tblGrid>
      <w:tr w:rsidR="006A1F06">
        <w:trPr>
          <w:trHeight w:val="1700"/>
        </w:trPr>
        <w:tc>
          <w:tcPr>
            <w:tcW w:w="9448" w:type="dxa"/>
            <w:gridSpan w:val="2"/>
            <w:tcBorders>
              <w:top w:val="single" w:sz="4" w:space="0" w:color="000000"/>
              <w:bottom w:val="nil"/>
            </w:tcBorders>
            <w:shd w:val="clear" w:color="auto" w:fill="BFBFBF"/>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Introduction to Epidemiology and Environmental Health</w:t>
            </w:r>
          </w:p>
          <w:p w:rsidR="006A1F06"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Lecture (E2040) and Practice (E2041)</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Autumn 2023</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Wednesdays 11:00 – 12:50 and 13:00 – 14:50 </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Room RCX1 (D29/252)</w:t>
            </w:r>
          </w:p>
        </w:tc>
      </w:tr>
      <w:tr w:rsidR="006A1F06">
        <w:trPr>
          <w:trHeight w:val="268"/>
        </w:trPr>
        <w:tc>
          <w:tcPr>
            <w:tcW w:w="2707" w:type="dxa"/>
            <w:tcBorders>
              <w:top w:val="nil"/>
            </w:tcBorders>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Instructors:   </w:t>
            </w: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imes New Roman" w:eastAsia="Times New Roman" w:hAnsi="Times New Roman" w:cs="Times New Roman"/>
                <w:b/>
                <w:sz w:val="2"/>
                <w:szCs w:val="2"/>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Times New Roman" w:eastAsia="Times New Roman" w:hAnsi="Times New Roman" w:cs="Times New Roman"/>
                <w:b/>
                <w:sz w:val="24"/>
                <w:szCs w:val="24"/>
              </w:rPr>
            </w:pPr>
          </w:p>
        </w:tc>
        <w:tc>
          <w:tcPr>
            <w:tcW w:w="6741" w:type="dxa"/>
            <w:tcBorders>
              <w:top w:val="nil"/>
            </w:tcBorders>
          </w:tcPr>
          <w:p w:rsidR="006A1F06" w:rsidRDefault="00000000">
            <w:pPr>
              <w:keepLines/>
              <w:pBdr>
                <w:top w:val="nil"/>
                <w:left w:val="nil"/>
                <w:bottom w:val="nil"/>
                <w:right w:val="nil"/>
                <w:between w:val="nil"/>
              </w:pBd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Mgr. Albert Kšiňan, Ph.D.</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Mgr. Gabriela Kšiňanová, Ph.D.</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Katarzyna Kordas, Ph.D.</w:t>
            </w:r>
          </w:p>
          <w:p w:rsidR="006A1F06"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MUDr</w:t>
            </w:r>
            <w:proofErr w:type="spellEnd"/>
            <w:r>
              <w:rPr>
                <w:rFonts w:ascii="Times New Roman" w:eastAsia="Times New Roman" w:hAnsi="Times New Roman" w:cs="Times New Roman"/>
                <w:sz w:val="24"/>
                <w:szCs w:val="24"/>
              </w:rPr>
              <w:t xml:space="preserve">. Martin Bobák, M.Sc., Ph.D. </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Mgr. Hynek Pikhart, Ph.D., M.Sc.</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Mgr. Andrea Dalecká, Ph.D.</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Mgr. Anna Bartošková</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Mgr. Daniel Szabó</w:t>
            </w:r>
          </w:p>
          <w:p w:rsidR="006A1F06" w:rsidRDefault="006A1F06">
            <w:pPr>
              <w:rPr>
                <w:rFonts w:ascii="Times New Roman" w:eastAsia="Times New Roman" w:hAnsi="Times New Roman" w:cs="Times New Roman"/>
                <w:sz w:val="24"/>
                <w:szCs w:val="24"/>
              </w:rPr>
            </w:pPr>
          </w:p>
        </w:tc>
      </w:tr>
      <w:tr w:rsidR="006A1F06">
        <w:trPr>
          <w:trHeight w:val="268"/>
        </w:trPr>
        <w:tc>
          <w:tcPr>
            <w:tcW w:w="2707" w:type="dxa"/>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w:t>
            </w:r>
            <w:r>
              <w:rPr>
                <w:rFonts w:ascii="Times New Roman" w:eastAsia="Times New Roman" w:hAnsi="Times New Roman" w:cs="Times New Roman"/>
                <w:b/>
                <w:sz w:val="24"/>
                <w:szCs w:val="24"/>
              </w:rPr>
              <w:tab/>
            </w:r>
          </w:p>
        </w:tc>
        <w:tc>
          <w:tcPr>
            <w:tcW w:w="6741" w:type="dxa"/>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327 (UKB, Kamenice 34, INBIT – 3rd floor)</w:t>
            </w:r>
          </w:p>
        </w:tc>
      </w:tr>
      <w:tr w:rsidR="006A1F06">
        <w:trPr>
          <w:trHeight w:val="268"/>
        </w:trPr>
        <w:tc>
          <w:tcPr>
            <w:tcW w:w="2707" w:type="dxa"/>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6741" w:type="dxa"/>
          </w:tcPr>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albert.ksinan@recetox.muni.cz</w:t>
            </w:r>
          </w:p>
          <w:p w:rsidR="006A1F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gabriela.ksinanova@recetox.muni.cz</w:t>
            </w:r>
          </w:p>
        </w:tc>
      </w:tr>
      <w:tr w:rsidR="006A1F06">
        <w:trPr>
          <w:trHeight w:val="393"/>
        </w:trPr>
        <w:tc>
          <w:tcPr>
            <w:tcW w:w="2707" w:type="dxa"/>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Hours:</w:t>
            </w:r>
          </w:p>
        </w:tc>
        <w:tc>
          <w:tcPr>
            <w:tcW w:w="6741" w:type="dxa"/>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by appointment</w:t>
            </w:r>
          </w:p>
        </w:tc>
      </w:tr>
    </w:tbl>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b/>
          <w:sz w:val="24"/>
          <w:szCs w:val="24"/>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b/>
          <w:sz w:val="24"/>
          <w:szCs w:val="24"/>
        </w:rPr>
      </w:pP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Focus</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comprehensive course covers fundamental concepts of epidemiology and environmental health. Students will explore the research methods employed to examine population health and gain insights into the various determinants of diseases within communities. By studying the dynamic relationship between human health and the environment, learners will develop the skills to analyze research findings and apply them effectively in real-world scenarios, contributing to the improvement of public health outcomes.</w:t>
      </w: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course is organized as a lecture (E2040) and practice (E2041) sessions. Students taking the course are required to register for both parts of the course.</w:t>
      </w:r>
    </w:p>
    <w:p w:rsidR="006A1F06" w:rsidRDefault="006A1F06">
      <w:pPr>
        <w:keepLines/>
        <w:rPr>
          <w:rFonts w:ascii="Times New Roman" w:eastAsia="Times New Roman" w:hAnsi="Times New Roman" w:cs="Times New Roman"/>
          <w:b/>
          <w:sz w:val="24"/>
          <w:szCs w:val="24"/>
        </w:rPr>
      </w:pP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Learning Outcomes </w:t>
      </w:r>
      <w:r>
        <w:rPr>
          <w:rFonts w:ascii="Times New Roman" w:eastAsia="Times New Roman" w:hAnsi="Times New Roman" w:cs="Times New Roman"/>
          <w:sz w:val="24"/>
          <w:szCs w:val="24"/>
        </w:rPr>
        <w:t>(after this course, the student will be able to):</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comprehensive understanding of population health and epidemiology, including the ability to define and explain key concepts.</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occurrence and spread of diseases within populations, identifying their underlying causes.</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and interpret various risk rates to assess the potential impact of diseases.</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Navigate diverse sources of data commonly used in epidemiological research.</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different types of epidemiological studies, evaluating their respective strengths and weaknesses.</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quality and validity of research studies in epidemiology.</w:t>
      </w:r>
    </w:p>
    <w:p w:rsidR="006A1F06" w:rsidRDefault="00000000">
      <w:pPr>
        <w:keepLines/>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Utilize research findings to propose evidence-based recommendations for practical applications and improvements in public health.</w:t>
      </w:r>
    </w:p>
    <w:p w:rsidR="006A1F06" w:rsidRDefault="006A1F06">
      <w:pPr>
        <w:keepLines/>
        <w:pBdr>
          <w:top w:val="nil"/>
          <w:left w:val="nil"/>
          <w:bottom w:val="nil"/>
          <w:right w:val="nil"/>
          <w:between w:val="nil"/>
        </w:pBdr>
        <w:rPr>
          <w:rFonts w:ascii="Times New Roman" w:eastAsia="Times New Roman" w:hAnsi="Times New Roman" w:cs="Times New Roman"/>
          <w:sz w:val="24"/>
          <w:szCs w:val="24"/>
        </w:rPr>
      </w:pPr>
    </w:p>
    <w:p w:rsidR="006A1F06" w:rsidRDefault="00000000">
      <w:pPr>
        <w:keepLines/>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Resources</w:t>
      </w:r>
    </w:p>
    <w:p w:rsidR="006A1F06" w:rsidRDefault="00000000">
      <w:pPr>
        <w:keepLines/>
        <w:widowControl w:val="0"/>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primary electronic platform for class study materials and assignment submissions is </w:t>
      </w:r>
      <w:proofErr w:type="spellStart"/>
      <w:proofErr w:type="gramStart"/>
      <w:r>
        <w:rPr>
          <w:rFonts w:ascii="Times New Roman" w:eastAsia="Times New Roman" w:hAnsi="Times New Roman" w:cs="Times New Roman"/>
          <w:sz w:val="24"/>
          <w:szCs w:val="24"/>
        </w:rPr>
        <w:t>is.muni</w:t>
      </w:r>
      <w:proofErr w:type="spellEnd"/>
      <w:proofErr w:type="gram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https://is.muni.cz/auth/predmet/sci/podzim2023/E2040</w:t>
        </w:r>
      </w:hyperlink>
      <w:r>
        <w:rPr>
          <w:rFonts w:ascii="Times New Roman" w:eastAsia="Times New Roman" w:hAnsi="Times New Roman" w:cs="Times New Roman"/>
          <w:sz w:val="24"/>
          <w:szCs w:val="24"/>
        </w:rPr>
        <w:t>. Please note that all course materials (lectures and practice) will be available in course E2040 study materials.</w:t>
      </w:r>
    </w:p>
    <w:p w:rsidR="006A1F06" w:rsidRDefault="006A1F06">
      <w:pPr>
        <w:keepLines/>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b/>
          <w:sz w:val="24"/>
          <w:szCs w:val="24"/>
          <w:highlight w:val="yellow"/>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highlight w:val="yellow"/>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yellow"/>
        </w:rPr>
      </w:pPr>
    </w:p>
    <w:tbl>
      <w:tblPr>
        <w:tblStyle w:val="a4"/>
        <w:tblW w:w="4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467"/>
      </w:tblGrid>
      <w:tr w:rsidR="006A1F06" w:rsidTr="00496DAA">
        <w:trPr>
          <w:trHeight w:val="379"/>
          <w:jc w:val="center"/>
        </w:trPr>
        <w:tc>
          <w:tcPr>
            <w:tcW w:w="4700" w:type="dxa"/>
            <w:gridSpan w:val="2"/>
            <w:tcBorders>
              <w:left w:val="single" w:sz="4" w:space="0" w:color="000000"/>
            </w:tcBorders>
            <w:shd w:val="clear" w:color="auto" w:fill="D9D9D9"/>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tc>
      </w:tr>
      <w:tr w:rsidR="006A1F06" w:rsidTr="00496DAA">
        <w:trPr>
          <w:trHeight w:val="345"/>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100-92%</w:t>
            </w:r>
          </w:p>
        </w:tc>
      </w:tr>
      <w:tr w:rsidR="006A1F06" w:rsidTr="00496DAA">
        <w:trPr>
          <w:trHeight w:val="338"/>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91-84%</w:t>
            </w:r>
          </w:p>
        </w:tc>
      </w:tr>
      <w:tr w:rsidR="006A1F06" w:rsidTr="00496DAA">
        <w:trPr>
          <w:trHeight w:val="307"/>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83-76%</w:t>
            </w:r>
          </w:p>
        </w:tc>
      </w:tr>
      <w:tr w:rsidR="006A1F06" w:rsidTr="00496DAA">
        <w:trPr>
          <w:trHeight w:val="299"/>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75-68%</w:t>
            </w:r>
          </w:p>
        </w:tc>
      </w:tr>
      <w:tr w:rsidR="006A1F06" w:rsidTr="00496DAA">
        <w:trPr>
          <w:trHeight w:val="299"/>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67%-60%</w:t>
            </w:r>
          </w:p>
        </w:tc>
      </w:tr>
      <w:tr w:rsidR="006A1F06" w:rsidTr="00496DAA">
        <w:trPr>
          <w:trHeight w:val="299"/>
          <w:jc w:val="center"/>
        </w:trPr>
        <w:tc>
          <w:tcPr>
            <w:tcW w:w="2233" w:type="dxa"/>
            <w:tcBorders>
              <w:lef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p>
        </w:tc>
        <w:tc>
          <w:tcPr>
            <w:tcW w:w="2467"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&lt;60%</w:t>
            </w:r>
          </w:p>
        </w:tc>
      </w:tr>
    </w:tbl>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6A1F06" w:rsidRDefault="006A1F06">
      <w:pPr>
        <w:keepLines/>
        <w:rPr>
          <w:rFonts w:ascii="Times New Roman" w:eastAsia="Times New Roman" w:hAnsi="Times New Roman" w:cs="Times New Roman"/>
        </w:rPr>
      </w:pPr>
    </w:p>
    <w:p w:rsidR="006A1F06" w:rsidRDefault="006A1F06">
      <w:pPr>
        <w:keepLines/>
        <w:rPr>
          <w:rFonts w:ascii="Times New Roman" w:eastAsia="Times New Roman" w:hAnsi="Times New Roman" w:cs="Times New Roman"/>
        </w:rPr>
      </w:pPr>
    </w:p>
    <w:tbl>
      <w:tblPr>
        <w:tblStyle w:val="a5"/>
        <w:tblW w:w="5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9"/>
        <w:gridCol w:w="1911"/>
      </w:tblGrid>
      <w:tr w:rsidR="006A1F06" w:rsidTr="00496DAA">
        <w:trPr>
          <w:trHeight w:val="443"/>
          <w:jc w:val="center"/>
        </w:trPr>
        <w:tc>
          <w:tcPr>
            <w:tcW w:w="5400" w:type="dxa"/>
            <w:gridSpan w:val="2"/>
            <w:tcBorders>
              <w:right w:val="single" w:sz="4" w:space="0" w:color="000000"/>
            </w:tcBorders>
            <w:shd w:val="clear" w:color="auto" w:fill="D9D9D9"/>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w:t>
            </w:r>
          </w:p>
        </w:tc>
      </w:tr>
      <w:tr w:rsidR="006A1F06" w:rsidTr="00496DAA">
        <w:trPr>
          <w:trHeight w:val="404"/>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points</w:t>
            </w:r>
          </w:p>
        </w:tc>
      </w:tr>
      <w:tr w:rsidR="006A1F06" w:rsidTr="00496DAA">
        <w:trPr>
          <w:trHeight w:val="395"/>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Exam I</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A1F06" w:rsidTr="00496DAA">
        <w:trPr>
          <w:trHeight w:val="359"/>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Exam II</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A1F06" w:rsidTr="00496DAA">
        <w:trPr>
          <w:trHeight w:val="350"/>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pts. each, 12 total)</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6A1F06" w:rsidTr="00496DAA">
        <w:trPr>
          <w:trHeight w:val="359"/>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(30 pts. each, 2 total)</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6A1F06" w:rsidTr="00496DAA">
        <w:trPr>
          <w:trHeight w:val="341"/>
          <w:jc w:val="center"/>
        </w:trPr>
        <w:tc>
          <w:tcPr>
            <w:tcW w:w="3489" w:type="dxa"/>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911" w:type="dxa"/>
            <w:tcBorders>
              <w:right w:val="single" w:sz="4" w:space="0" w:color="000000"/>
            </w:tcBorders>
            <w:vAlign w:val="center"/>
          </w:tcPr>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200</w:t>
            </w:r>
          </w:p>
        </w:tc>
      </w:tr>
    </w:tbl>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Exams (40 points each)</w:t>
      </w:r>
    </w:p>
    <w:p w:rsidR="006A1F06" w:rsidRDefault="00000000">
      <w:pPr>
        <w:keepLines/>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two non-cumulative exams per semester (midterm and final)</w:t>
      </w:r>
    </w:p>
    <w:p w:rsidR="006A1F06" w:rsidRDefault="00000000">
      <w:pPr>
        <w:keepLines/>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 multiple-choice format questions per exam</w:t>
      </w:r>
    </w:p>
    <w:p w:rsidR="006A1F06" w:rsidRDefault="00000000">
      <w:pPr>
        <w:keepLines/>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lecture materials</w:t>
      </w:r>
    </w:p>
    <w:p w:rsidR="006A1F06" w:rsidRDefault="00000000">
      <w:pPr>
        <w:keepLines/>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the course calendar for exam </w:t>
      </w:r>
      <w:proofErr w:type="gramStart"/>
      <w:r>
        <w:rPr>
          <w:rFonts w:ascii="Times New Roman" w:eastAsia="Times New Roman" w:hAnsi="Times New Roman" w:cs="Times New Roman"/>
          <w:sz w:val="24"/>
          <w:szCs w:val="24"/>
        </w:rPr>
        <w:t>dates</w:t>
      </w:r>
      <w:proofErr w:type="gramEnd"/>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496DAA" w:rsidRDefault="00496DAA">
      <w:pPr>
        <w:keepLines/>
        <w:rPr>
          <w:rFonts w:ascii="Times New Roman" w:eastAsia="Times New Roman" w:hAnsi="Times New Roman" w:cs="Times New Roman"/>
          <w:b/>
          <w:sz w:val="24"/>
          <w:szCs w:val="24"/>
        </w:rPr>
      </w:pPr>
    </w:p>
    <w:p w:rsidR="006A1F06" w:rsidRDefault="00000000">
      <w:pPr>
        <w:keepLines/>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 (5 points each)</w:t>
      </w: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attendance at the seminars (E2041) is mandatory. Students will be given 5 points for each attended practice up to the total of 60 points. Students can incur two unexcused absences without losing attendance points.</w:t>
      </w: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p>
    <w:p w:rsidR="00496DAA" w:rsidRDefault="00496DAA">
      <w:pPr>
        <w:keepLines/>
        <w:rPr>
          <w:rFonts w:ascii="Times New Roman" w:eastAsia="Times New Roman" w:hAnsi="Times New Roman" w:cs="Times New Roman"/>
          <w:b/>
          <w:sz w:val="24"/>
          <w:szCs w:val="24"/>
        </w:rPr>
      </w:pPr>
    </w:p>
    <w:p w:rsidR="006A1F06" w:rsidRDefault="00000000">
      <w:pPr>
        <w:keepLines/>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 (30 points each)</w:t>
      </w:r>
    </w:p>
    <w:p w:rsidR="006A1F06" w:rsidRDefault="00000000">
      <w:pPr>
        <w:keepLines/>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two practice sessions that will require in-home preparation (e.g., creating questions for class discussion based on assigned readings or comparing study designs)</w:t>
      </w:r>
    </w:p>
    <w:p w:rsidR="006A1F06" w:rsidRDefault="00000000">
      <w:pPr>
        <w:keepLines/>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instructions will be given a week before the deadline (i.e., at the seminar in the Weeks 3 and 11).</w:t>
      </w:r>
    </w:p>
    <w:p w:rsidR="006A1F06" w:rsidRDefault="00000000">
      <w:pPr>
        <w:keepLines/>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the assignments to the </w:t>
      </w:r>
      <w:proofErr w:type="spellStart"/>
      <w:proofErr w:type="gramStart"/>
      <w:r>
        <w:rPr>
          <w:rFonts w:ascii="Times New Roman" w:eastAsia="Times New Roman" w:hAnsi="Times New Roman" w:cs="Times New Roman"/>
          <w:sz w:val="24"/>
          <w:szCs w:val="24"/>
        </w:rPr>
        <w:t>is.muni</w:t>
      </w:r>
      <w:proofErr w:type="spellEnd"/>
      <w:proofErr w:type="gramEnd"/>
      <w:r>
        <w:rPr>
          <w:rFonts w:ascii="Times New Roman" w:eastAsia="Times New Roman" w:hAnsi="Times New Roman" w:cs="Times New Roman"/>
          <w:sz w:val="24"/>
          <w:szCs w:val="24"/>
        </w:rPr>
        <w:t xml:space="preserve"> Homework Vaults (“</w:t>
      </w:r>
      <w:proofErr w:type="spellStart"/>
      <w:r>
        <w:rPr>
          <w:rFonts w:ascii="Times New Roman" w:eastAsia="Times New Roman" w:hAnsi="Times New Roman" w:cs="Times New Roman"/>
          <w:sz w:val="24"/>
          <w:szCs w:val="24"/>
        </w:rPr>
        <w:t>Odevzdávárna</w:t>
      </w:r>
      <w:proofErr w:type="spellEnd"/>
      <w:r>
        <w:rPr>
          <w:rFonts w:ascii="Times New Roman" w:eastAsia="Times New Roman" w:hAnsi="Times New Roman" w:cs="Times New Roman"/>
          <w:sz w:val="24"/>
          <w:szCs w:val="24"/>
        </w:rPr>
        <w:t>”) before the deadline (i.e., practice sessions in the Weeks 4 and 12).</w:t>
      </w:r>
    </w:p>
    <w:p w:rsidR="006A1F06" w:rsidRDefault="00000000">
      <w:pPr>
        <w:keepLines/>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See the course calendar for the deadlines.</w:t>
      </w: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6A1F06" w:rsidRDefault="006A1F06">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p w:rsidR="00A771B5" w:rsidRDefault="00A771B5">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p>
    <w:p w:rsidR="006A1F06" w:rsidRDefault="00000000">
      <w:pPr>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Calendar</w:t>
      </w:r>
    </w:p>
    <w:p w:rsidR="006A1F06" w:rsidRDefault="006A1F06">
      <w:pPr>
        <w:keepLines/>
        <w:pBdr>
          <w:top w:val="nil"/>
          <w:left w:val="nil"/>
          <w:bottom w:val="nil"/>
          <w:right w:val="nil"/>
          <w:between w:val="nil"/>
        </w:pBdr>
        <w:rPr>
          <w:rFonts w:ascii="Times New Roman" w:eastAsia="Times New Roman" w:hAnsi="Times New Roman" w:cs="Times New Roman"/>
          <w:sz w:val="24"/>
          <w:szCs w:val="24"/>
        </w:rPr>
      </w:pPr>
    </w:p>
    <w:p w:rsidR="006A1F06" w:rsidRDefault="006A1F06">
      <w:pPr>
        <w:keepLines/>
        <w:pBdr>
          <w:top w:val="nil"/>
          <w:left w:val="nil"/>
          <w:bottom w:val="nil"/>
          <w:right w:val="nil"/>
          <w:between w:val="nil"/>
        </w:pBdr>
        <w:rPr>
          <w:rFonts w:ascii="Times New Roman" w:eastAsia="Times New Roman" w:hAnsi="Times New Roman" w:cs="Times New Roman"/>
          <w:sz w:val="24"/>
          <w:szCs w:val="24"/>
        </w:rPr>
      </w:pPr>
    </w:p>
    <w:p w:rsidR="006A1F06" w:rsidRDefault="006A1F0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4"/>
          <w:szCs w:val="24"/>
          <w:highlight w:val="white"/>
        </w:rPr>
      </w:pPr>
    </w:p>
    <w:tbl>
      <w:tblPr>
        <w:tblStyle w:val="a6"/>
        <w:tblpPr w:leftFromText="180" w:rightFromText="180" w:topFromText="180" w:bottomFromText="180" w:vertAnchor="text" w:tblpX="20"/>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90"/>
        <w:gridCol w:w="4875"/>
        <w:gridCol w:w="2325"/>
      </w:tblGrid>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highlight w:val="white"/>
              </w:rPr>
            </w:pPr>
            <w:bookmarkStart w:id="0" w:name="_heading=h.gjdgxs" w:colFirst="0" w:colLast="0"/>
            <w:bookmarkEnd w:id="0"/>
            <w:r>
              <w:rPr>
                <w:rFonts w:ascii="Times New Roman" w:eastAsia="Times New Roman" w:hAnsi="Times New Roman" w:cs="Times New Roman"/>
                <w:b/>
                <w:sz w:val="24"/>
                <w:szCs w:val="24"/>
                <w:highlight w:val="white"/>
              </w:rPr>
              <w:t>Week</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Date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Topic</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20. 9.</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overview</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Introduction to epidemiology and environmental health</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Kšiňan</w:t>
            </w:r>
          </w:p>
        </w:tc>
      </w:tr>
      <w:tr w:rsidR="006A1F06" w:rsidTr="00F06F97">
        <w:trPr>
          <w:trHeight w:val="536"/>
        </w:trPr>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27. 9.</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Disease occurrence and determinants in populations</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 Dalecká</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4. 10.</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quantitative methodology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H. Pikhart</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11. 10.</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data analysis</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Kšiňan</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18. 10.</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No class - </w:t>
            </w:r>
            <w:r w:rsidR="00A771B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atriculation </w:t>
            </w:r>
            <w:r w:rsidR="00A771B5">
              <w:rPr>
                <w:rFonts w:ascii="Times New Roman" w:eastAsia="Times New Roman" w:hAnsi="Times New Roman" w:cs="Times New Roman"/>
                <w:sz w:val="24"/>
                <w:szCs w:val="24"/>
              </w:rPr>
              <w:t>C</w:t>
            </w:r>
            <w:r>
              <w:rPr>
                <w:rFonts w:ascii="Times New Roman" w:eastAsia="Times New Roman" w:hAnsi="Times New Roman" w:cs="Times New Roman"/>
                <w:sz w:val="24"/>
                <w:szCs w:val="24"/>
              </w:rPr>
              <w:t>eremony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6A1F06"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25. 10.</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Measures of association and effect</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K. Kordas</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1. 11.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Study designs in epidemiology 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Bartošková</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practice</w:t>
            </w:r>
            <w:proofErr w:type="gramEnd"/>
            <w:r>
              <w:rPr>
                <w:rFonts w:ascii="Times New Roman" w:eastAsia="Times New Roman" w:hAnsi="Times New Roman" w:cs="Times New Roman"/>
                <w:sz w:val="24"/>
                <w:szCs w:val="24"/>
              </w:rPr>
              <w:t xml:space="preserve"> session D. Szabó) </w:t>
            </w:r>
          </w:p>
        </w:tc>
      </w:tr>
      <w:tr w:rsidR="006A1F06" w:rsidTr="00F06F97">
        <w:trPr>
          <w:trHeight w:val="630"/>
        </w:trPr>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8. 11.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Study designs in epidemiology 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 Kordas</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15. 11.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Study designs in epidemiology III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 Kordas</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22. 11.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Exam I</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Routine population and monitoring data</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M. Bobák</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practice</w:t>
            </w:r>
            <w:proofErr w:type="gramEnd"/>
            <w:r>
              <w:rPr>
                <w:rFonts w:ascii="Times New Roman" w:eastAsia="Times New Roman" w:hAnsi="Times New Roman" w:cs="Times New Roman"/>
                <w:sz w:val="24"/>
                <w:szCs w:val="24"/>
              </w:rPr>
              <w:t xml:space="preserve"> session guest) </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29. 11.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Bias</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Confounding and effect modification</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 Kordas</w:t>
            </w:r>
          </w:p>
        </w:tc>
      </w:tr>
      <w:tr w:rsidR="006A1F06" w:rsidTr="00F06F97">
        <w:trPr>
          <w:trHeight w:val="146"/>
        </w:trPr>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6. 12.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evaluation of research studies</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Assignment 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 Kordas</w:t>
            </w:r>
          </w:p>
        </w:tc>
      </w:tr>
      <w:tr w:rsidR="006A1F06" w:rsidTr="00A771B5">
        <w:trPr>
          <w:trHeight w:val="908"/>
        </w:trPr>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13. 12.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Ethical considerations in epidemiology research and practice</w:t>
            </w:r>
          </w:p>
          <w:p w:rsidR="006A1F06" w:rsidRDefault="00000000" w:rsidP="00A771B5">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Translating science into practice</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 Kordas</w:t>
            </w:r>
          </w:p>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practice</w:t>
            </w:r>
            <w:proofErr w:type="gramEnd"/>
            <w:r>
              <w:rPr>
                <w:rFonts w:ascii="Times New Roman" w:eastAsia="Times New Roman" w:hAnsi="Times New Roman" w:cs="Times New Roman"/>
                <w:sz w:val="24"/>
                <w:szCs w:val="24"/>
              </w:rPr>
              <w:t xml:space="preserve"> session guest)</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20. 12.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Recapitulation</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Kšiňan</w:t>
            </w:r>
          </w:p>
        </w:tc>
      </w:tr>
      <w:tr w:rsidR="006A1F06" w:rsidTr="00F06F97">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6A1F06"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w:t>
            </w:r>
            <w:r w:rsidR="00F06F9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period</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000000"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F06" w:rsidRDefault="006A1F06" w:rsidP="00A771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highlight w:val="white"/>
              </w:rPr>
            </w:pPr>
          </w:p>
        </w:tc>
      </w:tr>
    </w:tbl>
    <w:p w:rsidR="006A1F06" w:rsidRDefault="006A1F06">
      <w:pPr>
        <w:keepLines/>
        <w:pBdr>
          <w:top w:val="nil"/>
          <w:left w:val="nil"/>
          <w:bottom w:val="nil"/>
          <w:right w:val="nil"/>
          <w:between w:val="nil"/>
        </w:pBdr>
      </w:pPr>
    </w:p>
    <w:sectPr w:rsidR="006A1F06">
      <w:footerReference w:type="default" r:id="rId9"/>
      <w:pgSz w:w="11906" w:h="16838"/>
      <w:pgMar w:top="1008" w:right="1224" w:bottom="1008" w:left="1224" w:header="792"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8D3" w:rsidRDefault="003D48D3">
      <w:r>
        <w:separator/>
      </w:r>
    </w:p>
  </w:endnote>
  <w:endnote w:type="continuationSeparator" w:id="0">
    <w:p w:rsidR="003D48D3" w:rsidRDefault="003D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rus B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F06" w:rsidRDefault="00000000">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96DA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6A1F06" w:rsidRDefault="006A1F06">
    <w:pPr>
      <w:pBdr>
        <w:top w:val="nil"/>
        <w:left w:val="nil"/>
        <w:bottom w:val="nil"/>
        <w:right w:val="nil"/>
        <w:between w:val="nil"/>
      </w:pBdr>
      <w:jc w:val="center"/>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8D3" w:rsidRDefault="003D48D3">
      <w:r>
        <w:separator/>
      </w:r>
    </w:p>
  </w:footnote>
  <w:footnote w:type="continuationSeparator" w:id="0">
    <w:p w:rsidR="003D48D3" w:rsidRDefault="003D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1666"/>
    <w:multiLevelType w:val="multilevel"/>
    <w:tmpl w:val="0BFE7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0470E5"/>
    <w:multiLevelType w:val="multilevel"/>
    <w:tmpl w:val="7D3AB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7C016B"/>
    <w:multiLevelType w:val="multilevel"/>
    <w:tmpl w:val="43F20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AC371D"/>
    <w:multiLevelType w:val="multilevel"/>
    <w:tmpl w:val="4A12E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344362">
    <w:abstractNumId w:val="3"/>
  </w:num>
  <w:num w:numId="2" w16cid:durableId="1170682461">
    <w:abstractNumId w:val="1"/>
  </w:num>
  <w:num w:numId="3" w16cid:durableId="7023107">
    <w:abstractNumId w:val="2"/>
  </w:num>
  <w:num w:numId="4" w16cid:durableId="135661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06"/>
    <w:rsid w:val="003D48D3"/>
    <w:rsid w:val="00496DAA"/>
    <w:rsid w:val="006A1F06"/>
    <w:rsid w:val="00A771B5"/>
    <w:rsid w:val="00F0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84BE"/>
  <w15:docId w15:val="{3A83138C-9959-4538-BF6B-07C31C4F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rus BT" w:eastAsia="Arrus BT" w:hAnsi="Arrus BT" w:cs="Arrus BT"/>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377"/>
    <w:pPr>
      <w:overflowPunct w:val="0"/>
      <w:autoSpaceDE w:val="0"/>
      <w:autoSpaceDN w:val="0"/>
      <w:adjustRightInd w:val="0"/>
      <w:textAlignment w:val="baseline"/>
    </w:pPr>
    <w:rPr>
      <w:color w:val="00000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rsid w:val="002F6377"/>
    <w:pPr>
      <w:keepNext/>
      <w:keepLines/>
      <w:spacing w:before="144" w:after="72"/>
      <w:jc w:val="center"/>
    </w:pPr>
    <w:rPr>
      <w:rFonts w:ascii="Helvetica" w:hAnsi="Helvetica"/>
      <w:b/>
      <w:sz w:val="36"/>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rsid w:val="002F6377"/>
    <w:rPr>
      <w:rFonts w:ascii="Times New Roman" w:hAnsi="Times New Roman"/>
      <w:sz w:val="24"/>
    </w:rPr>
  </w:style>
  <w:style w:type="paragraph" w:styleId="Zpat">
    <w:name w:val="footer"/>
    <w:basedOn w:val="Normln"/>
    <w:link w:val="ZpatChar"/>
    <w:uiPriority w:val="99"/>
    <w:rsid w:val="002F6377"/>
    <w:rPr>
      <w:rFonts w:ascii="Times New Roman" w:hAnsi="Times New Roman"/>
      <w:sz w:val="24"/>
    </w:rPr>
  </w:style>
  <w:style w:type="character" w:styleId="Hypertextovodkaz">
    <w:name w:val="Hyperlink"/>
    <w:semiHidden/>
    <w:rsid w:val="002F6377"/>
    <w:rPr>
      <w:color w:val="0000FF"/>
      <w:spacing w:val="0"/>
      <w:sz w:val="24"/>
      <w:u w:val="single"/>
    </w:rPr>
  </w:style>
  <w:style w:type="paragraph" w:styleId="Prosttext">
    <w:name w:val="Plain Text"/>
    <w:basedOn w:val="Normln"/>
    <w:semiHidden/>
    <w:rsid w:val="002F6377"/>
    <w:rPr>
      <w:rFonts w:ascii="Courier New" w:hAnsi="Courier New"/>
    </w:rPr>
  </w:style>
  <w:style w:type="paragraph" w:customStyle="1" w:styleId="Subhead">
    <w:name w:val="Subhead"/>
    <w:basedOn w:val="Normln"/>
    <w:rsid w:val="002F6377"/>
    <w:pPr>
      <w:spacing w:before="72" w:after="72"/>
    </w:pPr>
    <w:rPr>
      <w:rFonts w:ascii="Times New Roman" w:hAnsi="Times New Roman"/>
      <w:b/>
      <w:i/>
      <w:sz w:val="24"/>
    </w:rPr>
  </w:style>
  <w:style w:type="paragraph" w:customStyle="1" w:styleId="NumberList">
    <w:name w:val="Number List"/>
    <w:basedOn w:val="Normln"/>
    <w:rsid w:val="002F6377"/>
    <w:rPr>
      <w:rFonts w:ascii="Times New Roman" w:hAnsi="Times New Roman"/>
      <w:sz w:val="24"/>
    </w:rPr>
  </w:style>
  <w:style w:type="paragraph" w:customStyle="1" w:styleId="Bullet1">
    <w:name w:val="Bullet 1"/>
    <w:basedOn w:val="Normln"/>
    <w:rsid w:val="002F6377"/>
    <w:rPr>
      <w:rFonts w:ascii="Times New Roman" w:hAnsi="Times New Roman"/>
      <w:sz w:val="24"/>
    </w:rPr>
  </w:style>
  <w:style w:type="paragraph" w:customStyle="1" w:styleId="Bullet">
    <w:name w:val="Bullet"/>
    <w:basedOn w:val="Normln"/>
    <w:rsid w:val="002F6377"/>
    <w:rPr>
      <w:rFonts w:ascii="Times New Roman" w:hAnsi="Times New Roman"/>
      <w:sz w:val="24"/>
    </w:rPr>
  </w:style>
  <w:style w:type="paragraph" w:customStyle="1" w:styleId="BodySingle">
    <w:name w:val="Body Single"/>
    <w:basedOn w:val="Normln"/>
    <w:rsid w:val="002F6377"/>
    <w:rPr>
      <w:rFonts w:ascii="Times New Roman" w:hAnsi="Times New Roman"/>
      <w:sz w:val="24"/>
    </w:rPr>
  </w:style>
  <w:style w:type="paragraph" w:customStyle="1" w:styleId="DefaultText">
    <w:name w:val="Default Text"/>
    <w:basedOn w:val="Normln"/>
    <w:rsid w:val="002F6377"/>
    <w:rPr>
      <w:rFonts w:ascii="Times New Roman" w:hAnsi="Times New Roman"/>
      <w:sz w:val="24"/>
    </w:rPr>
  </w:style>
  <w:style w:type="character" w:customStyle="1" w:styleId="ViewedAnchorA">
    <w:name w:val="Viewed Anchor (A)"/>
    <w:rsid w:val="002F6377"/>
    <w:rPr>
      <w:color w:val="800000"/>
      <w:spacing w:val="0"/>
      <w:sz w:val="24"/>
      <w:u w:val="single"/>
    </w:rPr>
  </w:style>
  <w:style w:type="character" w:customStyle="1" w:styleId="medium-normal">
    <w:name w:val="medium-normal"/>
    <w:rsid w:val="002F6377"/>
    <w:rPr>
      <w:color w:val="000000"/>
      <w:spacing w:val="0"/>
      <w:sz w:val="24"/>
    </w:rPr>
  </w:style>
  <w:style w:type="character" w:customStyle="1" w:styleId="medium-bold">
    <w:name w:val="medium-bold"/>
    <w:rsid w:val="002F6377"/>
    <w:rPr>
      <w:color w:val="000000"/>
      <w:spacing w:val="0"/>
      <w:sz w:val="24"/>
    </w:rPr>
  </w:style>
  <w:style w:type="character" w:styleId="Odkaznakoment">
    <w:name w:val="annotation reference"/>
    <w:basedOn w:val="Standardnpsmoodstavce"/>
    <w:uiPriority w:val="99"/>
    <w:semiHidden/>
    <w:unhideWhenUsed/>
    <w:rsid w:val="00F772D1"/>
    <w:rPr>
      <w:sz w:val="16"/>
      <w:szCs w:val="16"/>
    </w:rPr>
  </w:style>
  <w:style w:type="paragraph" w:styleId="Textkomente">
    <w:name w:val="annotation text"/>
    <w:basedOn w:val="Normln"/>
    <w:link w:val="TextkomenteChar"/>
    <w:uiPriority w:val="99"/>
    <w:unhideWhenUsed/>
    <w:rsid w:val="00F772D1"/>
  </w:style>
  <w:style w:type="character" w:customStyle="1" w:styleId="TextkomenteChar">
    <w:name w:val="Text komentáře Char"/>
    <w:basedOn w:val="Standardnpsmoodstavce"/>
    <w:link w:val="Textkomente"/>
    <w:uiPriority w:val="99"/>
    <w:rsid w:val="00F772D1"/>
    <w:rPr>
      <w:rFonts w:ascii="Arrus BT" w:hAnsi="Arrus BT"/>
      <w:color w:val="000000"/>
    </w:rPr>
  </w:style>
  <w:style w:type="paragraph" w:styleId="Pedmtkomente">
    <w:name w:val="annotation subject"/>
    <w:basedOn w:val="Textkomente"/>
    <w:next w:val="Textkomente"/>
    <w:link w:val="PedmtkomenteChar"/>
    <w:uiPriority w:val="99"/>
    <w:semiHidden/>
    <w:unhideWhenUsed/>
    <w:rsid w:val="00F772D1"/>
    <w:rPr>
      <w:b/>
      <w:bCs/>
    </w:rPr>
  </w:style>
  <w:style w:type="character" w:customStyle="1" w:styleId="PedmtkomenteChar">
    <w:name w:val="Předmět komentáře Char"/>
    <w:basedOn w:val="TextkomenteChar"/>
    <w:link w:val="Pedmtkomente"/>
    <w:uiPriority w:val="99"/>
    <w:semiHidden/>
    <w:rsid w:val="00F772D1"/>
    <w:rPr>
      <w:rFonts w:ascii="Arrus BT" w:hAnsi="Arrus BT"/>
      <w:b/>
      <w:bCs/>
      <w:color w:val="000000"/>
    </w:rPr>
  </w:style>
  <w:style w:type="paragraph" w:styleId="Textbubliny">
    <w:name w:val="Balloon Text"/>
    <w:basedOn w:val="Normln"/>
    <w:link w:val="TextbublinyChar"/>
    <w:uiPriority w:val="99"/>
    <w:semiHidden/>
    <w:unhideWhenUsed/>
    <w:rsid w:val="00F772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2D1"/>
    <w:rPr>
      <w:rFonts w:ascii="Segoe UI" w:hAnsi="Segoe UI" w:cs="Segoe UI"/>
      <w:color w:val="000000"/>
      <w:sz w:val="18"/>
      <w:szCs w:val="18"/>
    </w:rPr>
  </w:style>
  <w:style w:type="table" w:styleId="Mkatabulky">
    <w:name w:val="Table Grid"/>
    <w:basedOn w:val="Normlntabulka"/>
    <w:uiPriority w:val="59"/>
    <w:rsid w:val="0007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D4284"/>
    <w:rPr>
      <w:color w:val="000000"/>
    </w:rPr>
  </w:style>
  <w:style w:type="character" w:customStyle="1" w:styleId="ZpatChar">
    <w:name w:val="Zápatí Char"/>
    <w:basedOn w:val="Standardnpsmoodstavce"/>
    <w:link w:val="Zpat"/>
    <w:uiPriority w:val="99"/>
    <w:rsid w:val="00B611E8"/>
    <w:rPr>
      <w:color w:val="000000"/>
      <w:sz w:val="24"/>
    </w:rPr>
  </w:style>
  <w:style w:type="character" w:styleId="Zdraznn">
    <w:name w:val="Emphasis"/>
    <w:basedOn w:val="Standardnpsmoodstavce"/>
    <w:uiPriority w:val="20"/>
    <w:qFormat/>
    <w:rsid w:val="00C325B5"/>
    <w:rPr>
      <w:i/>
      <w:iCs/>
    </w:rPr>
  </w:style>
  <w:style w:type="character" w:styleId="Sledovanodkaz">
    <w:name w:val="FollowedHyperlink"/>
    <w:basedOn w:val="Standardnpsmoodstavce"/>
    <w:uiPriority w:val="99"/>
    <w:semiHidden/>
    <w:unhideWhenUsed/>
    <w:rsid w:val="00986D4A"/>
    <w:rPr>
      <w:color w:val="800080" w:themeColor="followedHyperlink"/>
      <w:u w:val="single"/>
    </w:rPr>
  </w:style>
  <w:style w:type="character" w:customStyle="1" w:styleId="ZhlavChar">
    <w:name w:val="Záhlaví Char"/>
    <w:basedOn w:val="Standardnpsmoodstavce"/>
    <w:link w:val="Zhlav"/>
    <w:uiPriority w:val="99"/>
    <w:rsid w:val="006F1FB6"/>
    <w:rPr>
      <w:color w:val="000000"/>
      <w:sz w:val="24"/>
    </w:rPr>
  </w:style>
  <w:style w:type="paragraph" w:styleId="Odstavecseseznamem">
    <w:name w:val="List Paragraph"/>
    <w:basedOn w:val="Normln"/>
    <w:uiPriority w:val="34"/>
    <w:qFormat/>
    <w:rsid w:val="00735270"/>
    <w:pPr>
      <w:ind w:left="720"/>
      <w:contextualSpacing/>
    </w:pPr>
  </w:style>
  <w:style w:type="character" w:customStyle="1" w:styleId="Nevyeenzmnka1">
    <w:name w:val="Nevyřešená zmínka1"/>
    <w:basedOn w:val="Standardnpsmoodstavce"/>
    <w:uiPriority w:val="99"/>
    <w:semiHidden/>
    <w:unhideWhenUsed/>
    <w:rsid w:val="00FB2F13"/>
    <w:rPr>
      <w:color w:val="605E5C"/>
      <w:shd w:val="clear" w:color="auto" w:fill="E1DFDD"/>
    </w:rPr>
  </w:style>
  <w:style w:type="character" w:customStyle="1" w:styleId="Nevyeenzmnka2">
    <w:name w:val="Nevyřešená zmínka2"/>
    <w:basedOn w:val="Standardnpsmoodstavce"/>
    <w:uiPriority w:val="99"/>
    <w:semiHidden/>
    <w:unhideWhenUsed/>
    <w:rsid w:val="00B91275"/>
    <w:rPr>
      <w:color w:val="605E5C"/>
      <w:shd w:val="clear" w:color="auto" w:fill="E1DFDD"/>
    </w:rPr>
  </w:style>
  <w:style w:type="character" w:customStyle="1" w:styleId="normaltextrun">
    <w:name w:val="normaltextrun"/>
    <w:basedOn w:val="Standardnpsmoodstavce"/>
    <w:uiPriority w:val="1"/>
    <w:rsid w:val="35DDF7EC"/>
  </w:style>
  <w:style w:type="character" w:styleId="Nevyeenzmnka">
    <w:name w:val="Unresolved Mention"/>
    <w:basedOn w:val="Standardnpsmoodstavce"/>
    <w:uiPriority w:val="99"/>
    <w:semiHidden/>
    <w:unhideWhenUsed/>
    <w:rsid w:val="00192DA6"/>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 w:type="table" w:customStyle="1" w:styleId="a2">
    <w:basedOn w:val="Normlntabulka"/>
    <w:tblPr>
      <w:tblStyleRowBandSize w:val="1"/>
      <w:tblStyleColBandSize w:val="1"/>
    </w:tblPr>
  </w:style>
  <w:style w:type="table" w:customStyle="1" w:styleId="a3">
    <w:basedOn w:val="Normlntabulka"/>
    <w:tblPr>
      <w:tblStyleRowBandSize w:val="1"/>
      <w:tblStyleColBandSize w:val="1"/>
    </w:tblPr>
  </w:style>
  <w:style w:type="table" w:customStyle="1" w:styleId="a4">
    <w:basedOn w:val="Normlntabulka"/>
    <w:tblPr>
      <w:tblStyleRowBandSize w:val="1"/>
      <w:tblStyleColBandSize w:val="1"/>
    </w:tblPr>
  </w:style>
  <w:style w:type="table" w:customStyle="1" w:styleId="a5">
    <w:basedOn w:val="Normlntabulka"/>
    <w:tblPr>
      <w:tblStyleRowBandSize w:val="1"/>
      <w:tblStyleColBandSize w:val="1"/>
    </w:tblPr>
  </w:style>
  <w:style w:type="table" w:customStyle="1" w:styleId="a6">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s.muni.cz/auth/predmet/sci/podzim2023/E2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F4026RSW1qIyK3Xzqfs2YysaA==">CgMxLjAyCGguZ2pkZ3hzOAByITFJdFA2Y1E3M1RvMjlFTkJIa1VHOENnLVBLMFd2MlZOVQ==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689</Words>
  <Characters>3931</Characters>
  <Application>Microsoft Office Word</Application>
  <DocSecurity>0</DocSecurity>
  <Lines>32</Lines>
  <Paragraphs>9</Paragraphs>
  <ScaleCrop>false</ScaleCrop>
  <Company>Microsoft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 Vazsonyi</dc:creator>
  <cp:lastModifiedBy>Gabriela Kšiňanová</cp:lastModifiedBy>
  <cp:revision>4</cp:revision>
  <dcterms:created xsi:type="dcterms:W3CDTF">2023-08-01T11:51:00Z</dcterms:created>
  <dcterms:modified xsi:type="dcterms:W3CDTF">2023-09-12T09:05:00Z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0x01010058537A0BE2754647977CD90DFA9E68D7</vt:lpwstr>
  </property>
</Properties>
</file>