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5E8" w:rsidRDefault="009241A0" w:rsidP="00A92969">
      <w:pPr>
        <w:jc w:val="center"/>
        <w:rPr>
          <w:sz w:val="28"/>
          <w:szCs w:val="28"/>
        </w:rPr>
      </w:pPr>
      <w:r>
        <w:rPr>
          <w:sz w:val="28"/>
          <w:szCs w:val="28"/>
        </w:rPr>
        <w:t>Použití spotřebitelského šetření</w:t>
      </w:r>
      <w:r w:rsidR="001D75E8" w:rsidRPr="00A92969">
        <w:rPr>
          <w:sz w:val="28"/>
          <w:szCs w:val="28"/>
        </w:rPr>
        <w:t xml:space="preserve"> k vymezování relevantního trhu v železniční dopravě</w:t>
      </w:r>
      <w:r>
        <w:rPr>
          <w:sz w:val="28"/>
          <w:szCs w:val="28"/>
        </w:rPr>
        <w:t xml:space="preserve"> – možnosti a problémy</w:t>
      </w:r>
    </w:p>
    <w:p w:rsidR="001D75E8" w:rsidRDefault="001D75E8" w:rsidP="00A92969">
      <w:pPr>
        <w:jc w:val="center"/>
        <w:rPr>
          <w:sz w:val="28"/>
          <w:szCs w:val="28"/>
        </w:rPr>
      </w:pPr>
    </w:p>
    <w:p w:rsidR="00B7394C" w:rsidRDefault="00B7394C" w:rsidP="00260068">
      <w:pPr>
        <w:rPr>
          <w:b/>
          <w:sz w:val="24"/>
          <w:szCs w:val="24"/>
        </w:rPr>
      </w:pPr>
      <w:r>
        <w:rPr>
          <w:b/>
          <w:sz w:val="24"/>
          <w:szCs w:val="24"/>
        </w:rPr>
        <w:t xml:space="preserve">Martin </w:t>
      </w:r>
      <w:proofErr w:type="spellStart"/>
      <w:r>
        <w:rPr>
          <w:b/>
          <w:sz w:val="24"/>
          <w:szCs w:val="24"/>
        </w:rPr>
        <w:t>Kvizda</w:t>
      </w:r>
      <w:proofErr w:type="spellEnd"/>
      <w:r>
        <w:rPr>
          <w:b/>
          <w:sz w:val="24"/>
          <w:szCs w:val="24"/>
        </w:rPr>
        <w:t xml:space="preserve"> - </w:t>
      </w:r>
      <w:r w:rsidR="001D75E8" w:rsidRPr="0053149A">
        <w:rPr>
          <w:b/>
          <w:sz w:val="24"/>
          <w:szCs w:val="24"/>
        </w:rPr>
        <w:t xml:space="preserve">Václav </w:t>
      </w:r>
      <w:proofErr w:type="spellStart"/>
      <w:r w:rsidR="001D75E8" w:rsidRPr="0053149A">
        <w:rPr>
          <w:b/>
          <w:sz w:val="24"/>
          <w:szCs w:val="24"/>
        </w:rPr>
        <w:t>Rederer</w:t>
      </w:r>
      <w:proofErr w:type="spellEnd"/>
    </w:p>
    <w:p w:rsidR="001D75E8" w:rsidRPr="0053149A" w:rsidRDefault="001D75E8" w:rsidP="00260068">
      <w:pPr>
        <w:rPr>
          <w:sz w:val="24"/>
          <w:szCs w:val="24"/>
        </w:rPr>
      </w:pPr>
      <w:r w:rsidRPr="0053149A">
        <w:rPr>
          <w:b/>
          <w:sz w:val="24"/>
          <w:szCs w:val="24"/>
        </w:rPr>
        <w:t xml:space="preserve"> </w:t>
      </w:r>
      <w:r>
        <w:rPr>
          <w:sz w:val="24"/>
          <w:szCs w:val="24"/>
        </w:rPr>
        <w:t>Ekonomicko-správní fakulta, Masarykova univerzita, Brno</w:t>
      </w:r>
    </w:p>
    <w:p w:rsidR="001D75E8" w:rsidRDefault="001D75E8" w:rsidP="00260068">
      <w:pPr>
        <w:jc w:val="both"/>
        <w:rPr>
          <w:sz w:val="28"/>
          <w:szCs w:val="28"/>
          <w:u w:val="single"/>
        </w:rPr>
      </w:pPr>
    </w:p>
    <w:p w:rsidR="001D75E8" w:rsidRDefault="00B7394C" w:rsidP="00260068">
      <w:pPr>
        <w:jc w:val="both"/>
        <w:rPr>
          <w:sz w:val="24"/>
          <w:szCs w:val="24"/>
        </w:rPr>
      </w:pPr>
      <w:r>
        <w:rPr>
          <w:b/>
          <w:sz w:val="24"/>
          <w:szCs w:val="24"/>
        </w:rPr>
        <w:t>Abstrakt</w:t>
      </w:r>
    </w:p>
    <w:p w:rsidR="001D75E8" w:rsidRPr="00300424" w:rsidRDefault="009241A0" w:rsidP="00260068">
      <w:pPr>
        <w:jc w:val="both"/>
        <w:rPr>
          <w:sz w:val="24"/>
          <w:szCs w:val="24"/>
        </w:rPr>
      </w:pPr>
      <w:r>
        <w:rPr>
          <w:sz w:val="24"/>
          <w:szCs w:val="24"/>
        </w:rPr>
        <w:t xml:space="preserve">Výkon politiky hospodářské soutěže v praxi je založen na vymezení relevantního trhu; toto vymezení se opírá o několik základních metod, mezi něž patří zejména tzv. </w:t>
      </w:r>
      <w:r w:rsidR="001D75E8" w:rsidRPr="00300424">
        <w:rPr>
          <w:sz w:val="24"/>
          <w:szCs w:val="24"/>
        </w:rPr>
        <w:t>SSNIP</w:t>
      </w:r>
      <w:r w:rsidR="001D75E8">
        <w:rPr>
          <w:sz w:val="24"/>
          <w:szCs w:val="24"/>
        </w:rPr>
        <w:t xml:space="preserve"> </w:t>
      </w:r>
      <w:r>
        <w:rPr>
          <w:sz w:val="24"/>
          <w:szCs w:val="24"/>
        </w:rPr>
        <w:t xml:space="preserve">test </w:t>
      </w:r>
      <w:r w:rsidR="001D75E8" w:rsidRPr="00300424">
        <w:rPr>
          <w:sz w:val="24"/>
          <w:szCs w:val="24"/>
        </w:rPr>
        <w:t>(</w:t>
      </w:r>
      <w:proofErr w:type="spellStart"/>
      <w:r w:rsidR="001D75E8" w:rsidRPr="00C74492">
        <w:rPr>
          <w:sz w:val="24"/>
          <w:szCs w:val="24"/>
        </w:rPr>
        <w:t>Small</w:t>
      </w:r>
      <w:proofErr w:type="spellEnd"/>
      <w:r w:rsidR="001D75E8" w:rsidRPr="00C74492">
        <w:rPr>
          <w:sz w:val="24"/>
          <w:szCs w:val="24"/>
        </w:rPr>
        <w:t xml:space="preserve"> but </w:t>
      </w:r>
      <w:proofErr w:type="spellStart"/>
      <w:r w:rsidR="001D75E8" w:rsidRPr="00C74492">
        <w:rPr>
          <w:sz w:val="24"/>
          <w:szCs w:val="24"/>
        </w:rPr>
        <w:t>Significant</w:t>
      </w:r>
      <w:proofErr w:type="spellEnd"/>
      <w:r w:rsidR="001D75E8" w:rsidRPr="00C74492">
        <w:rPr>
          <w:sz w:val="24"/>
          <w:szCs w:val="24"/>
        </w:rPr>
        <w:t xml:space="preserve"> Non-</w:t>
      </w:r>
      <w:proofErr w:type="spellStart"/>
      <w:r w:rsidR="001D75E8" w:rsidRPr="00C74492">
        <w:rPr>
          <w:sz w:val="24"/>
          <w:szCs w:val="24"/>
        </w:rPr>
        <w:t>transitory</w:t>
      </w:r>
      <w:proofErr w:type="spellEnd"/>
      <w:r w:rsidR="001D75E8" w:rsidRPr="00C74492">
        <w:rPr>
          <w:sz w:val="24"/>
          <w:szCs w:val="24"/>
        </w:rPr>
        <w:t xml:space="preserve"> </w:t>
      </w:r>
      <w:proofErr w:type="spellStart"/>
      <w:r w:rsidR="001D75E8" w:rsidRPr="00C74492">
        <w:rPr>
          <w:sz w:val="24"/>
          <w:szCs w:val="24"/>
        </w:rPr>
        <w:t>Increase</w:t>
      </w:r>
      <w:proofErr w:type="spellEnd"/>
      <w:r w:rsidR="001D75E8" w:rsidRPr="00C74492">
        <w:rPr>
          <w:sz w:val="24"/>
          <w:szCs w:val="24"/>
        </w:rPr>
        <w:t xml:space="preserve"> in </w:t>
      </w:r>
      <w:proofErr w:type="spellStart"/>
      <w:r w:rsidR="001D75E8" w:rsidRPr="00C74492">
        <w:rPr>
          <w:sz w:val="24"/>
          <w:szCs w:val="24"/>
        </w:rPr>
        <w:t>Prices</w:t>
      </w:r>
      <w:proofErr w:type="spellEnd"/>
      <w:r w:rsidR="001D75E8" w:rsidRPr="00300424">
        <w:rPr>
          <w:sz w:val="24"/>
          <w:szCs w:val="24"/>
        </w:rPr>
        <w:t>)</w:t>
      </w:r>
      <w:r>
        <w:rPr>
          <w:sz w:val="24"/>
          <w:szCs w:val="24"/>
        </w:rPr>
        <w:t>.</w:t>
      </w:r>
      <w:r w:rsidR="001D75E8" w:rsidRPr="00300424">
        <w:rPr>
          <w:sz w:val="24"/>
          <w:szCs w:val="24"/>
        </w:rPr>
        <w:t xml:space="preserve"> </w:t>
      </w:r>
      <w:r>
        <w:rPr>
          <w:sz w:val="24"/>
          <w:szCs w:val="24"/>
        </w:rPr>
        <w:t>Tato</w:t>
      </w:r>
      <w:r w:rsidR="001D75E8">
        <w:rPr>
          <w:sz w:val="24"/>
          <w:szCs w:val="24"/>
        </w:rPr>
        <w:t xml:space="preserve"> metoda </w:t>
      </w:r>
      <w:r w:rsidR="00260068">
        <w:rPr>
          <w:sz w:val="24"/>
          <w:szCs w:val="24"/>
        </w:rPr>
        <w:t>je charakteristická vysokou</w:t>
      </w:r>
      <w:r w:rsidR="001D75E8">
        <w:rPr>
          <w:sz w:val="24"/>
          <w:szCs w:val="24"/>
        </w:rPr>
        <w:t xml:space="preserve"> datovou náročnost</w:t>
      </w:r>
      <w:r w:rsidR="00260068">
        <w:rPr>
          <w:sz w:val="24"/>
          <w:szCs w:val="24"/>
        </w:rPr>
        <w:t xml:space="preserve">í na jedné straně a komplexními, </w:t>
      </w:r>
      <w:r w:rsidR="001D75E8">
        <w:rPr>
          <w:sz w:val="24"/>
          <w:szCs w:val="24"/>
        </w:rPr>
        <w:t>dobře využitelnými výsledky pro autoritu regulující trh</w:t>
      </w:r>
      <w:r w:rsidR="00260068">
        <w:rPr>
          <w:sz w:val="24"/>
          <w:szCs w:val="24"/>
        </w:rPr>
        <w:t>,</w:t>
      </w:r>
      <w:r w:rsidR="001D75E8">
        <w:rPr>
          <w:sz w:val="24"/>
          <w:szCs w:val="24"/>
        </w:rPr>
        <w:t xml:space="preserve"> na straně druhé. </w:t>
      </w:r>
      <w:r w:rsidR="00274321">
        <w:rPr>
          <w:sz w:val="24"/>
          <w:szCs w:val="24"/>
        </w:rPr>
        <w:t xml:space="preserve">Vzhledem ke specifikům odvětví železniční osobní dopravy není snadné SSNIPP test aplikovat; v praxi se proto využívají jeho různé modifikace. </w:t>
      </w:r>
      <w:r w:rsidR="001D75E8" w:rsidRPr="00300424">
        <w:rPr>
          <w:sz w:val="24"/>
          <w:szCs w:val="24"/>
        </w:rPr>
        <w:t xml:space="preserve">Tento </w:t>
      </w:r>
      <w:r w:rsidR="00274321">
        <w:rPr>
          <w:sz w:val="24"/>
          <w:szCs w:val="24"/>
        </w:rPr>
        <w:t>text</w:t>
      </w:r>
      <w:r w:rsidR="00274321" w:rsidRPr="00300424">
        <w:rPr>
          <w:sz w:val="24"/>
          <w:szCs w:val="24"/>
        </w:rPr>
        <w:t xml:space="preserve"> </w:t>
      </w:r>
      <w:bookmarkStart w:id="0" w:name="_GoBack"/>
      <w:bookmarkEnd w:id="0"/>
      <w:r w:rsidR="00274321">
        <w:rPr>
          <w:sz w:val="24"/>
          <w:szCs w:val="24"/>
        </w:rPr>
        <w:t>prezentuje</w:t>
      </w:r>
      <w:r w:rsidR="00274321" w:rsidRPr="00300424">
        <w:rPr>
          <w:sz w:val="24"/>
          <w:szCs w:val="24"/>
        </w:rPr>
        <w:t xml:space="preserve"> </w:t>
      </w:r>
      <w:r w:rsidR="001D75E8" w:rsidRPr="00300424">
        <w:rPr>
          <w:sz w:val="24"/>
          <w:szCs w:val="24"/>
        </w:rPr>
        <w:t>využitelnost SSNIP testu k vymezování relevantních trhů v</w:t>
      </w:r>
      <w:r w:rsidR="00274321">
        <w:rPr>
          <w:sz w:val="24"/>
          <w:szCs w:val="24"/>
        </w:rPr>
        <w:t xml:space="preserve"> odvětví osobní železniční dopravy na základě pilotního spotřebitelského šetření na dopravním rameni </w:t>
      </w:r>
      <w:r w:rsidR="006E78B6">
        <w:rPr>
          <w:sz w:val="24"/>
          <w:szCs w:val="24"/>
        </w:rPr>
        <w:t xml:space="preserve"> Brno-Praha.</w:t>
      </w:r>
    </w:p>
    <w:p w:rsidR="001D75E8" w:rsidRDefault="001D75E8" w:rsidP="00260068">
      <w:pPr>
        <w:jc w:val="both"/>
        <w:rPr>
          <w:sz w:val="24"/>
          <w:szCs w:val="24"/>
        </w:rPr>
      </w:pPr>
    </w:p>
    <w:p w:rsidR="001D75E8" w:rsidRPr="00DC325D" w:rsidRDefault="001D75E8" w:rsidP="00260068">
      <w:pPr>
        <w:jc w:val="both"/>
        <w:rPr>
          <w:b/>
          <w:sz w:val="24"/>
          <w:szCs w:val="24"/>
        </w:rPr>
      </w:pPr>
      <w:r>
        <w:rPr>
          <w:b/>
          <w:sz w:val="24"/>
          <w:szCs w:val="24"/>
        </w:rPr>
        <w:t>Úvod</w:t>
      </w:r>
    </w:p>
    <w:p w:rsidR="004D4E03" w:rsidRDefault="00FC1B3B" w:rsidP="00260068">
      <w:pPr>
        <w:jc w:val="both"/>
        <w:rPr>
          <w:sz w:val="24"/>
          <w:szCs w:val="24"/>
        </w:rPr>
      </w:pPr>
      <w:r>
        <w:rPr>
          <w:sz w:val="24"/>
          <w:szCs w:val="24"/>
        </w:rPr>
        <w:t>Základním principem moderní politiky hospodářské soutěže je</w:t>
      </w:r>
      <w:r w:rsidR="001D75E8" w:rsidRPr="00300424">
        <w:rPr>
          <w:sz w:val="24"/>
          <w:szCs w:val="24"/>
        </w:rPr>
        <w:t xml:space="preserve"> vymezení relevantního trhu </w:t>
      </w:r>
      <w:r>
        <w:rPr>
          <w:sz w:val="24"/>
          <w:szCs w:val="24"/>
        </w:rPr>
        <w:t xml:space="preserve">na základě transparentní metodiky. Takto jsou koncipovány rovněž </w:t>
      </w:r>
      <w:proofErr w:type="spellStart"/>
      <w:r>
        <w:rPr>
          <w:sz w:val="24"/>
          <w:szCs w:val="24"/>
        </w:rPr>
        <w:t>guidelines</w:t>
      </w:r>
      <w:proofErr w:type="spellEnd"/>
      <w:r>
        <w:rPr>
          <w:sz w:val="24"/>
          <w:szCs w:val="24"/>
        </w:rPr>
        <w:t xml:space="preserve"> Evropské komise pro hospodářskou soutěž (viz Komise ES 1997).</w:t>
      </w:r>
      <w:r w:rsidR="001D75E8">
        <w:rPr>
          <w:sz w:val="24"/>
          <w:szCs w:val="24"/>
        </w:rPr>
        <w:t xml:space="preserve"> </w:t>
      </w:r>
      <w:r w:rsidR="004B0FD8" w:rsidRPr="004B0FD8">
        <w:rPr>
          <w:sz w:val="24"/>
          <w:szCs w:val="24"/>
        </w:rPr>
        <w:t xml:space="preserve">Pro </w:t>
      </w:r>
      <w:r w:rsidR="004D4E03">
        <w:rPr>
          <w:sz w:val="24"/>
          <w:szCs w:val="24"/>
        </w:rPr>
        <w:t>posouzení</w:t>
      </w:r>
      <w:r w:rsidR="004B0FD8" w:rsidRPr="004B0FD8">
        <w:rPr>
          <w:sz w:val="24"/>
          <w:szCs w:val="24"/>
        </w:rPr>
        <w:t xml:space="preserve"> konkurenčního postavení </w:t>
      </w:r>
      <w:r w:rsidR="004D4E03">
        <w:rPr>
          <w:sz w:val="24"/>
          <w:szCs w:val="24"/>
        </w:rPr>
        <w:t>daného</w:t>
      </w:r>
      <w:r w:rsidR="004B0FD8" w:rsidRPr="004B0FD8">
        <w:rPr>
          <w:sz w:val="24"/>
          <w:szCs w:val="24"/>
        </w:rPr>
        <w:t xml:space="preserve"> subjektu </w:t>
      </w:r>
      <w:r w:rsidR="004D4E03">
        <w:rPr>
          <w:sz w:val="24"/>
          <w:szCs w:val="24"/>
        </w:rPr>
        <w:t xml:space="preserve">na trhu </w:t>
      </w:r>
      <w:r w:rsidR="004B0FD8" w:rsidRPr="004B0FD8">
        <w:rPr>
          <w:sz w:val="24"/>
          <w:szCs w:val="24"/>
        </w:rPr>
        <w:t xml:space="preserve">a pro </w:t>
      </w:r>
      <w:r w:rsidR="004D4E03">
        <w:rPr>
          <w:sz w:val="24"/>
          <w:szCs w:val="24"/>
        </w:rPr>
        <w:t xml:space="preserve">praktický </w:t>
      </w:r>
      <w:r w:rsidR="004B0FD8" w:rsidRPr="004B0FD8">
        <w:rPr>
          <w:sz w:val="24"/>
          <w:szCs w:val="24"/>
        </w:rPr>
        <w:t xml:space="preserve">výkon </w:t>
      </w:r>
      <w:r w:rsidR="004D4E03">
        <w:rPr>
          <w:sz w:val="24"/>
          <w:szCs w:val="24"/>
        </w:rPr>
        <w:t xml:space="preserve">soutěžní </w:t>
      </w:r>
      <w:r w:rsidR="004B0FD8" w:rsidRPr="004B0FD8">
        <w:rPr>
          <w:sz w:val="24"/>
          <w:szCs w:val="24"/>
        </w:rPr>
        <w:t xml:space="preserve">politiky je </w:t>
      </w:r>
      <w:r w:rsidR="004D4E03">
        <w:rPr>
          <w:sz w:val="24"/>
          <w:szCs w:val="24"/>
        </w:rPr>
        <w:t xml:space="preserve">především </w:t>
      </w:r>
      <w:r w:rsidR="004B0FD8" w:rsidRPr="004B0FD8">
        <w:rPr>
          <w:sz w:val="24"/>
          <w:szCs w:val="24"/>
        </w:rPr>
        <w:t xml:space="preserve">důležité vymezení trhu produktu, na němž daný subjekt může být vystaven „efektivní“ konkurenci, nebo na němž může „volnou“ konkurenci omezovat, tzv. relevantní trh (viz např. Motta 2004: 102). </w:t>
      </w:r>
      <w:r w:rsidR="004D4E03">
        <w:rPr>
          <w:sz w:val="24"/>
          <w:szCs w:val="24"/>
        </w:rPr>
        <w:t>M</w:t>
      </w:r>
      <w:r w:rsidR="004B0FD8" w:rsidRPr="004B0FD8">
        <w:rPr>
          <w:sz w:val="24"/>
          <w:szCs w:val="24"/>
        </w:rPr>
        <w:t xml:space="preserve">oderní </w:t>
      </w:r>
      <w:proofErr w:type="spellStart"/>
      <w:r w:rsidR="004D4E03">
        <w:rPr>
          <w:sz w:val="24"/>
          <w:szCs w:val="24"/>
        </w:rPr>
        <w:t>guidelines</w:t>
      </w:r>
      <w:proofErr w:type="spellEnd"/>
      <w:r w:rsidR="004B0FD8" w:rsidRPr="004B0FD8">
        <w:rPr>
          <w:sz w:val="24"/>
          <w:szCs w:val="24"/>
        </w:rPr>
        <w:t xml:space="preserve"> politiky hospodářské soutěže </w:t>
      </w:r>
      <w:r w:rsidR="004D4E03">
        <w:rPr>
          <w:sz w:val="24"/>
          <w:szCs w:val="24"/>
        </w:rPr>
        <w:t>jsou založeny na standardizovaných</w:t>
      </w:r>
      <w:r w:rsidR="004B0FD8" w:rsidRPr="004B0FD8">
        <w:rPr>
          <w:sz w:val="24"/>
          <w:szCs w:val="24"/>
        </w:rPr>
        <w:t xml:space="preserve"> ekonometrick</w:t>
      </w:r>
      <w:r w:rsidR="004D4E03">
        <w:rPr>
          <w:sz w:val="24"/>
          <w:szCs w:val="24"/>
        </w:rPr>
        <w:t>ých</w:t>
      </w:r>
      <w:r w:rsidR="004B0FD8" w:rsidRPr="004B0FD8">
        <w:rPr>
          <w:sz w:val="24"/>
          <w:szCs w:val="24"/>
        </w:rPr>
        <w:t xml:space="preserve"> metod</w:t>
      </w:r>
      <w:r w:rsidR="004D4E03">
        <w:rPr>
          <w:sz w:val="24"/>
          <w:szCs w:val="24"/>
        </w:rPr>
        <w:t>ách</w:t>
      </w:r>
      <w:r w:rsidR="004B0FD8" w:rsidRPr="004B0FD8">
        <w:rPr>
          <w:sz w:val="24"/>
          <w:szCs w:val="24"/>
        </w:rPr>
        <w:t xml:space="preserve">, </w:t>
      </w:r>
      <w:r w:rsidR="004D4E03">
        <w:rPr>
          <w:sz w:val="24"/>
          <w:szCs w:val="24"/>
        </w:rPr>
        <w:t>které</w:t>
      </w:r>
      <w:r w:rsidR="004B0FD8" w:rsidRPr="004B0FD8">
        <w:rPr>
          <w:sz w:val="24"/>
          <w:szCs w:val="24"/>
        </w:rPr>
        <w:t xml:space="preserve"> </w:t>
      </w:r>
      <w:r w:rsidR="004D4E03">
        <w:rPr>
          <w:sz w:val="24"/>
          <w:szCs w:val="24"/>
        </w:rPr>
        <w:t>u</w:t>
      </w:r>
      <w:r w:rsidR="004B0FD8" w:rsidRPr="004B0FD8">
        <w:rPr>
          <w:sz w:val="24"/>
          <w:szCs w:val="24"/>
        </w:rPr>
        <w:t>mož</w:t>
      </w:r>
      <w:r w:rsidR="004D4E03">
        <w:rPr>
          <w:sz w:val="24"/>
          <w:szCs w:val="24"/>
        </w:rPr>
        <w:t>ňují</w:t>
      </w:r>
      <w:r w:rsidR="004B0FD8" w:rsidRPr="004B0FD8">
        <w:rPr>
          <w:sz w:val="24"/>
          <w:szCs w:val="24"/>
        </w:rPr>
        <w:t xml:space="preserve"> </w:t>
      </w:r>
      <w:r w:rsidR="004D4E03">
        <w:rPr>
          <w:sz w:val="24"/>
          <w:szCs w:val="24"/>
        </w:rPr>
        <w:t xml:space="preserve">stanovit konkurenční pozici daného subjektu  přímo </w:t>
      </w:r>
      <w:r w:rsidR="004B0FD8" w:rsidRPr="004B0FD8">
        <w:rPr>
          <w:sz w:val="24"/>
          <w:szCs w:val="24"/>
        </w:rPr>
        <w:t>na základě nákladové analýzy</w:t>
      </w:r>
      <w:r w:rsidR="004D4E03">
        <w:rPr>
          <w:sz w:val="24"/>
          <w:szCs w:val="24"/>
        </w:rPr>
        <w:t xml:space="preserve">. </w:t>
      </w:r>
      <w:r w:rsidR="004B0FD8" w:rsidRPr="004B0FD8">
        <w:rPr>
          <w:sz w:val="24"/>
          <w:szCs w:val="24"/>
        </w:rPr>
        <w:t xml:space="preserve"> </w:t>
      </w:r>
      <w:r w:rsidR="004D4E03">
        <w:rPr>
          <w:sz w:val="24"/>
          <w:szCs w:val="24"/>
        </w:rPr>
        <w:t xml:space="preserve">Tyto </w:t>
      </w:r>
      <w:r w:rsidR="004B0FD8" w:rsidRPr="004B0FD8">
        <w:rPr>
          <w:sz w:val="24"/>
          <w:szCs w:val="24"/>
        </w:rPr>
        <w:t xml:space="preserve">metody </w:t>
      </w:r>
      <w:r w:rsidR="004D4E03">
        <w:rPr>
          <w:sz w:val="24"/>
          <w:szCs w:val="24"/>
        </w:rPr>
        <w:t xml:space="preserve">však není možné </w:t>
      </w:r>
      <w:r w:rsidR="004B0FD8" w:rsidRPr="004B0FD8">
        <w:rPr>
          <w:sz w:val="24"/>
          <w:szCs w:val="24"/>
        </w:rPr>
        <w:t>aplikovat ve všech vyšetřovaných případech a zejména ne v určitých specifických odvětvích</w:t>
      </w:r>
      <w:r w:rsidR="004D4E03">
        <w:rPr>
          <w:sz w:val="24"/>
          <w:szCs w:val="24"/>
        </w:rPr>
        <w:t xml:space="preserve">, ke kterým jednoznačně patří železniční doprava (blíže ke specifikům železniční dopravy viz </w:t>
      </w:r>
      <w:proofErr w:type="spellStart"/>
      <w:r w:rsidR="004D4E03">
        <w:rPr>
          <w:sz w:val="24"/>
          <w:szCs w:val="24"/>
        </w:rPr>
        <w:t>Kvizda</w:t>
      </w:r>
      <w:proofErr w:type="spellEnd"/>
      <w:r w:rsidR="004D4E03">
        <w:rPr>
          <w:sz w:val="24"/>
          <w:szCs w:val="24"/>
        </w:rPr>
        <w:t xml:space="preserve"> 2011)</w:t>
      </w:r>
      <w:r w:rsidR="004B0FD8" w:rsidRPr="004B0FD8">
        <w:rPr>
          <w:sz w:val="24"/>
          <w:szCs w:val="24"/>
        </w:rPr>
        <w:t xml:space="preserve">. Důvodem je nedostatek nebo nedostupnost vhodných dat upotřebitelných pro takovou analýzu (viz např. Komise Evropských společenství 2007: 3) a riziko zkreslení výsledků právě kvůli existujícím specifikům odvětví. V těchto případech je namístě použití </w:t>
      </w:r>
      <w:r w:rsidR="004D4E03">
        <w:rPr>
          <w:sz w:val="24"/>
          <w:szCs w:val="24"/>
        </w:rPr>
        <w:t xml:space="preserve">alternativních </w:t>
      </w:r>
      <w:r w:rsidR="004B0FD8" w:rsidRPr="004B0FD8">
        <w:rPr>
          <w:sz w:val="24"/>
          <w:szCs w:val="24"/>
        </w:rPr>
        <w:t>technik, které jsou založeny právě na precizním vymezení relevantního trhu daného produktu (Motta 2004: 101).</w:t>
      </w:r>
    </w:p>
    <w:p w:rsidR="008B0029" w:rsidRDefault="008B0029" w:rsidP="00260068">
      <w:pPr>
        <w:jc w:val="both"/>
        <w:rPr>
          <w:sz w:val="24"/>
          <w:szCs w:val="24"/>
        </w:rPr>
      </w:pPr>
    </w:p>
    <w:p w:rsidR="008B0029" w:rsidRDefault="00F60F91" w:rsidP="00260068">
      <w:pPr>
        <w:jc w:val="both"/>
        <w:rPr>
          <w:sz w:val="24"/>
          <w:szCs w:val="24"/>
        </w:rPr>
      </w:pPr>
      <w:r w:rsidRPr="00F60F91">
        <w:rPr>
          <w:sz w:val="24"/>
          <w:szCs w:val="24"/>
        </w:rPr>
        <w:t>Sou</w:t>
      </w:r>
      <w:r>
        <w:rPr>
          <w:sz w:val="24"/>
          <w:szCs w:val="24"/>
        </w:rPr>
        <w:t>dobé</w:t>
      </w:r>
      <w:r w:rsidRPr="00F60F91">
        <w:rPr>
          <w:sz w:val="24"/>
          <w:szCs w:val="24"/>
        </w:rPr>
        <w:t xml:space="preserve"> reformy </w:t>
      </w:r>
      <w:r>
        <w:rPr>
          <w:sz w:val="24"/>
          <w:szCs w:val="24"/>
        </w:rPr>
        <w:t>železniční dopravy v zemích Evropské unie (</w:t>
      </w:r>
      <w:r w:rsidRPr="00F60F91">
        <w:rPr>
          <w:sz w:val="24"/>
          <w:szCs w:val="24"/>
        </w:rPr>
        <w:t xml:space="preserve">opírají </w:t>
      </w:r>
      <w:r>
        <w:rPr>
          <w:sz w:val="24"/>
          <w:szCs w:val="24"/>
        </w:rPr>
        <w:t xml:space="preserve">se </w:t>
      </w:r>
      <w:r w:rsidRPr="00F60F91">
        <w:rPr>
          <w:sz w:val="24"/>
          <w:szCs w:val="24"/>
        </w:rPr>
        <w:t xml:space="preserve">zejména </w:t>
      </w:r>
      <w:r>
        <w:rPr>
          <w:sz w:val="24"/>
          <w:szCs w:val="24"/>
        </w:rPr>
        <w:t xml:space="preserve">o </w:t>
      </w:r>
      <w:r w:rsidRPr="00F60F91">
        <w:rPr>
          <w:sz w:val="24"/>
          <w:szCs w:val="24"/>
        </w:rPr>
        <w:t>směrnice Evropské komise, Rady a Parlamentu 2001/12/ES, 2001/13/ES, 2001/14/ES, 2004/49/ES, 2004/50/ES, 2004/51/ES, 2007/58/ES, 2007/59/ES a další nařízení, které tvoří tzv. První, Druhý a Třetí železniční balíček</w:t>
      </w:r>
      <w:r>
        <w:rPr>
          <w:sz w:val="24"/>
          <w:szCs w:val="24"/>
        </w:rPr>
        <w:t xml:space="preserve"> (</w:t>
      </w:r>
      <w:r w:rsidRPr="00F60F91">
        <w:rPr>
          <w:sz w:val="24"/>
          <w:szCs w:val="24"/>
        </w:rPr>
        <w:t xml:space="preserve">podrobně viz </w:t>
      </w:r>
      <w:proofErr w:type="spellStart"/>
      <w:r w:rsidRPr="00F60F91">
        <w:rPr>
          <w:sz w:val="24"/>
          <w:szCs w:val="24"/>
        </w:rPr>
        <w:t>Peltrám</w:t>
      </w:r>
      <w:proofErr w:type="spellEnd"/>
      <w:r w:rsidRPr="00F60F91">
        <w:rPr>
          <w:sz w:val="24"/>
          <w:szCs w:val="24"/>
        </w:rPr>
        <w:t xml:space="preserve"> 2010)</w:t>
      </w:r>
      <w:r>
        <w:rPr>
          <w:sz w:val="24"/>
          <w:szCs w:val="24"/>
        </w:rPr>
        <w:t xml:space="preserve"> jsou založené na otevření trhu dopravních služeb komerčním dopravcům a vytvoření reálné konkurence na jednotlivých linkách</w:t>
      </w:r>
      <w:r w:rsidRPr="00F60F91">
        <w:rPr>
          <w:sz w:val="24"/>
          <w:szCs w:val="24"/>
        </w:rPr>
        <w:t>.</w:t>
      </w:r>
      <w:r>
        <w:rPr>
          <w:sz w:val="24"/>
          <w:szCs w:val="24"/>
        </w:rPr>
        <w:t xml:space="preserve"> I v České republice je proto a</w:t>
      </w:r>
      <w:r w:rsidR="00E841B4">
        <w:rPr>
          <w:sz w:val="24"/>
          <w:szCs w:val="24"/>
        </w:rPr>
        <w:t xml:space="preserve">ktuálním </w:t>
      </w:r>
      <w:r>
        <w:rPr>
          <w:sz w:val="24"/>
          <w:szCs w:val="24"/>
        </w:rPr>
        <w:t>trendem</w:t>
      </w:r>
      <w:r w:rsidR="00E841B4">
        <w:rPr>
          <w:sz w:val="24"/>
          <w:szCs w:val="24"/>
        </w:rPr>
        <w:t xml:space="preserve"> posledních let zvyšování </w:t>
      </w:r>
      <w:r>
        <w:rPr>
          <w:sz w:val="24"/>
          <w:szCs w:val="24"/>
        </w:rPr>
        <w:t xml:space="preserve">intermodální </w:t>
      </w:r>
      <w:r w:rsidR="00E841B4">
        <w:rPr>
          <w:sz w:val="24"/>
          <w:szCs w:val="24"/>
        </w:rPr>
        <w:t xml:space="preserve">konkurence zejména </w:t>
      </w:r>
      <w:r>
        <w:rPr>
          <w:sz w:val="24"/>
          <w:szCs w:val="24"/>
        </w:rPr>
        <w:t xml:space="preserve">na linkách </w:t>
      </w:r>
      <w:r w:rsidR="00E841B4">
        <w:rPr>
          <w:sz w:val="24"/>
          <w:szCs w:val="24"/>
        </w:rPr>
        <w:t>mezi velkými městy</w:t>
      </w:r>
      <w:r>
        <w:rPr>
          <w:sz w:val="24"/>
          <w:szCs w:val="24"/>
        </w:rPr>
        <w:t xml:space="preserve">; v rámci železničního dopravního </w:t>
      </w:r>
      <w:proofErr w:type="gramStart"/>
      <w:r>
        <w:rPr>
          <w:sz w:val="24"/>
          <w:szCs w:val="24"/>
        </w:rPr>
        <w:t>ramene  Praha</w:t>
      </w:r>
      <w:proofErr w:type="gramEnd"/>
      <w:r>
        <w:rPr>
          <w:sz w:val="24"/>
          <w:szCs w:val="24"/>
        </w:rPr>
        <w:t xml:space="preserve"> – Ostrava došlo rovněž k otevření přímé konkurence </w:t>
      </w:r>
      <w:proofErr w:type="spellStart"/>
      <w:r>
        <w:rPr>
          <w:sz w:val="24"/>
          <w:szCs w:val="24"/>
        </w:rPr>
        <w:t>intramodální</w:t>
      </w:r>
      <w:proofErr w:type="spellEnd"/>
      <w:r w:rsidR="00E841B4">
        <w:rPr>
          <w:sz w:val="24"/>
          <w:szCs w:val="24"/>
        </w:rPr>
        <w:t xml:space="preserve">. </w:t>
      </w:r>
      <w:r>
        <w:rPr>
          <w:sz w:val="24"/>
          <w:szCs w:val="24"/>
        </w:rPr>
        <w:t xml:space="preserve"> Lze očekávat, že intenzita intermodální i </w:t>
      </w:r>
      <w:proofErr w:type="spellStart"/>
      <w:r>
        <w:rPr>
          <w:sz w:val="24"/>
          <w:szCs w:val="24"/>
        </w:rPr>
        <w:t>intramodální</w:t>
      </w:r>
      <w:proofErr w:type="spellEnd"/>
      <w:r>
        <w:rPr>
          <w:sz w:val="24"/>
          <w:szCs w:val="24"/>
        </w:rPr>
        <w:t xml:space="preserve"> konkurence se bude v nejbližších </w:t>
      </w:r>
      <w:r w:rsidR="003763B5">
        <w:rPr>
          <w:sz w:val="24"/>
          <w:szCs w:val="24"/>
        </w:rPr>
        <w:t>letech zvyšovat</w:t>
      </w:r>
      <w:r>
        <w:rPr>
          <w:sz w:val="24"/>
          <w:szCs w:val="24"/>
        </w:rPr>
        <w:t xml:space="preserve">, zejména na ramenech s nejvyšší hustotou dopravy. K těmto ramenům patří zejména Praha – Ostrava, Praha – Brno, Praha – Plzeň, Praha </w:t>
      </w:r>
      <w:r w:rsidR="003763B5">
        <w:rPr>
          <w:sz w:val="24"/>
          <w:szCs w:val="24"/>
        </w:rPr>
        <w:t>–</w:t>
      </w:r>
      <w:r>
        <w:rPr>
          <w:sz w:val="24"/>
          <w:szCs w:val="24"/>
        </w:rPr>
        <w:t xml:space="preserve"> </w:t>
      </w:r>
      <w:r w:rsidR="003763B5">
        <w:rPr>
          <w:sz w:val="24"/>
          <w:szCs w:val="24"/>
        </w:rPr>
        <w:t>Ústí nad Labem, Brno – Ostrava a další. Se zvyšováním intenzity konkurence bude nepochybně také docházet k pokus</w:t>
      </w:r>
      <w:r w:rsidR="006807B3">
        <w:rPr>
          <w:sz w:val="24"/>
          <w:szCs w:val="24"/>
        </w:rPr>
        <w:t>ů</w:t>
      </w:r>
      <w:r w:rsidR="003763B5">
        <w:rPr>
          <w:sz w:val="24"/>
          <w:szCs w:val="24"/>
        </w:rPr>
        <w:t xml:space="preserve">m o zneužití dominantního postavení na trhu, k fúzím a akvizicím jednotlivých soutěžitelů a k dalším případům skutečného, domnělého nebo potenciálního narušení volné soutěže. Z toho </w:t>
      </w:r>
      <w:r w:rsidR="003763B5">
        <w:rPr>
          <w:sz w:val="24"/>
          <w:szCs w:val="24"/>
        </w:rPr>
        <w:lastRenderedPageBreak/>
        <w:t xml:space="preserve">důvodu je velmi aktuální a potřebné, aby byla k dispozici adekvátní metodika pro transparentní a správné vymezení relevantního trhu. </w:t>
      </w:r>
    </w:p>
    <w:p w:rsidR="008B0029" w:rsidRDefault="008B0029" w:rsidP="00260068">
      <w:pPr>
        <w:jc w:val="both"/>
        <w:rPr>
          <w:sz w:val="24"/>
          <w:szCs w:val="24"/>
        </w:rPr>
      </w:pPr>
    </w:p>
    <w:p w:rsidR="001D75E8" w:rsidRPr="004C7E4A" w:rsidRDefault="001D75E8" w:rsidP="00260068">
      <w:pPr>
        <w:jc w:val="both"/>
        <w:rPr>
          <w:b/>
          <w:sz w:val="24"/>
          <w:szCs w:val="24"/>
        </w:rPr>
      </w:pPr>
      <w:r>
        <w:rPr>
          <w:b/>
          <w:sz w:val="24"/>
          <w:szCs w:val="24"/>
        </w:rPr>
        <w:t>1. SSNIP test</w:t>
      </w:r>
      <w:r w:rsidR="006807B3">
        <w:rPr>
          <w:b/>
          <w:sz w:val="24"/>
          <w:szCs w:val="24"/>
        </w:rPr>
        <w:t xml:space="preserve"> a možnosti jeho aplikace</w:t>
      </w:r>
    </w:p>
    <w:p w:rsidR="006807B3" w:rsidRDefault="006807B3" w:rsidP="006807B3">
      <w:pPr>
        <w:jc w:val="both"/>
        <w:rPr>
          <w:sz w:val="24"/>
          <w:szCs w:val="24"/>
        </w:rPr>
      </w:pPr>
      <w:r w:rsidRPr="006807B3">
        <w:rPr>
          <w:sz w:val="24"/>
          <w:szCs w:val="24"/>
        </w:rPr>
        <w:t>K</w:t>
      </w:r>
      <w:r>
        <w:rPr>
          <w:sz w:val="24"/>
          <w:szCs w:val="24"/>
        </w:rPr>
        <w:t> takovým základním</w:t>
      </w:r>
      <w:r w:rsidRPr="006807B3">
        <w:rPr>
          <w:sz w:val="24"/>
          <w:szCs w:val="24"/>
        </w:rPr>
        <w:t xml:space="preserve"> metodám patří </w:t>
      </w:r>
      <w:r>
        <w:rPr>
          <w:sz w:val="24"/>
          <w:szCs w:val="24"/>
        </w:rPr>
        <w:t>právě</w:t>
      </w:r>
      <w:r w:rsidRPr="006807B3">
        <w:rPr>
          <w:sz w:val="24"/>
          <w:szCs w:val="24"/>
        </w:rPr>
        <w:t xml:space="preserve"> SSNIP test (</w:t>
      </w:r>
      <w:proofErr w:type="spellStart"/>
      <w:r w:rsidRPr="006807B3">
        <w:rPr>
          <w:sz w:val="24"/>
          <w:szCs w:val="24"/>
        </w:rPr>
        <w:t>Small</w:t>
      </w:r>
      <w:proofErr w:type="spellEnd"/>
      <w:r w:rsidRPr="006807B3">
        <w:rPr>
          <w:sz w:val="24"/>
          <w:szCs w:val="24"/>
        </w:rPr>
        <w:t xml:space="preserve"> but </w:t>
      </w:r>
      <w:proofErr w:type="spellStart"/>
      <w:r w:rsidRPr="006807B3">
        <w:rPr>
          <w:sz w:val="24"/>
          <w:szCs w:val="24"/>
        </w:rPr>
        <w:t>Significant</w:t>
      </w:r>
      <w:proofErr w:type="spellEnd"/>
      <w:r w:rsidRPr="006807B3">
        <w:rPr>
          <w:sz w:val="24"/>
          <w:szCs w:val="24"/>
        </w:rPr>
        <w:t xml:space="preserve"> Non-</w:t>
      </w:r>
      <w:proofErr w:type="spellStart"/>
      <w:r w:rsidRPr="006807B3">
        <w:rPr>
          <w:sz w:val="24"/>
          <w:szCs w:val="24"/>
        </w:rPr>
        <w:t>transitory</w:t>
      </w:r>
      <w:proofErr w:type="spellEnd"/>
      <w:r w:rsidRPr="006807B3">
        <w:rPr>
          <w:sz w:val="24"/>
          <w:szCs w:val="24"/>
        </w:rPr>
        <w:t xml:space="preserve"> </w:t>
      </w:r>
      <w:proofErr w:type="spellStart"/>
      <w:r w:rsidRPr="006807B3">
        <w:rPr>
          <w:sz w:val="24"/>
          <w:szCs w:val="24"/>
        </w:rPr>
        <w:t>Increase</w:t>
      </w:r>
      <w:proofErr w:type="spellEnd"/>
      <w:r w:rsidRPr="006807B3">
        <w:rPr>
          <w:sz w:val="24"/>
          <w:szCs w:val="24"/>
        </w:rPr>
        <w:t xml:space="preserve"> in </w:t>
      </w:r>
      <w:proofErr w:type="spellStart"/>
      <w:r w:rsidRPr="006807B3">
        <w:rPr>
          <w:sz w:val="24"/>
          <w:szCs w:val="24"/>
        </w:rPr>
        <w:t>Prices</w:t>
      </w:r>
      <w:proofErr w:type="spellEnd"/>
      <w:r w:rsidRPr="006807B3">
        <w:rPr>
          <w:sz w:val="24"/>
          <w:szCs w:val="24"/>
        </w:rPr>
        <w:t xml:space="preserve">), který </w:t>
      </w:r>
      <w:r>
        <w:rPr>
          <w:sz w:val="24"/>
          <w:szCs w:val="24"/>
        </w:rPr>
        <w:t>pracuje na principu</w:t>
      </w:r>
      <w:r w:rsidRPr="006807B3">
        <w:rPr>
          <w:sz w:val="24"/>
          <w:szCs w:val="24"/>
        </w:rPr>
        <w:t xml:space="preserve"> kvantifikac</w:t>
      </w:r>
      <w:r>
        <w:rPr>
          <w:sz w:val="24"/>
          <w:szCs w:val="24"/>
        </w:rPr>
        <w:t>e</w:t>
      </w:r>
      <w:r w:rsidRPr="006807B3">
        <w:rPr>
          <w:sz w:val="24"/>
          <w:szCs w:val="24"/>
        </w:rPr>
        <w:t xml:space="preserve"> změny zisku hypotetického monopolisty </w:t>
      </w:r>
      <w:r>
        <w:rPr>
          <w:sz w:val="24"/>
          <w:szCs w:val="24"/>
        </w:rPr>
        <w:t>v </w:t>
      </w:r>
      <w:r w:rsidRPr="006807B3">
        <w:rPr>
          <w:sz w:val="24"/>
          <w:szCs w:val="24"/>
        </w:rPr>
        <w:t>reakc</w:t>
      </w:r>
      <w:r>
        <w:rPr>
          <w:sz w:val="24"/>
          <w:szCs w:val="24"/>
        </w:rPr>
        <w:t>i změny chování</w:t>
      </w:r>
      <w:r w:rsidRPr="006807B3">
        <w:rPr>
          <w:sz w:val="24"/>
          <w:szCs w:val="24"/>
        </w:rPr>
        <w:t xml:space="preserve"> spotřebitelů </w:t>
      </w:r>
      <w:r>
        <w:rPr>
          <w:sz w:val="24"/>
          <w:szCs w:val="24"/>
        </w:rPr>
        <w:t>po</w:t>
      </w:r>
      <w:r w:rsidRPr="006807B3">
        <w:rPr>
          <w:sz w:val="24"/>
          <w:szCs w:val="24"/>
        </w:rPr>
        <w:t xml:space="preserve"> zvýšení ceny daného produktu o 5-10% (Motta 2004: 102; Office </w:t>
      </w:r>
      <w:proofErr w:type="spellStart"/>
      <w:r w:rsidRPr="006807B3">
        <w:rPr>
          <w:sz w:val="24"/>
          <w:szCs w:val="24"/>
        </w:rPr>
        <w:t>of</w:t>
      </w:r>
      <w:proofErr w:type="spellEnd"/>
      <w:r w:rsidRPr="006807B3">
        <w:rPr>
          <w:sz w:val="24"/>
          <w:szCs w:val="24"/>
        </w:rPr>
        <w:t xml:space="preserve"> Fair </w:t>
      </w:r>
      <w:proofErr w:type="spellStart"/>
      <w:r w:rsidRPr="006807B3">
        <w:rPr>
          <w:sz w:val="24"/>
          <w:szCs w:val="24"/>
        </w:rPr>
        <w:t>Trading</w:t>
      </w:r>
      <w:proofErr w:type="spellEnd"/>
      <w:r w:rsidRPr="006807B3">
        <w:rPr>
          <w:sz w:val="24"/>
          <w:szCs w:val="24"/>
        </w:rPr>
        <w:t xml:space="preserve"> 2004: 4). Je-li poptávka po daném produktu málo elastická a zvýšení ceny tedy způsobí relativně malý odliv spotřebitelů z trhu a nárůst zisku producenta, tvoří daný produkt specifický relevantní trh a </w:t>
      </w:r>
      <w:r>
        <w:rPr>
          <w:sz w:val="24"/>
          <w:szCs w:val="24"/>
        </w:rPr>
        <w:t xml:space="preserve">takový produkt </w:t>
      </w:r>
      <w:r w:rsidRPr="006807B3">
        <w:rPr>
          <w:sz w:val="24"/>
          <w:szCs w:val="24"/>
        </w:rPr>
        <w:t xml:space="preserve">nemá reálné substituty. Pokud je poptávka po daném produktu více elastická a </w:t>
      </w:r>
      <w:r>
        <w:rPr>
          <w:sz w:val="24"/>
          <w:szCs w:val="24"/>
        </w:rPr>
        <w:t xml:space="preserve">na </w:t>
      </w:r>
      <w:r w:rsidRPr="006807B3">
        <w:rPr>
          <w:sz w:val="24"/>
          <w:szCs w:val="24"/>
        </w:rPr>
        <w:t xml:space="preserve">zvýšení ceny </w:t>
      </w:r>
      <w:r>
        <w:rPr>
          <w:sz w:val="24"/>
          <w:szCs w:val="24"/>
        </w:rPr>
        <w:t>reagují</w:t>
      </w:r>
      <w:r w:rsidRPr="006807B3">
        <w:rPr>
          <w:sz w:val="24"/>
          <w:szCs w:val="24"/>
        </w:rPr>
        <w:t xml:space="preserve"> spotřebitel</w:t>
      </w:r>
      <w:r>
        <w:rPr>
          <w:sz w:val="24"/>
          <w:szCs w:val="24"/>
        </w:rPr>
        <w:t>é</w:t>
      </w:r>
      <w:r w:rsidRPr="006807B3">
        <w:rPr>
          <w:sz w:val="24"/>
          <w:szCs w:val="24"/>
        </w:rPr>
        <w:t xml:space="preserve"> nahra</w:t>
      </w:r>
      <w:r>
        <w:rPr>
          <w:sz w:val="24"/>
          <w:szCs w:val="24"/>
        </w:rPr>
        <w:t>zením</w:t>
      </w:r>
      <w:r w:rsidRPr="006807B3">
        <w:rPr>
          <w:sz w:val="24"/>
          <w:szCs w:val="24"/>
        </w:rPr>
        <w:t xml:space="preserve"> dan</w:t>
      </w:r>
      <w:r>
        <w:rPr>
          <w:sz w:val="24"/>
          <w:szCs w:val="24"/>
        </w:rPr>
        <w:t>ého</w:t>
      </w:r>
      <w:r w:rsidRPr="006807B3">
        <w:rPr>
          <w:sz w:val="24"/>
          <w:szCs w:val="24"/>
        </w:rPr>
        <w:t xml:space="preserve"> produkt</w:t>
      </w:r>
      <w:r>
        <w:rPr>
          <w:sz w:val="24"/>
          <w:szCs w:val="24"/>
        </w:rPr>
        <w:t>u</w:t>
      </w:r>
      <w:r w:rsidRPr="006807B3">
        <w:rPr>
          <w:sz w:val="24"/>
          <w:szCs w:val="24"/>
        </w:rPr>
        <w:t xml:space="preserve"> jeho substitutem, což způsobí pokles zisku producenta, nemůže být pro daný produkt definován takto vymezený relevantní trh, ale je třeba vzít do úvahy i další produkty (substituty) a definovat relevantní trh šířeji. </w:t>
      </w:r>
    </w:p>
    <w:p w:rsidR="008B0029" w:rsidRPr="006807B3" w:rsidRDefault="008B0029" w:rsidP="006807B3">
      <w:pPr>
        <w:jc w:val="both"/>
        <w:rPr>
          <w:sz w:val="24"/>
          <w:szCs w:val="24"/>
        </w:rPr>
      </w:pPr>
    </w:p>
    <w:p w:rsidR="001D75E8" w:rsidRDefault="001D75E8" w:rsidP="00260068">
      <w:pPr>
        <w:jc w:val="both"/>
        <w:rPr>
          <w:sz w:val="24"/>
          <w:szCs w:val="24"/>
        </w:rPr>
      </w:pPr>
      <w:r>
        <w:rPr>
          <w:sz w:val="24"/>
          <w:szCs w:val="24"/>
        </w:rPr>
        <w:t>K vymezení relevantního trhu je</w:t>
      </w:r>
      <w:r w:rsidR="006807B3">
        <w:rPr>
          <w:sz w:val="24"/>
          <w:szCs w:val="24"/>
        </w:rPr>
        <w:t xml:space="preserve"> potom</w:t>
      </w:r>
      <w:r>
        <w:rPr>
          <w:sz w:val="24"/>
          <w:szCs w:val="24"/>
        </w:rPr>
        <w:t xml:space="preserve"> potřeba zopakovat SSNIP test znovu, s tím rozdílem, že se výrobci obou substitutů považují za jednoho hypotetického monopolistu, který by zvýšil cenu svého produktu (zvýšila by se tedy cena obou produktů). Pokud by bylo pro tohoto hypotetického monopolistu zvýšení ceny ziskové, znamenalo by to, že neexistuje žádný další substitut a relevantní trh je vymezen těmito dvěma produkty. V opačném případě se stejný postup testu opakuje s přidáváním dalších substitutů až do té doby, kdy by odpověď na úvodní otázku byla ano.</w:t>
      </w:r>
    </w:p>
    <w:p w:rsidR="001D75E8" w:rsidRDefault="001D75E8" w:rsidP="00260068">
      <w:pPr>
        <w:jc w:val="both"/>
        <w:rPr>
          <w:sz w:val="24"/>
          <w:szCs w:val="24"/>
        </w:rPr>
      </w:pPr>
    </w:p>
    <w:p w:rsidR="001D75E8" w:rsidRDefault="001D75E8" w:rsidP="00260068">
      <w:pPr>
        <w:jc w:val="both"/>
        <w:rPr>
          <w:sz w:val="24"/>
          <w:szCs w:val="24"/>
        </w:rPr>
      </w:pPr>
      <w:r>
        <w:rPr>
          <w:sz w:val="24"/>
          <w:szCs w:val="24"/>
        </w:rPr>
        <w:t>Jedn</w:t>
      </w:r>
      <w:r w:rsidR="006807B3">
        <w:rPr>
          <w:sz w:val="24"/>
          <w:szCs w:val="24"/>
        </w:rPr>
        <w:t>ou</w:t>
      </w:r>
      <w:r>
        <w:rPr>
          <w:sz w:val="24"/>
          <w:szCs w:val="24"/>
        </w:rPr>
        <w:t xml:space="preserve"> z možností praktické implementace (tzv. přímá realizace) SSNIP testu je analýza kritické ztráty. </w:t>
      </w:r>
      <w:r w:rsidR="006807B3">
        <w:rPr>
          <w:sz w:val="24"/>
          <w:szCs w:val="24"/>
        </w:rPr>
        <w:t>Vychází se z předpokladu, že z</w:t>
      </w:r>
      <w:r w:rsidRPr="00EB7631">
        <w:rPr>
          <w:sz w:val="24"/>
          <w:szCs w:val="24"/>
        </w:rPr>
        <w:t>výšením ceny se zvýší marže na jednotku prodaného zboží, což zv</w:t>
      </w:r>
      <w:r w:rsidR="00EA125F">
        <w:rPr>
          <w:sz w:val="24"/>
          <w:szCs w:val="24"/>
        </w:rPr>
        <w:t>ý</w:t>
      </w:r>
      <w:r w:rsidRPr="00EB7631">
        <w:rPr>
          <w:sz w:val="24"/>
          <w:szCs w:val="24"/>
        </w:rPr>
        <w:t>š</w:t>
      </w:r>
      <w:r w:rsidR="006807B3">
        <w:rPr>
          <w:sz w:val="24"/>
          <w:szCs w:val="24"/>
        </w:rPr>
        <w:t>í</w:t>
      </w:r>
      <w:r w:rsidRPr="00EB7631">
        <w:rPr>
          <w:sz w:val="24"/>
          <w:szCs w:val="24"/>
        </w:rPr>
        <w:t xml:space="preserve"> zisk </w:t>
      </w:r>
      <w:r w:rsidR="006E2F81">
        <w:rPr>
          <w:sz w:val="24"/>
          <w:szCs w:val="24"/>
        </w:rPr>
        <w:t>producenta</w:t>
      </w:r>
      <w:r w:rsidRPr="00EB7631">
        <w:rPr>
          <w:sz w:val="24"/>
          <w:szCs w:val="24"/>
        </w:rPr>
        <w:t xml:space="preserve">. Vyšší cena však také pro </w:t>
      </w:r>
      <w:r w:rsidR="006E2F81">
        <w:rPr>
          <w:sz w:val="24"/>
          <w:szCs w:val="24"/>
        </w:rPr>
        <w:t>producenta</w:t>
      </w:r>
      <w:r w:rsidR="006E2F81" w:rsidRPr="00EB7631">
        <w:rPr>
          <w:sz w:val="24"/>
          <w:szCs w:val="24"/>
        </w:rPr>
        <w:t xml:space="preserve"> </w:t>
      </w:r>
      <w:r w:rsidRPr="00EB7631">
        <w:rPr>
          <w:sz w:val="24"/>
          <w:szCs w:val="24"/>
        </w:rPr>
        <w:t>znamená snížení poptávaného množství a tedy pokles zisku. Pokud převáží první efekt, je zvýšení ceny ziskové. V případě, že převáž</w:t>
      </w:r>
      <w:r w:rsidR="006E2F81">
        <w:rPr>
          <w:sz w:val="24"/>
          <w:szCs w:val="24"/>
        </w:rPr>
        <w:t>í</w:t>
      </w:r>
      <w:r w:rsidRPr="00EB7631">
        <w:rPr>
          <w:sz w:val="24"/>
          <w:szCs w:val="24"/>
        </w:rPr>
        <w:t xml:space="preserve"> efekt druhý, </w:t>
      </w:r>
      <w:r w:rsidR="006E2F81">
        <w:rPr>
          <w:sz w:val="24"/>
          <w:szCs w:val="24"/>
        </w:rPr>
        <w:t>producent</w:t>
      </w:r>
      <w:r w:rsidR="006E2F81" w:rsidRPr="00EB7631">
        <w:rPr>
          <w:sz w:val="24"/>
          <w:szCs w:val="24"/>
        </w:rPr>
        <w:t xml:space="preserve"> </w:t>
      </w:r>
      <w:r w:rsidRPr="00EB7631">
        <w:rPr>
          <w:sz w:val="24"/>
          <w:szCs w:val="24"/>
        </w:rPr>
        <w:t xml:space="preserve">by zvýšením ceny prodělal. Ziskovost zvýšení ceny tedy závisí na cenové elasticitě poptávky po produktu a na obchodním rozpětí firmy. V tomto případě pojem kritická ztráta znamená </w:t>
      </w:r>
      <w:r>
        <w:rPr>
          <w:sz w:val="24"/>
          <w:szCs w:val="24"/>
        </w:rPr>
        <w:t xml:space="preserve">maximální možný </w:t>
      </w:r>
      <w:r w:rsidRPr="00EB7631">
        <w:rPr>
          <w:sz w:val="24"/>
          <w:szCs w:val="24"/>
        </w:rPr>
        <w:t>propad poptávaného množství (v důsledku zvýšení ceny), při kterém</w:t>
      </w:r>
      <w:r>
        <w:rPr>
          <w:sz w:val="24"/>
          <w:szCs w:val="24"/>
        </w:rPr>
        <w:t>,</w:t>
      </w:r>
      <w:r w:rsidRPr="00EB7631">
        <w:rPr>
          <w:sz w:val="24"/>
          <w:szCs w:val="24"/>
        </w:rPr>
        <w:t xml:space="preserve"> za daného obchodního rozpětí</w:t>
      </w:r>
      <w:r>
        <w:rPr>
          <w:sz w:val="24"/>
          <w:szCs w:val="24"/>
        </w:rPr>
        <w:t>,</w:t>
      </w:r>
      <w:r w:rsidRPr="00EB7631">
        <w:rPr>
          <w:sz w:val="24"/>
          <w:szCs w:val="24"/>
        </w:rPr>
        <w:t xml:space="preserve"> zvýšení ceny nemění zisk. Podobně kritická elasticita udává cenovou elasticitu poptávky, při které nebude mít zvýšení ceny dopad na zisk </w:t>
      </w:r>
      <w:r w:rsidR="006E2F81">
        <w:rPr>
          <w:sz w:val="24"/>
          <w:szCs w:val="24"/>
        </w:rPr>
        <w:t>producenta</w:t>
      </w:r>
      <w:r w:rsidRPr="00EB7631">
        <w:rPr>
          <w:sz w:val="24"/>
          <w:szCs w:val="24"/>
        </w:rPr>
        <w:t>.</w:t>
      </w:r>
      <w:r w:rsidR="004D50EB">
        <w:rPr>
          <w:sz w:val="24"/>
          <w:szCs w:val="24"/>
        </w:rPr>
        <w:t xml:space="preserve"> </w:t>
      </w:r>
      <w:r w:rsidRPr="00EB7631">
        <w:rPr>
          <w:sz w:val="24"/>
          <w:szCs w:val="24"/>
        </w:rPr>
        <w:t>Smysl analýzy kritické ztráty tedy spočívá v porovnání skutečné elasticity poptávky (nebo přímo ztráty) s její vypočtenou kritickou hodnotou.</w:t>
      </w:r>
    </w:p>
    <w:p w:rsidR="001D75E8" w:rsidRDefault="001D75E8" w:rsidP="00260068">
      <w:pPr>
        <w:jc w:val="both"/>
        <w:rPr>
          <w:sz w:val="24"/>
          <w:szCs w:val="24"/>
        </w:rPr>
      </w:pPr>
    </w:p>
    <w:p w:rsidR="001D75E8" w:rsidRDefault="009B0E18" w:rsidP="00260068">
      <w:pPr>
        <w:jc w:val="both"/>
        <w:rPr>
          <w:sz w:val="24"/>
          <w:szCs w:val="24"/>
        </w:rPr>
      </w:pPr>
      <w:r>
        <w:rPr>
          <w:sz w:val="24"/>
          <w:szCs w:val="24"/>
        </w:rPr>
        <w:t xml:space="preserve">Postup </w:t>
      </w:r>
      <w:r w:rsidR="001D75E8">
        <w:rPr>
          <w:sz w:val="24"/>
          <w:szCs w:val="24"/>
        </w:rPr>
        <w:t>lze tedy rozdělit do třech následujících kroků:</w:t>
      </w:r>
    </w:p>
    <w:p w:rsidR="001D75E8" w:rsidRDefault="001D75E8" w:rsidP="00260068">
      <w:pPr>
        <w:pStyle w:val="Odstavecseseznamem"/>
        <w:jc w:val="both"/>
        <w:rPr>
          <w:sz w:val="24"/>
          <w:szCs w:val="24"/>
        </w:rPr>
      </w:pPr>
    </w:p>
    <w:p w:rsidR="001D75E8" w:rsidRDefault="001D75E8" w:rsidP="00260068">
      <w:pPr>
        <w:pStyle w:val="Odstavecseseznamem"/>
        <w:numPr>
          <w:ilvl w:val="0"/>
          <w:numId w:val="10"/>
        </w:numPr>
        <w:jc w:val="both"/>
        <w:rPr>
          <w:sz w:val="24"/>
          <w:szCs w:val="24"/>
        </w:rPr>
      </w:pPr>
      <w:r>
        <w:rPr>
          <w:sz w:val="24"/>
          <w:szCs w:val="24"/>
        </w:rPr>
        <w:t>stanovení kritické ztráty</w:t>
      </w:r>
    </w:p>
    <w:p w:rsidR="001D75E8" w:rsidRDefault="001D75E8" w:rsidP="00260068">
      <w:pPr>
        <w:pStyle w:val="Odstavecseseznamem"/>
        <w:numPr>
          <w:ilvl w:val="0"/>
          <w:numId w:val="10"/>
        </w:numPr>
        <w:jc w:val="both"/>
        <w:rPr>
          <w:sz w:val="24"/>
          <w:szCs w:val="24"/>
        </w:rPr>
      </w:pPr>
      <w:r>
        <w:rPr>
          <w:sz w:val="24"/>
          <w:szCs w:val="24"/>
        </w:rPr>
        <w:t>odhad skutečné ztráty</w:t>
      </w:r>
    </w:p>
    <w:p w:rsidR="001D75E8" w:rsidRDefault="001D75E8" w:rsidP="00260068">
      <w:pPr>
        <w:pStyle w:val="Odstavecseseznamem"/>
        <w:numPr>
          <w:ilvl w:val="0"/>
          <w:numId w:val="10"/>
        </w:numPr>
        <w:jc w:val="both"/>
        <w:rPr>
          <w:sz w:val="24"/>
          <w:szCs w:val="24"/>
        </w:rPr>
      </w:pPr>
      <w:r>
        <w:rPr>
          <w:sz w:val="24"/>
          <w:szCs w:val="24"/>
        </w:rPr>
        <w:t>porovnání obou ztrát</w:t>
      </w:r>
    </w:p>
    <w:p w:rsidR="001D75E8" w:rsidRDefault="001D75E8" w:rsidP="00260068">
      <w:pPr>
        <w:jc w:val="both"/>
        <w:rPr>
          <w:sz w:val="24"/>
          <w:szCs w:val="24"/>
        </w:rPr>
      </w:pPr>
    </w:p>
    <w:p w:rsidR="001D75E8" w:rsidRDefault="001D75E8" w:rsidP="00260068">
      <w:pPr>
        <w:jc w:val="both"/>
        <w:rPr>
          <w:sz w:val="24"/>
          <w:szCs w:val="24"/>
        </w:rPr>
      </w:pPr>
      <w:r>
        <w:rPr>
          <w:sz w:val="24"/>
          <w:szCs w:val="24"/>
        </w:rPr>
        <w:t xml:space="preserve">Vzorec pro výpočet kritické ztráty je definován jako podíl procentního zvýšení ceny a procentního zvýšení ceny plus marže, tedy: </w:t>
      </w:r>
    </w:p>
    <w:p w:rsidR="00432C5B" w:rsidRDefault="00432C5B" w:rsidP="00260068">
      <w:pPr>
        <w:jc w:val="both"/>
        <w:rPr>
          <w:sz w:val="24"/>
          <w:szCs w:val="24"/>
        </w:rPr>
      </w:pPr>
    </w:p>
    <w:p w:rsidR="001D75E8" w:rsidRPr="00F85DB6" w:rsidRDefault="001C13AF" w:rsidP="00260068">
      <w:pP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   </w:t>
      </w:r>
      <w:r>
        <w:rPr>
          <w:color w:val="000000"/>
          <w:sz w:val="24"/>
          <w:szCs w:val="24"/>
        </w:rPr>
        <w:tab/>
      </w:r>
      <m:oMath>
        <m:r>
          <w:rPr>
            <w:rFonts w:ascii="Cambria Math" w:hAnsi="Cambria Math"/>
            <w:color w:val="000000"/>
            <w:sz w:val="24"/>
            <w:szCs w:val="24"/>
          </w:rPr>
          <m:t>cl</m:t>
        </m:r>
        <m:r>
          <w:rPr>
            <w:rFonts w:ascii="Cambria Math"/>
            <w:color w:val="000000"/>
            <w:sz w:val="24"/>
            <w:szCs w:val="24"/>
          </w:rPr>
          <m:t>=</m:t>
        </m:r>
        <m:r>
          <w:rPr>
            <w:rFonts w:ascii="Cambria Math" w:hAnsi="Cambria Math"/>
            <w:color w:val="000000"/>
            <w:sz w:val="24"/>
            <w:szCs w:val="24"/>
          </w:rPr>
          <m:t>X</m:t>
        </m:r>
        <m:r>
          <w:rPr>
            <w:rFonts w:ascii="Cambria Math"/>
            <w:color w:val="000000"/>
            <w:sz w:val="24"/>
            <w:szCs w:val="24"/>
          </w:rPr>
          <m:t>/(</m:t>
        </m:r>
        <m:r>
          <w:rPr>
            <w:rFonts w:ascii="Cambria Math" w:hAnsi="Cambria Math"/>
            <w:color w:val="000000"/>
            <w:sz w:val="24"/>
            <w:szCs w:val="24"/>
          </w:rPr>
          <m:t>X</m:t>
        </m:r>
        <m:r>
          <w:rPr>
            <w:rFonts w:ascii="Cambria Math"/>
            <w:color w:val="000000"/>
            <w:sz w:val="24"/>
            <w:szCs w:val="24"/>
          </w:rPr>
          <m:t>+</m:t>
        </m:r>
        <m:r>
          <w:rPr>
            <w:rFonts w:ascii="Cambria Math" w:hAnsi="Cambria Math"/>
            <w:color w:val="000000"/>
            <w:sz w:val="24"/>
            <w:szCs w:val="24"/>
          </w:rPr>
          <m:t>M</m:t>
        </m:r>
        <m:r>
          <w:rPr>
            <w:rFonts w:ascii="Cambria Math"/>
            <w:color w:val="000000"/>
            <w:sz w:val="24"/>
            <w:szCs w:val="24"/>
          </w:rPr>
          <m:t xml:space="preserve">) </m:t>
        </m:r>
      </m:oMath>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(1)</w:t>
      </w:r>
    </w:p>
    <w:p w:rsidR="001D75E8" w:rsidRDefault="001D75E8" w:rsidP="00260068">
      <w:pPr>
        <w:jc w:val="both"/>
        <w:rPr>
          <w:color w:val="000000"/>
          <w:sz w:val="24"/>
          <w:szCs w:val="24"/>
        </w:rPr>
      </w:pPr>
      <w:r>
        <w:rPr>
          <w:color w:val="000000"/>
          <w:sz w:val="24"/>
          <w:szCs w:val="24"/>
        </w:rPr>
        <w:t>(</w:t>
      </w:r>
      <w:r w:rsidRPr="004C09CB">
        <w:rPr>
          <w:color w:val="000000"/>
          <w:sz w:val="24"/>
          <w:szCs w:val="24"/>
        </w:rPr>
        <w:t>respektive</w:t>
      </w:r>
      <m:oMath>
        <m:r>
          <w:rPr>
            <w:rFonts w:ascii="Cambria Math" w:hAnsi="Cambria Math"/>
            <w:color w:val="000000"/>
            <w:sz w:val="24"/>
            <w:szCs w:val="24"/>
          </w:rPr>
          <m:t xml:space="preserve"> ce</m:t>
        </m:r>
        <m:r>
          <w:rPr>
            <w:rFonts w:ascii="Cambria Math"/>
            <w:color w:val="000000"/>
            <w:sz w:val="24"/>
            <w:szCs w:val="24"/>
          </w:rPr>
          <m:t>=1/</m:t>
        </m:r>
        <m:d>
          <m:dPr>
            <m:ctrlPr>
              <w:rPr>
                <w:rFonts w:ascii="Cambria Math" w:hAnsi="Cambria Math"/>
                <w:i/>
                <w:color w:val="000000"/>
                <w:sz w:val="24"/>
                <w:szCs w:val="24"/>
              </w:rPr>
            </m:ctrlPr>
          </m:dPr>
          <m:e>
            <m:r>
              <w:rPr>
                <w:rFonts w:ascii="Cambria Math" w:hAnsi="Cambria Math"/>
                <w:color w:val="000000"/>
                <w:sz w:val="24"/>
                <w:szCs w:val="24"/>
              </w:rPr>
              <m:t>X</m:t>
            </m:r>
            <m:r>
              <w:rPr>
                <w:rFonts w:ascii="Cambria Math"/>
                <w:color w:val="000000"/>
                <w:sz w:val="24"/>
                <w:szCs w:val="24"/>
              </w:rPr>
              <m:t>+</m:t>
            </m:r>
            <m:r>
              <w:rPr>
                <w:rFonts w:ascii="Cambria Math" w:hAnsi="Cambria Math"/>
                <w:color w:val="000000"/>
                <w:sz w:val="24"/>
                <w:szCs w:val="24"/>
              </w:rPr>
              <m:t>M</m:t>
            </m:r>
          </m:e>
        </m:d>
      </m:oMath>
      <w:r>
        <w:rPr>
          <w:color w:val="000000"/>
          <w:sz w:val="24"/>
          <w:szCs w:val="24"/>
        </w:rPr>
        <w:t xml:space="preserve"> pro výpočet kritické elasticity)</w:t>
      </w:r>
    </w:p>
    <w:p w:rsidR="004B122B" w:rsidRDefault="004B122B" w:rsidP="00260068">
      <w:pPr>
        <w:jc w:val="both"/>
        <w:rPr>
          <w:sz w:val="24"/>
          <w:szCs w:val="24"/>
        </w:rPr>
      </w:pPr>
    </w:p>
    <w:p w:rsidR="001D75E8" w:rsidRDefault="001D75E8" w:rsidP="00260068">
      <w:pPr>
        <w:jc w:val="both"/>
        <w:rPr>
          <w:sz w:val="24"/>
          <w:szCs w:val="24"/>
        </w:rPr>
      </w:pPr>
      <w:r>
        <w:rPr>
          <w:sz w:val="24"/>
          <w:szCs w:val="24"/>
        </w:rPr>
        <w:t xml:space="preserve">kde X </w:t>
      </w:r>
      <w:r w:rsidR="004B122B">
        <w:rPr>
          <w:sz w:val="24"/>
          <w:szCs w:val="24"/>
        </w:rPr>
        <w:t xml:space="preserve">je </w:t>
      </w:r>
      <w:r>
        <w:rPr>
          <w:sz w:val="24"/>
          <w:szCs w:val="24"/>
        </w:rPr>
        <w:t>procentní zvýšení ceny a</w:t>
      </w:r>
    </w:p>
    <w:p w:rsidR="001D75E8" w:rsidRDefault="001D75E8" w:rsidP="00260068">
      <w:pPr>
        <w:jc w:val="both"/>
        <w:rPr>
          <w:sz w:val="24"/>
          <w:szCs w:val="24"/>
        </w:rPr>
      </w:pPr>
      <w:r>
        <w:rPr>
          <w:sz w:val="24"/>
          <w:szCs w:val="24"/>
        </w:rPr>
        <w:t xml:space="preserve">M </w:t>
      </w:r>
      <w:r w:rsidR="004B122B">
        <w:rPr>
          <w:sz w:val="24"/>
          <w:szCs w:val="24"/>
        </w:rPr>
        <w:t xml:space="preserve">velikost </w:t>
      </w:r>
      <w:r>
        <w:rPr>
          <w:sz w:val="24"/>
          <w:szCs w:val="24"/>
        </w:rPr>
        <w:t>marž</w:t>
      </w:r>
      <w:r w:rsidR="004B122B">
        <w:rPr>
          <w:sz w:val="24"/>
          <w:szCs w:val="24"/>
        </w:rPr>
        <w:t>e</w:t>
      </w:r>
      <w:r w:rsidR="00E43FEC">
        <w:rPr>
          <w:sz w:val="24"/>
          <w:szCs w:val="24"/>
        </w:rPr>
        <w:t xml:space="preserve"> v procentech.</w:t>
      </w:r>
    </w:p>
    <w:p w:rsidR="001D75E8" w:rsidRDefault="001D75E8" w:rsidP="00260068">
      <w:pPr>
        <w:jc w:val="both"/>
        <w:rPr>
          <w:sz w:val="24"/>
          <w:szCs w:val="24"/>
        </w:rPr>
      </w:pPr>
    </w:p>
    <w:p w:rsidR="001D75E8" w:rsidRDefault="001D75E8" w:rsidP="00260068">
      <w:pPr>
        <w:jc w:val="both"/>
        <w:rPr>
          <w:sz w:val="24"/>
          <w:szCs w:val="24"/>
        </w:rPr>
      </w:pPr>
      <w:r>
        <w:rPr>
          <w:sz w:val="24"/>
          <w:szCs w:val="24"/>
        </w:rPr>
        <w:t xml:space="preserve">Cílem druhé fáze je odhadnout skutečnou ztrátu poptávaného množství, ke které dojde v důsledku zvýšení ceny. </w:t>
      </w:r>
      <w:r w:rsidR="006E2F81">
        <w:rPr>
          <w:sz w:val="24"/>
          <w:szCs w:val="24"/>
        </w:rPr>
        <w:t>Ve třetí fázi analýzy dochází pouze ke srovnání kritické a skutečné ztráty a podle jejich velikostí se rozhodne o šířce relevantního trhu.</w:t>
      </w:r>
      <w:r w:rsidR="004D50EB">
        <w:rPr>
          <w:sz w:val="24"/>
          <w:szCs w:val="24"/>
        </w:rPr>
        <w:t xml:space="preserve"> </w:t>
      </w:r>
      <w:r>
        <w:rPr>
          <w:sz w:val="24"/>
          <w:szCs w:val="24"/>
        </w:rPr>
        <w:t xml:space="preserve">Informace o struktuře poptávky, které jsou důležité pro tento odhad lze získat několika způsoby. Nejjednodušší situací pro odhad skutečné ztráty je situace, kdy </w:t>
      </w:r>
      <w:r w:rsidR="006E2F81">
        <w:rPr>
          <w:sz w:val="24"/>
          <w:szCs w:val="24"/>
        </w:rPr>
        <w:t xml:space="preserve">producent </w:t>
      </w:r>
      <w:r>
        <w:rPr>
          <w:sz w:val="24"/>
          <w:szCs w:val="24"/>
        </w:rPr>
        <w:t xml:space="preserve">již v minulosti (nejlépe několikrát) </w:t>
      </w:r>
      <w:r w:rsidR="006E2F81">
        <w:rPr>
          <w:sz w:val="24"/>
          <w:szCs w:val="24"/>
        </w:rPr>
        <w:t xml:space="preserve">zvyšoval cenu </w:t>
      </w:r>
      <w:r>
        <w:rPr>
          <w:sz w:val="24"/>
          <w:szCs w:val="24"/>
        </w:rPr>
        <w:t>a z těchto minulých zkušeností lze tedy odhadnout i nynější hypotetický pokles poptávky. Pokud jsou k dispozici dostatečně dlouhé a relevantní časové řady lze hypotetický propad predikovat ekonometrickými nástroji. Nevýhodou této metody je vysoká datová náročnost, která v mnoha případech použití této metody znemožňuje. Často dostatečně dlouhé časové řady vůbec neexistují nebo je společnost, které se analýza týká, nedá k dispozici.</w:t>
      </w:r>
      <w:r w:rsidR="006E2F81">
        <w:rPr>
          <w:sz w:val="24"/>
          <w:szCs w:val="24"/>
        </w:rPr>
        <w:t xml:space="preserve"> V odvětví železniční dopravy je vykazovaná struktura nákladů navíc deformována řadou technologických specifik (viz </w:t>
      </w:r>
      <w:proofErr w:type="spellStart"/>
      <w:r w:rsidR="006E2F81">
        <w:rPr>
          <w:sz w:val="24"/>
          <w:szCs w:val="24"/>
        </w:rPr>
        <w:t>Kvizda</w:t>
      </w:r>
      <w:proofErr w:type="spellEnd"/>
      <w:r w:rsidR="006E2F81">
        <w:rPr>
          <w:sz w:val="24"/>
          <w:szCs w:val="24"/>
        </w:rPr>
        <w:t xml:space="preserve"> 2011) a způsobem sběru dat; pro přímou kvantitativní analýzu proto mnohdy nejsou taková data upotřebitelná. </w:t>
      </w:r>
      <w:r>
        <w:rPr>
          <w:sz w:val="24"/>
          <w:szCs w:val="24"/>
        </w:rPr>
        <w:t xml:space="preserve"> Další, často využívanou alternativou je proto získáni informací prostřednictvím spotřebitelských průzkumů</w:t>
      </w:r>
      <w:r w:rsidR="00096173">
        <w:rPr>
          <w:sz w:val="24"/>
          <w:szCs w:val="24"/>
        </w:rPr>
        <w:t xml:space="preserve"> (viz např. </w:t>
      </w:r>
      <w:proofErr w:type="spellStart"/>
      <w:r w:rsidR="00096173">
        <w:rPr>
          <w:sz w:val="24"/>
          <w:szCs w:val="24"/>
        </w:rPr>
        <w:t>Memarian</w:t>
      </w:r>
      <w:proofErr w:type="spellEnd"/>
      <w:r w:rsidR="00096173">
        <w:rPr>
          <w:sz w:val="24"/>
          <w:szCs w:val="24"/>
        </w:rPr>
        <w:t xml:space="preserve"> – </w:t>
      </w:r>
      <w:proofErr w:type="spellStart"/>
      <w:r w:rsidR="00096173">
        <w:rPr>
          <w:sz w:val="24"/>
          <w:szCs w:val="24"/>
        </w:rPr>
        <w:t>Jeong</w:t>
      </w:r>
      <w:proofErr w:type="spellEnd"/>
      <w:r w:rsidR="00096173">
        <w:rPr>
          <w:sz w:val="24"/>
          <w:szCs w:val="24"/>
        </w:rPr>
        <w:t xml:space="preserve"> – </w:t>
      </w:r>
      <w:proofErr w:type="spellStart"/>
      <w:r w:rsidR="00096173">
        <w:rPr>
          <w:sz w:val="24"/>
          <w:szCs w:val="24"/>
        </w:rPr>
        <w:t>Uhm</w:t>
      </w:r>
      <w:proofErr w:type="spellEnd"/>
      <w:r w:rsidR="00096173">
        <w:rPr>
          <w:sz w:val="24"/>
          <w:szCs w:val="24"/>
        </w:rPr>
        <w:t xml:space="preserve"> 2012)</w:t>
      </w:r>
      <w:r>
        <w:rPr>
          <w:sz w:val="24"/>
          <w:szCs w:val="24"/>
        </w:rPr>
        <w:t>.</w:t>
      </w:r>
    </w:p>
    <w:p w:rsidR="001D75E8" w:rsidRDefault="001D75E8" w:rsidP="00260068">
      <w:pPr>
        <w:jc w:val="both"/>
        <w:rPr>
          <w:sz w:val="24"/>
          <w:szCs w:val="24"/>
        </w:rPr>
      </w:pPr>
    </w:p>
    <w:p w:rsidR="00FD75DB" w:rsidRDefault="00FD75DB" w:rsidP="00260068">
      <w:pPr>
        <w:jc w:val="both"/>
        <w:rPr>
          <w:b/>
          <w:sz w:val="24"/>
          <w:szCs w:val="24"/>
        </w:rPr>
      </w:pPr>
    </w:p>
    <w:p w:rsidR="001D75E8" w:rsidRPr="00FD75DB" w:rsidRDefault="00FD75DB" w:rsidP="00260068">
      <w:pPr>
        <w:jc w:val="both"/>
        <w:rPr>
          <w:b/>
          <w:sz w:val="24"/>
          <w:szCs w:val="24"/>
        </w:rPr>
      </w:pPr>
      <w:r>
        <w:rPr>
          <w:b/>
          <w:sz w:val="24"/>
          <w:szCs w:val="24"/>
        </w:rPr>
        <w:t>2. Charakteristika dopravní</w:t>
      </w:r>
      <w:r w:rsidR="00EA125F">
        <w:rPr>
          <w:b/>
          <w:sz w:val="24"/>
          <w:szCs w:val="24"/>
        </w:rPr>
        <w:t>ho ramene</w:t>
      </w:r>
      <w:r>
        <w:rPr>
          <w:b/>
          <w:sz w:val="24"/>
          <w:szCs w:val="24"/>
        </w:rPr>
        <w:t xml:space="preserve"> Prah</w:t>
      </w:r>
      <w:r w:rsidR="00EA125F">
        <w:rPr>
          <w:b/>
          <w:sz w:val="24"/>
          <w:szCs w:val="24"/>
        </w:rPr>
        <w:t>a-</w:t>
      </w:r>
      <w:r>
        <w:rPr>
          <w:b/>
          <w:sz w:val="24"/>
          <w:szCs w:val="24"/>
        </w:rPr>
        <w:t xml:space="preserve"> Brn</w:t>
      </w:r>
      <w:r w:rsidR="00EA125F">
        <w:rPr>
          <w:b/>
          <w:sz w:val="24"/>
          <w:szCs w:val="24"/>
        </w:rPr>
        <w:t>o</w:t>
      </w:r>
    </w:p>
    <w:p w:rsidR="008B0029" w:rsidRDefault="00905053" w:rsidP="0040499B">
      <w:pPr>
        <w:jc w:val="both"/>
        <w:rPr>
          <w:sz w:val="24"/>
          <w:szCs w:val="24"/>
        </w:rPr>
      </w:pPr>
      <w:r>
        <w:rPr>
          <w:sz w:val="24"/>
          <w:szCs w:val="24"/>
        </w:rPr>
        <w:t xml:space="preserve">Před </w:t>
      </w:r>
      <w:r w:rsidR="00EA125F">
        <w:rPr>
          <w:sz w:val="24"/>
          <w:szCs w:val="24"/>
        </w:rPr>
        <w:t>zahájením testů</w:t>
      </w:r>
      <w:r w:rsidR="008F2CA3">
        <w:rPr>
          <w:sz w:val="24"/>
          <w:szCs w:val="24"/>
        </w:rPr>
        <w:t xml:space="preserve"> je </w:t>
      </w:r>
      <w:r w:rsidR="00EA125F">
        <w:rPr>
          <w:sz w:val="24"/>
          <w:szCs w:val="24"/>
        </w:rPr>
        <w:t>nezbytné přesně zjistit a popsat</w:t>
      </w:r>
      <w:r>
        <w:rPr>
          <w:sz w:val="24"/>
          <w:szCs w:val="24"/>
        </w:rPr>
        <w:t xml:space="preserve"> situac</w:t>
      </w:r>
      <w:r w:rsidR="00EA125F">
        <w:rPr>
          <w:sz w:val="24"/>
          <w:szCs w:val="24"/>
        </w:rPr>
        <w:t>i</w:t>
      </w:r>
      <w:r>
        <w:rPr>
          <w:sz w:val="24"/>
          <w:szCs w:val="24"/>
        </w:rPr>
        <w:t xml:space="preserve"> na </w:t>
      </w:r>
      <w:r w:rsidR="00EA125F">
        <w:rPr>
          <w:sz w:val="24"/>
          <w:szCs w:val="24"/>
        </w:rPr>
        <w:t xml:space="preserve">daném </w:t>
      </w:r>
      <w:r>
        <w:rPr>
          <w:sz w:val="24"/>
          <w:szCs w:val="24"/>
        </w:rPr>
        <w:t xml:space="preserve">trhu. Od </w:t>
      </w:r>
      <w:r w:rsidR="00EA125F">
        <w:rPr>
          <w:sz w:val="24"/>
          <w:szCs w:val="24"/>
        </w:rPr>
        <w:t>toho</w:t>
      </w:r>
      <w:r>
        <w:rPr>
          <w:sz w:val="24"/>
          <w:szCs w:val="24"/>
        </w:rPr>
        <w:t xml:space="preserve"> se </w:t>
      </w:r>
      <w:r w:rsidR="00EA125F">
        <w:rPr>
          <w:sz w:val="24"/>
          <w:szCs w:val="24"/>
        </w:rPr>
        <w:t xml:space="preserve">potom </w:t>
      </w:r>
      <w:r>
        <w:rPr>
          <w:sz w:val="24"/>
          <w:szCs w:val="24"/>
        </w:rPr>
        <w:t>odvíjí konkrétní metodika v jednotlivých fázích (např. výběr kandidátského trhu, metodika sběru dat atd.)</w:t>
      </w:r>
      <w:r w:rsidR="001E3C39">
        <w:rPr>
          <w:sz w:val="24"/>
          <w:szCs w:val="24"/>
        </w:rPr>
        <w:t xml:space="preserve">. </w:t>
      </w:r>
      <w:r w:rsidR="00F15E52">
        <w:rPr>
          <w:sz w:val="24"/>
          <w:szCs w:val="24"/>
        </w:rPr>
        <w:t xml:space="preserve">V pilotním projektu </w:t>
      </w:r>
      <w:r w:rsidR="00EA125F">
        <w:rPr>
          <w:sz w:val="24"/>
          <w:szCs w:val="24"/>
        </w:rPr>
        <w:t>jsme se zaměřili na rameno</w:t>
      </w:r>
      <w:r w:rsidR="0040499B" w:rsidRPr="0040499B">
        <w:rPr>
          <w:sz w:val="24"/>
          <w:szCs w:val="24"/>
        </w:rPr>
        <w:t xml:space="preserve"> Prah</w:t>
      </w:r>
      <w:r w:rsidR="00EA125F">
        <w:rPr>
          <w:sz w:val="24"/>
          <w:szCs w:val="24"/>
        </w:rPr>
        <w:t>a -</w:t>
      </w:r>
      <w:r w:rsidR="0040499B" w:rsidRPr="0040499B">
        <w:rPr>
          <w:sz w:val="24"/>
          <w:szCs w:val="24"/>
        </w:rPr>
        <w:t xml:space="preserve"> Brn</w:t>
      </w:r>
      <w:r w:rsidR="00EA125F">
        <w:rPr>
          <w:sz w:val="24"/>
          <w:szCs w:val="24"/>
        </w:rPr>
        <w:t>o, kde je</w:t>
      </w:r>
      <w:r w:rsidR="0040499B" w:rsidRPr="0040499B">
        <w:rPr>
          <w:sz w:val="24"/>
          <w:szCs w:val="24"/>
        </w:rPr>
        <w:t xml:space="preserve"> v České republice</w:t>
      </w:r>
      <w:r w:rsidR="00EA125F">
        <w:rPr>
          <w:sz w:val="24"/>
          <w:szCs w:val="24"/>
        </w:rPr>
        <w:t xml:space="preserve"> dosahováno jedné z nejvyšších hustot dopravních proudů</w:t>
      </w:r>
      <w:r w:rsidR="0040499B" w:rsidRPr="0040499B">
        <w:rPr>
          <w:sz w:val="24"/>
          <w:szCs w:val="24"/>
        </w:rPr>
        <w:t xml:space="preserve">. Tato dvě města jsou propojena dálnicí D1, dvěma </w:t>
      </w:r>
      <w:r w:rsidR="00EA125F">
        <w:rPr>
          <w:sz w:val="24"/>
          <w:szCs w:val="24"/>
        </w:rPr>
        <w:t xml:space="preserve">hlavními </w:t>
      </w:r>
      <w:r w:rsidR="0040499B" w:rsidRPr="0040499B">
        <w:rPr>
          <w:sz w:val="24"/>
          <w:szCs w:val="24"/>
        </w:rPr>
        <w:t>železničními cestami a do roku 2011 fungovala také pravidelná letecká doprava.</w:t>
      </w:r>
      <w:r w:rsidR="008B0029">
        <w:rPr>
          <w:sz w:val="24"/>
          <w:szCs w:val="24"/>
        </w:rPr>
        <w:t xml:space="preserve"> </w:t>
      </w:r>
      <w:r w:rsidR="0040499B" w:rsidRPr="0040499B">
        <w:rPr>
          <w:sz w:val="24"/>
          <w:szCs w:val="24"/>
        </w:rPr>
        <w:t xml:space="preserve">Po zrušení pravidelné letecké linky tedy zbývají </w:t>
      </w:r>
      <w:r w:rsidR="00EA125F">
        <w:rPr>
          <w:sz w:val="24"/>
          <w:szCs w:val="24"/>
        </w:rPr>
        <w:t>tři</w:t>
      </w:r>
      <w:r w:rsidR="0040499B" w:rsidRPr="0040499B">
        <w:rPr>
          <w:sz w:val="24"/>
          <w:szCs w:val="24"/>
        </w:rPr>
        <w:t xml:space="preserve"> možnosti přepravy, které </w:t>
      </w:r>
      <w:r w:rsidR="00EA125F">
        <w:rPr>
          <w:sz w:val="24"/>
          <w:szCs w:val="24"/>
        </w:rPr>
        <w:t xml:space="preserve">zřejmě </w:t>
      </w:r>
      <w:r w:rsidR="0040499B" w:rsidRPr="0040499B">
        <w:rPr>
          <w:sz w:val="24"/>
          <w:szCs w:val="24"/>
        </w:rPr>
        <w:t xml:space="preserve">determinují relevantní trh. </w:t>
      </w:r>
    </w:p>
    <w:p w:rsidR="008B0029" w:rsidRDefault="008B0029" w:rsidP="0040499B">
      <w:pPr>
        <w:jc w:val="both"/>
        <w:rPr>
          <w:sz w:val="24"/>
          <w:szCs w:val="24"/>
        </w:rPr>
      </w:pPr>
    </w:p>
    <w:p w:rsidR="0040499B" w:rsidRPr="0040499B" w:rsidRDefault="0040499B" w:rsidP="0040499B">
      <w:pPr>
        <w:jc w:val="both"/>
        <w:rPr>
          <w:sz w:val="24"/>
          <w:szCs w:val="24"/>
        </w:rPr>
      </w:pPr>
      <w:r w:rsidRPr="0040499B">
        <w:rPr>
          <w:sz w:val="24"/>
          <w:szCs w:val="24"/>
        </w:rPr>
        <w:t xml:space="preserve">První možností je využití železniční </w:t>
      </w:r>
      <w:r w:rsidR="00EA125F">
        <w:rPr>
          <w:sz w:val="24"/>
          <w:szCs w:val="24"/>
        </w:rPr>
        <w:t>dopravy</w:t>
      </w:r>
      <w:r w:rsidRPr="0040499B">
        <w:rPr>
          <w:sz w:val="24"/>
          <w:szCs w:val="24"/>
        </w:rPr>
        <w:t xml:space="preserve">, kterou </w:t>
      </w:r>
      <w:r w:rsidR="00EA125F">
        <w:rPr>
          <w:sz w:val="24"/>
          <w:szCs w:val="24"/>
        </w:rPr>
        <w:t xml:space="preserve">momentálně </w:t>
      </w:r>
      <w:r w:rsidRPr="0040499B">
        <w:rPr>
          <w:sz w:val="24"/>
          <w:szCs w:val="24"/>
        </w:rPr>
        <w:t>zajišťují výhradně České dráhy, akciová společnost</w:t>
      </w:r>
      <w:r w:rsidR="00EA125F">
        <w:rPr>
          <w:sz w:val="24"/>
          <w:szCs w:val="24"/>
        </w:rPr>
        <w:t>, jež provozuje v</w:t>
      </w:r>
      <w:r w:rsidRPr="0040499B">
        <w:rPr>
          <w:sz w:val="24"/>
          <w:szCs w:val="24"/>
        </w:rPr>
        <w:t xml:space="preserve">laky na </w:t>
      </w:r>
      <w:r w:rsidR="00EA125F">
        <w:rPr>
          <w:sz w:val="24"/>
          <w:szCs w:val="24"/>
        </w:rPr>
        <w:t>dvou linkách:</w:t>
      </w:r>
      <w:r w:rsidRPr="0040499B">
        <w:rPr>
          <w:sz w:val="24"/>
          <w:szCs w:val="24"/>
        </w:rPr>
        <w:t xml:space="preserve"> </w:t>
      </w:r>
      <w:r w:rsidR="00EA125F">
        <w:rPr>
          <w:sz w:val="24"/>
          <w:szCs w:val="24"/>
        </w:rPr>
        <w:t>m</w:t>
      </w:r>
      <w:r w:rsidRPr="0040499B">
        <w:rPr>
          <w:sz w:val="24"/>
          <w:szCs w:val="24"/>
        </w:rPr>
        <w:t>odernější, více využívaný 1. koridor, vede severnější trasou přes Českou Třebovou a Pardubice</w:t>
      </w:r>
      <w:r w:rsidR="00EA125F">
        <w:rPr>
          <w:sz w:val="24"/>
          <w:szCs w:val="24"/>
        </w:rPr>
        <w:t>; d</w:t>
      </w:r>
      <w:r w:rsidRPr="0040499B">
        <w:rPr>
          <w:sz w:val="24"/>
          <w:szCs w:val="24"/>
        </w:rPr>
        <w:t xml:space="preserve">ruhá, stále využívaná dvoukolejná trať, vede z Brna přes Havlíčkův Brod do Kolína, kde se obě trasy spojují. Přes Českou Třebovou </w:t>
      </w:r>
      <w:r w:rsidR="00B60DD0">
        <w:rPr>
          <w:sz w:val="24"/>
          <w:szCs w:val="24"/>
        </w:rPr>
        <w:t>jsou provozovány</w:t>
      </w:r>
      <w:r w:rsidR="00B60DD0" w:rsidRPr="0040499B">
        <w:rPr>
          <w:sz w:val="24"/>
          <w:szCs w:val="24"/>
        </w:rPr>
        <w:t xml:space="preserve"> </w:t>
      </w:r>
      <w:r w:rsidRPr="0040499B">
        <w:rPr>
          <w:sz w:val="24"/>
          <w:szCs w:val="24"/>
        </w:rPr>
        <w:t>kromě rychlíků</w:t>
      </w:r>
      <w:r w:rsidR="00B60DD0">
        <w:rPr>
          <w:sz w:val="24"/>
          <w:szCs w:val="24"/>
        </w:rPr>
        <w:t xml:space="preserve"> v závazku veřejné služby</w:t>
      </w:r>
      <w:r w:rsidRPr="0040499B">
        <w:rPr>
          <w:sz w:val="24"/>
          <w:szCs w:val="24"/>
        </w:rPr>
        <w:t xml:space="preserve"> také vlaky vyšší kvality </w:t>
      </w:r>
      <w:r w:rsidR="00B60DD0">
        <w:rPr>
          <w:sz w:val="24"/>
          <w:szCs w:val="24"/>
        </w:rPr>
        <w:t xml:space="preserve">provozované na komerční riziko, </w:t>
      </w:r>
      <w:r w:rsidR="005B0772">
        <w:rPr>
          <w:sz w:val="24"/>
          <w:szCs w:val="24"/>
        </w:rPr>
        <w:t>E</w:t>
      </w:r>
      <w:r w:rsidRPr="0040499B">
        <w:rPr>
          <w:sz w:val="24"/>
          <w:szCs w:val="24"/>
        </w:rPr>
        <w:t xml:space="preserve">xpresy a mezinárodní </w:t>
      </w:r>
      <w:proofErr w:type="spellStart"/>
      <w:r w:rsidRPr="0040499B">
        <w:rPr>
          <w:sz w:val="24"/>
          <w:szCs w:val="24"/>
        </w:rPr>
        <w:t>Euro</w:t>
      </w:r>
      <w:r w:rsidR="00B60DD0">
        <w:rPr>
          <w:sz w:val="24"/>
          <w:szCs w:val="24"/>
        </w:rPr>
        <w:t>C</w:t>
      </w:r>
      <w:r w:rsidRPr="0040499B">
        <w:rPr>
          <w:sz w:val="24"/>
          <w:szCs w:val="24"/>
        </w:rPr>
        <w:t>ity</w:t>
      </w:r>
      <w:proofErr w:type="spellEnd"/>
      <w:r w:rsidRPr="0040499B">
        <w:rPr>
          <w:sz w:val="24"/>
          <w:szCs w:val="24"/>
        </w:rPr>
        <w:t xml:space="preserve"> </w:t>
      </w:r>
      <w:r w:rsidR="00B60DD0">
        <w:rPr>
          <w:sz w:val="24"/>
          <w:szCs w:val="24"/>
        </w:rPr>
        <w:t xml:space="preserve">(Ex a EC). Jízdní doba </w:t>
      </w:r>
      <w:r w:rsidRPr="0040499B">
        <w:rPr>
          <w:sz w:val="24"/>
          <w:szCs w:val="24"/>
        </w:rPr>
        <w:t xml:space="preserve">z Brna </w:t>
      </w:r>
      <w:r w:rsidR="00B60DD0">
        <w:rPr>
          <w:sz w:val="24"/>
          <w:szCs w:val="24"/>
        </w:rPr>
        <w:t xml:space="preserve">hl. n. </w:t>
      </w:r>
      <w:r w:rsidRPr="0040499B">
        <w:rPr>
          <w:sz w:val="24"/>
          <w:szCs w:val="24"/>
        </w:rPr>
        <w:t xml:space="preserve">do Prahy </w:t>
      </w:r>
      <w:r w:rsidR="00B60DD0">
        <w:rPr>
          <w:sz w:val="24"/>
          <w:szCs w:val="24"/>
        </w:rPr>
        <w:t xml:space="preserve">hl. n. je </w:t>
      </w:r>
      <w:r w:rsidRPr="0040499B">
        <w:rPr>
          <w:sz w:val="24"/>
          <w:szCs w:val="24"/>
        </w:rPr>
        <w:t>2 hodiny a 38 minut</w:t>
      </w:r>
      <w:r w:rsidR="003545C8">
        <w:rPr>
          <w:rStyle w:val="Znakapoznpodarou"/>
          <w:sz w:val="24"/>
          <w:szCs w:val="24"/>
        </w:rPr>
        <w:footnoteReference w:id="1"/>
      </w:r>
      <w:r w:rsidR="00B60DD0">
        <w:rPr>
          <w:sz w:val="24"/>
          <w:szCs w:val="24"/>
        </w:rPr>
        <w:t xml:space="preserve"> u vlaků vyšší kvality, u</w:t>
      </w:r>
      <w:r w:rsidR="008B0029">
        <w:rPr>
          <w:sz w:val="24"/>
          <w:szCs w:val="24"/>
        </w:rPr>
        <w:t xml:space="preserve"> </w:t>
      </w:r>
      <w:r w:rsidR="00B60DD0">
        <w:rPr>
          <w:sz w:val="24"/>
          <w:szCs w:val="24"/>
        </w:rPr>
        <w:t>r</w:t>
      </w:r>
      <w:r w:rsidRPr="0040499B">
        <w:rPr>
          <w:sz w:val="24"/>
          <w:szCs w:val="24"/>
        </w:rPr>
        <w:t xml:space="preserve">ychlíku jedoucímu přes Českou Třebovou </w:t>
      </w:r>
      <w:r w:rsidR="00B60DD0">
        <w:rPr>
          <w:sz w:val="24"/>
          <w:szCs w:val="24"/>
        </w:rPr>
        <w:t>je to</w:t>
      </w:r>
      <w:r w:rsidRPr="0040499B">
        <w:rPr>
          <w:sz w:val="24"/>
          <w:szCs w:val="24"/>
        </w:rPr>
        <w:t xml:space="preserve"> 3 hodiny a 25 minut, což je téměř stejná doba, kterou potřebuje rychlík jedoucí trasou přes Havlíčkův Brod (3hodiny a 34minut).</w:t>
      </w:r>
      <w:r w:rsidR="008B0029">
        <w:rPr>
          <w:sz w:val="24"/>
          <w:szCs w:val="24"/>
        </w:rPr>
        <w:t xml:space="preserve"> </w:t>
      </w:r>
      <w:r w:rsidRPr="0040499B">
        <w:rPr>
          <w:sz w:val="24"/>
          <w:szCs w:val="24"/>
        </w:rPr>
        <w:t xml:space="preserve">Přesto, že obě trasy jsou přibližně stejně dlouhé (255km přes Českou Třebovou a 257km přes Havlíčkův Brod), jízdné se výrazně liší podle toho, kterou trasu cestující zvolí. Základní jízdné z Brna do Prahy </w:t>
      </w:r>
      <w:r w:rsidR="00B60DD0" w:rsidRPr="0040499B">
        <w:rPr>
          <w:sz w:val="24"/>
          <w:szCs w:val="24"/>
        </w:rPr>
        <w:t xml:space="preserve">trasou </w:t>
      </w:r>
      <w:r w:rsidRPr="0040499B">
        <w:rPr>
          <w:sz w:val="24"/>
          <w:szCs w:val="24"/>
        </w:rPr>
        <w:t xml:space="preserve">přes Havlíčkův Brod činí 333 Kč, zatímco jízdné přes </w:t>
      </w:r>
      <w:r w:rsidR="00D57452">
        <w:rPr>
          <w:sz w:val="24"/>
          <w:szCs w:val="24"/>
        </w:rPr>
        <w:t>Českou Třebovou</w:t>
      </w:r>
      <w:r w:rsidRPr="0040499B">
        <w:rPr>
          <w:sz w:val="24"/>
          <w:szCs w:val="24"/>
        </w:rPr>
        <w:t xml:space="preserve"> je od února 2012 210 Kč</w:t>
      </w:r>
      <w:r w:rsidRPr="0040499B">
        <w:rPr>
          <w:rStyle w:val="Znakapoznpodarou"/>
          <w:sz w:val="24"/>
          <w:szCs w:val="24"/>
        </w:rPr>
        <w:footnoteReference w:id="2"/>
      </w:r>
      <w:r w:rsidRPr="0040499B">
        <w:rPr>
          <w:sz w:val="24"/>
          <w:szCs w:val="24"/>
        </w:rPr>
        <w:t xml:space="preserve"> (do února 200 Kč).</w:t>
      </w:r>
      <w:r w:rsidRPr="0040499B">
        <w:rPr>
          <w:sz w:val="24"/>
          <w:szCs w:val="24"/>
          <w:vertAlign w:val="superscript"/>
        </w:rPr>
        <w:t xml:space="preserve"> </w:t>
      </w:r>
      <w:r w:rsidRPr="0040499B">
        <w:rPr>
          <w:sz w:val="24"/>
          <w:szCs w:val="24"/>
        </w:rPr>
        <w:t>V případě rychlíků, je trasa přes Českou Třebovou při stejné vzdálenosti (i časové) téměř o 40% levnější než trasa přes Havlíčkův Brod. Vlaky EC a Ex, jezdící přes Českou Třebovou, jsou nejen o 123 Kč levnější</w:t>
      </w:r>
      <w:r w:rsidR="00B60DD0">
        <w:rPr>
          <w:sz w:val="24"/>
          <w:szCs w:val="24"/>
        </w:rPr>
        <w:t>,</w:t>
      </w:r>
      <w:r w:rsidRPr="0040499B">
        <w:rPr>
          <w:sz w:val="24"/>
          <w:szCs w:val="24"/>
        </w:rPr>
        <w:t xml:space="preserve"> než rychlíky jezdící přes Havlíčkův Brod, ale </w:t>
      </w:r>
      <w:r w:rsidR="00B60DD0">
        <w:rPr>
          <w:sz w:val="24"/>
          <w:szCs w:val="24"/>
        </w:rPr>
        <w:t xml:space="preserve">také </w:t>
      </w:r>
      <w:r w:rsidRPr="0040499B">
        <w:rPr>
          <w:sz w:val="24"/>
          <w:szCs w:val="24"/>
        </w:rPr>
        <w:t xml:space="preserve">přibližně o jednu hodinu </w:t>
      </w:r>
      <w:r w:rsidR="00B60DD0">
        <w:rPr>
          <w:sz w:val="24"/>
          <w:szCs w:val="24"/>
        </w:rPr>
        <w:t>rychlejší</w:t>
      </w:r>
      <w:r w:rsidRPr="0040499B">
        <w:rPr>
          <w:sz w:val="24"/>
          <w:szCs w:val="24"/>
        </w:rPr>
        <w:t>.</w:t>
      </w:r>
      <w:r w:rsidR="008B0029">
        <w:rPr>
          <w:sz w:val="24"/>
          <w:szCs w:val="24"/>
        </w:rPr>
        <w:t xml:space="preserve"> </w:t>
      </w:r>
      <w:r w:rsidRPr="0040499B">
        <w:rPr>
          <w:sz w:val="24"/>
          <w:szCs w:val="24"/>
        </w:rPr>
        <w:t xml:space="preserve">České dráhy vypravují v pracovní dny 33 spojů ve směru z Brna do Prahy. Z toho 16 vlaků je vyšší kvality typu EC/Ex, 8 rychlíků jedoucích přes Českou Třebovou, 8 rychlíků, které využívají tratě 230 a 250 (přes Havlíčkův Brod) a jeden noční spoj </w:t>
      </w:r>
      <w:proofErr w:type="spellStart"/>
      <w:r w:rsidRPr="0040499B">
        <w:rPr>
          <w:sz w:val="24"/>
          <w:szCs w:val="24"/>
        </w:rPr>
        <w:t>Euronight</w:t>
      </w:r>
      <w:proofErr w:type="spellEnd"/>
      <w:r w:rsidR="00B60DD0">
        <w:rPr>
          <w:sz w:val="24"/>
          <w:szCs w:val="24"/>
        </w:rPr>
        <w:t xml:space="preserve"> (</w:t>
      </w:r>
      <w:r w:rsidR="00CD0010">
        <w:rPr>
          <w:sz w:val="24"/>
          <w:szCs w:val="24"/>
        </w:rPr>
        <w:t>téměř všechny spoje jezdí denně</w:t>
      </w:r>
      <w:r w:rsidR="00B60DD0">
        <w:rPr>
          <w:sz w:val="24"/>
          <w:szCs w:val="24"/>
        </w:rPr>
        <w:t>)</w:t>
      </w:r>
      <w:r w:rsidR="00CD0010">
        <w:rPr>
          <w:sz w:val="24"/>
          <w:szCs w:val="24"/>
        </w:rPr>
        <w:t>.</w:t>
      </w:r>
    </w:p>
    <w:p w:rsidR="0040499B" w:rsidRPr="0040499B" w:rsidRDefault="0040499B" w:rsidP="0040499B">
      <w:pPr>
        <w:jc w:val="both"/>
        <w:rPr>
          <w:sz w:val="24"/>
          <w:szCs w:val="24"/>
        </w:rPr>
      </w:pPr>
    </w:p>
    <w:p w:rsidR="0040499B" w:rsidRPr="005C1427" w:rsidRDefault="0040499B" w:rsidP="0040499B">
      <w:pPr>
        <w:pStyle w:val="Titulek"/>
        <w:keepNext/>
        <w:rPr>
          <w:color w:val="auto"/>
        </w:rPr>
      </w:pPr>
      <w:bookmarkStart w:id="1" w:name="_Toc324433478"/>
      <w:r w:rsidRPr="005C1427">
        <w:rPr>
          <w:color w:val="auto"/>
        </w:rPr>
        <w:lastRenderedPageBreak/>
        <w:t xml:space="preserve">Tabulka </w:t>
      </w:r>
      <w:r w:rsidR="00CD0010" w:rsidRPr="005C1427">
        <w:rPr>
          <w:color w:val="auto"/>
        </w:rPr>
        <w:t>1</w:t>
      </w:r>
      <w:r w:rsidRPr="005C1427">
        <w:rPr>
          <w:color w:val="auto"/>
        </w:rPr>
        <w:t>: Vlakové spojení ve směru z Brna do Prahy</w:t>
      </w:r>
      <w:bookmarkEnd w:id="1"/>
      <w:r w:rsidRPr="005C1427">
        <w:rPr>
          <w:color w:val="auto"/>
        </w:rPr>
        <w:tab/>
      </w:r>
    </w:p>
    <w:tbl>
      <w:tblPr>
        <w:tblW w:w="9316" w:type="dxa"/>
        <w:tblCellMar>
          <w:left w:w="70" w:type="dxa"/>
          <w:right w:w="70" w:type="dxa"/>
        </w:tblCellMar>
        <w:tblLook w:val="04A0" w:firstRow="1" w:lastRow="0" w:firstColumn="1" w:lastColumn="0" w:noHBand="0" w:noVBand="1"/>
      </w:tblPr>
      <w:tblGrid>
        <w:gridCol w:w="1649"/>
        <w:gridCol w:w="2429"/>
        <w:gridCol w:w="2107"/>
        <w:gridCol w:w="1391"/>
        <w:gridCol w:w="1740"/>
      </w:tblGrid>
      <w:tr w:rsidR="0040499B" w:rsidRPr="0040499B" w:rsidTr="00D901F4">
        <w:trPr>
          <w:trHeight w:val="319"/>
        </w:trPr>
        <w:tc>
          <w:tcPr>
            <w:tcW w:w="1649"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čas odjezdu z Brna</w:t>
            </w:r>
          </w:p>
        </w:tc>
        <w:tc>
          <w:tcPr>
            <w:tcW w:w="2429" w:type="dxa"/>
            <w:tcBorders>
              <w:top w:val="single" w:sz="8" w:space="0" w:color="auto"/>
              <w:left w:val="nil"/>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proofErr w:type="gramStart"/>
            <w:r w:rsidRPr="0040499B">
              <w:rPr>
                <w:color w:val="000000"/>
                <w:sz w:val="24"/>
                <w:szCs w:val="24"/>
                <w:lang w:eastAsia="cs-CZ"/>
              </w:rPr>
              <w:t>1.koridor</w:t>
            </w:r>
            <w:proofErr w:type="gramEnd"/>
            <w:r w:rsidRPr="0040499B">
              <w:rPr>
                <w:color w:val="000000"/>
                <w:sz w:val="24"/>
                <w:szCs w:val="24"/>
                <w:lang w:eastAsia="cs-CZ"/>
              </w:rPr>
              <w:t xml:space="preserve"> - EC/Ex/EN</w:t>
            </w:r>
          </w:p>
        </w:tc>
        <w:tc>
          <w:tcPr>
            <w:tcW w:w="2107" w:type="dxa"/>
            <w:tcBorders>
              <w:top w:val="single" w:sz="8" w:space="0" w:color="auto"/>
              <w:left w:val="nil"/>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 koridor - R</w:t>
            </w:r>
          </w:p>
        </w:tc>
        <w:tc>
          <w:tcPr>
            <w:tcW w:w="1391" w:type="dxa"/>
            <w:tcBorders>
              <w:top w:val="single" w:sz="8" w:space="0" w:color="auto"/>
              <w:left w:val="nil"/>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proofErr w:type="spellStart"/>
            <w:r w:rsidRPr="0040499B">
              <w:rPr>
                <w:color w:val="000000"/>
                <w:sz w:val="24"/>
                <w:szCs w:val="24"/>
                <w:lang w:eastAsia="cs-CZ"/>
              </w:rPr>
              <w:t>Havl</w:t>
            </w:r>
            <w:proofErr w:type="spellEnd"/>
            <w:r w:rsidRPr="0040499B">
              <w:rPr>
                <w:color w:val="000000"/>
                <w:sz w:val="24"/>
                <w:szCs w:val="24"/>
                <w:lang w:eastAsia="cs-CZ"/>
              </w:rPr>
              <w:t>. Brod - R</w:t>
            </w:r>
          </w:p>
        </w:tc>
        <w:tc>
          <w:tcPr>
            <w:tcW w:w="1740" w:type="dxa"/>
            <w:tcBorders>
              <w:top w:val="single" w:sz="8" w:space="0" w:color="auto"/>
              <w:left w:val="nil"/>
              <w:bottom w:val="double" w:sz="6"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poznámky</w:t>
            </w:r>
          </w:p>
        </w:tc>
      </w:tr>
      <w:tr w:rsidR="0040499B" w:rsidRPr="0040499B" w:rsidTr="00D901F4">
        <w:trPr>
          <w:trHeight w:val="319"/>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1:00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EN 476 Metropol</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proofErr w:type="gramStart"/>
            <w:r w:rsidRPr="0040499B">
              <w:rPr>
                <w:color w:val="000000"/>
                <w:sz w:val="24"/>
                <w:szCs w:val="24"/>
                <w:lang w:eastAsia="cs-CZ"/>
              </w:rPr>
              <w:t>nejede v NE</w:t>
            </w:r>
            <w:proofErr w:type="gramEnd"/>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4:31</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720 František Křižík</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proofErr w:type="gramStart"/>
            <w:r w:rsidRPr="0040499B">
              <w:rPr>
                <w:color w:val="000000"/>
                <w:sz w:val="24"/>
                <w:szCs w:val="24"/>
                <w:lang w:eastAsia="cs-CZ"/>
              </w:rPr>
              <w:t>nejede v NE</w:t>
            </w:r>
            <w:proofErr w:type="gramEnd"/>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5:40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176 Johannes Brahms</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6:20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672</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6:40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xml:space="preserve">Ex 574 Josef Václav </w:t>
            </w:r>
            <w:proofErr w:type="spellStart"/>
            <w:r w:rsidRPr="0040499B">
              <w:rPr>
                <w:color w:val="000000"/>
                <w:sz w:val="24"/>
                <w:szCs w:val="24"/>
                <w:lang w:eastAsia="cs-CZ"/>
              </w:rPr>
              <w:t>Myslbek</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proofErr w:type="gramStart"/>
            <w:r w:rsidRPr="0040499B">
              <w:rPr>
                <w:color w:val="000000"/>
                <w:sz w:val="24"/>
                <w:szCs w:val="24"/>
                <w:lang w:eastAsia="cs-CZ"/>
              </w:rPr>
              <w:t>nejede v NE</w:t>
            </w:r>
            <w:proofErr w:type="gramEnd"/>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6:48</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864 Petrov</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7:40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378 Carl Maria von Weber</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xml:space="preserve">od </w:t>
            </w:r>
            <w:proofErr w:type="gramStart"/>
            <w:r w:rsidRPr="0040499B">
              <w:rPr>
                <w:color w:val="000000"/>
                <w:sz w:val="24"/>
                <w:szCs w:val="24"/>
                <w:lang w:eastAsia="cs-CZ"/>
              </w:rPr>
              <w:t>15.4. jede</w:t>
            </w:r>
            <w:proofErr w:type="gramEnd"/>
            <w:r w:rsidRPr="0040499B">
              <w:rPr>
                <w:color w:val="000000"/>
                <w:sz w:val="24"/>
                <w:szCs w:val="24"/>
                <w:lang w:eastAsia="cs-CZ"/>
              </w:rPr>
              <w:t xml:space="preserve"> denně</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8:20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674</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8:40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Ex 572 Brněnský drak</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8:48</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866 Slavkov</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9:40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174 Jan Jesenius</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10:20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676</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10:40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78 Gustav Klimt</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10:48</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868 Punkva</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11:40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xml:space="preserve">EC 172 </w:t>
            </w:r>
            <w:proofErr w:type="spellStart"/>
            <w:r w:rsidRPr="0040499B">
              <w:rPr>
                <w:color w:val="000000"/>
                <w:sz w:val="24"/>
                <w:szCs w:val="24"/>
                <w:lang w:eastAsia="cs-CZ"/>
              </w:rPr>
              <w:t>Vindobona</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12:20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678</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12:40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Ex 570 Zdeněk Fibich</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12:48</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870 Špilberk</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13:40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xml:space="preserve">EC 170 </w:t>
            </w:r>
            <w:proofErr w:type="spellStart"/>
            <w:r w:rsidRPr="0040499B">
              <w:rPr>
                <w:color w:val="000000"/>
                <w:sz w:val="24"/>
                <w:szCs w:val="24"/>
                <w:lang w:eastAsia="cs-CZ"/>
              </w:rPr>
              <w:t>Hungaria</w:t>
            </w:r>
            <w:proofErr w:type="spellEnd"/>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14:20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680</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14:40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70 Gustav Mahler</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14:45</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872 Macocha</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15:20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682</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xml:space="preserve">od </w:t>
            </w:r>
            <w:proofErr w:type="gramStart"/>
            <w:r w:rsidRPr="0040499B">
              <w:rPr>
                <w:color w:val="000000"/>
                <w:sz w:val="24"/>
                <w:szCs w:val="24"/>
                <w:lang w:eastAsia="cs-CZ"/>
              </w:rPr>
              <w:t>9.4. nejede</w:t>
            </w:r>
            <w:proofErr w:type="gramEnd"/>
            <w:r w:rsidRPr="0040499B">
              <w:rPr>
                <w:color w:val="000000"/>
                <w:sz w:val="24"/>
                <w:szCs w:val="24"/>
                <w:lang w:eastAsia="cs-CZ"/>
              </w:rPr>
              <w:t xml:space="preserve"> v SO</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15:40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274 Slovan</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16:20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684</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16:40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72 Smetana</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16:45</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xml:space="preserve">R 874 Rudolf </w:t>
            </w:r>
            <w:proofErr w:type="spellStart"/>
            <w:r w:rsidRPr="0040499B">
              <w:rPr>
                <w:color w:val="000000"/>
                <w:sz w:val="24"/>
                <w:szCs w:val="24"/>
                <w:lang w:eastAsia="cs-CZ"/>
              </w:rPr>
              <w:t>Těsnohlídek</w:t>
            </w:r>
            <w:proofErr w:type="spellEnd"/>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17:40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272 Jaroslav Hašek</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18:20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688</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18:40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74 Franz Schubert</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18:45</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R 876 Svitava</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04"/>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19:40</w:t>
            </w:r>
          </w:p>
        </w:tc>
        <w:tc>
          <w:tcPr>
            <w:tcW w:w="2429"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270 Avala</w:t>
            </w:r>
          </w:p>
        </w:tc>
        <w:tc>
          <w:tcPr>
            <w:tcW w:w="2107"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single" w:sz="4"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single" w:sz="4"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19"/>
        </w:trPr>
        <w:tc>
          <w:tcPr>
            <w:tcW w:w="1649" w:type="dxa"/>
            <w:tcBorders>
              <w:top w:val="nil"/>
              <w:left w:val="single" w:sz="8" w:space="0" w:color="auto"/>
              <w:bottom w:val="single" w:sz="4"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20:40</w:t>
            </w:r>
          </w:p>
        </w:tc>
        <w:tc>
          <w:tcPr>
            <w:tcW w:w="2429" w:type="dxa"/>
            <w:tcBorders>
              <w:top w:val="nil"/>
              <w:left w:val="nil"/>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EC 76 Antonín Dvořák</w:t>
            </w:r>
          </w:p>
        </w:tc>
        <w:tc>
          <w:tcPr>
            <w:tcW w:w="2107" w:type="dxa"/>
            <w:tcBorders>
              <w:top w:val="nil"/>
              <w:left w:val="nil"/>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391" w:type="dxa"/>
            <w:tcBorders>
              <w:top w:val="nil"/>
              <w:left w:val="nil"/>
              <w:bottom w:val="double" w:sz="6"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c>
          <w:tcPr>
            <w:tcW w:w="1740" w:type="dxa"/>
            <w:tcBorders>
              <w:top w:val="nil"/>
              <w:left w:val="nil"/>
              <w:bottom w:val="double" w:sz="6"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r w:rsidR="0040499B" w:rsidRPr="0040499B" w:rsidTr="00D901F4">
        <w:trPr>
          <w:trHeight w:val="334"/>
        </w:trPr>
        <w:tc>
          <w:tcPr>
            <w:tcW w:w="1649" w:type="dxa"/>
            <w:tcBorders>
              <w:top w:val="nil"/>
              <w:left w:val="single" w:sz="8" w:space="0" w:color="auto"/>
              <w:bottom w:val="single" w:sz="8" w:space="0" w:color="auto"/>
              <w:right w:val="double" w:sz="6"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počet spojů denně</w:t>
            </w:r>
          </w:p>
        </w:tc>
        <w:tc>
          <w:tcPr>
            <w:tcW w:w="2429" w:type="dxa"/>
            <w:tcBorders>
              <w:top w:val="nil"/>
              <w:left w:val="nil"/>
              <w:bottom w:val="single" w:sz="8"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17</w:t>
            </w:r>
          </w:p>
        </w:tc>
        <w:tc>
          <w:tcPr>
            <w:tcW w:w="2107" w:type="dxa"/>
            <w:tcBorders>
              <w:top w:val="nil"/>
              <w:left w:val="nil"/>
              <w:bottom w:val="single" w:sz="8"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8</w:t>
            </w:r>
          </w:p>
        </w:tc>
        <w:tc>
          <w:tcPr>
            <w:tcW w:w="1391" w:type="dxa"/>
            <w:tcBorders>
              <w:top w:val="nil"/>
              <w:left w:val="nil"/>
              <w:bottom w:val="single" w:sz="8" w:space="0" w:color="auto"/>
              <w:right w:val="single" w:sz="4"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8</w:t>
            </w:r>
          </w:p>
        </w:tc>
        <w:tc>
          <w:tcPr>
            <w:tcW w:w="1740" w:type="dxa"/>
            <w:tcBorders>
              <w:top w:val="nil"/>
              <w:left w:val="nil"/>
              <w:bottom w:val="single" w:sz="8" w:space="0" w:color="auto"/>
              <w:right w:val="single" w:sz="8" w:space="0" w:color="auto"/>
            </w:tcBorders>
            <w:shd w:val="clear" w:color="auto" w:fill="auto"/>
            <w:noWrap/>
            <w:vAlign w:val="center"/>
            <w:hideMark/>
          </w:tcPr>
          <w:p w:rsidR="0040499B" w:rsidRPr="0040499B" w:rsidRDefault="0040499B" w:rsidP="0040499B">
            <w:pPr>
              <w:suppressAutoHyphens w:val="0"/>
              <w:jc w:val="center"/>
              <w:rPr>
                <w:color w:val="000000"/>
                <w:sz w:val="24"/>
                <w:szCs w:val="24"/>
                <w:lang w:eastAsia="cs-CZ"/>
              </w:rPr>
            </w:pPr>
            <w:r w:rsidRPr="0040499B">
              <w:rPr>
                <w:color w:val="000000"/>
                <w:sz w:val="24"/>
                <w:szCs w:val="24"/>
                <w:lang w:eastAsia="cs-CZ"/>
              </w:rPr>
              <w:t> </w:t>
            </w:r>
          </w:p>
        </w:tc>
      </w:tr>
    </w:tbl>
    <w:p w:rsidR="0040499B" w:rsidRPr="0040499B" w:rsidRDefault="0040499B" w:rsidP="00162F98">
      <w:pPr>
        <w:jc w:val="both"/>
        <w:rPr>
          <w:sz w:val="24"/>
          <w:szCs w:val="24"/>
        </w:rPr>
      </w:pPr>
      <w:r w:rsidRPr="0040499B">
        <w:rPr>
          <w:sz w:val="24"/>
          <w:szCs w:val="24"/>
        </w:rPr>
        <w:t>Zdroj dat: jízdní řád 2011/2012</w:t>
      </w:r>
    </w:p>
    <w:p w:rsidR="0040499B" w:rsidRPr="0040499B" w:rsidRDefault="0040499B" w:rsidP="0040499B">
      <w:pPr>
        <w:jc w:val="both"/>
        <w:rPr>
          <w:sz w:val="24"/>
          <w:szCs w:val="24"/>
        </w:rPr>
      </w:pPr>
      <w:r w:rsidRPr="0040499B">
        <w:rPr>
          <w:sz w:val="24"/>
          <w:szCs w:val="24"/>
        </w:rPr>
        <w:lastRenderedPageBreak/>
        <w:t>Autobusovou přepravu z Brna do Prahy zajišťuje na rozdíl od železnice několik</w:t>
      </w:r>
      <w:r w:rsidR="00753A86">
        <w:rPr>
          <w:sz w:val="24"/>
          <w:szCs w:val="24"/>
        </w:rPr>
        <w:t xml:space="preserve"> dopravců.</w:t>
      </w:r>
      <w:r w:rsidRPr="0040499B">
        <w:rPr>
          <w:sz w:val="24"/>
          <w:szCs w:val="24"/>
        </w:rPr>
        <w:t xml:space="preserve"> </w:t>
      </w:r>
      <w:r w:rsidR="00753A86">
        <w:rPr>
          <w:sz w:val="24"/>
          <w:szCs w:val="24"/>
        </w:rPr>
        <w:t>D</w:t>
      </w:r>
      <w:r w:rsidRPr="0040499B">
        <w:rPr>
          <w:sz w:val="24"/>
          <w:szCs w:val="24"/>
        </w:rPr>
        <w:t xml:space="preserve">ominantní pozici mezi autobusovými dopravci má však společnost Student </w:t>
      </w:r>
      <w:proofErr w:type="spellStart"/>
      <w:r w:rsidRPr="0040499B">
        <w:rPr>
          <w:sz w:val="24"/>
          <w:szCs w:val="24"/>
        </w:rPr>
        <w:t>Agency</w:t>
      </w:r>
      <w:proofErr w:type="spellEnd"/>
      <w:r w:rsidR="00503311">
        <w:rPr>
          <w:sz w:val="24"/>
          <w:szCs w:val="24"/>
        </w:rPr>
        <w:t>, která v</w:t>
      </w:r>
      <w:r w:rsidR="00503311" w:rsidRPr="0040499B">
        <w:rPr>
          <w:sz w:val="24"/>
          <w:szCs w:val="24"/>
        </w:rPr>
        <w:t xml:space="preserve">e všední den vypraví 40 </w:t>
      </w:r>
      <w:r w:rsidR="00503311">
        <w:rPr>
          <w:sz w:val="24"/>
          <w:szCs w:val="24"/>
        </w:rPr>
        <w:t>spojů v jednom směru</w:t>
      </w:r>
      <w:r w:rsidR="00503311" w:rsidRPr="0040499B">
        <w:rPr>
          <w:sz w:val="24"/>
          <w:szCs w:val="24"/>
        </w:rPr>
        <w:t>.</w:t>
      </w:r>
      <w:r w:rsidR="004D50EB">
        <w:rPr>
          <w:sz w:val="24"/>
          <w:szCs w:val="24"/>
        </w:rPr>
        <w:t xml:space="preserve"> </w:t>
      </w:r>
      <w:r w:rsidR="00503311">
        <w:rPr>
          <w:sz w:val="24"/>
          <w:szCs w:val="24"/>
        </w:rPr>
        <w:t>D</w:t>
      </w:r>
      <w:r w:rsidRPr="0040499B">
        <w:rPr>
          <w:sz w:val="24"/>
          <w:szCs w:val="24"/>
        </w:rPr>
        <w:t xml:space="preserve">ruhý největší autobusový přepravce na tomto trhu, společnost </w:t>
      </w:r>
      <w:proofErr w:type="spellStart"/>
      <w:r w:rsidRPr="0040499B">
        <w:rPr>
          <w:sz w:val="24"/>
          <w:szCs w:val="24"/>
        </w:rPr>
        <w:t>Touring</w:t>
      </w:r>
      <w:proofErr w:type="spellEnd"/>
      <w:r w:rsidRPr="0040499B">
        <w:rPr>
          <w:sz w:val="24"/>
          <w:szCs w:val="24"/>
        </w:rPr>
        <w:t xml:space="preserve"> Bohemia (autobusy „</w:t>
      </w:r>
      <w:proofErr w:type="spellStart"/>
      <w:r w:rsidRPr="0040499B">
        <w:rPr>
          <w:sz w:val="24"/>
          <w:szCs w:val="24"/>
        </w:rPr>
        <w:t>Eurolines</w:t>
      </w:r>
      <w:proofErr w:type="spellEnd"/>
      <w:r w:rsidRPr="0040499B">
        <w:rPr>
          <w:sz w:val="24"/>
          <w:szCs w:val="24"/>
        </w:rPr>
        <w:t>“), ve všední dny vypraví 5 spojů ve stejném směru. Zanedbatelnou tržní sílu mají ostatní dopravci, jejichž linky jezdí pouze několikrát týdně</w:t>
      </w:r>
      <w:r w:rsidR="00503311">
        <w:rPr>
          <w:sz w:val="24"/>
          <w:szCs w:val="24"/>
        </w:rPr>
        <w:t>, např.</w:t>
      </w:r>
      <w:r w:rsidRPr="0040499B">
        <w:rPr>
          <w:sz w:val="24"/>
          <w:szCs w:val="24"/>
        </w:rPr>
        <w:t xml:space="preserve"> společnost </w:t>
      </w:r>
      <w:proofErr w:type="spellStart"/>
      <w:r w:rsidRPr="0040499B">
        <w:rPr>
          <w:sz w:val="24"/>
          <w:szCs w:val="24"/>
        </w:rPr>
        <w:t>Tourbus</w:t>
      </w:r>
      <w:proofErr w:type="spellEnd"/>
      <w:r w:rsidR="00E535BB">
        <w:rPr>
          <w:sz w:val="24"/>
          <w:szCs w:val="24"/>
        </w:rPr>
        <w:t xml:space="preserve">, jež </w:t>
      </w:r>
      <w:proofErr w:type="gramStart"/>
      <w:r w:rsidR="00E535BB">
        <w:rPr>
          <w:sz w:val="24"/>
          <w:szCs w:val="24"/>
        </w:rPr>
        <w:t>vypraví  4 spoje</w:t>
      </w:r>
      <w:proofErr w:type="gramEnd"/>
      <w:r w:rsidR="00E535BB">
        <w:rPr>
          <w:sz w:val="24"/>
          <w:szCs w:val="24"/>
        </w:rPr>
        <w:t xml:space="preserve"> týdně,</w:t>
      </w:r>
      <w:r w:rsidR="00503311">
        <w:rPr>
          <w:sz w:val="24"/>
          <w:szCs w:val="24"/>
        </w:rPr>
        <w:t xml:space="preserve"> </w:t>
      </w:r>
      <w:r w:rsidR="00E535BB">
        <w:rPr>
          <w:sz w:val="24"/>
          <w:szCs w:val="24"/>
        </w:rPr>
        <w:t xml:space="preserve"> nebo</w:t>
      </w:r>
      <w:r w:rsidRPr="0040499B">
        <w:rPr>
          <w:sz w:val="24"/>
          <w:szCs w:val="24"/>
        </w:rPr>
        <w:t xml:space="preserve"> mezinárodní linky, které přes Brno a Prahu projíždějí. </w:t>
      </w:r>
      <w:r w:rsidR="00110D89">
        <w:rPr>
          <w:sz w:val="24"/>
          <w:szCs w:val="24"/>
        </w:rPr>
        <w:t xml:space="preserve">V pilotním projektu proto uvažujeme </w:t>
      </w:r>
      <w:r w:rsidR="002E6029">
        <w:rPr>
          <w:sz w:val="24"/>
          <w:szCs w:val="24"/>
        </w:rPr>
        <w:t xml:space="preserve">pro účely SSNIP testu zjednodušenou situaci, kdy by hypoteticky na této trase </w:t>
      </w:r>
      <w:proofErr w:type="gramStart"/>
      <w:r w:rsidR="002E6029">
        <w:rPr>
          <w:sz w:val="24"/>
          <w:szCs w:val="24"/>
        </w:rPr>
        <w:t>jezdily</w:t>
      </w:r>
      <w:proofErr w:type="gramEnd"/>
      <w:r w:rsidR="002E6029">
        <w:rPr>
          <w:sz w:val="24"/>
          <w:szCs w:val="24"/>
        </w:rPr>
        <w:t xml:space="preserve"> pouze autobusy Student </w:t>
      </w:r>
      <w:proofErr w:type="spellStart"/>
      <w:r w:rsidR="002E6029">
        <w:rPr>
          <w:sz w:val="24"/>
          <w:szCs w:val="24"/>
        </w:rPr>
        <w:t>Agency</w:t>
      </w:r>
      <w:proofErr w:type="spellEnd"/>
      <w:r w:rsidR="002E6029">
        <w:rPr>
          <w:sz w:val="24"/>
          <w:szCs w:val="24"/>
        </w:rPr>
        <w:t xml:space="preserve"> a vlaky třídy Ex a EC Českých drah.</w:t>
      </w:r>
      <w:r w:rsidR="003139CB">
        <w:rPr>
          <w:sz w:val="24"/>
          <w:szCs w:val="24"/>
        </w:rPr>
        <w:t xml:space="preserve"> </w:t>
      </w:r>
      <w:r w:rsidRPr="0040499B">
        <w:rPr>
          <w:sz w:val="24"/>
          <w:szCs w:val="24"/>
        </w:rPr>
        <w:t xml:space="preserve">Linka Student </w:t>
      </w:r>
      <w:proofErr w:type="spellStart"/>
      <w:r w:rsidRPr="0040499B">
        <w:rPr>
          <w:sz w:val="24"/>
          <w:szCs w:val="24"/>
        </w:rPr>
        <w:t>Agency</w:t>
      </w:r>
      <w:proofErr w:type="spellEnd"/>
      <w:r w:rsidRPr="0040499B">
        <w:rPr>
          <w:sz w:val="24"/>
          <w:szCs w:val="24"/>
        </w:rPr>
        <w:t xml:space="preserve"> začíná v Brně na Benešově třídě, několik desítek metrů od </w:t>
      </w:r>
      <w:r w:rsidR="00110D89">
        <w:rPr>
          <w:sz w:val="24"/>
          <w:szCs w:val="24"/>
        </w:rPr>
        <w:t xml:space="preserve">hlavního </w:t>
      </w:r>
      <w:r w:rsidRPr="0040499B">
        <w:rPr>
          <w:sz w:val="24"/>
          <w:szCs w:val="24"/>
        </w:rPr>
        <w:t>vlakového nádraží</w:t>
      </w:r>
      <w:r w:rsidR="00110D89">
        <w:rPr>
          <w:sz w:val="24"/>
          <w:szCs w:val="24"/>
        </w:rPr>
        <w:t xml:space="preserve"> </w:t>
      </w:r>
      <w:r w:rsidRPr="0040499B">
        <w:rPr>
          <w:sz w:val="24"/>
          <w:szCs w:val="24"/>
        </w:rPr>
        <w:t xml:space="preserve">a končí </w:t>
      </w:r>
      <w:r w:rsidR="00110D89">
        <w:rPr>
          <w:sz w:val="24"/>
          <w:szCs w:val="24"/>
        </w:rPr>
        <w:t xml:space="preserve">v Praze </w:t>
      </w:r>
      <w:r w:rsidRPr="0040499B">
        <w:rPr>
          <w:sz w:val="24"/>
          <w:szCs w:val="24"/>
        </w:rPr>
        <w:t>na ústředním autobusovém nádraží Florenc</w:t>
      </w:r>
      <w:r w:rsidR="00110D89">
        <w:rPr>
          <w:sz w:val="24"/>
          <w:szCs w:val="24"/>
        </w:rPr>
        <w:t>, n</w:t>
      </w:r>
      <w:r w:rsidRPr="0040499B">
        <w:rPr>
          <w:sz w:val="24"/>
          <w:szCs w:val="24"/>
        </w:rPr>
        <w:t>ěkolik stovek metrů od pražského hlavního železničního nádraží. Polohu výchozích a konečných stanic autobusových a vlakových linek tedy považuj</w:t>
      </w:r>
      <w:r w:rsidR="00110D89">
        <w:rPr>
          <w:sz w:val="24"/>
          <w:szCs w:val="24"/>
        </w:rPr>
        <w:t>eme</w:t>
      </w:r>
      <w:r w:rsidRPr="0040499B">
        <w:rPr>
          <w:sz w:val="24"/>
          <w:szCs w:val="24"/>
        </w:rPr>
        <w:t xml:space="preserve"> za srovnatelnou. „Žluté autobusy“ využívají dálnici D1, po které jejich trasa měří 210 kilometrů, tedy o 45 kilometrů méně než kratší trasa vlaků Českých drah. Doba jízdy v roce 2012 je podle jízdního řádu 2 hodiny a 30 minut, tedy téměř stejná jako u </w:t>
      </w:r>
      <w:r w:rsidR="003139CB">
        <w:rPr>
          <w:sz w:val="24"/>
          <w:szCs w:val="24"/>
        </w:rPr>
        <w:t>vlaků Ex/EC</w:t>
      </w:r>
      <w:r w:rsidRPr="0040499B">
        <w:rPr>
          <w:sz w:val="24"/>
          <w:szCs w:val="24"/>
        </w:rPr>
        <w:t xml:space="preserve"> (2 hodiny a 38 minut). Základní cena jednosměrné jízdenky je v současné době shodná s cenou jednosměrné vlakové jízdenky, 210 Kč.</w:t>
      </w:r>
    </w:p>
    <w:p w:rsidR="0040499B" w:rsidRPr="0040499B" w:rsidRDefault="0040499B" w:rsidP="0040499B">
      <w:pPr>
        <w:jc w:val="both"/>
        <w:rPr>
          <w:sz w:val="24"/>
          <w:szCs w:val="24"/>
        </w:rPr>
      </w:pPr>
    </w:p>
    <w:p w:rsidR="001635A6" w:rsidRPr="0040499B" w:rsidRDefault="001635A6" w:rsidP="0040499B">
      <w:pPr>
        <w:jc w:val="both"/>
        <w:rPr>
          <w:sz w:val="24"/>
          <w:szCs w:val="24"/>
        </w:rPr>
      </w:pPr>
    </w:p>
    <w:p w:rsidR="00B60B25" w:rsidRPr="00FD75DB" w:rsidRDefault="00B60B25" w:rsidP="00B60B25">
      <w:pPr>
        <w:jc w:val="both"/>
        <w:rPr>
          <w:b/>
          <w:sz w:val="24"/>
          <w:szCs w:val="24"/>
        </w:rPr>
      </w:pPr>
      <w:r>
        <w:rPr>
          <w:b/>
          <w:sz w:val="24"/>
          <w:szCs w:val="24"/>
        </w:rPr>
        <w:t>3. Postup provedení analýzy kritické ztráty</w:t>
      </w:r>
    </w:p>
    <w:p w:rsidR="00B60B25" w:rsidRDefault="00B60B25" w:rsidP="00B60B25">
      <w:pPr>
        <w:jc w:val="both"/>
        <w:rPr>
          <w:sz w:val="24"/>
          <w:szCs w:val="24"/>
        </w:rPr>
      </w:pPr>
      <w:r>
        <w:rPr>
          <w:sz w:val="24"/>
          <w:szCs w:val="24"/>
        </w:rPr>
        <w:t xml:space="preserve">Jelikož pořadí zařazení hypotetických substitutů hraje při využití této metodiky důležitou roli, je v  první fázi nutné určit kandidátský trh, tedy podnik, který bude </w:t>
      </w:r>
      <w:r w:rsidR="00B3442F">
        <w:rPr>
          <w:sz w:val="24"/>
          <w:szCs w:val="24"/>
        </w:rPr>
        <w:t xml:space="preserve">jako první </w:t>
      </w:r>
      <w:r>
        <w:rPr>
          <w:sz w:val="24"/>
          <w:szCs w:val="24"/>
        </w:rPr>
        <w:t>považován za hypotetický monopol. Jako vhodné měřítko mohou například posloužit data o počtu přepravených osob za určité období.</w:t>
      </w:r>
      <w:r w:rsidR="00277D49">
        <w:rPr>
          <w:sz w:val="24"/>
          <w:szCs w:val="24"/>
        </w:rPr>
        <w:t xml:space="preserve"> Z</w:t>
      </w:r>
      <w:r>
        <w:rPr>
          <w:sz w:val="24"/>
          <w:szCs w:val="24"/>
        </w:rPr>
        <w:t xml:space="preserve">a hypotetický monopol </w:t>
      </w:r>
      <w:r w:rsidR="00277D49">
        <w:rPr>
          <w:sz w:val="24"/>
          <w:szCs w:val="24"/>
        </w:rPr>
        <w:t xml:space="preserve">tedy můžeme považovat </w:t>
      </w:r>
      <w:r>
        <w:rPr>
          <w:sz w:val="24"/>
          <w:szCs w:val="24"/>
        </w:rPr>
        <w:t>České dráhy (vlaky Ex a EC) a pomocí SSNIP</w:t>
      </w:r>
      <w:r w:rsidR="00277D49">
        <w:rPr>
          <w:sz w:val="24"/>
          <w:szCs w:val="24"/>
        </w:rPr>
        <w:t xml:space="preserve"> test</w:t>
      </w:r>
      <w:r>
        <w:rPr>
          <w:sz w:val="24"/>
          <w:szCs w:val="24"/>
        </w:rPr>
        <w:t xml:space="preserve">u </w:t>
      </w:r>
      <w:r w:rsidR="00277D49">
        <w:rPr>
          <w:sz w:val="24"/>
          <w:szCs w:val="24"/>
        </w:rPr>
        <w:t>budeme zjišťovat</w:t>
      </w:r>
      <w:r>
        <w:rPr>
          <w:sz w:val="24"/>
          <w:szCs w:val="24"/>
        </w:rPr>
        <w:t xml:space="preserve">, zda </w:t>
      </w:r>
      <w:r w:rsidR="00277D49">
        <w:rPr>
          <w:sz w:val="24"/>
          <w:szCs w:val="24"/>
        </w:rPr>
        <w:t xml:space="preserve">jsou dopravní služby poskytované </w:t>
      </w:r>
      <w:r>
        <w:rPr>
          <w:sz w:val="24"/>
          <w:szCs w:val="24"/>
        </w:rPr>
        <w:t xml:space="preserve">Student </w:t>
      </w:r>
      <w:proofErr w:type="spellStart"/>
      <w:r>
        <w:rPr>
          <w:sz w:val="24"/>
          <w:szCs w:val="24"/>
        </w:rPr>
        <w:t>Agency</w:t>
      </w:r>
      <w:proofErr w:type="spellEnd"/>
      <w:r>
        <w:rPr>
          <w:sz w:val="24"/>
          <w:szCs w:val="24"/>
        </w:rPr>
        <w:t xml:space="preserve"> dostatečně blízký</w:t>
      </w:r>
      <w:r w:rsidR="00277D49">
        <w:rPr>
          <w:sz w:val="24"/>
          <w:szCs w:val="24"/>
        </w:rPr>
        <w:t>m</w:t>
      </w:r>
      <w:r>
        <w:rPr>
          <w:sz w:val="24"/>
          <w:szCs w:val="24"/>
        </w:rPr>
        <w:t xml:space="preserve"> substitut</w:t>
      </w:r>
      <w:r w:rsidR="00277D49">
        <w:rPr>
          <w:sz w:val="24"/>
          <w:szCs w:val="24"/>
        </w:rPr>
        <w:t>em</w:t>
      </w:r>
      <w:r>
        <w:rPr>
          <w:sz w:val="24"/>
          <w:szCs w:val="24"/>
        </w:rPr>
        <w:t>.</w:t>
      </w:r>
    </w:p>
    <w:p w:rsidR="00B60B25" w:rsidRDefault="00B60B25" w:rsidP="00B60B25">
      <w:pPr>
        <w:jc w:val="both"/>
        <w:rPr>
          <w:sz w:val="24"/>
          <w:szCs w:val="24"/>
        </w:rPr>
      </w:pPr>
    </w:p>
    <w:p w:rsidR="008B0029" w:rsidRDefault="001F15CE" w:rsidP="001F15CE">
      <w:pPr>
        <w:jc w:val="both"/>
        <w:rPr>
          <w:sz w:val="24"/>
          <w:szCs w:val="24"/>
          <w:lang w:eastAsia="cs-CZ"/>
        </w:rPr>
      </w:pPr>
      <w:r>
        <w:rPr>
          <w:sz w:val="24"/>
          <w:szCs w:val="24"/>
        </w:rPr>
        <w:t xml:space="preserve">Přes to, že proces stanovení kritické ztráty se na první pohled může zdát jednoduchý a vedoucí k jednoznačnému výsledku, </w:t>
      </w:r>
      <w:r w:rsidR="00D96C83">
        <w:rPr>
          <w:sz w:val="24"/>
          <w:szCs w:val="24"/>
        </w:rPr>
        <w:t>v železničním odvětví</w:t>
      </w:r>
      <w:r>
        <w:rPr>
          <w:sz w:val="24"/>
          <w:szCs w:val="24"/>
        </w:rPr>
        <w:t xml:space="preserve"> se</w:t>
      </w:r>
      <w:r w:rsidR="00D96C83">
        <w:rPr>
          <w:sz w:val="24"/>
          <w:szCs w:val="24"/>
        </w:rPr>
        <w:t xml:space="preserve"> v této části</w:t>
      </w:r>
      <w:r>
        <w:rPr>
          <w:sz w:val="24"/>
          <w:szCs w:val="24"/>
        </w:rPr>
        <w:t xml:space="preserve"> </w:t>
      </w:r>
      <w:r w:rsidR="00D96C83">
        <w:rPr>
          <w:sz w:val="24"/>
          <w:szCs w:val="24"/>
        </w:rPr>
        <w:t>vyskytují</w:t>
      </w:r>
      <w:r>
        <w:rPr>
          <w:sz w:val="24"/>
          <w:szCs w:val="24"/>
        </w:rPr>
        <w:t xml:space="preserve"> </w:t>
      </w:r>
      <w:r w:rsidR="00D96C83">
        <w:rPr>
          <w:sz w:val="24"/>
          <w:szCs w:val="24"/>
        </w:rPr>
        <w:t>hlavní</w:t>
      </w:r>
      <w:r>
        <w:rPr>
          <w:sz w:val="24"/>
          <w:szCs w:val="24"/>
        </w:rPr>
        <w:t xml:space="preserve"> překážky</w:t>
      </w:r>
      <w:r w:rsidR="00354E89">
        <w:rPr>
          <w:sz w:val="24"/>
          <w:szCs w:val="24"/>
        </w:rPr>
        <w:t>, které činí aplikaci SSNIP testu poměrně složitou a diskutabilní.</w:t>
      </w:r>
      <w:r w:rsidR="008B0029">
        <w:rPr>
          <w:sz w:val="24"/>
          <w:szCs w:val="24"/>
        </w:rPr>
        <w:t xml:space="preserve"> </w:t>
      </w:r>
      <w:r>
        <w:rPr>
          <w:sz w:val="24"/>
          <w:szCs w:val="24"/>
        </w:rPr>
        <w:t>Hodnota kritické ztráty d</w:t>
      </w:r>
      <w:r w:rsidR="00DE341C">
        <w:rPr>
          <w:sz w:val="24"/>
          <w:szCs w:val="24"/>
        </w:rPr>
        <w:t>aná</w:t>
      </w:r>
      <w:r>
        <w:rPr>
          <w:sz w:val="24"/>
          <w:szCs w:val="24"/>
        </w:rPr>
        <w:t xml:space="preserve"> vzorcem (</w:t>
      </w:r>
      <w:r w:rsidR="001C13AF">
        <w:rPr>
          <w:sz w:val="24"/>
          <w:szCs w:val="24"/>
        </w:rPr>
        <w:t>1</w:t>
      </w:r>
      <w:r>
        <w:rPr>
          <w:sz w:val="24"/>
          <w:szCs w:val="24"/>
        </w:rPr>
        <w:t>) závisí na dvou proměnných a to na výši procentního zvýšení ceny (X) a obchodním rozpětí (M)</w:t>
      </w:r>
      <w:r w:rsidR="00314F8E">
        <w:rPr>
          <w:sz w:val="24"/>
          <w:szCs w:val="24"/>
        </w:rPr>
        <w:t>; z</w:t>
      </w:r>
      <w:r>
        <w:rPr>
          <w:sz w:val="24"/>
          <w:szCs w:val="24"/>
        </w:rPr>
        <w:t xml:space="preserve">atímco velikost proměnné X </w:t>
      </w:r>
      <w:r w:rsidR="005D4241">
        <w:rPr>
          <w:sz w:val="24"/>
          <w:szCs w:val="24"/>
        </w:rPr>
        <w:t>je daná z definice (</w:t>
      </w:r>
      <w:r>
        <w:rPr>
          <w:sz w:val="24"/>
          <w:szCs w:val="24"/>
        </w:rPr>
        <w:t xml:space="preserve">0,05 až 0,1), určení proměnné M </w:t>
      </w:r>
      <w:r w:rsidR="00314F8E">
        <w:rPr>
          <w:sz w:val="24"/>
          <w:szCs w:val="24"/>
        </w:rPr>
        <w:t>je velmi nejednoznačné</w:t>
      </w:r>
      <w:r>
        <w:rPr>
          <w:sz w:val="24"/>
          <w:szCs w:val="24"/>
        </w:rPr>
        <w:t>.</w:t>
      </w:r>
      <w:r w:rsidR="008B0029">
        <w:rPr>
          <w:sz w:val="24"/>
          <w:szCs w:val="24"/>
        </w:rPr>
        <w:t xml:space="preserve"> </w:t>
      </w:r>
      <w:r w:rsidR="00AD093A">
        <w:rPr>
          <w:sz w:val="24"/>
          <w:szCs w:val="24"/>
        </w:rPr>
        <w:t>Hlavní problém zde představuje</w:t>
      </w:r>
      <w:r>
        <w:rPr>
          <w:sz w:val="24"/>
          <w:szCs w:val="24"/>
        </w:rPr>
        <w:t xml:space="preserve"> dělení nákladů na fixní a variabilní</w:t>
      </w:r>
      <w:r w:rsidR="00174354">
        <w:rPr>
          <w:sz w:val="24"/>
          <w:szCs w:val="24"/>
        </w:rPr>
        <w:t>.</w:t>
      </w:r>
      <w:r w:rsidR="0029745A">
        <w:rPr>
          <w:sz w:val="24"/>
          <w:szCs w:val="24"/>
        </w:rPr>
        <w:t xml:space="preserve"> Například</w:t>
      </w:r>
      <w:r>
        <w:rPr>
          <w:sz w:val="24"/>
          <w:szCs w:val="24"/>
        </w:rPr>
        <w:t xml:space="preserve"> </w:t>
      </w:r>
      <w:proofErr w:type="spellStart"/>
      <w:r>
        <w:rPr>
          <w:sz w:val="24"/>
          <w:szCs w:val="24"/>
        </w:rPr>
        <w:t>Donoghue</w:t>
      </w:r>
      <w:proofErr w:type="spellEnd"/>
      <w:r>
        <w:rPr>
          <w:sz w:val="24"/>
          <w:szCs w:val="24"/>
        </w:rPr>
        <w:t xml:space="preserve"> a </w:t>
      </w:r>
      <w:proofErr w:type="spellStart"/>
      <w:r>
        <w:rPr>
          <w:sz w:val="24"/>
          <w:szCs w:val="24"/>
        </w:rPr>
        <w:t>Padilla</w:t>
      </w:r>
      <w:proofErr w:type="spellEnd"/>
      <w:r>
        <w:rPr>
          <w:sz w:val="24"/>
          <w:szCs w:val="24"/>
        </w:rPr>
        <w:t xml:space="preserve"> (2006:79), </w:t>
      </w:r>
      <w:r w:rsidR="0029745A">
        <w:rPr>
          <w:sz w:val="24"/>
          <w:szCs w:val="24"/>
        </w:rPr>
        <w:t>používají</w:t>
      </w:r>
      <w:r>
        <w:rPr>
          <w:sz w:val="24"/>
          <w:szCs w:val="24"/>
          <w:lang w:eastAsia="cs-CZ"/>
        </w:rPr>
        <w:t xml:space="preserve"> pro výpočet marže průměrné variabilní náklady</w:t>
      </w:r>
      <w:r>
        <w:rPr>
          <w:rStyle w:val="Znakapoznpodarou"/>
          <w:sz w:val="24"/>
          <w:szCs w:val="24"/>
          <w:lang w:eastAsia="cs-CZ"/>
        </w:rPr>
        <w:footnoteReference w:id="3"/>
      </w:r>
      <w:r>
        <w:rPr>
          <w:sz w:val="24"/>
          <w:szCs w:val="24"/>
          <w:lang w:eastAsia="cs-CZ"/>
        </w:rPr>
        <w:t xml:space="preserve">, což je obvyklá praxe v případech, kdy je nemožné nebo příliš složité odhadnout průběh </w:t>
      </w:r>
      <w:r w:rsidR="0029745A">
        <w:rPr>
          <w:sz w:val="24"/>
          <w:szCs w:val="24"/>
          <w:lang w:eastAsia="cs-CZ"/>
        </w:rPr>
        <w:t>mezních nákladů, kter</w:t>
      </w:r>
      <w:r w:rsidR="009B540D">
        <w:rPr>
          <w:sz w:val="24"/>
          <w:szCs w:val="24"/>
          <w:lang w:eastAsia="cs-CZ"/>
        </w:rPr>
        <w:t>é</w:t>
      </w:r>
      <w:r w:rsidR="0029745A">
        <w:rPr>
          <w:sz w:val="24"/>
          <w:szCs w:val="24"/>
          <w:lang w:eastAsia="cs-CZ"/>
        </w:rPr>
        <w:t xml:space="preserve"> </w:t>
      </w:r>
      <w:r w:rsidR="009B540D">
        <w:rPr>
          <w:sz w:val="24"/>
          <w:szCs w:val="24"/>
          <w:lang w:eastAsia="cs-CZ"/>
        </w:rPr>
        <w:t>představují</w:t>
      </w:r>
      <w:r>
        <w:rPr>
          <w:sz w:val="24"/>
          <w:szCs w:val="24"/>
          <w:lang w:eastAsia="cs-CZ"/>
        </w:rPr>
        <w:t xml:space="preserve"> zásadní informac</w:t>
      </w:r>
      <w:r w:rsidR="009B540D">
        <w:rPr>
          <w:sz w:val="24"/>
          <w:szCs w:val="24"/>
          <w:lang w:eastAsia="cs-CZ"/>
        </w:rPr>
        <w:t>i</w:t>
      </w:r>
      <w:r>
        <w:rPr>
          <w:sz w:val="24"/>
          <w:szCs w:val="24"/>
          <w:lang w:eastAsia="cs-CZ"/>
        </w:rPr>
        <w:t xml:space="preserve"> k výpočtu zisku. </w:t>
      </w:r>
      <w:r w:rsidR="009B540D">
        <w:rPr>
          <w:sz w:val="24"/>
          <w:szCs w:val="24"/>
          <w:lang w:eastAsia="cs-CZ"/>
        </w:rPr>
        <w:t>P</w:t>
      </w:r>
      <w:r>
        <w:rPr>
          <w:sz w:val="24"/>
          <w:szCs w:val="24"/>
          <w:lang w:eastAsia="cs-CZ"/>
        </w:rPr>
        <w:t xml:space="preserve">okud </w:t>
      </w:r>
      <w:r w:rsidR="009B540D">
        <w:rPr>
          <w:sz w:val="24"/>
          <w:szCs w:val="24"/>
          <w:lang w:eastAsia="cs-CZ"/>
        </w:rPr>
        <w:t xml:space="preserve">by </w:t>
      </w:r>
      <w:r>
        <w:rPr>
          <w:sz w:val="24"/>
          <w:szCs w:val="24"/>
          <w:lang w:eastAsia="cs-CZ"/>
        </w:rPr>
        <w:t xml:space="preserve">České dráhy vůbec </w:t>
      </w:r>
      <w:r w:rsidR="009B540D">
        <w:rPr>
          <w:sz w:val="24"/>
          <w:szCs w:val="24"/>
          <w:lang w:eastAsia="cs-CZ"/>
        </w:rPr>
        <w:t xml:space="preserve">měly </w:t>
      </w:r>
      <w:r>
        <w:rPr>
          <w:sz w:val="24"/>
          <w:szCs w:val="24"/>
          <w:lang w:eastAsia="cs-CZ"/>
        </w:rPr>
        <w:t xml:space="preserve">k dispozici údaje o variabilních nákladech, </w:t>
      </w:r>
      <w:r w:rsidR="009B540D">
        <w:rPr>
          <w:sz w:val="24"/>
          <w:szCs w:val="24"/>
          <w:lang w:eastAsia="cs-CZ"/>
        </w:rPr>
        <w:t>bylo by velmi těžké vztáhnout tyto náklady právě jen k určité lince</w:t>
      </w:r>
      <w:r>
        <w:rPr>
          <w:sz w:val="24"/>
          <w:szCs w:val="24"/>
          <w:lang w:eastAsia="cs-CZ"/>
        </w:rPr>
        <w:t>.</w:t>
      </w:r>
      <w:r w:rsidR="008B0029">
        <w:rPr>
          <w:sz w:val="24"/>
          <w:szCs w:val="24"/>
          <w:lang w:eastAsia="cs-CZ"/>
        </w:rPr>
        <w:t xml:space="preserve"> </w:t>
      </w:r>
    </w:p>
    <w:p w:rsidR="008B0029" w:rsidRDefault="008B0029" w:rsidP="001F15CE">
      <w:pPr>
        <w:jc w:val="both"/>
        <w:rPr>
          <w:sz w:val="24"/>
          <w:szCs w:val="24"/>
          <w:lang w:eastAsia="cs-CZ"/>
        </w:rPr>
      </w:pPr>
    </w:p>
    <w:p w:rsidR="001F15CE" w:rsidRDefault="001F15CE" w:rsidP="001F15CE">
      <w:pPr>
        <w:jc w:val="both"/>
        <w:rPr>
          <w:sz w:val="24"/>
          <w:szCs w:val="24"/>
          <w:lang w:eastAsia="cs-CZ"/>
        </w:rPr>
      </w:pPr>
      <w:r>
        <w:rPr>
          <w:sz w:val="24"/>
          <w:szCs w:val="24"/>
          <w:lang w:eastAsia="cs-CZ"/>
        </w:rPr>
        <w:t xml:space="preserve">Tento problém těsně souvisí </w:t>
      </w:r>
      <w:r w:rsidR="009B540D">
        <w:rPr>
          <w:sz w:val="24"/>
          <w:szCs w:val="24"/>
          <w:lang w:eastAsia="cs-CZ"/>
        </w:rPr>
        <w:t>  s jedním ze</w:t>
      </w:r>
      <w:r>
        <w:rPr>
          <w:sz w:val="24"/>
          <w:szCs w:val="24"/>
          <w:lang w:eastAsia="cs-CZ"/>
        </w:rPr>
        <w:t xml:space="preserve"> specifik</w:t>
      </w:r>
      <w:r w:rsidR="009B540D">
        <w:rPr>
          <w:sz w:val="24"/>
          <w:szCs w:val="24"/>
          <w:lang w:eastAsia="cs-CZ"/>
        </w:rPr>
        <w:t xml:space="preserve"> železniční dopravy:</w:t>
      </w:r>
      <w:r>
        <w:rPr>
          <w:sz w:val="24"/>
          <w:szCs w:val="24"/>
          <w:lang w:eastAsia="cs-CZ"/>
        </w:rPr>
        <w:t xml:space="preserve"> </w:t>
      </w:r>
      <w:r w:rsidR="005B0FEC">
        <w:rPr>
          <w:sz w:val="24"/>
          <w:szCs w:val="24"/>
          <w:lang w:eastAsia="cs-CZ"/>
        </w:rPr>
        <w:t xml:space="preserve">velká část nákladů </w:t>
      </w:r>
      <w:r w:rsidR="009B540D">
        <w:rPr>
          <w:sz w:val="24"/>
          <w:szCs w:val="24"/>
          <w:lang w:eastAsia="cs-CZ"/>
        </w:rPr>
        <w:t>je v podstatě ne</w:t>
      </w:r>
      <w:r w:rsidR="005B0FEC">
        <w:rPr>
          <w:sz w:val="24"/>
          <w:szCs w:val="24"/>
          <w:lang w:eastAsia="cs-CZ"/>
        </w:rPr>
        <w:t>ovlivnitelná v </w:t>
      </w:r>
      <w:r w:rsidR="00507D07">
        <w:rPr>
          <w:sz w:val="24"/>
          <w:szCs w:val="24"/>
          <w:lang w:eastAsia="cs-CZ"/>
        </w:rPr>
        <w:t>„</w:t>
      </w:r>
      <w:r w:rsidR="005B0FEC">
        <w:rPr>
          <w:sz w:val="24"/>
          <w:szCs w:val="24"/>
          <w:lang w:eastAsia="cs-CZ"/>
        </w:rPr>
        <w:t>krátkém</w:t>
      </w:r>
      <w:r w:rsidR="00507D07">
        <w:rPr>
          <w:sz w:val="24"/>
          <w:szCs w:val="24"/>
          <w:lang w:eastAsia="cs-CZ"/>
        </w:rPr>
        <w:t>“</w:t>
      </w:r>
      <w:r w:rsidR="005B0FEC">
        <w:rPr>
          <w:sz w:val="24"/>
          <w:szCs w:val="24"/>
          <w:lang w:eastAsia="cs-CZ"/>
        </w:rPr>
        <w:t xml:space="preserve"> období</w:t>
      </w:r>
      <w:r>
        <w:rPr>
          <w:sz w:val="24"/>
          <w:szCs w:val="24"/>
          <w:lang w:eastAsia="cs-CZ"/>
        </w:rPr>
        <w:t>. Ze zřejmých důvodů (paušální platby za elektrickou energii, platby SŽDC za používání dopravní cesty, údržba nádraží atp.) jsou celkové náklady na vypravení vlaku zjevně téměř necitlivé na počet cestujících, kteří tento spoj využijí.</w:t>
      </w:r>
      <w:r w:rsidR="005B0FEC">
        <w:rPr>
          <w:sz w:val="24"/>
          <w:szCs w:val="24"/>
          <w:lang w:eastAsia="cs-CZ"/>
        </w:rPr>
        <w:t xml:space="preserve"> Potom nastavení délky období, pro které je test aplikován, </w:t>
      </w:r>
      <w:r w:rsidR="00D316B5">
        <w:rPr>
          <w:sz w:val="24"/>
          <w:szCs w:val="24"/>
          <w:lang w:eastAsia="cs-CZ"/>
        </w:rPr>
        <w:t xml:space="preserve">a rozdělení nákladů na variabilní a fixní </w:t>
      </w:r>
      <w:r w:rsidR="005B0FEC">
        <w:rPr>
          <w:sz w:val="24"/>
          <w:szCs w:val="24"/>
          <w:lang w:eastAsia="cs-CZ"/>
        </w:rPr>
        <w:t xml:space="preserve">závažně ovlivní </w:t>
      </w:r>
      <w:r w:rsidR="00D316B5">
        <w:rPr>
          <w:sz w:val="24"/>
          <w:szCs w:val="24"/>
          <w:lang w:eastAsia="cs-CZ"/>
        </w:rPr>
        <w:t>výsledek testu a rozhodnutí o šířce relevantního trhu.</w:t>
      </w:r>
      <w:r w:rsidR="005B0FEC">
        <w:rPr>
          <w:sz w:val="24"/>
          <w:szCs w:val="24"/>
          <w:lang w:eastAsia="cs-CZ"/>
        </w:rPr>
        <w:t xml:space="preserve"> </w:t>
      </w:r>
      <w:r w:rsidR="00D316B5">
        <w:rPr>
          <w:sz w:val="24"/>
          <w:szCs w:val="24"/>
          <w:lang w:eastAsia="cs-CZ"/>
        </w:rPr>
        <w:t>Co se týká mezních nákladů, je pravděpodobné, že</w:t>
      </w:r>
      <w:r>
        <w:rPr>
          <w:sz w:val="24"/>
          <w:szCs w:val="24"/>
          <w:lang w:eastAsia="cs-CZ"/>
        </w:rPr>
        <w:t xml:space="preserve"> vykazují skokový průběh</w:t>
      </w:r>
      <w:r w:rsidR="00D316B5">
        <w:rPr>
          <w:sz w:val="24"/>
          <w:szCs w:val="24"/>
          <w:lang w:eastAsia="cs-CZ"/>
        </w:rPr>
        <w:t xml:space="preserve"> a m</w:t>
      </w:r>
      <w:r>
        <w:rPr>
          <w:sz w:val="24"/>
          <w:szCs w:val="24"/>
          <w:lang w:eastAsia="cs-CZ"/>
        </w:rPr>
        <w:t>ění se</w:t>
      </w:r>
      <w:r w:rsidR="00D901F4">
        <w:rPr>
          <w:sz w:val="24"/>
          <w:szCs w:val="24"/>
          <w:lang w:eastAsia="cs-CZ"/>
        </w:rPr>
        <w:t xml:space="preserve"> až</w:t>
      </w:r>
      <w:r>
        <w:rPr>
          <w:sz w:val="24"/>
          <w:szCs w:val="24"/>
          <w:lang w:eastAsia="cs-CZ"/>
        </w:rPr>
        <w:t xml:space="preserve"> při významné změně počtu pasažérů (například připojení dodatečného vagónu). Při vysokých fixních nákladech a nízkých </w:t>
      </w:r>
      <w:r w:rsidR="00113A9B">
        <w:rPr>
          <w:sz w:val="24"/>
          <w:szCs w:val="24"/>
          <w:lang w:eastAsia="cs-CZ"/>
        </w:rPr>
        <w:t>variabilních (popř. mezních)</w:t>
      </w:r>
      <w:r>
        <w:rPr>
          <w:sz w:val="24"/>
          <w:szCs w:val="24"/>
          <w:lang w:eastAsia="cs-CZ"/>
        </w:rPr>
        <w:t xml:space="preserve"> nákladech na </w:t>
      </w:r>
      <w:r w:rsidR="00D901F4">
        <w:rPr>
          <w:sz w:val="24"/>
          <w:szCs w:val="24"/>
          <w:lang w:eastAsia="cs-CZ"/>
        </w:rPr>
        <w:t xml:space="preserve">jednoho </w:t>
      </w:r>
      <w:r>
        <w:rPr>
          <w:sz w:val="24"/>
          <w:szCs w:val="24"/>
          <w:lang w:eastAsia="cs-CZ"/>
        </w:rPr>
        <w:t xml:space="preserve">cestujícího </w:t>
      </w:r>
      <w:r>
        <w:rPr>
          <w:sz w:val="24"/>
          <w:szCs w:val="24"/>
          <w:lang w:eastAsia="cs-CZ"/>
        </w:rPr>
        <w:lastRenderedPageBreak/>
        <w:t xml:space="preserve">bude </w:t>
      </w:r>
      <w:r w:rsidR="00D901F4">
        <w:rPr>
          <w:sz w:val="24"/>
          <w:szCs w:val="24"/>
          <w:lang w:eastAsia="cs-CZ"/>
        </w:rPr>
        <w:t>zjištěna vysoká marže, což znamená nižší hodnotu kritické ztráty a vyšší pravděpodobnost, že SSNIP test skončí výsledkem nemožnosti profitabilního zvýšení ceny, tedy potvrzením existence blízkého substitutu</w:t>
      </w:r>
      <w:r w:rsidR="00314F8E">
        <w:rPr>
          <w:sz w:val="24"/>
          <w:szCs w:val="24"/>
          <w:lang w:eastAsia="cs-CZ"/>
        </w:rPr>
        <w:t xml:space="preserve"> (viz Tabulka 2)</w:t>
      </w:r>
      <w:r w:rsidR="00D901F4">
        <w:rPr>
          <w:sz w:val="24"/>
          <w:szCs w:val="24"/>
          <w:lang w:eastAsia="cs-CZ"/>
        </w:rPr>
        <w:t>.</w:t>
      </w:r>
      <w:r w:rsidR="008B0029">
        <w:rPr>
          <w:sz w:val="24"/>
          <w:szCs w:val="24"/>
          <w:lang w:eastAsia="cs-CZ"/>
        </w:rPr>
        <w:t xml:space="preserve"> </w:t>
      </w:r>
      <w:r>
        <w:rPr>
          <w:sz w:val="24"/>
          <w:szCs w:val="24"/>
          <w:lang w:eastAsia="cs-CZ"/>
        </w:rPr>
        <w:t xml:space="preserve">Tato skutečnost má sice </w:t>
      </w:r>
      <w:r w:rsidR="005F6E59">
        <w:rPr>
          <w:sz w:val="24"/>
          <w:szCs w:val="24"/>
          <w:lang w:eastAsia="cs-CZ"/>
        </w:rPr>
        <w:t xml:space="preserve">jistou </w:t>
      </w:r>
      <w:r>
        <w:rPr>
          <w:sz w:val="24"/>
          <w:szCs w:val="24"/>
          <w:lang w:eastAsia="cs-CZ"/>
        </w:rPr>
        <w:t xml:space="preserve">vypovídací schopnost o specifické situaci na dopravním trhu, ale na druhou stranu je třeba </w:t>
      </w:r>
      <w:r w:rsidR="00D901F4">
        <w:rPr>
          <w:sz w:val="24"/>
          <w:szCs w:val="24"/>
          <w:lang w:eastAsia="cs-CZ"/>
        </w:rPr>
        <w:t>vzít v </w:t>
      </w:r>
      <w:r w:rsidR="00734929">
        <w:rPr>
          <w:sz w:val="24"/>
          <w:szCs w:val="24"/>
          <w:lang w:eastAsia="cs-CZ"/>
        </w:rPr>
        <w:t>úvahu</w:t>
      </w:r>
      <w:r w:rsidR="00D901F4">
        <w:rPr>
          <w:sz w:val="24"/>
          <w:szCs w:val="24"/>
          <w:lang w:eastAsia="cs-CZ"/>
        </w:rPr>
        <w:t xml:space="preserve"> </w:t>
      </w:r>
      <w:r w:rsidR="00734929">
        <w:rPr>
          <w:sz w:val="24"/>
          <w:szCs w:val="24"/>
          <w:lang w:eastAsia="cs-CZ"/>
        </w:rPr>
        <w:t>vysoké fixní náklady (</w:t>
      </w:r>
      <w:r w:rsidR="001757C7">
        <w:rPr>
          <w:sz w:val="24"/>
          <w:szCs w:val="24"/>
          <w:lang w:eastAsia="cs-CZ"/>
        </w:rPr>
        <w:t>ty</w:t>
      </w:r>
      <w:r w:rsidR="00734929">
        <w:rPr>
          <w:sz w:val="24"/>
          <w:szCs w:val="24"/>
          <w:lang w:eastAsia="cs-CZ"/>
        </w:rPr>
        <w:t xml:space="preserve"> vyplývají z předpokladu vysokých marží počítaných z nízkých variabilních nákladů)</w:t>
      </w:r>
      <w:r w:rsidR="001757C7">
        <w:rPr>
          <w:sz w:val="24"/>
          <w:szCs w:val="24"/>
          <w:lang w:eastAsia="cs-CZ"/>
        </w:rPr>
        <w:t>, které mohou pohltit celý zisk.</w:t>
      </w:r>
    </w:p>
    <w:p w:rsidR="001F15CE" w:rsidRDefault="001F15CE" w:rsidP="001F15CE">
      <w:pPr>
        <w:jc w:val="both"/>
        <w:rPr>
          <w:sz w:val="24"/>
          <w:szCs w:val="24"/>
          <w:lang w:eastAsia="cs-CZ"/>
        </w:rPr>
      </w:pPr>
    </w:p>
    <w:p w:rsidR="001F15CE" w:rsidRDefault="00704E11" w:rsidP="001F15CE">
      <w:pPr>
        <w:jc w:val="both"/>
        <w:rPr>
          <w:sz w:val="24"/>
          <w:szCs w:val="24"/>
        </w:rPr>
      </w:pPr>
      <w:r>
        <w:rPr>
          <w:sz w:val="24"/>
          <w:szCs w:val="24"/>
        </w:rPr>
        <w:t>Pro ilustraci provedení SSNIP testu dále využij</w:t>
      </w:r>
      <w:r w:rsidR="00314F8E">
        <w:rPr>
          <w:sz w:val="24"/>
          <w:szCs w:val="24"/>
        </w:rPr>
        <w:t>eme</w:t>
      </w:r>
      <w:r>
        <w:rPr>
          <w:sz w:val="24"/>
          <w:szCs w:val="24"/>
        </w:rPr>
        <w:t xml:space="preserve"> modelovou situaci, kdy by ČD měly </w:t>
      </w:r>
      <w:r w:rsidR="00BE7B86">
        <w:rPr>
          <w:sz w:val="24"/>
          <w:szCs w:val="24"/>
        </w:rPr>
        <w:t>marži</w:t>
      </w:r>
      <w:r w:rsidR="001F15CE">
        <w:rPr>
          <w:sz w:val="24"/>
          <w:szCs w:val="24"/>
        </w:rPr>
        <w:t xml:space="preserve"> 5%, 10%, 20%, 30% a 40%.</w:t>
      </w:r>
      <w:r w:rsidR="008B0029">
        <w:rPr>
          <w:sz w:val="24"/>
          <w:szCs w:val="24"/>
        </w:rPr>
        <w:t xml:space="preserve"> </w:t>
      </w:r>
      <w:r w:rsidR="001F15CE">
        <w:rPr>
          <w:sz w:val="24"/>
          <w:szCs w:val="24"/>
        </w:rPr>
        <w:t>Pro hodnotu proměnné X určím</w:t>
      </w:r>
      <w:r w:rsidR="00314F8E">
        <w:rPr>
          <w:sz w:val="24"/>
          <w:szCs w:val="24"/>
        </w:rPr>
        <w:t>e</w:t>
      </w:r>
      <w:r w:rsidR="001F15CE">
        <w:rPr>
          <w:sz w:val="24"/>
          <w:szCs w:val="24"/>
        </w:rPr>
        <w:t xml:space="preserve"> 10% zvýšení ceny, tedy horní hranici běžně používaného rozmezí. Hodnoty kritické ztráty a kritické elasticity pro různé úrovně marží obsahuje tabulka </w:t>
      </w:r>
      <w:r w:rsidR="000254FD">
        <w:rPr>
          <w:sz w:val="24"/>
          <w:szCs w:val="24"/>
        </w:rPr>
        <w:t>2</w:t>
      </w:r>
      <w:r w:rsidR="001F15CE">
        <w:rPr>
          <w:sz w:val="24"/>
          <w:szCs w:val="24"/>
        </w:rPr>
        <w:t>:</w:t>
      </w:r>
    </w:p>
    <w:p w:rsidR="001F15CE" w:rsidRDefault="001F15CE" w:rsidP="001F15CE">
      <w:pPr>
        <w:spacing w:line="360" w:lineRule="auto"/>
        <w:jc w:val="both"/>
        <w:rPr>
          <w:sz w:val="24"/>
          <w:szCs w:val="24"/>
        </w:rPr>
      </w:pPr>
    </w:p>
    <w:p w:rsidR="001F15CE" w:rsidRPr="006E7B7E" w:rsidRDefault="001F15CE" w:rsidP="001F15CE">
      <w:pPr>
        <w:pStyle w:val="Titulek"/>
        <w:rPr>
          <w:color w:val="000000" w:themeColor="text1"/>
          <w:sz w:val="24"/>
          <w:szCs w:val="24"/>
        </w:rPr>
      </w:pPr>
      <w:bookmarkStart w:id="2" w:name="_Toc324433480"/>
      <w:r w:rsidRPr="006E7B7E">
        <w:rPr>
          <w:color w:val="000000" w:themeColor="text1"/>
        </w:rPr>
        <w:t xml:space="preserve">Tabulka </w:t>
      </w:r>
      <w:r w:rsidR="005C1427">
        <w:rPr>
          <w:color w:val="000000" w:themeColor="text1"/>
        </w:rPr>
        <w:t>2</w:t>
      </w:r>
      <w:r w:rsidRPr="006E7B7E">
        <w:rPr>
          <w:color w:val="000000" w:themeColor="text1"/>
        </w:rPr>
        <w:t>: Velikost kritické ztráty při 10% zvýšení ceny pro použité úrovně obchodního rozpětí</w:t>
      </w:r>
      <w:bookmarkEnd w:id="2"/>
    </w:p>
    <w:tbl>
      <w:tblPr>
        <w:tblW w:w="7287" w:type="dxa"/>
        <w:jc w:val="center"/>
        <w:tblInd w:w="65" w:type="dxa"/>
        <w:tblCellMar>
          <w:left w:w="70" w:type="dxa"/>
          <w:right w:w="70" w:type="dxa"/>
        </w:tblCellMar>
        <w:tblLook w:val="04A0" w:firstRow="1" w:lastRow="0" w:firstColumn="1" w:lastColumn="0" w:noHBand="0" w:noVBand="1"/>
      </w:tblPr>
      <w:tblGrid>
        <w:gridCol w:w="1802"/>
        <w:gridCol w:w="885"/>
        <w:gridCol w:w="960"/>
        <w:gridCol w:w="960"/>
        <w:gridCol w:w="960"/>
        <w:gridCol w:w="960"/>
        <w:gridCol w:w="960"/>
      </w:tblGrid>
      <w:tr w:rsidR="001F15CE" w:rsidRPr="004C044E" w:rsidTr="00D901F4">
        <w:trPr>
          <w:trHeight w:val="300"/>
          <w:jc w:val="center"/>
        </w:trPr>
        <w:tc>
          <w:tcPr>
            <w:tcW w:w="18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zvýšení ceny</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X</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0,1</w:t>
            </w:r>
          </w:p>
        </w:tc>
      </w:tr>
      <w:tr w:rsidR="001F15CE" w:rsidRPr="004C044E" w:rsidTr="00D901F4">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obchodní rozpětí</w:t>
            </w:r>
          </w:p>
        </w:tc>
        <w:tc>
          <w:tcPr>
            <w:tcW w:w="685"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M</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0,05</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0,1</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0,2</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0,3</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0,4</w:t>
            </w:r>
          </w:p>
        </w:tc>
      </w:tr>
      <w:tr w:rsidR="001F15CE" w:rsidRPr="004C044E" w:rsidTr="00D901F4">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kritická ztráta</w:t>
            </w:r>
          </w:p>
        </w:tc>
        <w:tc>
          <w:tcPr>
            <w:tcW w:w="685"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X/(X+M)</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0,67</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0,5</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0,33</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0,25</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0,2</w:t>
            </w:r>
          </w:p>
        </w:tc>
      </w:tr>
      <w:tr w:rsidR="001F15CE" w:rsidRPr="004C044E" w:rsidTr="00D901F4">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kritická elasticita</w:t>
            </w:r>
          </w:p>
        </w:tc>
        <w:tc>
          <w:tcPr>
            <w:tcW w:w="685"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1/(X+M)</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6,67</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5</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3,33</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2,5</w:t>
            </w:r>
          </w:p>
        </w:tc>
        <w:tc>
          <w:tcPr>
            <w:tcW w:w="960" w:type="dxa"/>
            <w:tcBorders>
              <w:top w:val="nil"/>
              <w:left w:val="nil"/>
              <w:bottom w:val="single" w:sz="4" w:space="0" w:color="auto"/>
              <w:right w:val="single" w:sz="4" w:space="0" w:color="auto"/>
            </w:tcBorders>
            <w:shd w:val="clear" w:color="auto" w:fill="auto"/>
            <w:noWrap/>
            <w:vAlign w:val="center"/>
            <w:hideMark/>
          </w:tcPr>
          <w:p w:rsidR="001F15CE" w:rsidRPr="004C044E" w:rsidRDefault="001F15CE" w:rsidP="00D901F4">
            <w:pPr>
              <w:suppressAutoHyphens w:val="0"/>
              <w:jc w:val="center"/>
              <w:rPr>
                <w:rFonts w:ascii="Calibri" w:hAnsi="Calibri"/>
                <w:color w:val="000000"/>
                <w:sz w:val="22"/>
                <w:szCs w:val="22"/>
                <w:lang w:eastAsia="cs-CZ"/>
              </w:rPr>
            </w:pPr>
            <w:r w:rsidRPr="004C044E">
              <w:rPr>
                <w:rFonts w:ascii="Calibri" w:hAnsi="Calibri"/>
                <w:color w:val="000000"/>
                <w:sz w:val="22"/>
                <w:szCs w:val="22"/>
                <w:lang w:eastAsia="cs-CZ"/>
              </w:rPr>
              <w:t>2</w:t>
            </w:r>
          </w:p>
        </w:tc>
      </w:tr>
    </w:tbl>
    <w:p w:rsidR="001F15CE" w:rsidRPr="00E05809" w:rsidRDefault="001F15CE" w:rsidP="001F15CE">
      <w:pPr>
        <w:spacing w:line="360" w:lineRule="auto"/>
        <w:jc w:val="both"/>
        <w:rPr>
          <w:sz w:val="18"/>
          <w:szCs w:val="18"/>
        </w:rPr>
      </w:pPr>
      <w:r w:rsidRPr="00E05809">
        <w:rPr>
          <w:sz w:val="18"/>
          <w:szCs w:val="18"/>
        </w:rPr>
        <w:tab/>
        <w:t>Zdroj: Vlastní výpočty</w:t>
      </w:r>
      <w:r w:rsidR="00DD7E3F">
        <w:rPr>
          <w:sz w:val="18"/>
          <w:szCs w:val="18"/>
        </w:rPr>
        <w:t xml:space="preserve"> ze vzorce (1)</w:t>
      </w:r>
    </w:p>
    <w:p w:rsidR="00122189" w:rsidRDefault="00122189" w:rsidP="00260068">
      <w:pPr>
        <w:jc w:val="both"/>
        <w:rPr>
          <w:sz w:val="24"/>
          <w:szCs w:val="24"/>
        </w:rPr>
      </w:pPr>
    </w:p>
    <w:p w:rsidR="0040499B" w:rsidRDefault="00122189" w:rsidP="00260068">
      <w:pPr>
        <w:jc w:val="both"/>
        <w:rPr>
          <w:sz w:val="24"/>
          <w:szCs w:val="24"/>
        </w:rPr>
      </w:pPr>
      <w:r>
        <w:rPr>
          <w:sz w:val="24"/>
          <w:szCs w:val="24"/>
        </w:rPr>
        <w:t>Po vypočtení skutečné ztráty v tomto modelovém postupu tedy zjistím</w:t>
      </w:r>
      <w:r w:rsidR="00314F8E">
        <w:rPr>
          <w:sz w:val="24"/>
          <w:szCs w:val="24"/>
        </w:rPr>
        <w:t>e</w:t>
      </w:r>
      <w:r>
        <w:rPr>
          <w:sz w:val="24"/>
          <w:szCs w:val="24"/>
        </w:rPr>
        <w:t xml:space="preserve">, jak vysoká by musela marže Českých drah být, aby autobusová doprava Student </w:t>
      </w:r>
      <w:proofErr w:type="spellStart"/>
      <w:r>
        <w:rPr>
          <w:sz w:val="24"/>
          <w:szCs w:val="24"/>
        </w:rPr>
        <w:t>Agency</w:t>
      </w:r>
      <w:proofErr w:type="spellEnd"/>
      <w:r>
        <w:rPr>
          <w:sz w:val="24"/>
          <w:szCs w:val="24"/>
        </w:rPr>
        <w:t xml:space="preserve"> </w:t>
      </w:r>
      <w:r w:rsidR="00257210">
        <w:rPr>
          <w:sz w:val="24"/>
          <w:szCs w:val="24"/>
        </w:rPr>
        <w:t>byla substitutem železniční dopravy.</w:t>
      </w:r>
    </w:p>
    <w:p w:rsidR="0040499B" w:rsidRDefault="0040499B" w:rsidP="00260068">
      <w:pPr>
        <w:jc w:val="both"/>
        <w:rPr>
          <w:sz w:val="24"/>
          <w:szCs w:val="24"/>
        </w:rPr>
      </w:pPr>
    </w:p>
    <w:p w:rsidR="00B40B13" w:rsidRDefault="00314F8E" w:rsidP="003E3D69">
      <w:pPr>
        <w:jc w:val="both"/>
        <w:rPr>
          <w:sz w:val="24"/>
          <w:szCs w:val="24"/>
        </w:rPr>
      </w:pPr>
      <w:r>
        <w:rPr>
          <w:sz w:val="24"/>
          <w:szCs w:val="24"/>
        </w:rPr>
        <w:t>K</w:t>
      </w:r>
      <w:r w:rsidR="00B40B13">
        <w:rPr>
          <w:sz w:val="24"/>
          <w:szCs w:val="24"/>
        </w:rPr>
        <w:t>líčem k odhadu skutečné ztráty v případě hypotetického desetiprocentního zvýšení ceny je cenová elasticita poptávky. Konkrétně vzorec 2 udává tuto závislost:</w:t>
      </w:r>
    </w:p>
    <w:p w:rsidR="00B40B13" w:rsidRDefault="00B40B13" w:rsidP="00B40B13">
      <w:pPr>
        <w:ind w:left="2832" w:firstLine="708"/>
        <w:jc w:val="both"/>
        <w:rPr>
          <w:sz w:val="24"/>
          <w:szCs w:val="24"/>
        </w:rPr>
      </w:pPr>
      <w:r>
        <w:rPr>
          <w:sz w:val="24"/>
          <w:szCs w:val="24"/>
        </w:rPr>
        <w:t xml:space="preserve"> </w:t>
      </w:r>
      <m:oMath>
        <m:r>
          <w:rPr>
            <w:rFonts w:ascii="Cambria Math" w:hAnsi="Cambria Math"/>
            <w:sz w:val="24"/>
            <w:szCs w:val="24"/>
          </w:rPr>
          <m:t>∆Q=∆P*ε</m:t>
        </m:r>
      </m:oMath>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9A25EB" w:rsidRDefault="00B40B13" w:rsidP="009A25EB">
      <w:pPr>
        <w:jc w:val="both"/>
        <w:rPr>
          <w:sz w:val="24"/>
          <w:szCs w:val="24"/>
        </w:rPr>
      </w:pPr>
      <w:r>
        <w:rPr>
          <w:sz w:val="24"/>
          <w:szCs w:val="24"/>
        </w:rPr>
        <w:t>Zatímco procentní zvýšení ceny (</w:t>
      </w:r>
      <m:oMath>
        <m:r>
          <w:rPr>
            <w:rFonts w:ascii="Cambria Math" w:hAnsi="Cambria Math"/>
            <w:sz w:val="24"/>
            <w:szCs w:val="24"/>
          </w:rPr>
          <m:t>∆P</m:t>
        </m:r>
      </m:oMath>
      <w:r>
        <w:rPr>
          <w:sz w:val="24"/>
          <w:szCs w:val="24"/>
        </w:rPr>
        <w:t xml:space="preserve">) je ze známé (0,1), hodnotu cenové elasticity </w:t>
      </w:r>
      <w:r w:rsidR="003E3D69">
        <w:rPr>
          <w:sz w:val="24"/>
          <w:szCs w:val="24"/>
        </w:rPr>
        <w:t>je nutné odhadnout.</w:t>
      </w:r>
      <w:r w:rsidR="00BA4CCB">
        <w:rPr>
          <w:sz w:val="24"/>
          <w:szCs w:val="24"/>
        </w:rPr>
        <w:t xml:space="preserve"> </w:t>
      </w:r>
      <w:r w:rsidR="009A25EB">
        <w:rPr>
          <w:sz w:val="24"/>
          <w:szCs w:val="24"/>
        </w:rPr>
        <w:t>Pro</w:t>
      </w:r>
      <w:r w:rsidR="00BA4CCB">
        <w:rPr>
          <w:sz w:val="24"/>
          <w:szCs w:val="24"/>
        </w:rPr>
        <w:t xml:space="preserve"> </w:t>
      </w:r>
      <w:r w:rsidR="009A25EB">
        <w:rPr>
          <w:sz w:val="24"/>
          <w:szCs w:val="24"/>
        </w:rPr>
        <w:t xml:space="preserve">odhad cenové elasticity se v tomto případě nejlépe nabízí spotřebitelský průzkum provedený ve formě dotazníkového šetření. Ten může dát nejen odpověď na otázku elasticity, ale v jeho rámci se lze dovědět i další doplňující (například i kvalitativní) informace. </w:t>
      </w:r>
    </w:p>
    <w:p w:rsidR="001D75E8" w:rsidRDefault="001D75E8" w:rsidP="00622544">
      <w:pPr>
        <w:jc w:val="both"/>
        <w:rPr>
          <w:sz w:val="24"/>
          <w:szCs w:val="24"/>
        </w:rPr>
      </w:pPr>
    </w:p>
    <w:p w:rsidR="001D75E8" w:rsidRPr="008B0029" w:rsidRDefault="008B0029" w:rsidP="00A92969">
      <w:pPr>
        <w:jc w:val="both"/>
        <w:rPr>
          <w:b/>
          <w:sz w:val="24"/>
          <w:szCs w:val="24"/>
        </w:rPr>
      </w:pPr>
      <w:r>
        <w:rPr>
          <w:b/>
          <w:sz w:val="24"/>
          <w:szCs w:val="24"/>
        </w:rPr>
        <w:t>4.</w:t>
      </w:r>
      <w:r w:rsidR="003C4522">
        <w:rPr>
          <w:b/>
          <w:sz w:val="24"/>
          <w:szCs w:val="24"/>
        </w:rPr>
        <w:t xml:space="preserve"> M</w:t>
      </w:r>
      <w:r w:rsidR="00093D48" w:rsidRPr="008B0029">
        <w:rPr>
          <w:b/>
          <w:sz w:val="24"/>
          <w:szCs w:val="24"/>
        </w:rPr>
        <w:t>etodika sestavení dotazníku a provedení spotřebitelského průzkumu</w:t>
      </w:r>
    </w:p>
    <w:p w:rsidR="00434479" w:rsidRDefault="00434479" w:rsidP="00434479">
      <w:pPr>
        <w:jc w:val="both"/>
        <w:rPr>
          <w:sz w:val="24"/>
          <w:szCs w:val="24"/>
        </w:rPr>
      </w:pPr>
      <w:r>
        <w:rPr>
          <w:sz w:val="24"/>
          <w:szCs w:val="24"/>
        </w:rPr>
        <w:t>Dotazník by měl být postaven tak, aby poskytl odpověď na následující okruhy otázek:</w:t>
      </w:r>
    </w:p>
    <w:p w:rsidR="00434479" w:rsidRDefault="00434479" w:rsidP="00434479">
      <w:pPr>
        <w:jc w:val="both"/>
        <w:rPr>
          <w:sz w:val="24"/>
          <w:szCs w:val="24"/>
        </w:rPr>
      </w:pPr>
    </w:p>
    <w:p w:rsidR="00434479" w:rsidRDefault="00434479" w:rsidP="00434479">
      <w:pPr>
        <w:pStyle w:val="Odstavecseseznamem"/>
        <w:numPr>
          <w:ilvl w:val="0"/>
          <w:numId w:val="11"/>
        </w:numPr>
        <w:spacing w:line="360" w:lineRule="auto"/>
        <w:jc w:val="both"/>
        <w:rPr>
          <w:sz w:val="24"/>
          <w:szCs w:val="24"/>
        </w:rPr>
      </w:pPr>
      <w:r>
        <w:rPr>
          <w:sz w:val="24"/>
          <w:szCs w:val="24"/>
        </w:rPr>
        <w:t>jak často respondent využívá vlakové spojení na dané trase a kolik za něj zaplatí</w:t>
      </w:r>
    </w:p>
    <w:p w:rsidR="00434479" w:rsidRDefault="00434479" w:rsidP="00434479">
      <w:pPr>
        <w:pStyle w:val="Odstavecseseznamem"/>
        <w:numPr>
          <w:ilvl w:val="0"/>
          <w:numId w:val="11"/>
        </w:numPr>
        <w:spacing w:line="360" w:lineRule="auto"/>
        <w:jc w:val="both"/>
        <w:rPr>
          <w:sz w:val="24"/>
          <w:szCs w:val="24"/>
        </w:rPr>
      </w:pPr>
      <w:r>
        <w:rPr>
          <w:sz w:val="24"/>
          <w:szCs w:val="24"/>
        </w:rPr>
        <w:t>zda je respondent citlivý na výši ceny jízdenky</w:t>
      </w:r>
    </w:p>
    <w:p w:rsidR="00434479" w:rsidRDefault="00434479" w:rsidP="00434479">
      <w:pPr>
        <w:pStyle w:val="Odstavecseseznamem"/>
        <w:numPr>
          <w:ilvl w:val="0"/>
          <w:numId w:val="11"/>
        </w:numPr>
        <w:spacing w:line="360" w:lineRule="auto"/>
        <w:jc w:val="both"/>
        <w:rPr>
          <w:sz w:val="24"/>
          <w:szCs w:val="24"/>
        </w:rPr>
      </w:pPr>
      <w:r>
        <w:rPr>
          <w:sz w:val="24"/>
          <w:szCs w:val="24"/>
        </w:rPr>
        <w:t>do jaké skupiny zákazníků respondent patří</w:t>
      </w:r>
    </w:p>
    <w:p w:rsidR="00434479" w:rsidRDefault="00434479" w:rsidP="00434479">
      <w:pPr>
        <w:pStyle w:val="Odstavecseseznamem"/>
        <w:numPr>
          <w:ilvl w:val="0"/>
          <w:numId w:val="11"/>
        </w:numPr>
        <w:spacing w:line="360" w:lineRule="auto"/>
        <w:jc w:val="both"/>
        <w:rPr>
          <w:sz w:val="24"/>
          <w:szCs w:val="24"/>
        </w:rPr>
      </w:pPr>
      <w:r>
        <w:rPr>
          <w:sz w:val="24"/>
          <w:szCs w:val="24"/>
        </w:rPr>
        <w:t>jak by reagoval na desetiprocentní zvýšení ceny jízdného</w:t>
      </w:r>
    </w:p>
    <w:p w:rsidR="00434479" w:rsidRDefault="00434479" w:rsidP="00434479">
      <w:pPr>
        <w:jc w:val="both"/>
        <w:rPr>
          <w:sz w:val="24"/>
          <w:szCs w:val="24"/>
        </w:rPr>
      </w:pPr>
    </w:p>
    <w:p w:rsidR="00434479" w:rsidRDefault="00434479" w:rsidP="00434479">
      <w:pPr>
        <w:jc w:val="both"/>
        <w:rPr>
          <w:sz w:val="24"/>
          <w:szCs w:val="24"/>
        </w:rPr>
      </w:pPr>
      <w:r>
        <w:rPr>
          <w:sz w:val="24"/>
          <w:szCs w:val="24"/>
        </w:rPr>
        <w:t xml:space="preserve">Informace o tom, jak intenzivně respondent vlak využívá (a kolik za něj utrácí) je klíčová pro určení váhy dotazníku od tohoto cestujícího. Informace od respondenta, který cestuje na dané trase vlakem výjimečně, bude mít nižší váhu, než od pravidelného cestujícího. </w:t>
      </w:r>
    </w:p>
    <w:p w:rsidR="00434479" w:rsidRDefault="00434479" w:rsidP="00434479">
      <w:pPr>
        <w:jc w:val="both"/>
        <w:rPr>
          <w:sz w:val="24"/>
          <w:szCs w:val="24"/>
        </w:rPr>
      </w:pPr>
    </w:p>
    <w:p w:rsidR="00C9363A" w:rsidRDefault="00434479" w:rsidP="00434479">
      <w:pPr>
        <w:jc w:val="both"/>
        <w:rPr>
          <w:sz w:val="24"/>
          <w:szCs w:val="24"/>
        </w:rPr>
      </w:pPr>
      <w:r>
        <w:rPr>
          <w:sz w:val="24"/>
          <w:szCs w:val="24"/>
        </w:rPr>
        <w:t xml:space="preserve">Je důležité znát, zda je vůbec respondent citlivý na cenu jízdenky. Cílem je zejména odlišit skupinu respondentů, kteří za jízdenku neplatí od těch, kteří ji platí z vlastních peněz. </w:t>
      </w:r>
    </w:p>
    <w:p w:rsidR="00434479" w:rsidRDefault="00434479" w:rsidP="00434479">
      <w:pPr>
        <w:jc w:val="both"/>
        <w:rPr>
          <w:sz w:val="24"/>
          <w:szCs w:val="24"/>
        </w:rPr>
      </w:pPr>
      <w:r>
        <w:rPr>
          <w:sz w:val="24"/>
          <w:szCs w:val="24"/>
        </w:rPr>
        <w:lastRenderedPageBreak/>
        <w:t>Jde například o cestující, kteří jsou na služební cestě, a jízdenka je proplácena zaměstnavatelem. Lze se domnívat, že zákazníci, kteří jízdné neplatí z vlastních peněz, budou reagovat odlišně než ti, kteří si jízdné platí sami. Zohlednění této skutečnosti omezí deformaci získaných výsledků.</w:t>
      </w:r>
    </w:p>
    <w:p w:rsidR="00434479" w:rsidRDefault="00434479" w:rsidP="00434479">
      <w:pPr>
        <w:jc w:val="both"/>
        <w:rPr>
          <w:sz w:val="24"/>
          <w:szCs w:val="24"/>
        </w:rPr>
      </w:pPr>
    </w:p>
    <w:p w:rsidR="00434479" w:rsidRDefault="00434479" w:rsidP="00434479">
      <w:pPr>
        <w:jc w:val="both"/>
        <w:rPr>
          <w:sz w:val="24"/>
          <w:szCs w:val="24"/>
        </w:rPr>
      </w:pPr>
      <w:r>
        <w:rPr>
          <w:sz w:val="24"/>
          <w:szCs w:val="24"/>
        </w:rPr>
        <w:t>Charakteristickým znakem železniční dopravy je velké množství tarifů, kterými se České dráhy snaží oslovi</w:t>
      </w:r>
      <w:r w:rsidR="009F1901">
        <w:rPr>
          <w:sz w:val="24"/>
          <w:szCs w:val="24"/>
        </w:rPr>
        <w:t>t různorodé skupiny zákazníků. Cenové elasticity těchto skupin mohou</w:t>
      </w:r>
      <w:r>
        <w:rPr>
          <w:sz w:val="24"/>
          <w:szCs w:val="24"/>
        </w:rPr>
        <w:t xml:space="preserve"> být</w:t>
      </w:r>
      <w:r w:rsidR="009F1901">
        <w:rPr>
          <w:sz w:val="24"/>
          <w:szCs w:val="24"/>
        </w:rPr>
        <w:t xml:space="preserve"> při tom rozdílné</w:t>
      </w:r>
      <w:r>
        <w:rPr>
          <w:sz w:val="24"/>
          <w:szCs w:val="24"/>
        </w:rPr>
        <w:t>. V dotazníkovém šetření je vhodné respondenty rozdělit ale</w:t>
      </w:r>
      <w:r w:rsidR="009F1901">
        <w:rPr>
          <w:sz w:val="24"/>
          <w:szCs w:val="24"/>
        </w:rPr>
        <w:t xml:space="preserve">spoň podle nejběžnějších tarifů, jako je obyčejné jízdné, studentská sleva, </w:t>
      </w:r>
      <w:proofErr w:type="spellStart"/>
      <w:r w:rsidR="009F1901">
        <w:rPr>
          <w:sz w:val="24"/>
          <w:szCs w:val="24"/>
        </w:rPr>
        <w:t>SporoTiket</w:t>
      </w:r>
      <w:proofErr w:type="spellEnd"/>
      <w:r w:rsidR="009F1901">
        <w:rPr>
          <w:sz w:val="24"/>
          <w:szCs w:val="24"/>
        </w:rPr>
        <w:t xml:space="preserve"> a tarify In pro držitele tzv. In karet.</w:t>
      </w:r>
    </w:p>
    <w:p w:rsidR="00434479" w:rsidRDefault="00434479" w:rsidP="00434479">
      <w:pPr>
        <w:jc w:val="both"/>
        <w:rPr>
          <w:sz w:val="24"/>
          <w:szCs w:val="24"/>
        </w:rPr>
      </w:pPr>
    </w:p>
    <w:p w:rsidR="00434479" w:rsidRDefault="00434479" w:rsidP="00434479">
      <w:pPr>
        <w:jc w:val="both"/>
        <w:rPr>
          <w:sz w:val="24"/>
          <w:szCs w:val="24"/>
        </w:rPr>
      </w:pPr>
      <w:r>
        <w:rPr>
          <w:sz w:val="24"/>
          <w:szCs w:val="24"/>
        </w:rPr>
        <w:t xml:space="preserve">Po identifikaci respondenta a ověření, že zná cenu své jízdenky, nastává vhodný čas na položení otázky na hypotetické zvýšení ceny jízdného o 10%. </w:t>
      </w:r>
      <w:r w:rsidR="00B51DE9">
        <w:rPr>
          <w:sz w:val="24"/>
          <w:szCs w:val="24"/>
        </w:rPr>
        <w:t>Průzkum</w:t>
      </w:r>
      <w:r>
        <w:rPr>
          <w:sz w:val="24"/>
          <w:szCs w:val="24"/>
        </w:rPr>
        <w:t xml:space="preserve"> by měl dát odpověď na to, jestli by respondent ke své cestě využil stále vlakovou dopravu. Pokud </w:t>
      </w:r>
      <w:r w:rsidR="00B51DE9">
        <w:rPr>
          <w:sz w:val="24"/>
          <w:szCs w:val="24"/>
        </w:rPr>
        <w:t>tomu tak není</w:t>
      </w:r>
      <w:r>
        <w:rPr>
          <w:sz w:val="24"/>
          <w:szCs w:val="24"/>
        </w:rPr>
        <w:t>, je na místě zjistit</w:t>
      </w:r>
      <w:r w:rsidR="00B51DE9">
        <w:rPr>
          <w:sz w:val="24"/>
          <w:szCs w:val="24"/>
        </w:rPr>
        <w:t>,</w:t>
      </w:r>
      <w:r>
        <w:rPr>
          <w:sz w:val="24"/>
          <w:szCs w:val="24"/>
        </w:rPr>
        <w:t xml:space="preserve"> jakou náhradní možnost by zvolil</w:t>
      </w:r>
      <w:r w:rsidR="00B51DE9">
        <w:rPr>
          <w:sz w:val="24"/>
          <w:szCs w:val="24"/>
        </w:rPr>
        <w:t xml:space="preserve"> </w:t>
      </w:r>
      <w:r>
        <w:rPr>
          <w:sz w:val="24"/>
          <w:szCs w:val="24"/>
        </w:rPr>
        <w:t>(kvůli identifikaci nejbližšího substitutu pro případné pokračování SSNIP testu).</w:t>
      </w:r>
    </w:p>
    <w:p w:rsidR="00434479" w:rsidRDefault="00434479" w:rsidP="00434479">
      <w:pPr>
        <w:spacing w:line="360" w:lineRule="auto"/>
        <w:jc w:val="both"/>
        <w:rPr>
          <w:sz w:val="24"/>
          <w:szCs w:val="24"/>
        </w:rPr>
      </w:pPr>
    </w:p>
    <w:p w:rsidR="00434479" w:rsidRDefault="00434479" w:rsidP="00434479">
      <w:pPr>
        <w:jc w:val="both"/>
        <w:rPr>
          <w:sz w:val="24"/>
          <w:szCs w:val="24"/>
        </w:rPr>
      </w:pPr>
      <w:r>
        <w:rPr>
          <w:sz w:val="24"/>
          <w:szCs w:val="24"/>
        </w:rPr>
        <w:t>Pro přímé dotazování lze využít dvě rozdílné metody. První možností je dotazování na nástupišti před odjezdem vlaku.</w:t>
      </w:r>
      <w:r w:rsidR="00D3512D">
        <w:rPr>
          <w:sz w:val="24"/>
          <w:szCs w:val="24"/>
        </w:rPr>
        <w:t xml:space="preserve"> </w:t>
      </w:r>
      <w:r>
        <w:rPr>
          <w:sz w:val="24"/>
          <w:szCs w:val="24"/>
        </w:rPr>
        <w:t>Mezi hlavní výhody tohoto způsobu patří zejména nižší finanční náročnost a možnost zahrnutí více spojů do průzkumu při srovnatelných nákladech, počtech tazatelů a časovém vytížení. Mezi nevýhody tohoto systému patří zejména „jednosměrná aplikace“. Pokud tedy bude průzkum prováděn pou</w:t>
      </w:r>
      <w:r w:rsidR="0067121C">
        <w:rPr>
          <w:sz w:val="24"/>
          <w:szCs w:val="24"/>
        </w:rPr>
        <w:t xml:space="preserve">ze na nádraží v Brně, pak </w:t>
      </w:r>
      <w:proofErr w:type="gramStart"/>
      <w:r w:rsidR="0067121C">
        <w:rPr>
          <w:sz w:val="24"/>
          <w:szCs w:val="24"/>
        </w:rPr>
        <w:t>dostaneme</w:t>
      </w:r>
      <w:proofErr w:type="gramEnd"/>
      <w:r w:rsidR="0067121C">
        <w:rPr>
          <w:sz w:val="24"/>
          <w:szCs w:val="24"/>
        </w:rPr>
        <w:t xml:space="preserve"> </w:t>
      </w:r>
      <w:r>
        <w:rPr>
          <w:sz w:val="24"/>
          <w:szCs w:val="24"/>
        </w:rPr>
        <w:t>výsledky pro trasu Brno-Praha. Tento problém lze vyřešit průzku</w:t>
      </w:r>
      <w:r w:rsidR="0067121C">
        <w:rPr>
          <w:sz w:val="24"/>
          <w:szCs w:val="24"/>
        </w:rPr>
        <w:t>mem prováděným přímo ve vlacích nebo dotazováním realizovaným na obou terminálních stanicích.</w:t>
      </w:r>
    </w:p>
    <w:p w:rsidR="00434479" w:rsidRDefault="00434479" w:rsidP="00434479">
      <w:pPr>
        <w:jc w:val="both"/>
        <w:rPr>
          <w:sz w:val="24"/>
          <w:szCs w:val="24"/>
        </w:rPr>
      </w:pPr>
      <w:r>
        <w:rPr>
          <w:sz w:val="24"/>
          <w:szCs w:val="24"/>
        </w:rPr>
        <w:t xml:space="preserve">Druhá možnost, dotazování za jízdy ve vlaku, je výhodná zejména v tom, že umožňuje postihnout větší vzorek cestujících z daného spoje. Průzkum není zatížen nedostatkem času před odjezdem vlaku, pro mnohé stresovým prostředím na nádraží a do průzkumu jsou zahrnuti i respondenti, kteří na vlak přicházejí na poslední chvíli a do průzkumu na nástupišti by nejspíš nebyli zahrnuti. </w:t>
      </w:r>
    </w:p>
    <w:p w:rsidR="00434479" w:rsidRDefault="00434479" w:rsidP="00434479">
      <w:pPr>
        <w:jc w:val="both"/>
        <w:rPr>
          <w:sz w:val="24"/>
          <w:szCs w:val="24"/>
        </w:rPr>
      </w:pPr>
    </w:p>
    <w:p w:rsidR="00434479" w:rsidRDefault="00434479" w:rsidP="00434479">
      <w:pPr>
        <w:jc w:val="both"/>
        <w:rPr>
          <w:sz w:val="24"/>
          <w:szCs w:val="24"/>
        </w:rPr>
      </w:pPr>
      <w:r>
        <w:rPr>
          <w:sz w:val="24"/>
          <w:szCs w:val="24"/>
        </w:rPr>
        <w:t>V obou případe</w:t>
      </w:r>
      <w:r w:rsidR="001844C8">
        <w:rPr>
          <w:sz w:val="24"/>
          <w:szCs w:val="24"/>
        </w:rPr>
        <w:t xml:space="preserve">ch musí být vybrány spoje </w:t>
      </w:r>
      <w:r w:rsidR="008C31A3">
        <w:rPr>
          <w:sz w:val="24"/>
          <w:szCs w:val="24"/>
        </w:rPr>
        <w:t>vyjíždějící</w:t>
      </w:r>
      <w:r w:rsidR="001844C8">
        <w:rPr>
          <w:sz w:val="24"/>
          <w:szCs w:val="24"/>
        </w:rPr>
        <w:t xml:space="preserve"> v takových časech</w:t>
      </w:r>
      <w:r>
        <w:rPr>
          <w:sz w:val="24"/>
          <w:szCs w:val="24"/>
        </w:rPr>
        <w:t>, které pokrývají všechny skupiny cestujících</w:t>
      </w:r>
      <w:r w:rsidR="00665F3F">
        <w:rPr>
          <w:sz w:val="24"/>
          <w:szCs w:val="24"/>
        </w:rPr>
        <w:t xml:space="preserve"> </w:t>
      </w:r>
      <w:r>
        <w:rPr>
          <w:sz w:val="24"/>
          <w:szCs w:val="24"/>
        </w:rPr>
        <w:t>(nebo alespoň velkou část).</w:t>
      </w:r>
      <w:r w:rsidR="00F277DC">
        <w:rPr>
          <w:sz w:val="24"/>
          <w:szCs w:val="24"/>
        </w:rPr>
        <w:t xml:space="preserve"> </w:t>
      </w:r>
      <w:r w:rsidR="004479E0">
        <w:rPr>
          <w:sz w:val="24"/>
          <w:szCs w:val="24"/>
        </w:rPr>
        <w:t xml:space="preserve">Příkladem může být dotazování ve čtyřech reprezentativních dnech - v pátek, v sobotu, v neděli a ve středu (vždy ráno, odpoledne a večer). Páteční a nedělní spoje jsou charakteristické studentskými špičkami, ve středu je pravděpodobný </w:t>
      </w:r>
      <w:r w:rsidR="000C279E">
        <w:rPr>
          <w:sz w:val="24"/>
          <w:szCs w:val="24"/>
        </w:rPr>
        <w:t xml:space="preserve">vyšší počet služebních jízd a </w:t>
      </w:r>
      <w:r w:rsidR="004479E0">
        <w:rPr>
          <w:sz w:val="24"/>
          <w:szCs w:val="24"/>
        </w:rPr>
        <w:t xml:space="preserve">sobota je mimošpičkový den. </w:t>
      </w:r>
    </w:p>
    <w:p w:rsidR="00434479" w:rsidRDefault="00434479" w:rsidP="00434479">
      <w:pPr>
        <w:jc w:val="both"/>
        <w:rPr>
          <w:sz w:val="24"/>
          <w:szCs w:val="24"/>
        </w:rPr>
      </w:pPr>
    </w:p>
    <w:p w:rsidR="003C4522" w:rsidRPr="008B0029" w:rsidRDefault="003C4522" w:rsidP="003C4522">
      <w:pPr>
        <w:jc w:val="both"/>
        <w:rPr>
          <w:b/>
          <w:sz w:val="24"/>
          <w:szCs w:val="24"/>
        </w:rPr>
      </w:pPr>
      <w:r>
        <w:rPr>
          <w:b/>
          <w:sz w:val="24"/>
          <w:szCs w:val="24"/>
        </w:rPr>
        <w:t>5.</w:t>
      </w:r>
      <w:r w:rsidRPr="008B0029">
        <w:rPr>
          <w:b/>
          <w:sz w:val="24"/>
          <w:szCs w:val="24"/>
        </w:rPr>
        <w:t xml:space="preserve"> </w:t>
      </w:r>
      <w:r>
        <w:rPr>
          <w:b/>
          <w:sz w:val="24"/>
          <w:szCs w:val="24"/>
        </w:rPr>
        <w:t xml:space="preserve">Výsledky spotřebitelského průzkumu </w:t>
      </w:r>
      <w:r w:rsidR="0089538D">
        <w:rPr>
          <w:b/>
          <w:sz w:val="24"/>
          <w:szCs w:val="24"/>
        </w:rPr>
        <w:t>a jeho důsledky pro SSNIP test</w:t>
      </w:r>
    </w:p>
    <w:p w:rsidR="005A111D" w:rsidRDefault="000C279E" w:rsidP="00A92969">
      <w:pPr>
        <w:jc w:val="both"/>
        <w:rPr>
          <w:sz w:val="24"/>
          <w:szCs w:val="24"/>
        </w:rPr>
      </w:pPr>
      <w:r>
        <w:rPr>
          <w:sz w:val="24"/>
          <w:szCs w:val="24"/>
        </w:rPr>
        <w:t>Spotřebitelský průzkum pro účely vymezení relevantního trhu proběhl na jaře 2012. Metodikou přímého do</w:t>
      </w:r>
      <w:r w:rsidR="004469D8">
        <w:rPr>
          <w:sz w:val="24"/>
          <w:szCs w:val="24"/>
        </w:rPr>
        <w:t xml:space="preserve">tazování na nástupištích v Brně </w:t>
      </w:r>
      <w:proofErr w:type="spellStart"/>
      <w:proofErr w:type="gramStart"/>
      <w:r w:rsidR="004469D8">
        <w:rPr>
          <w:sz w:val="24"/>
          <w:szCs w:val="24"/>
        </w:rPr>
        <w:t>hl.n</w:t>
      </w:r>
      <w:proofErr w:type="spellEnd"/>
      <w:r w:rsidR="004469D8">
        <w:rPr>
          <w:sz w:val="24"/>
          <w:szCs w:val="24"/>
        </w:rPr>
        <w:t>.</w:t>
      </w:r>
      <w:proofErr w:type="gramEnd"/>
      <w:r w:rsidR="004469D8">
        <w:rPr>
          <w:sz w:val="24"/>
          <w:szCs w:val="24"/>
        </w:rPr>
        <w:t xml:space="preserve"> </w:t>
      </w:r>
      <w:r>
        <w:rPr>
          <w:sz w:val="24"/>
          <w:szCs w:val="24"/>
        </w:rPr>
        <w:t>byly získány informace od 384 respondentů.</w:t>
      </w:r>
      <w:r w:rsidR="00CB6EC5">
        <w:rPr>
          <w:sz w:val="24"/>
          <w:szCs w:val="24"/>
        </w:rPr>
        <w:t xml:space="preserve"> Mezi nejzajímavějšími výsledky lze například </w:t>
      </w:r>
      <w:r w:rsidR="002F2CB1">
        <w:rPr>
          <w:sz w:val="24"/>
          <w:szCs w:val="24"/>
        </w:rPr>
        <w:t>uvést</w:t>
      </w:r>
      <w:r w:rsidR="00CB6EC5">
        <w:rPr>
          <w:sz w:val="24"/>
          <w:szCs w:val="24"/>
        </w:rPr>
        <w:t xml:space="preserve"> potvrzení vysoké variability </w:t>
      </w:r>
      <w:r w:rsidR="00375210">
        <w:rPr>
          <w:sz w:val="24"/>
          <w:szCs w:val="24"/>
        </w:rPr>
        <w:t xml:space="preserve">typů </w:t>
      </w:r>
      <w:r w:rsidR="00CB6EC5">
        <w:rPr>
          <w:sz w:val="24"/>
          <w:szCs w:val="24"/>
        </w:rPr>
        <w:t>jízdních dokladů, tedy existenci mnoha zákaznických skupin. Absolutní i relativní počty respondentů podle jízdného jsou obsahem následujícíh</w:t>
      </w:r>
      <w:r w:rsidR="00375210">
        <w:rPr>
          <w:sz w:val="24"/>
          <w:szCs w:val="24"/>
        </w:rPr>
        <w:t>o obrázku.</w:t>
      </w:r>
    </w:p>
    <w:p w:rsidR="005A111D" w:rsidRDefault="005A111D" w:rsidP="00A92969">
      <w:pPr>
        <w:jc w:val="both"/>
        <w:rPr>
          <w:sz w:val="24"/>
          <w:szCs w:val="24"/>
        </w:rPr>
      </w:pPr>
    </w:p>
    <w:p w:rsidR="005A111D" w:rsidRDefault="005A111D" w:rsidP="00A92969">
      <w:pPr>
        <w:jc w:val="both"/>
        <w:rPr>
          <w:sz w:val="24"/>
          <w:szCs w:val="24"/>
        </w:rPr>
      </w:pPr>
    </w:p>
    <w:p w:rsidR="005A111D" w:rsidRDefault="005A111D" w:rsidP="00A92969">
      <w:pPr>
        <w:jc w:val="both"/>
        <w:rPr>
          <w:sz w:val="24"/>
          <w:szCs w:val="24"/>
        </w:rPr>
      </w:pPr>
    </w:p>
    <w:p w:rsidR="005A111D" w:rsidRDefault="005A111D" w:rsidP="00A92969">
      <w:pPr>
        <w:jc w:val="both"/>
        <w:rPr>
          <w:sz w:val="24"/>
          <w:szCs w:val="24"/>
        </w:rPr>
      </w:pPr>
    </w:p>
    <w:p w:rsidR="005A111D" w:rsidRDefault="005A111D" w:rsidP="00A92969">
      <w:pPr>
        <w:jc w:val="both"/>
        <w:rPr>
          <w:sz w:val="24"/>
          <w:szCs w:val="24"/>
        </w:rPr>
      </w:pPr>
    </w:p>
    <w:p w:rsidR="005A111D" w:rsidRDefault="005A111D" w:rsidP="00A92969">
      <w:pPr>
        <w:jc w:val="both"/>
        <w:rPr>
          <w:sz w:val="24"/>
          <w:szCs w:val="24"/>
        </w:rPr>
      </w:pPr>
    </w:p>
    <w:p w:rsidR="00261D88" w:rsidRPr="0065118B" w:rsidRDefault="00261D88" w:rsidP="00261D88">
      <w:pPr>
        <w:pStyle w:val="Titulek"/>
        <w:keepNext/>
        <w:jc w:val="both"/>
        <w:rPr>
          <w:color w:val="auto"/>
        </w:rPr>
      </w:pPr>
      <w:bookmarkStart w:id="3" w:name="_Toc324432971"/>
      <w:r w:rsidRPr="0065118B">
        <w:rPr>
          <w:color w:val="auto"/>
        </w:rPr>
        <w:lastRenderedPageBreak/>
        <w:t xml:space="preserve">Obrázek </w:t>
      </w:r>
      <w:r>
        <w:rPr>
          <w:color w:val="auto"/>
        </w:rPr>
        <w:t>1</w:t>
      </w:r>
      <w:r>
        <w:rPr>
          <w:color w:val="auto"/>
        </w:rPr>
        <w:tab/>
        <w:t>P</w:t>
      </w:r>
      <w:r w:rsidRPr="0065118B">
        <w:rPr>
          <w:color w:val="auto"/>
        </w:rPr>
        <w:t>očty respondentů podle druhu jízdného</w:t>
      </w:r>
      <w:r>
        <w:rPr>
          <w:color w:val="auto"/>
        </w:rPr>
        <w:t xml:space="preserve"> (absolutní četnost na levé ose)</w:t>
      </w:r>
      <w:bookmarkEnd w:id="3"/>
    </w:p>
    <w:p w:rsidR="00261D88" w:rsidRDefault="00261D88" w:rsidP="00261D88">
      <w:pPr>
        <w:spacing w:line="360" w:lineRule="auto"/>
        <w:jc w:val="center"/>
        <w:rPr>
          <w:sz w:val="24"/>
          <w:szCs w:val="24"/>
        </w:rPr>
      </w:pPr>
      <w:r>
        <w:rPr>
          <w:noProof/>
          <w:sz w:val="24"/>
          <w:szCs w:val="24"/>
          <w:lang w:eastAsia="cs-CZ"/>
        </w:rPr>
        <w:drawing>
          <wp:inline distT="0" distB="0" distL="0" distR="0">
            <wp:extent cx="4572762" cy="2746629"/>
            <wp:effectExtent l="19050" t="0" r="18288" b="0"/>
            <wp:docPr id="1" name="Graf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1D88" w:rsidRDefault="00261D88" w:rsidP="00261D88">
      <w:pPr>
        <w:suppressAutoHyphens w:val="0"/>
        <w:spacing w:line="276" w:lineRule="auto"/>
        <w:jc w:val="both"/>
      </w:pPr>
      <w:r w:rsidRPr="00B51005">
        <w:tab/>
      </w:r>
      <w:r>
        <w:t xml:space="preserve">  Zdroj dat: vlastní výpočty</w:t>
      </w:r>
    </w:p>
    <w:p w:rsidR="00261D88" w:rsidRPr="00B51005" w:rsidRDefault="00261D88" w:rsidP="00261D88">
      <w:pPr>
        <w:suppressAutoHyphens w:val="0"/>
        <w:spacing w:line="276" w:lineRule="auto"/>
        <w:ind w:left="372" w:firstLine="708"/>
      </w:pPr>
      <w:r w:rsidRPr="00B51005">
        <w:t>Legenda:</w:t>
      </w:r>
      <w:r>
        <w:t xml:space="preserve"> </w:t>
      </w:r>
    </w:p>
    <w:p w:rsidR="00261D88" w:rsidRPr="00B51005" w:rsidRDefault="00261D88" w:rsidP="00261D88">
      <w:pPr>
        <w:pStyle w:val="Odstavecseseznamem"/>
        <w:numPr>
          <w:ilvl w:val="1"/>
          <w:numId w:val="12"/>
        </w:numPr>
        <w:suppressAutoHyphens w:val="0"/>
        <w:spacing w:line="276" w:lineRule="auto"/>
      </w:pPr>
      <w:r w:rsidRPr="00B51005">
        <w:t>Zá</w:t>
      </w:r>
      <w:r>
        <w:t>kladní jízdné „</w:t>
      </w:r>
      <w:proofErr w:type="spellStart"/>
      <w:r>
        <w:t>Čd</w:t>
      </w:r>
      <w:proofErr w:type="spellEnd"/>
      <w:r>
        <w:t xml:space="preserve"> </w:t>
      </w:r>
      <w:proofErr w:type="spellStart"/>
      <w:r>
        <w:t>promo</w:t>
      </w:r>
      <w:proofErr w:type="spellEnd"/>
      <w:r>
        <w:t xml:space="preserve">“ </w:t>
      </w:r>
    </w:p>
    <w:p w:rsidR="00261D88" w:rsidRPr="00B51005" w:rsidRDefault="00261D88" w:rsidP="00261D88">
      <w:pPr>
        <w:pStyle w:val="Odstavecseseznamem"/>
        <w:numPr>
          <w:ilvl w:val="1"/>
          <w:numId w:val="12"/>
        </w:numPr>
        <w:suppressAutoHyphens w:val="0"/>
        <w:spacing w:line="276" w:lineRule="auto"/>
      </w:pPr>
      <w:r w:rsidRPr="00B51005">
        <w:t>St</w:t>
      </w:r>
      <w:r>
        <w:t xml:space="preserve">udentská sleva 15-26 let </w:t>
      </w:r>
    </w:p>
    <w:p w:rsidR="00261D88" w:rsidRPr="00B51005" w:rsidRDefault="00261D88" w:rsidP="00261D88">
      <w:pPr>
        <w:pStyle w:val="Odstavecseseznamem"/>
        <w:numPr>
          <w:ilvl w:val="1"/>
          <w:numId w:val="12"/>
        </w:numPr>
        <w:suppressAutoHyphens w:val="0"/>
        <w:spacing w:after="200" w:line="276" w:lineRule="auto"/>
      </w:pPr>
      <w:r>
        <w:t xml:space="preserve">Sporo Tiket </w:t>
      </w:r>
    </w:p>
    <w:p w:rsidR="00261D88" w:rsidRPr="00B51005" w:rsidRDefault="00261D88" w:rsidP="00261D88">
      <w:pPr>
        <w:pStyle w:val="Odstavecseseznamem"/>
        <w:numPr>
          <w:ilvl w:val="1"/>
          <w:numId w:val="12"/>
        </w:numPr>
        <w:suppressAutoHyphens w:val="0"/>
        <w:spacing w:after="200" w:line="276" w:lineRule="auto"/>
      </w:pPr>
      <w:r>
        <w:t>In 25/</w:t>
      </w:r>
      <w:proofErr w:type="spellStart"/>
      <w:r>
        <w:t>Rail</w:t>
      </w:r>
      <w:proofErr w:type="spellEnd"/>
      <w:r>
        <w:t xml:space="preserve"> plus</w:t>
      </w:r>
    </w:p>
    <w:p w:rsidR="00261D88" w:rsidRPr="00B51005" w:rsidRDefault="00261D88" w:rsidP="00261D88">
      <w:pPr>
        <w:pStyle w:val="Odstavecseseznamem"/>
        <w:numPr>
          <w:ilvl w:val="1"/>
          <w:numId w:val="12"/>
        </w:numPr>
        <w:suppressAutoHyphens w:val="0"/>
        <w:spacing w:line="276" w:lineRule="auto"/>
      </w:pPr>
      <w:r>
        <w:t>In 50/</w:t>
      </w:r>
      <w:proofErr w:type="spellStart"/>
      <w:r>
        <w:t>Rail</w:t>
      </w:r>
      <w:proofErr w:type="spellEnd"/>
      <w:r>
        <w:t xml:space="preserve"> plus </w:t>
      </w:r>
    </w:p>
    <w:p w:rsidR="00261D88" w:rsidRPr="00B51005" w:rsidRDefault="00261D88" w:rsidP="00261D88">
      <w:pPr>
        <w:pStyle w:val="Odstavecseseznamem"/>
        <w:numPr>
          <w:ilvl w:val="1"/>
          <w:numId w:val="12"/>
        </w:numPr>
        <w:suppressAutoHyphens w:val="0"/>
        <w:spacing w:line="276" w:lineRule="auto"/>
      </w:pPr>
      <w:r>
        <w:t xml:space="preserve">Zpáteční jízdné </w:t>
      </w:r>
    </w:p>
    <w:p w:rsidR="00261D88" w:rsidRPr="00B51005" w:rsidRDefault="00261D88" w:rsidP="00261D88">
      <w:pPr>
        <w:pStyle w:val="Odstavecseseznamem"/>
        <w:numPr>
          <w:ilvl w:val="1"/>
          <w:numId w:val="12"/>
        </w:numPr>
        <w:suppressAutoHyphens w:val="0"/>
        <w:spacing w:line="276" w:lineRule="auto"/>
      </w:pPr>
      <w:r>
        <w:t xml:space="preserve">Jiné </w:t>
      </w:r>
      <w:r w:rsidRPr="00B51005">
        <w:t xml:space="preserve"> </w:t>
      </w:r>
    </w:p>
    <w:p w:rsidR="00CB6EC5" w:rsidRDefault="00CB6EC5" w:rsidP="00A92969">
      <w:pPr>
        <w:jc w:val="both"/>
        <w:rPr>
          <w:sz w:val="24"/>
          <w:szCs w:val="24"/>
        </w:rPr>
      </w:pPr>
    </w:p>
    <w:p w:rsidR="00375210" w:rsidRDefault="00375210" w:rsidP="00375210">
      <w:pPr>
        <w:jc w:val="both"/>
        <w:rPr>
          <w:sz w:val="24"/>
          <w:szCs w:val="24"/>
        </w:rPr>
      </w:pPr>
      <w:r>
        <w:rPr>
          <w:sz w:val="24"/>
          <w:szCs w:val="24"/>
        </w:rPr>
        <w:t>Variabilita cen</w:t>
      </w:r>
      <w:r w:rsidR="00BD0FD3">
        <w:rPr>
          <w:sz w:val="24"/>
          <w:szCs w:val="24"/>
        </w:rPr>
        <w:t xml:space="preserve"> jízdného je potom ještě vyšší. Jako dobrý příklad slouží například jízdné</w:t>
      </w:r>
      <w:r>
        <w:rPr>
          <w:sz w:val="24"/>
          <w:szCs w:val="24"/>
        </w:rPr>
        <w:t xml:space="preserve"> </w:t>
      </w:r>
      <w:proofErr w:type="spellStart"/>
      <w:r>
        <w:rPr>
          <w:sz w:val="24"/>
          <w:szCs w:val="24"/>
        </w:rPr>
        <w:t>SporoTiket</w:t>
      </w:r>
      <w:proofErr w:type="spellEnd"/>
      <w:r w:rsidR="00BD0FD3">
        <w:rPr>
          <w:sz w:val="24"/>
          <w:szCs w:val="24"/>
        </w:rPr>
        <w:t>, které</w:t>
      </w:r>
      <w:r>
        <w:rPr>
          <w:sz w:val="24"/>
          <w:szCs w:val="24"/>
        </w:rPr>
        <w:t xml:space="preserve"> se prodává </w:t>
      </w:r>
      <w:r w:rsidR="00BD0FD3">
        <w:rPr>
          <w:sz w:val="24"/>
          <w:szCs w:val="24"/>
        </w:rPr>
        <w:t>v pěti různých cenových relacích</w:t>
      </w:r>
      <w:r>
        <w:rPr>
          <w:sz w:val="24"/>
          <w:szCs w:val="24"/>
        </w:rPr>
        <w:t xml:space="preserve"> v jednom směru.</w:t>
      </w:r>
    </w:p>
    <w:p w:rsidR="00375210" w:rsidRDefault="00375210" w:rsidP="00375210">
      <w:pPr>
        <w:jc w:val="both"/>
        <w:rPr>
          <w:sz w:val="24"/>
          <w:szCs w:val="24"/>
        </w:rPr>
      </w:pPr>
      <w:r>
        <w:rPr>
          <w:sz w:val="24"/>
          <w:szCs w:val="24"/>
        </w:rPr>
        <w:t xml:space="preserve">Tato variabilita je pro koncept </w:t>
      </w:r>
      <w:proofErr w:type="spellStart"/>
      <w:r>
        <w:rPr>
          <w:sz w:val="24"/>
          <w:szCs w:val="24"/>
        </w:rPr>
        <w:t>SSNIPu</w:t>
      </w:r>
      <w:proofErr w:type="spellEnd"/>
      <w:r>
        <w:rPr>
          <w:sz w:val="24"/>
          <w:szCs w:val="24"/>
        </w:rPr>
        <w:t xml:space="preserve"> problematická zejména z toho důvodu, že tento test předpokládá plošné zvýšení hladiny o 10% u všech typů jízdenek pro všechny skupiny cestujících, které mají odlišné cenové elasticity. V praxi lze spíše očekávat vyšší zdražení cenově méně elastickým skupinám než skupinám s vyšší cenovou elasticitou. To by potom ovlivnilo ziskovost takového kroku.</w:t>
      </w:r>
    </w:p>
    <w:p w:rsidR="005A111D" w:rsidRDefault="005A111D" w:rsidP="00A92969">
      <w:pPr>
        <w:jc w:val="both"/>
        <w:rPr>
          <w:sz w:val="24"/>
          <w:szCs w:val="24"/>
        </w:rPr>
      </w:pPr>
    </w:p>
    <w:p w:rsidR="00DF2EC3" w:rsidRDefault="00757FA6" w:rsidP="00DF2EC3">
      <w:pPr>
        <w:jc w:val="both"/>
        <w:rPr>
          <w:sz w:val="24"/>
          <w:szCs w:val="24"/>
        </w:rPr>
      </w:pPr>
      <w:r>
        <w:rPr>
          <w:sz w:val="24"/>
          <w:szCs w:val="24"/>
        </w:rPr>
        <w:t>Jedním z nejdůležitějších výsledků průzkumu je zjištění,</w:t>
      </w:r>
      <w:r w:rsidR="00DF2EC3">
        <w:rPr>
          <w:sz w:val="24"/>
          <w:szCs w:val="24"/>
        </w:rPr>
        <w:t xml:space="preserve"> že v případě desetiprocentního </w:t>
      </w:r>
      <w:r>
        <w:rPr>
          <w:sz w:val="24"/>
          <w:szCs w:val="24"/>
        </w:rPr>
        <w:t>zvýšení cen</w:t>
      </w:r>
      <w:r w:rsidR="00DF2EC3">
        <w:rPr>
          <w:sz w:val="24"/>
          <w:szCs w:val="24"/>
        </w:rPr>
        <w:t xml:space="preserve"> všech druhů jízdného by 76% respondentů na toto zdražení nereagovalo nijak a jako dopravní prostře</w:t>
      </w:r>
      <w:r>
        <w:rPr>
          <w:sz w:val="24"/>
          <w:szCs w:val="24"/>
        </w:rPr>
        <w:t>dek by i přes vyšší cenu zvolilo pro dopravu</w:t>
      </w:r>
      <w:r w:rsidR="00DF2EC3">
        <w:rPr>
          <w:sz w:val="24"/>
          <w:szCs w:val="24"/>
        </w:rPr>
        <w:t xml:space="preserve"> vlak. </w:t>
      </w:r>
      <w:r>
        <w:rPr>
          <w:sz w:val="24"/>
          <w:szCs w:val="24"/>
        </w:rPr>
        <w:t xml:space="preserve">Přibližně </w:t>
      </w:r>
      <w:r w:rsidR="00DF2EC3">
        <w:rPr>
          <w:sz w:val="24"/>
          <w:szCs w:val="24"/>
        </w:rPr>
        <w:t>20% respondentů uvedlo, že by v případě takového zdražení využilo k cestě autobus</w:t>
      </w:r>
      <w:r>
        <w:rPr>
          <w:sz w:val="24"/>
          <w:szCs w:val="24"/>
        </w:rPr>
        <w:t xml:space="preserve"> </w:t>
      </w:r>
      <w:r w:rsidR="00DF2EC3">
        <w:rPr>
          <w:sz w:val="24"/>
          <w:szCs w:val="24"/>
        </w:rPr>
        <w:t xml:space="preserve">a pouze 2% auto. </w:t>
      </w:r>
      <w:r w:rsidR="00223477">
        <w:rPr>
          <w:sz w:val="24"/>
          <w:szCs w:val="24"/>
        </w:rPr>
        <w:t>Počty odpovědí na z</w:t>
      </w:r>
      <w:r w:rsidR="00DF2EC3">
        <w:rPr>
          <w:sz w:val="24"/>
          <w:szCs w:val="24"/>
        </w:rPr>
        <w:t xml:space="preserve">bývající varianty jsou zanedbatelné. </w:t>
      </w:r>
    </w:p>
    <w:p w:rsidR="00DF2EC3" w:rsidRPr="00506EE9" w:rsidRDefault="00DF2EC3" w:rsidP="00DF2EC3">
      <w:pPr>
        <w:pStyle w:val="Titulek"/>
        <w:keepNext/>
        <w:jc w:val="both"/>
        <w:rPr>
          <w:color w:val="auto"/>
        </w:rPr>
      </w:pPr>
      <w:bookmarkStart w:id="4" w:name="_Toc324432972"/>
      <w:r w:rsidRPr="00506EE9">
        <w:rPr>
          <w:color w:val="auto"/>
        </w:rPr>
        <w:lastRenderedPageBreak/>
        <w:t xml:space="preserve">Obrázek </w:t>
      </w:r>
      <w:r>
        <w:rPr>
          <w:color w:val="auto"/>
        </w:rPr>
        <w:t>2</w:t>
      </w:r>
      <w:r w:rsidRPr="00506EE9">
        <w:rPr>
          <w:color w:val="auto"/>
        </w:rPr>
        <w:tab/>
      </w:r>
      <w:r>
        <w:rPr>
          <w:color w:val="auto"/>
        </w:rPr>
        <w:t>Č</w:t>
      </w:r>
      <w:r w:rsidRPr="00506EE9">
        <w:rPr>
          <w:color w:val="auto"/>
        </w:rPr>
        <w:t>etnosti podle reakce na zvýšení ceny</w:t>
      </w:r>
      <w:r>
        <w:rPr>
          <w:color w:val="auto"/>
        </w:rPr>
        <w:t xml:space="preserve"> (absolutní četnost na levé ose)</w:t>
      </w:r>
      <w:bookmarkEnd w:id="4"/>
    </w:p>
    <w:p w:rsidR="00DF2EC3" w:rsidRPr="00370271" w:rsidRDefault="00DF2EC3" w:rsidP="00DF2EC3">
      <w:pPr>
        <w:spacing w:line="360" w:lineRule="auto"/>
        <w:jc w:val="center"/>
        <w:rPr>
          <w:sz w:val="24"/>
          <w:szCs w:val="24"/>
        </w:rPr>
      </w:pPr>
      <w:r>
        <w:rPr>
          <w:noProof/>
          <w:sz w:val="24"/>
          <w:szCs w:val="24"/>
          <w:lang w:eastAsia="cs-CZ"/>
        </w:rPr>
        <w:drawing>
          <wp:inline distT="0" distB="0" distL="0" distR="0">
            <wp:extent cx="4784952" cy="2746629"/>
            <wp:effectExtent l="12192" t="6096" r="3456" b="0"/>
            <wp:docPr id="10"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2EC3" w:rsidRPr="003C1016" w:rsidRDefault="00DF2EC3" w:rsidP="00DF2EC3">
      <w:pPr>
        <w:spacing w:line="360" w:lineRule="auto"/>
        <w:ind w:firstLine="708"/>
        <w:jc w:val="both"/>
        <w:rPr>
          <w:sz w:val="18"/>
          <w:szCs w:val="18"/>
        </w:rPr>
      </w:pPr>
      <w:r w:rsidRPr="003C1016">
        <w:rPr>
          <w:sz w:val="18"/>
          <w:szCs w:val="18"/>
        </w:rPr>
        <w:t>Zdroj dat: vlastní výpočty</w:t>
      </w:r>
    </w:p>
    <w:p w:rsidR="00DF2EC3" w:rsidRDefault="00DF2EC3" w:rsidP="00DF2EC3">
      <w:pPr>
        <w:jc w:val="both"/>
        <w:rPr>
          <w:sz w:val="24"/>
          <w:szCs w:val="24"/>
        </w:rPr>
      </w:pPr>
    </w:p>
    <w:p w:rsidR="00DF2EC3" w:rsidRDefault="00DF2EC3" w:rsidP="00DF2EC3">
      <w:pPr>
        <w:jc w:val="both"/>
        <w:rPr>
          <w:sz w:val="24"/>
          <w:szCs w:val="24"/>
        </w:rPr>
      </w:pPr>
    </w:p>
    <w:p w:rsidR="005A111D" w:rsidRDefault="001C1FC7" w:rsidP="00A92969">
      <w:pPr>
        <w:jc w:val="both"/>
        <w:rPr>
          <w:sz w:val="24"/>
          <w:szCs w:val="24"/>
        </w:rPr>
      </w:pPr>
      <w:r>
        <w:rPr>
          <w:sz w:val="24"/>
          <w:szCs w:val="24"/>
        </w:rPr>
        <w:t xml:space="preserve">Následně je možné vypočítat cenovou elasticitu poptávky. Tato elasticita byla vypočítána pro každou skupinu cestujících zvlášť a posléze pomocí váženého průměru (podle kritérií frekvence cestování a </w:t>
      </w:r>
      <w:r w:rsidR="00374520">
        <w:rPr>
          <w:sz w:val="24"/>
          <w:szCs w:val="24"/>
        </w:rPr>
        <w:t xml:space="preserve">množství </w:t>
      </w:r>
      <w:r>
        <w:rPr>
          <w:sz w:val="24"/>
          <w:szCs w:val="24"/>
        </w:rPr>
        <w:t xml:space="preserve">utracených peněz za jízdné) byla vypočítána i celková elasticita poptávky. </w:t>
      </w:r>
      <w:r w:rsidR="00B77D1C">
        <w:rPr>
          <w:sz w:val="24"/>
          <w:szCs w:val="24"/>
        </w:rPr>
        <w:t xml:space="preserve">Jde čistě o umělý, teoretický úkon sloužící pouze k provedení </w:t>
      </w:r>
      <w:proofErr w:type="spellStart"/>
      <w:r w:rsidR="00B77D1C">
        <w:rPr>
          <w:sz w:val="24"/>
          <w:szCs w:val="24"/>
        </w:rPr>
        <w:t>SSNIPu</w:t>
      </w:r>
      <w:proofErr w:type="spellEnd"/>
      <w:r w:rsidR="00B77D1C">
        <w:rPr>
          <w:sz w:val="24"/>
          <w:szCs w:val="24"/>
        </w:rPr>
        <w:t xml:space="preserve">. </w:t>
      </w:r>
    </w:p>
    <w:p w:rsidR="005A111D" w:rsidRDefault="00545487" w:rsidP="00A92969">
      <w:pPr>
        <w:jc w:val="both"/>
        <w:rPr>
          <w:sz w:val="24"/>
          <w:szCs w:val="24"/>
        </w:rPr>
      </w:pPr>
      <w:r>
        <w:rPr>
          <w:sz w:val="24"/>
          <w:szCs w:val="24"/>
        </w:rPr>
        <w:t>Následující tabulka ukazuje, že nejvyšší cenovou elasticitu vykazuje zákaznická skupina studentů a cestujících s nerozlišeným jízdným</w:t>
      </w:r>
      <w:r>
        <w:rPr>
          <w:rStyle w:val="Znakapoznpodarou"/>
          <w:sz w:val="24"/>
          <w:szCs w:val="24"/>
        </w:rPr>
        <w:footnoteReference w:id="4"/>
      </w:r>
      <w:r>
        <w:rPr>
          <w:sz w:val="24"/>
          <w:szCs w:val="24"/>
        </w:rPr>
        <w:t>, nejnižší cenová elasticita byla naopak zjištěna u majitelů zákaznických In-karet.</w:t>
      </w:r>
      <w:r w:rsidR="00625A72">
        <w:rPr>
          <w:sz w:val="24"/>
          <w:szCs w:val="24"/>
        </w:rPr>
        <w:t xml:space="preserve"> Celková cenová elasticita poptávky byla stanovena na 2,3</w:t>
      </w:r>
      <w:r w:rsidR="00374520">
        <w:rPr>
          <w:sz w:val="24"/>
          <w:szCs w:val="24"/>
        </w:rPr>
        <w:t xml:space="preserve"> v absolutní hodnotě</w:t>
      </w:r>
      <w:r w:rsidR="00E918C7">
        <w:rPr>
          <w:sz w:val="24"/>
          <w:szCs w:val="24"/>
        </w:rPr>
        <w:t xml:space="preserve"> (tj. skutečná ztráta na úrovni 23%)</w:t>
      </w:r>
      <w:r w:rsidR="00374520">
        <w:rPr>
          <w:sz w:val="24"/>
          <w:szCs w:val="24"/>
        </w:rPr>
        <w:t>.</w:t>
      </w:r>
    </w:p>
    <w:p w:rsidR="005A111D" w:rsidRDefault="005A111D" w:rsidP="00A92969">
      <w:pPr>
        <w:jc w:val="both"/>
        <w:rPr>
          <w:sz w:val="24"/>
          <w:szCs w:val="24"/>
        </w:rPr>
      </w:pPr>
    </w:p>
    <w:p w:rsidR="002C538A" w:rsidRPr="00674F07" w:rsidRDefault="002C538A" w:rsidP="002C538A">
      <w:pPr>
        <w:pStyle w:val="Titulek"/>
        <w:keepNext/>
        <w:rPr>
          <w:color w:val="auto"/>
        </w:rPr>
      </w:pPr>
      <w:bookmarkStart w:id="5" w:name="_Toc324433490"/>
      <w:r w:rsidRPr="00674F07">
        <w:rPr>
          <w:color w:val="auto"/>
        </w:rPr>
        <w:t>Tabulka</w:t>
      </w:r>
      <w:r>
        <w:rPr>
          <w:color w:val="auto"/>
        </w:rPr>
        <w:t>3</w:t>
      </w:r>
      <w:r>
        <w:rPr>
          <w:color w:val="auto"/>
        </w:rPr>
        <w:tab/>
      </w:r>
      <w:r w:rsidRPr="00674F07">
        <w:rPr>
          <w:color w:val="auto"/>
        </w:rPr>
        <w:tab/>
      </w:r>
      <w:r>
        <w:rPr>
          <w:color w:val="auto"/>
        </w:rPr>
        <w:t xml:space="preserve">   T</w:t>
      </w:r>
      <w:r w:rsidRPr="00674F07">
        <w:rPr>
          <w:color w:val="auto"/>
        </w:rPr>
        <w:t>abulka skutečných ztrát a skutečných cenových elasticit</w:t>
      </w:r>
      <w:bookmarkEnd w:id="5"/>
    </w:p>
    <w:tbl>
      <w:tblPr>
        <w:tblW w:w="4258" w:type="dxa"/>
        <w:jc w:val="center"/>
        <w:tblInd w:w="65" w:type="dxa"/>
        <w:tblCellMar>
          <w:left w:w="70" w:type="dxa"/>
          <w:right w:w="70" w:type="dxa"/>
        </w:tblCellMar>
        <w:tblLook w:val="04A0" w:firstRow="1" w:lastRow="0" w:firstColumn="1" w:lastColumn="0" w:noHBand="0" w:noVBand="1"/>
      </w:tblPr>
      <w:tblGrid>
        <w:gridCol w:w="1340"/>
        <w:gridCol w:w="1480"/>
        <w:gridCol w:w="1438"/>
      </w:tblGrid>
      <w:tr w:rsidR="002C538A" w:rsidRPr="00674F07" w:rsidTr="00844320">
        <w:trPr>
          <w:trHeight w:val="300"/>
          <w:jc w:val="center"/>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druh jízdného</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skutečná ztráta</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skutečná elasticita</w:t>
            </w:r>
            <w:r>
              <w:rPr>
                <w:rFonts w:ascii="Calibri" w:hAnsi="Calibri"/>
                <w:color w:val="000000"/>
                <w:sz w:val="22"/>
                <w:szCs w:val="22"/>
                <w:lang w:eastAsia="cs-CZ"/>
              </w:rPr>
              <w:t>*</w:t>
            </w:r>
          </w:p>
        </w:tc>
      </w:tr>
      <w:tr w:rsidR="002C538A" w:rsidRPr="00674F07" w:rsidTr="0084432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obyčejná</w:t>
            </w:r>
          </w:p>
        </w:tc>
        <w:tc>
          <w:tcPr>
            <w:tcW w:w="1480" w:type="dxa"/>
            <w:tcBorders>
              <w:top w:val="nil"/>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22,7%</w:t>
            </w:r>
          </w:p>
        </w:tc>
        <w:tc>
          <w:tcPr>
            <w:tcW w:w="1438" w:type="dxa"/>
            <w:tcBorders>
              <w:top w:val="nil"/>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2,3</w:t>
            </w:r>
          </w:p>
        </w:tc>
      </w:tr>
      <w:tr w:rsidR="002C538A" w:rsidRPr="00674F07" w:rsidTr="0084432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studentská</w:t>
            </w:r>
          </w:p>
        </w:tc>
        <w:tc>
          <w:tcPr>
            <w:tcW w:w="1480" w:type="dxa"/>
            <w:tcBorders>
              <w:top w:val="nil"/>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27,7%</w:t>
            </w:r>
          </w:p>
        </w:tc>
        <w:tc>
          <w:tcPr>
            <w:tcW w:w="1438" w:type="dxa"/>
            <w:tcBorders>
              <w:top w:val="nil"/>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2,8</w:t>
            </w:r>
          </w:p>
        </w:tc>
      </w:tr>
      <w:tr w:rsidR="002C538A" w:rsidRPr="00674F07" w:rsidTr="0084432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proofErr w:type="spellStart"/>
            <w:r w:rsidRPr="00674F07">
              <w:rPr>
                <w:rFonts w:ascii="Calibri" w:hAnsi="Calibri"/>
                <w:color w:val="000000"/>
                <w:sz w:val="22"/>
                <w:szCs w:val="22"/>
                <w:lang w:eastAsia="cs-CZ"/>
              </w:rPr>
              <w:t>SporoTiket</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21,0%</w:t>
            </w:r>
          </w:p>
        </w:tc>
        <w:tc>
          <w:tcPr>
            <w:tcW w:w="1438" w:type="dxa"/>
            <w:tcBorders>
              <w:top w:val="nil"/>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2,1</w:t>
            </w:r>
          </w:p>
        </w:tc>
      </w:tr>
      <w:tr w:rsidR="002C538A" w:rsidRPr="00674F07" w:rsidTr="0084432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IN25/50</w:t>
            </w:r>
          </w:p>
        </w:tc>
        <w:tc>
          <w:tcPr>
            <w:tcW w:w="1480" w:type="dxa"/>
            <w:tcBorders>
              <w:top w:val="nil"/>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19,8%</w:t>
            </w:r>
          </w:p>
        </w:tc>
        <w:tc>
          <w:tcPr>
            <w:tcW w:w="1438" w:type="dxa"/>
            <w:tcBorders>
              <w:top w:val="nil"/>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2,0</w:t>
            </w:r>
          </w:p>
        </w:tc>
      </w:tr>
      <w:tr w:rsidR="002C538A" w:rsidRPr="00674F07" w:rsidTr="0084432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zpáteční</w:t>
            </w:r>
          </w:p>
        </w:tc>
        <w:tc>
          <w:tcPr>
            <w:tcW w:w="1480" w:type="dxa"/>
            <w:tcBorders>
              <w:top w:val="nil"/>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23,4%</w:t>
            </w:r>
          </w:p>
        </w:tc>
        <w:tc>
          <w:tcPr>
            <w:tcW w:w="1438" w:type="dxa"/>
            <w:tcBorders>
              <w:top w:val="nil"/>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2,3</w:t>
            </w:r>
          </w:p>
        </w:tc>
      </w:tr>
      <w:tr w:rsidR="002C538A" w:rsidRPr="00674F07" w:rsidTr="00844320">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jiný</w:t>
            </w:r>
          </w:p>
        </w:tc>
        <w:tc>
          <w:tcPr>
            <w:tcW w:w="1480" w:type="dxa"/>
            <w:tcBorders>
              <w:top w:val="nil"/>
              <w:left w:val="nil"/>
              <w:bottom w:val="single" w:sz="4" w:space="0" w:color="auto"/>
              <w:right w:val="single" w:sz="4" w:space="0" w:color="auto"/>
            </w:tcBorders>
            <w:shd w:val="clear" w:color="auto" w:fill="auto"/>
            <w:noWrap/>
            <w:vAlign w:val="center"/>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28,6%</w:t>
            </w:r>
          </w:p>
        </w:tc>
        <w:tc>
          <w:tcPr>
            <w:tcW w:w="1438" w:type="dxa"/>
            <w:tcBorders>
              <w:top w:val="nil"/>
              <w:left w:val="nil"/>
              <w:bottom w:val="single" w:sz="4" w:space="0" w:color="auto"/>
              <w:right w:val="single" w:sz="4" w:space="0" w:color="auto"/>
            </w:tcBorders>
            <w:shd w:val="clear" w:color="auto" w:fill="auto"/>
            <w:noWrap/>
            <w:vAlign w:val="bottom"/>
            <w:hideMark/>
          </w:tcPr>
          <w:p w:rsidR="002C538A" w:rsidRPr="00674F07" w:rsidRDefault="002C538A" w:rsidP="00844320">
            <w:pPr>
              <w:suppressAutoHyphens w:val="0"/>
              <w:jc w:val="center"/>
              <w:rPr>
                <w:rFonts w:ascii="Calibri" w:hAnsi="Calibri"/>
                <w:color w:val="000000"/>
                <w:sz w:val="22"/>
                <w:szCs w:val="22"/>
                <w:lang w:eastAsia="cs-CZ"/>
              </w:rPr>
            </w:pPr>
            <w:r w:rsidRPr="00674F07">
              <w:rPr>
                <w:rFonts w:ascii="Calibri" w:hAnsi="Calibri"/>
                <w:color w:val="000000"/>
                <w:sz w:val="22"/>
                <w:szCs w:val="22"/>
                <w:lang w:eastAsia="cs-CZ"/>
              </w:rPr>
              <w:t>2,9</w:t>
            </w:r>
          </w:p>
        </w:tc>
      </w:tr>
    </w:tbl>
    <w:p w:rsidR="002C538A" w:rsidRDefault="002C538A" w:rsidP="002C538A">
      <w:pPr>
        <w:pStyle w:val="Odstavecseseznamem"/>
        <w:spacing w:line="360" w:lineRule="auto"/>
        <w:ind w:left="2124"/>
        <w:jc w:val="both"/>
      </w:pPr>
      <w:r w:rsidRPr="00B87E59">
        <w:t xml:space="preserve">    </w:t>
      </w:r>
      <w:r>
        <w:t xml:space="preserve">Zdroj: vlastní výpočty </w:t>
      </w:r>
      <w:r>
        <w:tab/>
      </w:r>
      <w:r>
        <w:tab/>
      </w:r>
      <w:r w:rsidRPr="00B87E59">
        <w:t>*v absolutní hodnotě</w:t>
      </w:r>
    </w:p>
    <w:p w:rsidR="005A111D" w:rsidRDefault="005A111D" w:rsidP="00A92969">
      <w:pPr>
        <w:jc w:val="both"/>
        <w:rPr>
          <w:sz w:val="24"/>
          <w:szCs w:val="24"/>
        </w:rPr>
      </w:pPr>
    </w:p>
    <w:p w:rsidR="00B6517B" w:rsidRPr="00B6517B" w:rsidRDefault="00B6517B" w:rsidP="00B6517B">
      <w:pPr>
        <w:jc w:val="both"/>
        <w:rPr>
          <w:sz w:val="24"/>
          <w:szCs w:val="24"/>
        </w:rPr>
      </w:pPr>
      <w:r>
        <w:rPr>
          <w:sz w:val="24"/>
          <w:szCs w:val="24"/>
        </w:rPr>
        <w:t>Vzhledem k vypočtené elasticitě 2,3 lze v souladu s tabulkou 2 konstatovat, že</w:t>
      </w:r>
      <w:r w:rsidRPr="00B6517B">
        <w:rPr>
          <w:sz w:val="24"/>
          <w:szCs w:val="24"/>
        </w:rPr>
        <w:t xml:space="preserve"> průměrná marže Českých Drah by musela být alespoň 40%, aby vypočtené hodnoty převýšily hodnoty kritické a desetiprocentní zvýšení ceny by nebylo pro dopravce ziskové. V případě, že by průměrná marže Českých drah byla nižší než 40%, zvýšení ceny by bylo ziskové a železniční přeprava mezi Brnem a Prahou by z tohoto pohledu mohla být vymezena jako samostatný relevantní trh.</w:t>
      </w:r>
    </w:p>
    <w:p w:rsidR="00B6517B" w:rsidRDefault="00B6517B" w:rsidP="00B6517B">
      <w:pPr>
        <w:jc w:val="both"/>
        <w:rPr>
          <w:sz w:val="24"/>
          <w:szCs w:val="24"/>
        </w:rPr>
      </w:pPr>
      <w:r w:rsidRPr="00B6517B">
        <w:rPr>
          <w:sz w:val="24"/>
          <w:szCs w:val="24"/>
        </w:rPr>
        <w:lastRenderedPageBreak/>
        <w:t xml:space="preserve">V opačném případě (marže vyšší než 40%) by musel být relevantní trh vymezen </w:t>
      </w:r>
      <w:r>
        <w:rPr>
          <w:sz w:val="24"/>
          <w:szCs w:val="24"/>
        </w:rPr>
        <w:t>ve větší šířce</w:t>
      </w:r>
      <w:r w:rsidRPr="00B6517B">
        <w:rPr>
          <w:sz w:val="24"/>
          <w:szCs w:val="24"/>
        </w:rPr>
        <w:t xml:space="preserve"> a SSNIP test by musel být zopakován se zahrnutím nejbližšího substitutu ČD</w:t>
      </w:r>
      <w:r>
        <w:rPr>
          <w:sz w:val="24"/>
          <w:szCs w:val="24"/>
        </w:rPr>
        <w:t>.</w:t>
      </w:r>
    </w:p>
    <w:p w:rsidR="00B6517B" w:rsidRDefault="00B6517B" w:rsidP="00B6517B">
      <w:pPr>
        <w:jc w:val="both"/>
        <w:rPr>
          <w:sz w:val="24"/>
          <w:szCs w:val="24"/>
        </w:rPr>
      </w:pPr>
    </w:p>
    <w:p w:rsidR="00844320" w:rsidRDefault="00844320" w:rsidP="00B6517B">
      <w:pPr>
        <w:jc w:val="both"/>
        <w:rPr>
          <w:sz w:val="24"/>
          <w:szCs w:val="24"/>
        </w:rPr>
      </w:pPr>
      <w:r>
        <w:rPr>
          <w:sz w:val="24"/>
          <w:szCs w:val="24"/>
        </w:rPr>
        <w:t>Určením tohoto substitutu se ve své</w:t>
      </w:r>
      <w:r w:rsidR="00440A33">
        <w:rPr>
          <w:sz w:val="24"/>
          <w:szCs w:val="24"/>
        </w:rPr>
        <w:t xml:space="preserve"> druhé</w:t>
      </w:r>
      <w:r>
        <w:rPr>
          <w:sz w:val="24"/>
          <w:szCs w:val="24"/>
        </w:rPr>
        <w:t xml:space="preserve"> části zabýval i provedený spotřebitelský průzkum, který alespoň co se týká autobusové dopravy, poskytl přesvědčivý výsledek. Obrázek 3 rozděluje respondenty, kteří by na zvýšení ceny zareagovali substitucí vlaku za autobus, podle preferovaného autobusového dopravce.</w:t>
      </w:r>
    </w:p>
    <w:p w:rsidR="00B6517B" w:rsidRDefault="00B6517B" w:rsidP="00B6517B">
      <w:pPr>
        <w:jc w:val="both"/>
        <w:rPr>
          <w:sz w:val="24"/>
          <w:szCs w:val="24"/>
        </w:rPr>
      </w:pPr>
    </w:p>
    <w:p w:rsidR="00AC7F94" w:rsidRPr="00235C32" w:rsidRDefault="00AC7F94" w:rsidP="00AC7F94">
      <w:pPr>
        <w:pStyle w:val="Titulek"/>
        <w:keepNext/>
        <w:jc w:val="both"/>
        <w:rPr>
          <w:color w:val="auto"/>
        </w:rPr>
      </w:pPr>
      <w:bookmarkStart w:id="6" w:name="_Toc324432974"/>
      <w:r w:rsidRPr="00235C32">
        <w:rPr>
          <w:color w:val="auto"/>
        </w:rPr>
        <w:t xml:space="preserve">Obrázek </w:t>
      </w:r>
      <w:r>
        <w:rPr>
          <w:color w:val="auto"/>
        </w:rPr>
        <w:t>3</w:t>
      </w:r>
      <w:r w:rsidRPr="00235C32">
        <w:rPr>
          <w:color w:val="auto"/>
        </w:rPr>
        <w:tab/>
      </w:r>
      <w:r>
        <w:rPr>
          <w:color w:val="auto"/>
        </w:rPr>
        <w:t>Celkové výsledky preferencí autobusových dopravců (absolutní četnost na levé ose)</w:t>
      </w:r>
      <w:bookmarkEnd w:id="6"/>
    </w:p>
    <w:p w:rsidR="00AC7F94" w:rsidRPr="00D27538" w:rsidRDefault="00AC7F94" w:rsidP="00AC7F94">
      <w:pPr>
        <w:spacing w:line="360" w:lineRule="auto"/>
        <w:jc w:val="center"/>
        <w:rPr>
          <w:sz w:val="24"/>
          <w:szCs w:val="24"/>
          <w:vertAlign w:val="subscript"/>
        </w:rPr>
      </w:pPr>
      <w:r w:rsidRPr="008C2C4A">
        <w:rPr>
          <w:noProof/>
          <w:sz w:val="24"/>
          <w:szCs w:val="24"/>
          <w:vertAlign w:val="subscript"/>
          <w:lang w:eastAsia="cs-CZ"/>
        </w:rPr>
        <w:drawing>
          <wp:inline distT="0" distB="0" distL="0" distR="0">
            <wp:extent cx="4572000" cy="2743200"/>
            <wp:effectExtent l="19050" t="0" r="19050" b="0"/>
            <wp:docPr id="18"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6EC5" w:rsidRPr="00C803E2" w:rsidRDefault="00AC7F94" w:rsidP="00C803E2">
      <w:pPr>
        <w:spacing w:line="360" w:lineRule="auto"/>
        <w:jc w:val="both"/>
        <w:rPr>
          <w:sz w:val="18"/>
          <w:szCs w:val="18"/>
        </w:rPr>
      </w:pPr>
      <w:r w:rsidRPr="008C2C4A">
        <w:rPr>
          <w:sz w:val="18"/>
          <w:szCs w:val="18"/>
        </w:rPr>
        <w:tab/>
        <w:t xml:space="preserve">Zdroj dat: </w:t>
      </w:r>
      <w:r>
        <w:rPr>
          <w:sz w:val="18"/>
          <w:szCs w:val="18"/>
        </w:rPr>
        <w:t>v</w:t>
      </w:r>
      <w:r w:rsidRPr="008C2C4A">
        <w:rPr>
          <w:sz w:val="18"/>
          <w:szCs w:val="18"/>
        </w:rPr>
        <w:t>lastní výpočty</w:t>
      </w:r>
    </w:p>
    <w:p w:rsidR="005A111D" w:rsidRDefault="005A111D" w:rsidP="00A92969">
      <w:pPr>
        <w:jc w:val="both"/>
        <w:rPr>
          <w:sz w:val="24"/>
          <w:szCs w:val="24"/>
        </w:rPr>
      </w:pPr>
    </w:p>
    <w:p w:rsidR="00C803E2" w:rsidRDefault="00C803E2" w:rsidP="00B24A79">
      <w:pPr>
        <w:jc w:val="both"/>
        <w:rPr>
          <w:b/>
          <w:sz w:val="24"/>
          <w:szCs w:val="24"/>
        </w:rPr>
      </w:pPr>
    </w:p>
    <w:p w:rsidR="00B24A79" w:rsidRPr="00096173" w:rsidRDefault="00B24A79" w:rsidP="00B24A79">
      <w:pPr>
        <w:jc w:val="both"/>
        <w:rPr>
          <w:b/>
          <w:sz w:val="24"/>
          <w:szCs w:val="24"/>
        </w:rPr>
      </w:pPr>
      <w:r w:rsidRPr="00096173">
        <w:rPr>
          <w:b/>
          <w:sz w:val="24"/>
          <w:szCs w:val="24"/>
        </w:rPr>
        <w:t>Závěr</w:t>
      </w:r>
    </w:p>
    <w:p w:rsidR="00E558DA" w:rsidRDefault="00E558DA" w:rsidP="00B24A79">
      <w:pPr>
        <w:jc w:val="both"/>
        <w:rPr>
          <w:sz w:val="24"/>
          <w:szCs w:val="24"/>
        </w:rPr>
      </w:pPr>
    </w:p>
    <w:p w:rsidR="00B24A79" w:rsidRPr="00195A18" w:rsidRDefault="00B24A79" w:rsidP="00B24A79">
      <w:pPr>
        <w:jc w:val="both"/>
        <w:rPr>
          <w:sz w:val="24"/>
          <w:szCs w:val="24"/>
        </w:rPr>
      </w:pPr>
      <w:r w:rsidRPr="00195A18">
        <w:rPr>
          <w:sz w:val="24"/>
          <w:szCs w:val="24"/>
        </w:rPr>
        <w:t>Trh</w:t>
      </w:r>
      <w:r>
        <w:rPr>
          <w:sz w:val="24"/>
          <w:szCs w:val="24"/>
        </w:rPr>
        <w:t>y</w:t>
      </w:r>
      <w:r w:rsidRPr="00195A18">
        <w:rPr>
          <w:sz w:val="24"/>
          <w:szCs w:val="24"/>
        </w:rPr>
        <w:t xml:space="preserve"> železničních dopravních služeb </w:t>
      </w:r>
      <w:r>
        <w:rPr>
          <w:sz w:val="24"/>
          <w:szCs w:val="24"/>
        </w:rPr>
        <w:t xml:space="preserve">jsou zatíženy mnoha </w:t>
      </w:r>
      <w:r w:rsidRPr="00195A18">
        <w:rPr>
          <w:sz w:val="24"/>
          <w:szCs w:val="24"/>
        </w:rPr>
        <w:t>specifik</w:t>
      </w:r>
      <w:r>
        <w:rPr>
          <w:sz w:val="24"/>
          <w:szCs w:val="24"/>
        </w:rPr>
        <w:t>y</w:t>
      </w:r>
      <w:r w:rsidRPr="00195A18">
        <w:rPr>
          <w:sz w:val="24"/>
          <w:szCs w:val="24"/>
        </w:rPr>
        <w:t>, které zn</w:t>
      </w:r>
      <w:r>
        <w:rPr>
          <w:sz w:val="24"/>
          <w:szCs w:val="24"/>
        </w:rPr>
        <w:t xml:space="preserve">emožňují použití standardních kvantitativních metod. Zejména využití </w:t>
      </w:r>
      <w:r w:rsidRPr="00195A18">
        <w:rPr>
          <w:sz w:val="24"/>
          <w:szCs w:val="24"/>
        </w:rPr>
        <w:t xml:space="preserve">SSNIP testu </w:t>
      </w:r>
      <w:r>
        <w:rPr>
          <w:sz w:val="24"/>
          <w:szCs w:val="24"/>
        </w:rPr>
        <w:t xml:space="preserve">pro </w:t>
      </w:r>
      <w:r w:rsidRPr="00195A18">
        <w:rPr>
          <w:sz w:val="24"/>
          <w:szCs w:val="24"/>
        </w:rPr>
        <w:t>vymez</w:t>
      </w:r>
      <w:r>
        <w:rPr>
          <w:sz w:val="24"/>
          <w:szCs w:val="24"/>
        </w:rPr>
        <w:t>e</w:t>
      </w:r>
      <w:r w:rsidRPr="00195A18">
        <w:rPr>
          <w:sz w:val="24"/>
          <w:szCs w:val="24"/>
        </w:rPr>
        <w:t>ní relevantníh</w:t>
      </w:r>
      <w:r>
        <w:rPr>
          <w:sz w:val="24"/>
          <w:szCs w:val="24"/>
        </w:rPr>
        <w:t>o</w:t>
      </w:r>
      <w:r w:rsidRPr="00195A18">
        <w:rPr>
          <w:sz w:val="24"/>
          <w:szCs w:val="24"/>
        </w:rPr>
        <w:t xml:space="preserve"> trh</w:t>
      </w:r>
      <w:r>
        <w:rPr>
          <w:sz w:val="24"/>
          <w:szCs w:val="24"/>
        </w:rPr>
        <w:t xml:space="preserve">u </w:t>
      </w:r>
      <w:r w:rsidRPr="00195A18">
        <w:rPr>
          <w:sz w:val="24"/>
          <w:szCs w:val="24"/>
        </w:rPr>
        <w:t>na železnici selhává a je</w:t>
      </w:r>
      <w:r>
        <w:rPr>
          <w:sz w:val="24"/>
          <w:szCs w:val="24"/>
        </w:rPr>
        <w:t>ho</w:t>
      </w:r>
      <w:r w:rsidRPr="00195A18">
        <w:rPr>
          <w:sz w:val="24"/>
          <w:szCs w:val="24"/>
        </w:rPr>
        <w:t xml:space="preserve"> využití je limitované. V praxi </w:t>
      </w:r>
      <w:r>
        <w:rPr>
          <w:sz w:val="24"/>
          <w:szCs w:val="24"/>
        </w:rPr>
        <w:t xml:space="preserve">je </w:t>
      </w:r>
      <w:r w:rsidRPr="00195A18">
        <w:rPr>
          <w:sz w:val="24"/>
          <w:szCs w:val="24"/>
        </w:rPr>
        <w:t xml:space="preserve">proto </w:t>
      </w:r>
      <w:r>
        <w:rPr>
          <w:sz w:val="24"/>
          <w:szCs w:val="24"/>
        </w:rPr>
        <w:t>vhodné SSNIP test založit na dotazníkovém průzkumu spotřebitelského chování.</w:t>
      </w:r>
      <w:r w:rsidRPr="00195A18">
        <w:rPr>
          <w:sz w:val="24"/>
          <w:szCs w:val="24"/>
        </w:rPr>
        <w:t xml:space="preserve"> </w:t>
      </w:r>
    </w:p>
    <w:p w:rsidR="00B24A79" w:rsidRDefault="00B24A79" w:rsidP="00A92969">
      <w:pPr>
        <w:jc w:val="both"/>
        <w:rPr>
          <w:sz w:val="24"/>
          <w:szCs w:val="24"/>
        </w:rPr>
      </w:pPr>
    </w:p>
    <w:p w:rsidR="00096173" w:rsidRDefault="00096173" w:rsidP="00A92969">
      <w:pPr>
        <w:jc w:val="both"/>
        <w:rPr>
          <w:sz w:val="24"/>
          <w:szCs w:val="24"/>
        </w:rPr>
      </w:pPr>
    </w:p>
    <w:p w:rsidR="00096173" w:rsidRPr="00096173" w:rsidRDefault="00096173" w:rsidP="00A92969">
      <w:pPr>
        <w:jc w:val="both"/>
        <w:rPr>
          <w:b/>
          <w:sz w:val="24"/>
          <w:szCs w:val="24"/>
        </w:rPr>
      </w:pPr>
      <w:r w:rsidRPr="00096173">
        <w:rPr>
          <w:b/>
          <w:sz w:val="24"/>
          <w:szCs w:val="24"/>
        </w:rPr>
        <w:t>Použitá literatura</w:t>
      </w:r>
    </w:p>
    <w:p w:rsidR="00096173" w:rsidRDefault="00096173" w:rsidP="00A92969">
      <w:pPr>
        <w:jc w:val="both"/>
        <w:rPr>
          <w:sz w:val="24"/>
          <w:szCs w:val="24"/>
        </w:rPr>
      </w:pPr>
    </w:p>
    <w:p w:rsidR="0060507A" w:rsidRPr="0060507A" w:rsidRDefault="0060507A" w:rsidP="0060507A">
      <w:pPr>
        <w:jc w:val="both"/>
        <w:rPr>
          <w:sz w:val="24"/>
          <w:szCs w:val="24"/>
        </w:rPr>
      </w:pPr>
      <w:r w:rsidRPr="0060507A">
        <w:rPr>
          <w:sz w:val="24"/>
          <w:szCs w:val="24"/>
        </w:rPr>
        <w:t xml:space="preserve">DAVIS P., GARCÉS E.: </w:t>
      </w:r>
      <w:proofErr w:type="spellStart"/>
      <w:r w:rsidRPr="0060507A">
        <w:rPr>
          <w:sz w:val="24"/>
          <w:szCs w:val="24"/>
        </w:rPr>
        <w:t>Quantitative</w:t>
      </w:r>
      <w:proofErr w:type="spellEnd"/>
      <w:r w:rsidRPr="0060507A">
        <w:rPr>
          <w:sz w:val="24"/>
          <w:szCs w:val="24"/>
        </w:rPr>
        <w:t xml:space="preserve"> </w:t>
      </w:r>
      <w:proofErr w:type="spellStart"/>
      <w:r w:rsidRPr="0060507A">
        <w:rPr>
          <w:sz w:val="24"/>
          <w:szCs w:val="24"/>
        </w:rPr>
        <w:t>Techniques</w:t>
      </w:r>
      <w:proofErr w:type="spellEnd"/>
      <w:r w:rsidRPr="0060507A">
        <w:rPr>
          <w:sz w:val="24"/>
          <w:szCs w:val="24"/>
        </w:rPr>
        <w:t xml:space="preserve"> </w:t>
      </w:r>
      <w:proofErr w:type="spellStart"/>
      <w:r w:rsidRPr="0060507A">
        <w:rPr>
          <w:sz w:val="24"/>
          <w:szCs w:val="24"/>
        </w:rPr>
        <w:t>for</w:t>
      </w:r>
      <w:proofErr w:type="spellEnd"/>
      <w:r w:rsidRPr="0060507A">
        <w:rPr>
          <w:sz w:val="24"/>
          <w:szCs w:val="24"/>
        </w:rPr>
        <w:t xml:space="preserve"> </w:t>
      </w:r>
      <w:proofErr w:type="spellStart"/>
      <w:r w:rsidRPr="0060507A">
        <w:rPr>
          <w:sz w:val="24"/>
          <w:szCs w:val="24"/>
        </w:rPr>
        <w:t>Competition</w:t>
      </w:r>
      <w:proofErr w:type="spellEnd"/>
      <w:r w:rsidRPr="0060507A">
        <w:rPr>
          <w:sz w:val="24"/>
          <w:szCs w:val="24"/>
        </w:rPr>
        <w:t xml:space="preserve"> and </w:t>
      </w:r>
      <w:proofErr w:type="spellStart"/>
      <w:r w:rsidRPr="0060507A">
        <w:rPr>
          <w:sz w:val="24"/>
          <w:szCs w:val="24"/>
        </w:rPr>
        <w:t>Antitrust</w:t>
      </w:r>
      <w:proofErr w:type="spellEnd"/>
      <w:r w:rsidRPr="0060507A">
        <w:rPr>
          <w:sz w:val="24"/>
          <w:szCs w:val="24"/>
        </w:rPr>
        <w:t xml:space="preserve"> </w:t>
      </w:r>
      <w:proofErr w:type="spellStart"/>
      <w:r w:rsidRPr="0060507A">
        <w:rPr>
          <w:sz w:val="24"/>
          <w:szCs w:val="24"/>
        </w:rPr>
        <w:t>Analysis</w:t>
      </w:r>
      <w:proofErr w:type="spellEnd"/>
      <w:r>
        <w:rPr>
          <w:sz w:val="24"/>
          <w:szCs w:val="24"/>
        </w:rPr>
        <w:t xml:space="preserve">, </w:t>
      </w:r>
      <w:proofErr w:type="spellStart"/>
      <w:r>
        <w:rPr>
          <w:sz w:val="24"/>
          <w:szCs w:val="24"/>
        </w:rPr>
        <w:t>Priceton</w:t>
      </w:r>
      <w:proofErr w:type="spellEnd"/>
      <w:r>
        <w:rPr>
          <w:sz w:val="24"/>
          <w:szCs w:val="24"/>
        </w:rPr>
        <w:t>, 2010</w:t>
      </w:r>
    </w:p>
    <w:p w:rsidR="0066791A" w:rsidRPr="0066791A" w:rsidRDefault="0066791A" w:rsidP="0066791A">
      <w:pPr>
        <w:jc w:val="both"/>
        <w:rPr>
          <w:sz w:val="24"/>
          <w:szCs w:val="24"/>
        </w:rPr>
      </w:pPr>
      <w:r w:rsidRPr="0066791A">
        <w:rPr>
          <w:sz w:val="24"/>
          <w:szCs w:val="24"/>
        </w:rPr>
        <w:t>HÜSCHELRATH K.,</w:t>
      </w:r>
      <w:r w:rsidRPr="0066791A">
        <w:rPr>
          <w:bCs/>
          <w:sz w:val="24"/>
          <w:szCs w:val="24"/>
        </w:rPr>
        <w:t xml:space="preserve"> </w:t>
      </w:r>
      <w:proofErr w:type="spellStart"/>
      <w:r w:rsidRPr="0066791A">
        <w:rPr>
          <w:bCs/>
          <w:sz w:val="24"/>
          <w:szCs w:val="24"/>
        </w:rPr>
        <w:t>Critical</w:t>
      </w:r>
      <w:proofErr w:type="spellEnd"/>
      <w:r w:rsidRPr="0066791A">
        <w:rPr>
          <w:bCs/>
          <w:sz w:val="24"/>
          <w:szCs w:val="24"/>
        </w:rPr>
        <w:t xml:space="preserve"> </w:t>
      </w:r>
      <w:proofErr w:type="spellStart"/>
      <w:r w:rsidRPr="0066791A">
        <w:rPr>
          <w:bCs/>
          <w:sz w:val="24"/>
          <w:szCs w:val="24"/>
        </w:rPr>
        <w:t>Loss</w:t>
      </w:r>
      <w:proofErr w:type="spellEnd"/>
      <w:r w:rsidRPr="0066791A">
        <w:rPr>
          <w:bCs/>
          <w:sz w:val="24"/>
          <w:szCs w:val="24"/>
        </w:rPr>
        <w:t xml:space="preserve"> </w:t>
      </w:r>
      <w:proofErr w:type="spellStart"/>
      <w:r w:rsidRPr="0066791A">
        <w:rPr>
          <w:bCs/>
          <w:sz w:val="24"/>
          <w:szCs w:val="24"/>
        </w:rPr>
        <w:t>Analysis</w:t>
      </w:r>
      <w:proofErr w:type="spellEnd"/>
      <w:r w:rsidRPr="0066791A">
        <w:rPr>
          <w:bCs/>
          <w:sz w:val="24"/>
          <w:szCs w:val="24"/>
        </w:rPr>
        <w:t xml:space="preserve"> in Market </w:t>
      </w:r>
      <w:proofErr w:type="spellStart"/>
      <w:r w:rsidRPr="0066791A">
        <w:rPr>
          <w:bCs/>
          <w:sz w:val="24"/>
          <w:szCs w:val="24"/>
        </w:rPr>
        <w:t>Definition</w:t>
      </w:r>
      <w:proofErr w:type="spellEnd"/>
      <w:r w:rsidRPr="0066791A">
        <w:rPr>
          <w:bCs/>
          <w:sz w:val="24"/>
          <w:szCs w:val="24"/>
        </w:rPr>
        <w:t xml:space="preserve"> and </w:t>
      </w:r>
      <w:proofErr w:type="spellStart"/>
      <w:r w:rsidRPr="0066791A">
        <w:rPr>
          <w:bCs/>
          <w:sz w:val="24"/>
          <w:szCs w:val="24"/>
        </w:rPr>
        <w:t>Merger</w:t>
      </w:r>
      <w:proofErr w:type="spellEnd"/>
      <w:r w:rsidRPr="0066791A">
        <w:rPr>
          <w:bCs/>
          <w:sz w:val="24"/>
          <w:szCs w:val="24"/>
        </w:rPr>
        <w:t xml:space="preserve"> </w:t>
      </w:r>
      <w:proofErr w:type="spellStart"/>
      <w:r w:rsidRPr="0066791A">
        <w:rPr>
          <w:bCs/>
          <w:sz w:val="24"/>
          <w:szCs w:val="24"/>
        </w:rPr>
        <w:t>Control</w:t>
      </w:r>
      <w:proofErr w:type="spellEnd"/>
    </w:p>
    <w:p w:rsidR="00863D8B" w:rsidRDefault="00863D8B" w:rsidP="00D34611">
      <w:pPr>
        <w:jc w:val="both"/>
        <w:rPr>
          <w:sz w:val="24"/>
          <w:szCs w:val="24"/>
        </w:rPr>
      </w:pPr>
      <w:r w:rsidRPr="00250532">
        <w:rPr>
          <w:sz w:val="24"/>
          <w:szCs w:val="24"/>
        </w:rPr>
        <w:t xml:space="preserve">KOMISE EVROPSKÝCH SPOLEČENSTVÍ (1997) </w:t>
      </w:r>
      <w:proofErr w:type="spellStart"/>
      <w:r w:rsidRPr="00250532">
        <w:rPr>
          <w:i/>
          <w:sz w:val="24"/>
          <w:szCs w:val="24"/>
        </w:rPr>
        <w:t>Notice</w:t>
      </w:r>
      <w:proofErr w:type="spellEnd"/>
      <w:r w:rsidRPr="00250532">
        <w:rPr>
          <w:i/>
          <w:sz w:val="24"/>
          <w:szCs w:val="24"/>
        </w:rPr>
        <w:t xml:space="preserve"> on </w:t>
      </w:r>
      <w:proofErr w:type="spellStart"/>
      <w:r w:rsidRPr="00250532">
        <w:rPr>
          <w:i/>
          <w:sz w:val="24"/>
          <w:szCs w:val="24"/>
        </w:rPr>
        <w:t>the</w:t>
      </w:r>
      <w:proofErr w:type="spellEnd"/>
      <w:r w:rsidRPr="00250532">
        <w:rPr>
          <w:i/>
          <w:sz w:val="24"/>
          <w:szCs w:val="24"/>
        </w:rPr>
        <w:t xml:space="preserve"> </w:t>
      </w:r>
      <w:proofErr w:type="spellStart"/>
      <w:r w:rsidRPr="00250532">
        <w:rPr>
          <w:i/>
          <w:sz w:val="24"/>
          <w:szCs w:val="24"/>
        </w:rPr>
        <w:t>Definition</w:t>
      </w:r>
      <w:proofErr w:type="spellEnd"/>
      <w:r w:rsidRPr="00250532">
        <w:rPr>
          <w:i/>
          <w:sz w:val="24"/>
          <w:szCs w:val="24"/>
        </w:rPr>
        <w:t xml:space="preserve"> </w:t>
      </w:r>
      <w:proofErr w:type="spellStart"/>
      <w:r w:rsidRPr="00250532">
        <w:rPr>
          <w:i/>
          <w:sz w:val="24"/>
          <w:szCs w:val="24"/>
        </w:rPr>
        <w:t>of</w:t>
      </w:r>
      <w:proofErr w:type="spellEnd"/>
      <w:r w:rsidRPr="00250532">
        <w:rPr>
          <w:i/>
          <w:sz w:val="24"/>
          <w:szCs w:val="24"/>
        </w:rPr>
        <w:t xml:space="preserve"> </w:t>
      </w:r>
      <w:proofErr w:type="spellStart"/>
      <w:r w:rsidRPr="00250532">
        <w:rPr>
          <w:i/>
          <w:sz w:val="24"/>
          <w:szCs w:val="24"/>
        </w:rPr>
        <w:t>the</w:t>
      </w:r>
      <w:proofErr w:type="spellEnd"/>
      <w:r w:rsidRPr="00250532">
        <w:rPr>
          <w:i/>
          <w:sz w:val="24"/>
          <w:szCs w:val="24"/>
        </w:rPr>
        <w:t xml:space="preserve"> </w:t>
      </w:r>
      <w:proofErr w:type="spellStart"/>
      <w:r w:rsidRPr="00250532">
        <w:rPr>
          <w:i/>
          <w:sz w:val="24"/>
          <w:szCs w:val="24"/>
        </w:rPr>
        <w:t>Relevant</w:t>
      </w:r>
      <w:proofErr w:type="spellEnd"/>
      <w:r w:rsidRPr="00250532">
        <w:rPr>
          <w:i/>
          <w:sz w:val="24"/>
          <w:szCs w:val="24"/>
        </w:rPr>
        <w:t xml:space="preserve"> Market </w:t>
      </w:r>
      <w:proofErr w:type="spellStart"/>
      <w:r w:rsidRPr="00250532">
        <w:rPr>
          <w:i/>
          <w:sz w:val="24"/>
          <w:szCs w:val="24"/>
        </w:rPr>
        <w:t>for</w:t>
      </w:r>
      <w:proofErr w:type="spellEnd"/>
      <w:r w:rsidRPr="00250532">
        <w:rPr>
          <w:i/>
          <w:sz w:val="24"/>
          <w:szCs w:val="24"/>
        </w:rPr>
        <w:t xml:space="preserve"> </w:t>
      </w:r>
      <w:proofErr w:type="spellStart"/>
      <w:r w:rsidRPr="00250532">
        <w:rPr>
          <w:i/>
          <w:sz w:val="24"/>
          <w:szCs w:val="24"/>
        </w:rPr>
        <w:t>the</w:t>
      </w:r>
      <w:proofErr w:type="spellEnd"/>
      <w:r w:rsidRPr="00250532">
        <w:rPr>
          <w:i/>
          <w:sz w:val="24"/>
          <w:szCs w:val="24"/>
        </w:rPr>
        <w:t xml:space="preserve"> </w:t>
      </w:r>
      <w:proofErr w:type="spellStart"/>
      <w:r w:rsidRPr="00250532">
        <w:rPr>
          <w:i/>
          <w:sz w:val="24"/>
          <w:szCs w:val="24"/>
        </w:rPr>
        <w:t>Purposes</w:t>
      </w:r>
      <w:proofErr w:type="spellEnd"/>
      <w:r w:rsidRPr="00250532">
        <w:rPr>
          <w:i/>
          <w:sz w:val="24"/>
          <w:szCs w:val="24"/>
        </w:rPr>
        <w:t xml:space="preserve"> </w:t>
      </w:r>
      <w:proofErr w:type="spellStart"/>
      <w:r w:rsidRPr="00250532">
        <w:rPr>
          <w:i/>
          <w:sz w:val="24"/>
          <w:szCs w:val="24"/>
        </w:rPr>
        <w:t>of</w:t>
      </w:r>
      <w:proofErr w:type="spellEnd"/>
      <w:r w:rsidRPr="00250532">
        <w:rPr>
          <w:i/>
          <w:sz w:val="24"/>
          <w:szCs w:val="24"/>
        </w:rPr>
        <w:t xml:space="preserve"> </w:t>
      </w:r>
      <w:proofErr w:type="spellStart"/>
      <w:r w:rsidRPr="00250532">
        <w:rPr>
          <w:i/>
          <w:sz w:val="24"/>
          <w:szCs w:val="24"/>
        </w:rPr>
        <w:t>Community</w:t>
      </w:r>
      <w:proofErr w:type="spellEnd"/>
      <w:r w:rsidRPr="00250532">
        <w:rPr>
          <w:i/>
          <w:sz w:val="24"/>
          <w:szCs w:val="24"/>
        </w:rPr>
        <w:t xml:space="preserve"> </w:t>
      </w:r>
      <w:proofErr w:type="spellStart"/>
      <w:r w:rsidRPr="00250532">
        <w:rPr>
          <w:i/>
          <w:sz w:val="24"/>
          <w:szCs w:val="24"/>
        </w:rPr>
        <w:t>Competition</w:t>
      </w:r>
      <w:proofErr w:type="spellEnd"/>
      <w:r w:rsidRPr="00250532">
        <w:rPr>
          <w:i/>
          <w:sz w:val="24"/>
          <w:szCs w:val="24"/>
        </w:rPr>
        <w:t xml:space="preserve"> </w:t>
      </w:r>
      <w:proofErr w:type="spellStart"/>
      <w:r w:rsidRPr="00250532">
        <w:rPr>
          <w:i/>
          <w:sz w:val="24"/>
          <w:szCs w:val="24"/>
        </w:rPr>
        <w:t>Law</w:t>
      </w:r>
      <w:proofErr w:type="spellEnd"/>
      <w:r w:rsidRPr="00250532">
        <w:rPr>
          <w:sz w:val="24"/>
          <w:szCs w:val="24"/>
        </w:rPr>
        <w:t xml:space="preserve">. OJ C372, </w:t>
      </w:r>
      <w:proofErr w:type="gramStart"/>
      <w:r w:rsidRPr="00250532">
        <w:rPr>
          <w:sz w:val="24"/>
          <w:szCs w:val="24"/>
        </w:rPr>
        <w:t>9.12.97</w:t>
      </w:r>
      <w:proofErr w:type="gramEnd"/>
      <w:r w:rsidRPr="00250532">
        <w:rPr>
          <w:sz w:val="24"/>
          <w:szCs w:val="24"/>
        </w:rPr>
        <w:t>), Brusel</w:t>
      </w:r>
    </w:p>
    <w:p w:rsidR="004D29A6" w:rsidRDefault="00D34611" w:rsidP="004D29A6">
      <w:pPr>
        <w:jc w:val="both"/>
        <w:rPr>
          <w:rFonts w:eastAsia="TTA2036328t00"/>
          <w:sz w:val="24"/>
          <w:szCs w:val="24"/>
        </w:rPr>
      </w:pPr>
      <w:r w:rsidRPr="00D34611">
        <w:rPr>
          <w:iCs/>
          <w:sz w:val="24"/>
          <w:szCs w:val="24"/>
        </w:rPr>
        <w:t xml:space="preserve">KOMISE EVROPSKÝCH SPOLEČENSTVÍ (2007) </w:t>
      </w:r>
      <w:r w:rsidRPr="00D34611">
        <w:rPr>
          <w:rFonts w:eastAsia="TTA2036328t00"/>
          <w:sz w:val="24"/>
          <w:szCs w:val="24"/>
        </w:rPr>
        <w:t xml:space="preserve">Sděleni Komise Radě a Evropskému parlamentu o vývoji na železničním trhu. </w:t>
      </w:r>
      <w:proofErr w:type="gramStart"/>
      <w:r w:rsidRPr="00D34611">
        <w:rPr>
          <w:rFonts w:eastAsia="TTA2036328t00"/>
          <w:sz w:val="24"/>
          <w:szCs w:val="24"/>
        </w:rPr>
        <w:t>KOM(2007</w:t>
      </w:r>
      <w:proofErr w:type="gramEnd"/>
      <w:r w:rsidRPr="00D34611">
        <w:rPr>
          <w:rFonts w:eastAsia="TTA2036328t00"/>
          <w:sz w:val="24"/>
          <w:szCs w:val="24"/>
        </w:rPr>
        <w:t>) 609</w:t>
      </w:r>
    </w:p>
    <w:p w:rsidR="004D29A6" w:rsidRPr="004D29A6" w:rsidRDefault="004D29A6" w:rsidP="004D29A6">
      <w:pPr>
        <w:jc w:val="both"/>
        <w:rPr>
          <w:rFonts w:eastAsia="TTA2036328t00"/>
          <w:sz w:val="24"/>
          <w:szCs w:val="24"/>
        </w:rPr>
      </w:pPr>
      <w:r>
        <w:rPr>
          <w:sz w:val="24"/>
          <w:szCs w:val="24"/>
        </w:rPr>
        <w:t>KOZEL R.,</w:t>
      </w:r>
      <w:r w:rsidRPr="002E5927">
        <w:rPr>
          <w:sz w:val="24"/>
          <w:szCs w:val="24"/>
        </w:rPr>
        <w:t xml:space="preserve"> Moderní marketingový výzkum: nové trendy, kvantitativní a kvalitativní metody a techniky, průběh a organizace, aplikac</w:t>
      </w:r>
      <w:r>
        <w:rPr>
          <w:sz w:val="24"/>
          <w:szCs w:val="24"/>
        </w:rPr>
        <w:t xml:space="preserve">e v praxi, přínosy a možnosti, </w:t>
      </w:r>
      <w:r w:rsidRPr="002E5927">
        <w:rPr>
          <w:sz w:val="24"/>
          <w:szCs w:val="24"/>
        </w:rPr>
        <w:t>Prah</w:t>
      </w:r>
      <w:r>
        <w:rPr>
          <w:sz w:val="24"/>
          <w:szCs w:val="24"/>
        </w:rPr>
        <w:t>a, 2006</w:t>
      </w:r>
    </w:p>
    <w:p w:rsidR="00F16B38" w:rsidRDefault="00863D8B">
      <w:pPr>
        <w:jc w:val="both"/>
        <w:rPr>
          <w:sz w:val="24"/>
          <w:szCs w:val="24"/>
        </w:rPr>
      </w:pPr>
      <w:r>
        <w:rPr>
          <w:sz w:val="24"/>
          <w:szCs w:val="24"/>
        </w:rPr>
        <w:t xml:space="preserve">KVIZDA, M. (2011) Vymezování relevantního trhu v odvětví železniční dopravy. In: </w:t>
      </w:r>
      <w:proofErr w:type="spellStart"/>
      <w:r>
        <w:rPr>
          <w:sz w:val="24"/>
          <w:szCs w:val="24"/>
        </w:rPr>
        <w:t>Kvizda</w:t>
      </w:r>
      <w:proofErr w:type="spellEnd"/>
      <w:r>
        <w:rPr>
          <w:sz w:val="24"/>
          <w:szCs w:val="24"/>
        </w:rPr>
        <w:t xml:space="preserve">, </w:t>
      </w:r>
      <w:proofErr w:type="gramStart"/>
      <w:r>
        <w:rPr>
          <w:sz w:val="24"/>
          <w:szCs w:val="24"/>
        </w:rPr>
        <w:t>M.- Tomeš</w:t>
      </w:r>
      <w:proofErr w:type="gramEnd"/>
      <w:r>
        <w:rPr>
          <w:sz w:val="24"/>
          <w:szCs w:val="24"/>
        </w:rPr>
        <w:t>, Z. (</w:t>
      </w:r>
      <w:proofErr w:type="spellStart"/>
      <w:r>
        <w:rPr>
          <w:sz w:val="24"/>
          <w:szCs w:val="24"/>
        </w:rPr>
        <w:t>eds</w:t>
      </w:r>
      <w:proofErr w:type="spellEnd"/>
      <w:r>
        <w:rPr>
          <w:sz w:val="24"/>
          <w:szCs w:val="24"/>
        </w:rPr>
        <w:t xml:space="preserve">.) </w:t>
      </w:r>
      <w:r w:rsidRPr="00863D8B">
        <w:rPr>
          <w:i/>
          <w:sz w:val="24"/>
          <w:szCs w:val="24"/>
        </w:rPr>
        <w:t>Konkurence na železnici – teorie v centru a praxe v regionech</w:t>
      </w:r>
      <w:r>
        <w:rPr>
          <w:sz w:val="24"/>
          <w:szCs w:val="24"/>
        </w:rPr>
        <w:t xml:space="preserve">. Brno: Masarykova univerzita </w:t>
      </w:r>
      <w:proofErr w:type="spellStart"/>
      <w:r>
        <w:rPr>
          <w:sz w:val="24"/>
          <w:szCs w:val="24"/>
        </w:rPr>
        <w:t>MuniPress</w:t>
      </w:r>
      <w:proofErr w:type="spellEnd"/>
    </w:p>
    <w:p w:rsidR="00F16B38" w:rsidRDefault="00096173">
      <w:pPr>
        <w:jc w:val="both"/>
        <w:rPr>
          <w:sz w:val="24"/>
          <w:szCs w:val="24"/>
        </w:rPr>
      </w:pPr>
      <w:r>
        <w:rPr>
          <w:sz w:val="24"/>
          <w:szCs w:val="24"/>
        </w:rPr>
        <w:lastRenderedPageBreak/>
        <w:t xml:space="preserve">MEMARIAN, B. – JEONG, H. S. – UHM, D. (2012) </w:t>
      </w:r>
      <w:proofErr w:type="spellStart"/>
      <w:r>
        <w:rPr>
          <w:sz w:val="24"/>
          <w:szCs w:val="24"/>
        </w:rPr>
        <w:t>Effects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survey</w:t>
      </w:r>
      <w:proofErr w:type="spellEnd"/>
      <w:r>
        <w:rPr>
          <w:sz w:val="24"/>
          <w:szCs w:val="24"/>
        </w:rPr>
        <w:t xml:space="preserve"> </w:t>
      </w:r>
      <w:proofErr w:type="spellStart"/>
      <w:r>
        <w:rPr>
          <w:sz w:val="24"/>
          <w:szCs w:val="24"/>
        </w:rPr>
        <w:t>techniques</w:t>
      </w:r>
      <w:proofErr w:type="spellEnd"/>
      <w:r>
        <w:rPr>
          <w:sz w:val="24"/>
          <w:szCs w:val="24"/>
        </w:rPr>
        <w:t xml:space="preserve"> on on-</w:t>
      </w:r>
      <w:proofErr w:type="spellStart"/>
      <w:r>
        <w:rPr>
          <w:sz w:val="24"/>
          <w:szCs w:val="24"/>
        </w:rPr>
        <w:t>board</w:t>
      </w:r>
      <w:proofErr w:type="spellEnd"/>
      <w:r>
        <w:rPr>
          <w:sz w:val="24"/>
          <w:szCs w:val="24"/>
        </w:rPr>
        <w:t xml:space="preserve"> </w:t>
      </w:r>
      <w:proofErr w:type="spellStart"/>
      <w:r>
        <w:rPr>
          <w:sz w:val="24"/>
          <w:szCs w:val="24"/>
        </w:rPr>
        <w:t>survey</w:t>
      </w:r>
      <w:proofErr w:type="spellEnd"/>
      <w:r>
        <w:rPr>
          <w:sz w:val="24"/>
          <w:szCs w:val="24"/>
        </w:rPr>
        <w:t xml:space="preserve"> performance. </w:t>
      </w:r>
      <w:r w:rsidRPr="00096173">
        <w:rPr>
          <w:i/>
          <w:sz w:val="24"/>
          <w:szCs w:val="24"/>
        </w:rPr>
        <w:t xml:space="preserve">Transport </w:t>
      </w:r>
      <w:proofErr w:type="spellStart"/>
      <w:r w:rsidRPr="00096173">
        <w:rPr>
          <w:i/>
          <w:sz w:val="24"/>
          <w:szCs w:val="24"/>
        </w:rPr>
        <w:t>Policy</w:t>
      </w:r>
      <w:proofErr w:type="spellEnd"/>
      <w:r>
        <w:rPr>
          <w:sz w:val="24"/>
          <w:szCs w:val="24"/>
        </w:rPr>
        <w:t xml:space="preserve">, 21, s. 52-62 </w:t>
      </w:r>
    </w:p>
    <w:p w:rsidR="00F16B38" w:rsidRDefault="00863D8B">
      <w:pPr>
        <w:jc w:val="both"/>
        <w:rPr>
          <w:iCs/>
          <w:sz w:val="24"/>
          <w:szCs w:val="24"/>
        </w:rPr>
      </w:pPr>
      <w:r w:rsidRPr="00863D8B">
        <w:rPr>
          <w:iCs/>
          <w:sz w:val="24"/>
          <w:szCs w:val="24"/>
        </w:rPr>
        <w:t xml:space="preserve">MOTTA, M. (2004) </w:t>
      </w:r>
      <w:proofErr w:type="spellStart"/>
      <w:r w:rsidRPr="00863D8B">
        <w:rPr>
          <w:i/>
          <w:iCs/>
          <w:sz w:val="24"/>
          <w:szCs w:val="24"/>
        </w:rPr>
        <w:t>Competition</w:t>
      </w:r>
      <w:proofErr w:type="spellEnd"/>
      <w:r w:rsidRPr="00863D8B">
        <w:rPr>
          <w:i/>
          <w:iCs/>
          <w:sz w:val="24"/>
          <w:szCs w:val="24"/>
        </w:rPr>
        <w:t xml:space="preserve"> </w:t>
      </w:r>
      <w:proofErr w:type="spellStart"/>
      <w:r w:rsidRPr="00863D8B">
        <w:rPr>
          <w:i/>
          <w:iCs/>
          <w:sz w:val="24"/>
          <w:szCs w:val="24"/>
        </w:rPr>
        <w:t>Policy</w:t>
      </w:r>
      <w:proofErr w:type="spellEnd"/>
      <w:r w:rsidRPr="00863D8B">
        <w:rPr>
          <w:i/>
          <w:iCs/>
          <w:sz w:val="24"/>
          <w:szCs w:val="24"/>
        </w:rPr>
        <w:t xml:space="preserve">. </w:t>
      </w:r>
      <w:proofErr w:type="spellStart"/>
      <w:r w:rsidRPr="00863D8B">
        <w:rPr>
          <w:i/>
          <w:iCs/>
          <w:sz w:val="24"/>
          <w:szCs w:val="24"/>
        </w:rPr>
        <w:t>Theory</w:t>
      </w:r>
      <w:proofErr w:type="spellEnd"/>
      <w:r w:rsidRPr="00863D8B">
        <w:rPr>
          <w:i/>
          <w:iCs/>
          <w:sz w:val="24"/>
          <w:szCs w:val="24"/>
        </w:rPr>
        <w:t xml:space="preserve"> and </w:t>
      </w:r>
      <w:proofErr w:type="spellStart"/>
      <w:r w:rsidRPr="00863D8B">
        <w:rPr>
          <w:i/>
          <w:iCs/>
          <w:sz w:val="24"/>
          <w:szCs w:val="24"/>
        </w:rPr>
        <w:t>Practice</w:t>
      </w:r>
      <w:proofErr w:type="spellEnd"/>
      <w:r w:rsidRPr="00863D8B">
        <w:rPr>
          <w:iCs/>
          <w:sz w:val="24"/>
          <w:szCs w:val="24"/>
        </w:rPr>
        <w:t xml:space="preserve">. Cambridge: Cambridge University </w:t>
      </w:r>
      <w:proofErr w:type="spellStart"/>
      <w:r w:rsidRPr="00863D8B">
        <w:rPr>
          <w:iCs/>
          <w:sz w:val="24"/>
          <w:szCs w:val="24"/>
        </w:rPr>
        <w:t>Press</w:t>
      </w:r>
      <w:proofErr w:type="spellEnd"/>
    </w:p>
    <w:p w:rsidR="00F16B38" w:rsidRDefault="00D34611">
      <w:pPr>
        <w:jc w:val="both"/>
        <w:rPr>
          <w:iCs/>
          <w:sz w:val="24"/>
          <w:szCs w:val="24"/>
        </w:rPr>
      </w:pPr>
      <w:r w:rsidRPr="00D34611">
        <w:rPr>
          <w:iCs/>
          <w:sz w:val="24"/>
          <w:szCs w:val="24"/>
        </w:rPr>
        <w:t xml:space="preserve">OFFICE OF FAIR TRADING (2004) </w:t>
      </w:r>
      <w:r w:rsidRPr="00D34611">
        <w:rPr>
          <w:i/>
          <w:iCs/>
          <w:sz w:val="24"/>
          <w:szCs w:val="24"/>
        </w:rPr>
        <w:t xml:space="preserve">Market </w:t>
      </w:r>
      <w:proofErr w:type="spellStart"/>
      <w:r w:rsidRPr="00D34611">
        <w:rPr>
          <w:i/>
          <w:iCs/>
          <w:sz w:val="24"/>
          <w:szCs w:val="24"/>
        </w:rPr>
        <w:t>Definition</w:t>
      </w:r>
      <w:proofErr w:type="spellEnd"/>
      <w:r w:rsidRPr="00D34611">
        <w:rPr>
          <w:iCs/>
          <w:sz w:val="24"/>
          <w:szCs w:val="24"/>
        </w:rPr>
        <w:t xml:space="preserve">. London: Office </w:t>
      </w:r>
      <w:proofErr w:type="spellStart"/>
      <w:r w:rsidRPr="00D34611">
        <w:rPr>
          <w:iCs/>
          <w:sz w:val="24"/>
          <w:szCs w:val="24"/>
        </w:rPr>
        <w:t>of</w:t>
      </w:r>
      <w:proofErr w:type="spellEnd"/>
      <w:r w:rsidRPr="00D34611">
        <w:rPr>
          <w:iCs/>
          <w:sz w:val="24"/>
          <w:szCs w:val="24"/>
        </w:rPr>
        <w:t xml:space="preserve"> Fair </w:t>
      </w:r>
      <w:proofErr w:type="spellStart"/>
      <w:r w:rsidRPr="00D34611">
        <w:rPr>
          <w:iCs/>
          <w:sz w:val="24"/>
          <w:szCs w:val="24"/>
        </w:rPr>
        <w:t>Trading</w:t>
      </w:r>
      <w:proofErr w:type="spellEnd"/>
    </w:p>
    <w:p w:rsidR="002B7CC3" w:rsidRPr="002B7CC3" w:rsidRDefault="002B7CC3" w:rsidP="002B7CC3">
      <w:pPr>
        <w:jc w:val="both"/>
        <w:rPr>
          <w:iCs/>
          <w:sz w:val="24"/>
          <w:szCs w:val="24"/>
        </w:rPr>
      </w:pPr>
      <w:r w:rsidRPr="002B7CC3">
        <w:rPr>
          <w:iCs/>
          <w:sz w:val="24"/>
          <w:szCs w:val="24"/>
        </w:rPr>
        <w:t xml:space="preserve">PADILLA A., O'DONOGHUE R., </w:t>
      </w:r>
      <w:proofErr w:type="spellStart"/>
      <w:r w:rsidRPr="002B7CC3">
        <w:rPr>
          <w:iCs/>
          <w:sz w:val="24"/>
          <w:szCs w:val="24"/>
        </w:rPr>
        <w:t>The</w:t>
      </w:r>
      <w:proofErr w:type="spellEnd"/>
      <w:r w:rsidRPr="002B7CC3">
        <w:rPr>
          <w:iCs/>
          <w:sz w:val="24"/>
          <w:szCs w:val="24"/>
        </w:rPr>
        <w:t xml:space="preserve"> </w:t>
      </w:r>
      <w:proofErr w:type="spellStart"/>
      <w:r w:rsidRPr="002B7CC3">
        <w:rPr>
          <w:iCs/>
          <w:sz w:val="24"/>
          <w:szCs w:val="24"/>
        </w:rPr>
        <w:t>law</w:t>
      </w:r>
      <w:proofErr w:type="spellEnd"/>
      <w:r w:rsidRPr="002B7CC3">
        <w:rPr>
          <w:iCs/>
          <w:sz w:val="24"/>
          <w:szCs w:val="24"/>
        </w:rPr>
        <w:t xml:space="preserve"> and </w:t>
      </w:r>
      <w:proofErr w:type="spellStart"/>
      <w:r w:rsidRPr="002B7CC3">
        <w:rPr>
          <w:iCs/>
          <w:sz w:val="24"/>
          <w:szCs w:val="24"/>
        </w:rPr>
        <w:t>economics</w:t>
      </w:r>
      <w:proofErr w:type="spellEnd"/>
      <w:r w:rsidRPr="002B7CC3">
        <w:rPr>
          <w:iCs/>
          <w:sz w:val="24"/>
          <w:szCs w:val="24"/>
        </w:rPr>
        <w:t xml:space="preserve"> </w:t>
      </w:r>
      <w:proofErr w:type="spellStart"/>
      <w:r w:rsidRPr="002B7CC3">
        <w:rPr>
          <w:iCs/>
          <w:sz w:val="24"/>
          <w:szCs w:val="24"/>
        </w:rPr>
        <w:t>of</w:t>
      </w:r>
      <w:proofErr w:type="spellEnd"/>
      <w:r>
        <w:rPr>
          <w:iCs/>
          <w:sz w:val="24"/>
          <w:szCs w:val="24"/>
        </w:rPr>
        <w:t xml:space="preserve"> </w:t>
      </w:r>
      <w:proofErr w:type="spellStart"/>
      <w:r>
        <w:rPr>
          <w:iCs/>
          <w:sz w:val="24"/>
          <w:szCs w:val="24"/>
        </w:rPr>
        <w:t>Article</w:t>
      </w:r>
      <w:proofErr w:type="spellEnd"/>
      <w:r>
        <w:rPr>
          <w:iCs/>
          <w:sz w:val="24"/>
          <w:szCs w:val="24"/>
        </w:rPr>
        <w:t xml:space="preserve"> 82 EC. Portland, 2006</w:t>
      </w:r>
    </w:p>
    <w:p w:rsidR="00F16B38" w:rsidRDefault="00863D8B">
      <w:pPr>
        <w:jc w:val="both"/>
        <w:rPr>
          <w:iCs/>
          <w:sz w:val="24"/>
          <w:szCs w:val="24"/>
        </w:rPr>
      </w:pPr>
      <w:r w:rsidRPr="00863D8B">
        <w:rPr>
          <w:iCs/>
          <w:sz w:val="24"/>
          <w:szCs w:val="24"/>
        </w:rPr>
        <w:t xml:space="preserve">PELTRÁM, A. (2010) Hospodářská soutěž na železnici v pojetí Evropské unie. In: </w:t>
      </w:r>
      <w:proofErr w:type="spellStart"/>
      <w:r w:rsidRPr="00863D8B">
        <w:rPr>
          <w:iCs/>
          <w:sz w:val="24"/>
          <w:szCs w:val="24"/>
        </w:rPr>
        <w:t>Kvizda</w:t>
      </w:r>
      <w:proofErr w:type="spellEnd"/>
      <w:r w:rsidRPr="00863D8B">
        <w:rPr>
          <w:iCs/>
          <w:sz w:val="24"/>
          <w:szCs w:val="24"/>
        </w:rPr>
        <w:t>, M. – Tomeš, Z. (</w:t>
      </w:r>
      <w:proofErr w:type="spellStart"/>
      <w:r w:rsidRPr="00863D8B">
        <w:rPr>
          <w:iCs/>
          <w:sz w:val="24"/>
          <w:szCs w:val="24"/>
        </w:rPr>
        <w:t>eds</w:t>
      </w:r>
      <w:proofErr w:type="spellEnd"/>
      <w:r w:rsidRPr="00863D8B">
        <w:rPr>
          <w:iCs/>
          <w:sz w:val="24"/>
          <w:szCs w:val="24"/>
        </w:rPr>
        <w:t xml:space="preserve">.) </w:t>
      </w:r>
      <w:r w:rsidRPr="00863D8B">
        <w:rPr>
          <w:i/>
          <w:iCs/>
          <w:sz w:val="24"/>
          <w:szCs w:val="24"/>
        </w:rPr>
        <w:t>Konkurence na evropských železnicích – ekonomické, právní a regionální faktory</w:t>
      </w:r>
      <w:r w:rsidRPr="00863D8B">
        <w:rPr>
          <w:iCs/>
          <w:sz w:val="24"/>
          <w:szCs w:val="24"/>
        </w:rPr>
        <w:t>. Brno: Masarykova univerzita, s. 20-31</w:t>
      </w:r>
    </w:p>
    <w:p w:rsidR="003F34C3" w:rsidRDefault="003F34C3">
      <w:pPr>
        <w:jc w:val="both"/>
        <w:rPr>
          <w:sz w:val="24"/>
          <w:szCs w:val="24"/>
        </w:rPr>
      </w:pPr>
      <w:r w:rsidRPr="003F34C3">
        <w:rPr>
          <w:sz w:val="24"/>
          <w:szCs w:val="24"/>
        </w:rPr>
        <w:t>REDERER, Václav. Vymezování relevantního trhu a aplikace SSNIP testu v odv</w:t>
      </w:r>
      <w:r>
        <w:rPr>
          <w:sz w:val="24"/>
          <w:szCs w:val="24"/>
        </w:rPr>
        <w:t xml:space="preserve">ětví železniční dopravy, 2012. </w:t>
      </w:r>
      <w:r w:rsidRPr="003F34C3">
        <w:rPr>
          <w:sz w:val="24"/>
          <w:szCs w:val="24"/>
        </w:rPr>
        <w:t xml:space="preserve">Diplomová práce. Masarykova univerzita, Ekonomicko-správní fakulta. Vedoucí práce Martin </w:t>
      </w:r>
      <w:proofErr w:type="spellStart"/>
      <w:r w:rsidRPr="003F34C3">
        <w:rPr>
          <w:sz w:val="24"/>
          <w:szCs w:val="24"/>
        </w:rPr>
        <w:t>Kvizda</w:t>
      </w:r>
      <w:proofErr w:type="spellEnd"/>
      <w:r>
        <w:rPr>
          <w:sz w:val="24"/>
          <w:szCs w:val="24"/>
        </w:rPr>
        <w:t>.</w:t>
      </w:r>
    </w:p>
    <w:p w:rsidR="00096173" w:rsidRDefault="00096173" w:rsidP="00A92969">
      <w:pPr>
        <w:jc w:val="both"/>
        <w:rPr>
          <w:sz w:val="24"/>
          <w:szCs w:val="24"/>
        </w:rPr>
      </w:pPr>
    </w:p>
    <w:p w:rsidR="00FF7D55" w:rsidRDefault="00FF7D55" w:rsidP="00A92969">
      <w:pPr>
        <w:jc w:val="both"/>
        <w:rPr>
          <w:sz w:val="24"/>
          <w:szCs w:val="24"/>
        </w:rPr>
      </w:pPr>
    </w:p>
    <w:p w:rsidR="00FF7D55" w:rsidRDefault="00FF7D55" w:rsidP="00A92969">
      <w:pPr>
        <w:jc w:val="both"/>
        <w:rPr>
          <w:sz w:val="24"/>
          <w:szCs w:val="24"/>
        </w:rPr>
      </w:pPr>
    </w:p>
    <w:p w:rsidR="00FF7D55" w:rsidRDefault="00FF7D55" w:rsidP="00A92969">
      <w:pPr>
        <w:jc w:val="both"/>
        <w:rPr>
          <w:sz w:val="24"/>
          <w:szCs w:val="24"/>
        </w:rPr>
      </w:pPr>
    </w:p>
    <w:p w:rsidR="00FF7D55" w:rsidRDefault="00FF7D55" w:rsidP="00A92969">
      <w:pPr>
        <w:jc w:val="both"/>
        <w:rPr>
          <w:sz w:val="24"/>
          <w:szCs w:val="24"/>
        </w:rPr>
      </w:pPr>
    </w:p>
    <w:p w:rsidR="00FF7D55" w:rsidRPr="00A92969" w:rsidRDefault="00FF7D55" w:rsidP="00A92969">
      <w:pPr>
        <w:jc w:val="both"/>
        <w:rPr>
          <w:sz w:val="24"/>
          <w:szCs w:val="24"/>
        </w:rPr>
      </w:pPr>
    </w:p>
    <w:sectPr w:rsidR="00FF7D55" w:rsidRPr="00A92969" w:rsidSect="008900E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F7" w:rsidRDefault="00FA14F7" w:rsidP="00F303E4">
      <w:r>
        <w:separator/>
      </w:r>
    </w:p>
  </w:endnote>
  <w:endnote w:type="continuationSeparator" w:id="0">
    <w:p w:rsidR="00FA14F7" w:rsidRDefault="00FA14F7" w:rsidP="00F3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TTA203632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320" w:rsidRDefault="00FA14F7">
    <w:pPr>
      <w:pStyle w:val="Zpat"/>
      <w:jc w:val="center"/>
    </w:pPr>
    <w:r>
      <w:fldChar w:fldCharType="begin"/>
    </w:r>
    <w:r>
      <w:instrText xml:space="preserve"> PAGE   \* MERGEFORMAT </w:instrText>
    </w:r>
    <w:r>
      <w:fldChar w:fldCharType="separate"/>
    </w:r>
    <w:r w:rsidR="006D2DB0">
      <w:rPr>
        <w:noProof/>
      </w:rPr>
      <w:t>1</w:t>
    </w:r>
    <w:r>
      <w:rPr>
        <w:noProof/>
      </w:rPr>
      <w:fldChar w:fldCharType="end"/>
    </w:r>
  </w:p>
  <w:p w:rsidR="00844320" w:rsidRDefault="008443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F7" w:rsidRDefault="00FA14F7" w:rsidP="00F303E4">
      <w:r>
        <w:separator/>
      </w:r>
    </w:p>
  </w:footnote>
  <w:footnote w:type="continuationSeparator" w:id="0">
    <w:p w:rsidR="00FA14F7" w:rsidRDefault="00FA14F7" w:rsidP="00F303E4">
      <w:r>
        <w:continuationSeparator/>
      </w:r>
    </w:p>
  </w:footnote>
  <w:footnote w:id="1">
    <w:p w:rsidR="00844320" w:rsidRDefault="00844320">
      <w:pPr>
        <w:pStyle w:val="Textpoznpodarou"/>
      </w:pPr>
      <w:r>
        <w:rPr>
          <w:rStyle w:val="Znakapoznpodarou"/>
        </w:rPr>
        <w:footnoteRef/>
      </w:r>
      <w:r>
        <w:t xml:space="preserve"> Údaje o cenách a časech jsou platné pro jízdní řád 2011/2012 </w:t>
      </w:r>
    </w:p>
  </w:footnote>
  <w:footnote w:id="2">
    <w:p w:rsidR="00844320" w:rsidRDefault="00844320" w:rsidP="0040499B">
      <w:pPr>
        <w:pStyle w:val="Textpoznpodarou"/>
      </w:pPr>
      <w:r>
        <w:rPr>
          <w:rStyle w:val="Znakapoznpodarou"/>
        </w:rPr>
        <w:footnoteRef/>
      </w:r>
      <w:r>
        <w:t xml:space="preserve"> Oficiálně se </w:t>
      </w:r>
      <w:proofErr w:type="gramStart"/>
      <w:r>
        <w:t>jedná</w:t>
      </w:r>
      <w:proofErr w:type="gramEnd"/>
      <w:r>
        <w:t xml:space="preserve"> o slevovou akci ČD </w:t>
      </w:r>
      <w:proofErr w:type="spellStart"/>
      <w:proofErr w:type="gramStart"/>
      <w:r>
        <w:t>Promo</w:t>
      </w:r>
      <w:proofErr w:type="spellEnd"/>
      <w:proofErr w:type="gramEnd"/>
      <w:r>
        <w:t>, de facto se však tato cena dá považovat za základní jízdné</w:t>
      </w:r>
    </w:p>
  </w:footnote>
  <w:footnote w:id="3">
    <w:p w:rsidR="00844320" w:rsidRDefault="00844320" w:rsidP="001F15CE">
      <w:pPr>
        <w:pStyle w:val="Textpoznpodarou"/>
      </w:pPr>
      <w:r>
        <w:rPr>
          <w:rStyle w:val="Znakapoznpodarou"/>
        </w:rPr>
        <w:footnoteRef/>
      </w:r>
      <w:r>
        <w:t xml:space="preserve"> </w:t>
      </w:r>
      <m:oMath>
        <m:r>
          <m:rPr>
            <m:sty m:val="bi"/>
          </m:rPr>
          <w:rPr>
            <w:rFonts w:ascii="Cambria Math" w:hAnsi="Cambria Math"/>
            <w:color w:val="000000" w:themeColor="text1"/>
          </w:rPr>
          <m:t>M=</m:t>
        </m:r>
        <m:d>
          <m:dPr>
            <m:ctrlPr>
              <w:rPr>
                <w:rFonts w:ascii="Cambria Math" w:hAnsi="Cambria Math"/>
                <w:i/>
                <w:color w:val="000000" w:themeColor="text1"/>
              </w:rPr>
            </m:ctrlPr>
          </m:dPr>
          <m:e>
            <m:d>
              <m:dPr>
                <m:ctrlPr>
                  <w:rPr>
                    <w:rFonts w:ascii="Cambria Math" w:hAnsi="Cambria Math"/>
                    <w:i/>
                    <w:color w:val="000000" w:themeColor="text1"/>
                  </w:rPr>
                </m:ctrlPr>
              </m:dPr>
              <m:e>
                <m:sSub>
                  <m:sSubPr>
                    <m:ctrlPr>
                      <w:rPr>
                        <w:rFonts w:ascii="Cambria Math" w:hAnsi="Cambria Math"/>
                        <w:i/>
                        <w:color w:val="000000" w:themeColor="text1"/>
                      </w:rPr>
                    </m:ctrlPr>
                  </m:sSubPr>
                  <m:e>
                    <m:r>
                      <m:rPr>
                        <m:sty m:val="bi"/>
                      </m:rPr>
                      <w:rPr>
                        <w:rFonts w:ascii="Cambria Math" w:hAnsi="Cambria Math"/>
                        <w:color w:val="000000" w:themeColor="text1"/>
                      </w:rPr>
                      <m:t>P</m:t>
                    </m:r>
                  </m:e>
                  <m:sub>
                    <m:r>
                      <m:rPr>
                        <m:sty m:val="bi"/>
                      </m:rPr>
                      <w:rPr>
                        <w:rFonts w:ascii="Cambria Math" w:hAnsi="Cambria Math"/>
                        <w:color w:val="000000" w:themeColor="text1"/>
                      </w:rPr>
                      <m:t>0</m:t>
                    </m:r>
                  </m:sub>
                </m:sSub>
                <m:r>
                  <m:rPr>
                    <m:sty m:val="bi"/>
                  </m:rPr>
                  <w:rPr>
                    <w:rFonts w:ascii="Cambria Math" w:hAnsi="Cambria Math"/>
                    <w:color w:val="000000" w:themeColor="text1"/>
                  </w:rPr>
                  <m:t>-c</m:t>
                </m:r>
              </m:e>
            </m:d>
            <m:r>
              <m:rPr>
                <m:sty m:val="bi"/>
              </m:rPr>
              <w:rPr>
                <w:rFonts w:ascii="Cambria Math" w:hAnsi="Cambria Math"/>
                <w:color w:val="000000" w:themeColor="text1"/>
              </w:rPr>
              <m:t>/</m:t>
            </m:r>
            <m:sSub>
              <m:sSubPr>
                <m:ctrlPr>
                  <w:rPr>
                    <w:rFonts w:ascii="Cambria Math" w:hAnsi="Cambria Math"/>
                    <w:i/>
                    <w:color w:val="000000" w:themeColor="text1"/>
                  </w:rPr>
                </m:ctrlPr>
              </m:sSubPr>
              <m:e>
                <m:r>
                  <m:rPr>
                    <m:sty m:val="bi"/>
                  </m:rPr>
                  <w:rPr>
                    <w:rFonts w:ascii="Cambria Math" w:hAnsi="Cambria Math"/>
                    <w:color w:val="000000" w:themeColor="text1"/>
                  </w:rPr>
                  <m:t>P</m:t>
                </m:r>
              </m:e>
              <m:sub>
                <m:r>
                  <m:rPr>
                    <m:sty m:val="bi"/>
                  </m:rPr>
                  <w:rPr>
                    <w:rFonts w:ascii="Cambria Math" w:hAnsi="Cambria Math"/>
                    <w:color w:val="000000" w:themeColor="text1"/>
                  </w:rPr>
                  <m:t>0</m:t>
                </m:r>
              </m:sub>
            </m:sSub>
          </m:e>
        </m:d>
      </m:oMath>
      <w:r w:rsidRPr="005839CD">
        <w:rPr>
          <w:color w:val="000000" w:themeColor="text1"/>
        </w:rPr>
        <w:t>, kde c = průměrné variabilní nákl</w:t>
      </w:r>
      <w:r>
        <w:rPr>
          <w:color w:val="000000" w:themeColor="text1"/>
        </w:rPr>
        <w:t>a</w:t>
      </w:r>
      <w:r w:rsidRPr="005839CD">
        <w:rPr>
          <w:color w:val="000000" w:themeColor="text1"/>
        </w:rPr>
        <w:t>dy</w:t>
      </w:r>
    </w:p>
  </w:footnote>
  <w:footnote w:id="4">
    <w:p w:rsidR="00844320" w:rsidRDefault="00844320">
      <w:pPr>
        <w:pStyle w:val="Textpoznpodarou"/>
      </w:pPr>
      <w:r>
        <w:rPr>
          <w:rStyle w:val="Znakapoznpodarou"/>
        </w:rPr>
        <w:footnoteRef/>
      </w:r>
      <w:r>
        <w:t xml:space="preserve"> U této skupiny byl však problém s nízkým počtem respondentů (je zde možná chyba malých čísel)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pPr>
      <w:rPr>
        <w:rFonts w:cs="Times New Roman"/>
      </w:rPr>
    </w:lvl>
    <w:lvl w:ilvl="1">
      <w:start w:val="1"/>
      <w:numFmt w:val="decimal"/>
      <w:lvlText w:val="%1.%2"/>
      <w:lvlJc w:val="left"/>
      <w:pPr>
        <w:tabs>
          <w:tab w:val="num" w:pos="576"/>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786"/>
        </w:tabs>
        <w:ind w:left="786" w:hanging="360"/>
      </w:pPr>
    </w:lvl>
  </w:abstractNum>
  <w:abstractNum w:abstractNumId="2">
    <w:nsid w:val="2C795F18"/>
    <w:multiLevelType w:val="hybridMultilevel"/>
    <w:tmpl w:val="BE289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956846"/>
    <w:multiLevelType w:val="hybridMultilevel"/>
    <w:tmpl w:val="F2E8722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63F5BA0"/>
    <w:multiLevelType w:val="hybridMultilevel"/>
    <w:tmpl w:val="DC7AF100"/>
    <w:lvl w:ilvl="0" w:tplc="967ED664">
      <w:start w:val="1"/>
      <w:numFmt w:val="decimal"/>
      <w:lvlText w:val="%1."/>
      <w:lvlJc w:val="left"/>
      <w:pPr>
        <w:ind w:left="720" w:hanging="360"/>
      </w:pPr>
      <w:rPr>
        <w:rFonts w:cs="Times New Roman"/>
        <w:color w:val="auto"/>
      </w:rPr>
    </w:lvl>
    <w:lvl w:ilvl="1" w:tplc="32A43C6C">
      <w:start w:val="1"/>
      <w:numFmt w:val="lowerLetter"/>
      <w:lvlText w:val="%2."/>
      <w:lvlJc w:val="left"/>
      <w:pPr>
        <w:ind w:left="1440" w:hanging="360"/>
      </w:pPr>
      <w:rPr>
        <w:rFonts w:cs="Times New Roman"/>
        <w:b w:val="0"/>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0143"/>
    <w:rsid w:val="00012052"/>
    <w:rsid w:val="000254FD"/>
    <w:rsid w:val="000543B7"/>
    <w:rsid w:val="00055080"/>
    <w:rsid w:val="0005773A"/>
    <w:rsid w:val="0006294E"/>
    <w:rsid w:val="00086A0A"/>
    <w:rsid w:val="00093D48"/>
    <w:rsid w:val="00096173"/>
    <w:rsid w:val="000A26AB"/>
    <w:rsid w:val="000C279E"/>
    <w:rsid w:val="000E31C6"/>
    <w:rsid w:val="000E37E5"/>
    <w:rsid w:val="000E4B0D"/>
    <w:rsid w:val="000F0806"/>
    <w:rsid w:val="00110D89"/>
    <w:rsid w:val="00113A9B"/>
    <w:rsid w:val="00122189"/>
    <w:rsid w:val="0012276D"/>
    <w:rsid w:val="00124A06"/>
    <w:rsid w:val="00124D75"/>
    <w:rsid w:val="0013112A"/>
    <w:rsid w:val="00150021"/>
    <w:rsid w:val="001534DF"/>
    <w:rsid w:val="00161B97"/>
    <w:rsid w:val="00162F98"/>
    <w:rsid w:val="00163116"/>
    <w:rsid w:val="001635A6"/>
    <w:rsid w:val="00174354"/>
    <w:rsid w:val="001757C7"/>
    <w:rsid w:val="001844C8"/>
    <w:rsid w:val="00184C6E"/>
    <w:rsid w:val="001901DF"/>
    <w:rsid w:val="00195969"/>
    <w:rsid w:val="001B28B9"/>
    <w:rsid w:val="001B2EE7"/>
    <w:rsid w:val="001B385A"/>
    <w:rsid w:val="001C13AF"/>
    <w:rsid w:val="001C1F72"/>
    <w:rsid w:val="001C1FC7"/>
    <w:rsid w:val="001D75E8"/>
    <w:rsid w:val="001E3C39"/>
    <w:rsid w:val="001E3CA3"/>
    <w:rsid w:val="001E3E1B"/>
    <w:rsid w:val="001F15CE"/>
    <w:rsid w:val="001F188F"/>
    <w:rsid w:val="00210DC0"/>
    <w:rsid w:val="00211162"/>
    <w:rsid w:val="00217624"/>
    <w:rsid w:val="00223477"/>
    <w:rsid w:val="002360D6"/>
    <w:rsid w:val="00243A64"/>
    <w:rsid w:val="00257210"/>
    <w:rsid w:val="00260068"/>
    <w:rsid w:val="00261D88"/>
    <w:rsid w:val="002709EB"/>
    <w:rsid w:val="00274321"/>
    <w:rsid w:val="00277D49"/>
    <w:rsid w:val="0029745A"/>
    <w:rsid w:val="002A15BC"/>
    <w:rsid w:val="002B5900"/>
    <w:rsid w:val="002B7CC3"/>
    <w:rsid w:val="002C538A"/>
    <w:rsid w:val="002E2997"/>
    <w:rsid w:val="002E6029"/>
    <w:rsid w:val="002F2CB1"/>
    <w:rsid w:val="002F59A5"/>
    <w:rsid w:val="00300424"/>
    <w:rsid w:val="00307B97"/>
    <w:rsid w:val="00311E6A"/>
    <w:rsid w:val="003139CB"/>
    <w:rsid w:val="00314F8E"/>
    <w:rsid w:val="00324B13"/>
    <w:rsid w:val="003545C8"/>
    <w:rsid w:val="00354E89"/>
    <w:rsid w:val="00357A29"/>
    <w:rsid w:val="00360956"/>
    <w:rsid w:val="00365AE7"/>
    <w:rsid w:val="00370F12"/>
    <w:rsid w:val="003714B0"/>
    <w:rsid w:val="003725E6"/>
    <w:rsid w:val="00374520"/>
    <w:rsid w:val="00374AEF"/>
    <w:rsid w:val="00375210"/>
    <w:rsid w:val="003763B5"/>
    <w:rsid w:val="003A350A"/>
    <w:rsid w:val="003C4522"/>
    <w:rsid w:val="003E3D69"/>
    <w:rsid w:val="003F34C3"/>
    <w:rsid w:val="0040499B"/>
    <w:rsid w:val="00405C9F"/>
    <w:rsid w:val="00432C5B"/>
    <w:rsid w:val="00434142"/>
    <w:rsid w:val="00434479"/>
    <w:rsid w:val="00440A33"/>
    <w:rsid w:val="004469D8"/>
    <w:rsid w:val="004479E0"/>
    <w:rsid w:val="00464D24"/>
    <w:rsid w:val="00473640"/>
    <w:rsid w:val="00497C93"/>
    <w:rsid w:val="004A2C43"/>
    <w:rsid w:val="004B0FD8"/>
    <w:rsid w:val="004B122B"/>
    <w:rsid w:val="004B55A4"/>
    <w:rsid w:val="004C09CB"/>
    <w:rsid w:val="004C7E4A"/>
    <w:rsid w:val="004D29A6"/>
    <w:rsid w:val="004D4E03"/>
    <w:rsid w:val="004D5056"/>
    <w:rsid w:val="004D50EB"/>
    <w:rsid w:val="004E7B23"/>
    <w:rsid w:val="004F06A8"/>
    <w:rsid w:val="004F4A98"/>
    <w:rsid w:val="004F5C13"/>
    <w:rsid w:val="00503311"/>
    <w:rsid w:val="00507D07"/>
    <w:rsid w:val="00530A04"/>
    <w:rsid w:val="0053149A"/>
    <w:rsid w:val="005316EE"/>
    <w:rsid w:val="00533F70"/>
    <w:rsid w:val="00536A53"/>
    <w:rsid w:val="00545487"/>
    <w:rsid w:val="00554994"/>
    <w:rsid w:val="005647EB"/>
    <w:rsid w:val="005742FB"/>
    <w:rsid w:val="005748D3"/>
    <w:rsid w:val="005A111D"/>
    <w:rsid w:val="005B0772"/>
    <w:rsid w:val="005B0FEC"/>
    <w:rsid w:val="005C1427"/>
    <w:rsid w:val="005D371F"/>
    <w:rsid w:val="005D4241"/>
    <w:rsid w:val="005F6E59"/>
    <w:rsid w:val="00601821"/>
    <w:rsid w:val="0060507A"/>
    <w:rsid w:val="00622544"/>
    <w:rsid w:val="00625A72"/>
    <w:rsid w:val="006405F0"/>
    <w:rsid w:val="00665F3F"/>
    <w:rsid w:val="0066791A"/>
    <w:rsid w:val="0067121C"/>
    <w:rsid w:val="006807B3"/>
    <w:rsid w:val="00680A45"/>
    <w:rsid w:val="006811E9"/>
    <w:rsid w:val="006A7631"/>
    <w:rsid w:val="006C6AD8"/>
    <w:rsid w:val="006D0C14"/>
    <w:rsid w:val="006D2DB0"/>
    <w:rsid w:val="006D760E"/>
    <w:rsid w:val="006E0F7A"/>
    <w:rsid w:val="006E2F81"/>
    <w:rsid w:val="006E78B6"/>
    <w:rsid w:val="006F2DA2"/>
    <w:rsid w:val="00704E11"/>
    <w:rsid w:val="00707373"/>
    <w:rsid w:val="00723954"/>
    <w:rsid w:val="00734929"/>
    <w:rsid w:val="00753A86"/>
    <w:rsid w:val="00757FA6"/>
    <w:rsid w:val="00766D91"/>
    <w:rsid w:val="00792AE8"/>
    <w:rsid w:val="00795445"/>
    <w:rsid w:val="007A461C"/>
    <w:rsid w:val="007B505A"/>
    <w:rsid w:val="007C3835"/>
    <w:rsid w:val="007D2098"/>
    <w:rsid w:val="007D2CA8"/>
    <w:rsid w:val="007D2DE0"/>
    <w:rsid w:val="007D6647"/>
    <w:rsid w:val="007E6645"/>
    <w:rsid w:val="00817C94"/>
    <w:rsid w:val="00822775"/>
    <w:rsid w:val="00844320"/>
    <w:rsid w:val="00856248"/>
    <w:rsid w:val="00863D8B"/>
    <w:rsid w:val="00876183"/>
    <w:rsid w:val="00886E7F"/>
    <w:rsid w:val="008871F0"/>
    <w:rsid w:val="008900ED"/>
    <w:rsid w:val="0089538D"/>
    <w:rsid w:val="008B0029"/>
    <w:rsid w:val="008B52E0"/>
    <w:rsid w:val="008C005B"/>
    <w:rsid w:val="008C31A3"/>
    <w:rsid w:val="008C5BC6"/>
    <w:rsid w:val="008F2CA3"/>
    <w:rsid w:val="0090421E"/>
    <w:rsid w:val="00905053"/>
    <w:rsid w:val="009241A0"/>
    <w:rsid w:val="00971441"/>
    <w:rsid w:val="009A25EB"/>
    <w:rsid w:val="009B0AC6"/>
    <w:rsid w:val="009B0E18"/>
    <w:rsid w:val="009B540D"/>
    <w:rsid w:val="009C2538"/>
    <w:rsid w:val="009D3FA9"/>
    <w:rsid w:val="009D5233"/>
    <w:rsid w:val="009F1901"/>
    <w:rsid w:val="00A01CC6"/>
    <w:rsid w:val="00A02CF9"/>
    <w:rsid w:val="00A21DBC"/>
    <w:rsid w:val="00A41AC1"/>
    <w:rsid w:val="00A648A2"/>
    <w:rsid w:val="00A70F34"/>
    <w:rsid w:val="00A92969"/>
    <w:rsid w:val="00A966C1"/>
    <w:rsid w:val="00AB1D35"/>
    <w:rsid w:val="00AC7F94"/>
    <w:rsid w:val="00AD0445"/>
    <w:rsid w:val="00AD093A"/>
    <w:rsid w:val="00AE0EA7"/>
    <w:rsid w:val="00B045C3"/>
    <w:rsid w:val="00B0618D"/>
    <w:rsid w:val="00B15AE0"/>
    <w:rsid w:val="00B22C35"/>
    <w:rsid w:val="00B234AE"/>
    <w:rsid w:val="00B24A79"/>
    <w:rsid w:val="00B3442F"/>
    <w:rsid w:val="00B34B61"/>
    <w:rsid w:val="00B40B13"/>
    <w:rsid w:val="00B40B75"/>
    <w:rsid w:val="00B4389E"/>
    <w:rsid w:val="00B51DE9"/>
    <w:rsid w:val="00B60B25"/>
    <w:rsid w:val="00B60DD0"/>
    <w:rsid w:val="00B61BF9"/>
    <w:rsid w:val="00B6517B"/>
    <w:rsid w:val="00B7394C"/>
    <w:rsid w:val="00B77D1C"/>
    <w:rsid w:val="00B858CA"/>
    <w:rsid w:val="00B96A44"/>
    <w:rsid w:val="00BA4CCB"/>
    <w:rsid w:val="00BB652D"/>
    <w:rsid w:val="00BC289E"/>
    <w:rsid w:val="00BD0FD3"/>
    <w:rsid w:val="00BD1491"/>
    <w:rsid w:val="00BE7B86"/>
    <w:rsid w:val="00C03809"/>
    <w:rsid w:val="00C1604D"/>
    <w:rsid w:val="00C17E35"/>
    <w:rsid w:val="00C3757F"/>
    <w:rsid w:val="00C557BF"/>
    <w:rsid w:val="00C72378"/>
    <w:rsid w:val="00C74492"/>
    <w:rsid w:val="00C76611"/>
    <w:rsid w:val="00C77F24"/>
    <w:rsid w:val="00C803E2"/>
    <w:rsid w:val="00C9363A"/>
    <w:rsid w:val="00C93D31"/>
    <w:rsid w:val="00CB6566"/>
    <w:rsid w:val="00CB6EC5"/>
    <w:rsid w:val="00CD0010"/>
    <w:rsid w:val="00CD793F"/>
    <w:rsid w:val="00CE0165"/>
    <w:rsid w:val="00CE37B1"/>
    <w:rsid w:val="00CE5B0C"/>
    <w:rsid w:val="00CF00E4"/>
    <w:rsid w:val="00CF16F8"/>
    <w:rsid w:val="00D039F6"/>
    <w:rsid w:val="00D10547"/>
    <w:rsid w:val="00D316B5"/>
    <w:rsid w:val="00D34611"/>
    <w:rsid w:val="00D3512D"/>
    <w:rsid w:val="00D4724A"/>
    <w:rsid w:val="00D57452"/>
    <w:rsid w:val="00D635E0"/>
    <w:rsid w:val="00D74868"/>
    <w:rsid w:val="00D76451"/>
    <w:rsid w:val="00D901F4"/>
    <w:rsid w:val="00D910B4"/>
    <w:rsid w:val="00D96C83"/>
    <w:rsid w:val="00DA55C1"/>
    <w:rsid w:val="00DC325D"/>
    <w:rsid w:val="00DD7E3F"/>
    <w:rsid w:val="00DE341C"/>
    <w:rsid w:val="00DF2EC3"/>
    <w:rsid w:val="00E0379E"/>
    <w:rsid w:val="00E079B1"/>
    <w:rsid w:val="00E11390"/>
    <w:rsid w:val="00E31298"/>
    <w:rsid w:val="00E32357"/>
    <w:rsid w:val="00E326D2"/>
    <w:rsid w:val="00E43FEC"/>
    <w:rsid w:val="00E50CEF"/>
    <w:rsid w:val="00E535BB"/>
    <w:rsid w:val="00E558DA"/>
    <w:rsid w:val="00E632BD"/>
    <w:rsid w:val="00E64DCC"/>
    <w:rsid w:val="00E75309"/>
    <w:rsid w:val="00E762B9"/>
    <w:rsid w:val="00E82E97"/>
    <w:rsid w:val="00E841B4"/>
    <w:rsid w:val="00E918C7"/>
    <w:rsid w:val="00EA125F"/>
    <w:rsid w:val="00EA5A5D"/>
    <w:rsid w:val="00EB4CDD"/>
    <w:rsid w:val="00EB7631"/>
    <w:rsid w:val="00EB7F1B"/>
    <w:rsid w:val="00ED3465"/>
    <w:rsid w:val="00F14E76"/>
    <w:rsid w:val="00F15E52"/>
    <w:rsid w:val="00F15FB9"/>
    <w:rsid w:val="00F16B38"/>
    <w:rsid w:val="00F213FE"/>
    <w:rsid w:val="00F2691D"/>
    <w:rsid w:val="00F277DC"/>
    <w:rsid w:val="00F303E4"/>
    <w:rsid w:val="00F60F91"/>
    <w:rsid w:val="00F67B23"/>
    <w:rsid w:val="00F85DB6"/>
    <w:rsid w:val="00FA14F7"/>
    <w:rsid w:val="00FA45E6"/>
    <w:rsid w:val="00FA6BC4"/>
    <w:rsid w:val="00FC1B3B"/>
    <w:rsid w:val="00FC1CE3"/>
    <w:rsid w:val="00FC2FF0"/>
    <w:rsid w:val="00FC4D26"/>
    <w:rsid w:val="00FD7526"/>
    <w:rsid w:val="00FD75DB"/>
    <w:rsid w:val="00FE0143"/>
    <w:rsid w:val="00FE3A82"/>
    <w:rsid w:val="00FF0FAF"/>
    <w:rsid w:val="00FF6205"/>
    <w:rsid w:val="00FF6735"/>
    <w:rsid w:val="00FF7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B34B61"/>
    <w:pPr>
      <w:suppressAutoHyphens/>
    </w:pPr>
    <w:rPr>
      <w:sz w:val="20"/>
      <w:szCs w:val="20"/>
      <w:lang w:eastAsia="ar-SA"/>
    </w:rPr>
  </w:style>
  <w:style w:type="paragraph" w:styleId="Nadpis1">
    <w:name w:val="heading 1"/>
    <w:basedOn w:val="Normln"/>
    <w:next w:val="Normln"/>
    <w:link w:val="Nadpis1Char"/>
    <w:uiPriority w:val="99"/>
    <w:qFormat/>
    <w:rsid w:val="00B34B61"/>
    <w:pPr>
      <w:keepNext/>
      <w:spacing w:before="238"/>
      <w:outlineLvl w:val="0"/>
    </w:pPr>
    <w:rPr>
      <w:rFonts w:ascii="Arial" w:hAnsi="Arial"/>
      <w:b/>
      <w:caps/>
      <w:kern w:val="1"/>
      <w:sz w:val="32"/>
    </w:rPr>
  </w:style>
  <w:style w:type="paragraph" w:styleId="Nadpis2">
    <w:name w:val="heading 2"/>
    <w:basedOn w:val="Normln"/>
    <w:next w:val="Normln"/>
    <w:link w:val="Nadpis2Char"/>
    <w:qFormat/>
    <w:rsid w:val="00B34B61"/>
    <w:pPr>
      <w:keepNext/>
      <w:spacing w:before="238"/>
      <w:outlineLvl w:val="1"/>
    </w:pPr>
    <w:rPr>
      <w:rFonts w:ascii="Arial" w:hAnsi="Arial"/>
      <w:b/>
      <w:sz w:val="28"/>
    </w:rPr>
  </w:style>
  <w:style w:type="paragraph" w:styleId="Nadpis3">
    <w:name w:val="heading 3"/>
    <w:basedOn w:val="Normln"/>
    <w:next w:val="Normln"/>
    <w:link w:val="Nadpis3Char"/>
    <w:uiPriority w:val="99"/>
    <w:qFormat/>
    <w:rsid w:val="00B34B61"/>
    <w:pPr>
      <w:keepNext/>
      <w:spacing w:before="238"/>
      <w:outlineLvl w:val="2"/>
    </w:pPr>
    <w:rPr>
      <w:rFonts w:ascii="Arial Narrow" w:hAnsi="Arial Narrow"/>
      <w:b/>
      <w:sz w:val="24"/>
    </w:rPr>
  </w:style>
  <w:style w:type="paragraph" w:styleId="Nadpis4">
    <w:name w:val="heading 4"/>
    <w:basedOn w:val="Normln"/>
    <w:next w:val="Normln"/>
    <w:link w:val="Nadpis4Char"/>
    <w:uiPriority w:val="99"/>
    <w:qFormat/>
    <w:rsid w:val="00B34B61"/>
    <w:pPr>
      <w:keepNext/>
      <w:spacing w:before="240" w:after="60"/>
      <w:outlineLvl w:val="3"/>
    </w:pPr>
    <w:rPr>
      <w:rFonts w:ascii="Arial" w:hAnsi="Arial"/>
      <w:b/>
      <w:sz w:val="32"/>
    </w:rPr>
  </w:style>
  <w:style w:type="paragraph" w:styleId="Nadpis5">
    <w:name w:val="heading 5"/>
    <w:basedOn w:val="Normln"/>
    <w:next w:val="Normln"/>
    <w:link w:val="Nadpis5Char"/>
    <w:uiPriority w:val="99"/>
    <w:qFormat/>
    <w:rsid w:val="00B34B61"/>
    <w:pPr>
      <w:spacing w:before="240" w:after="60"/>
      <w:outlineLvl w:val="4"/>
    </w:pPr>
    <w:rPr>
      <w:rFonts w:ascii="Arial" w:hAnsi="Arial"/>
      <w:b/>
      <w:sz w:val="32"/>
    </w:rPr>
  </w:style>
  <w:style w:type="paragraph" w:styleId="Nadpis6">
    <w:name w:val="heading 6"/>
    <w:basedOn w:val="Normln"/>
    <w:next w:val="Normln"/>
    <w:link w:val="Nadpis6Char"/>
    <w:uiPriority w:val="99"/>
    <w:qFormat/>
    <w:rsid w:val="00B34B61"/>
    <w:pPr>
      <w:spacing w:before="240" w:after="60"/>
      <w:outlineLvl w:val="5"/>
    </w:pPr>
    <w:rPr>
      <w:b/>
      <w:sz w:val="22"/>
    </w:rPr>
  </w:style>
  <w:style w:type="paragraph" w:styleId="Nadpis7">
    <w:name w:val="heading 7"/>
    <w:basedOn w:val="Normln"/>
    <w:next w:val="Normln"/>
    <w:link w:val="Nadpis7Char"/>
    <w:uiPriority w:val="99"/>
    <w:qFormat/>
    <w:rsid w:val="00B34B61"/>
    <w:pPr>
      <w:spacing w:before="240" w:after="60"/>
      <w:outlineLvl w:val="6"/>
    </w:pPr>
    <w:rPr>
      <w:sz w:val="24"/>
    </w:rPr>
  </w:style>
  <w:style w:type="paragraph" w:styleId="Nadpis8">
    <w:name w:val="heading 8"/>
    <w:basedOn w:val="Normln"/>
    <w:next w:val="Normln"/>
    <w:link w:val="Nadpis8Char"/>
    <w:uiPriority w:val="99"/>
    <w:qFormat/>
    <w:rsid w:val="00B34B61"/>
    <w:pPr>
      <w:spacing w:before="240" w:after="60"/>
      <w:outlineLvl w:val="7"/>
    </w:pPr>
    <w:rPr>
      <w:i/>
      <w:sz w:val="24"/>
    </w:rPr>
  </w:style>
  <w:style w:type="paragraph" w:styleId="Nadpis9">
    <w:name w:val="heading 9"/>
    <w:basedOn w:val="Normln"/>
    <w:next w:val="Normln"/>
    <w:link w:val="Nadpis9Char"/>
    <w:uiPriority w:val="99"/>
    <w:qFormat/>
    <w:rsid w:val="00B34B61"/>
    <w:p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34B61"/>
    <w:rPr>
      <w:rFonts w:ascii="Arial" w:hAnsi="Arial" w:cs="Times New Roman"/>
      <w:b/>
      <w:caps/>
      <w:kern w:val="1"/>
      <w:sz w:val="32"/>
      <w:lang w:eastAsia="ar-SA" w:bidi="ar-SA"/>
    </w:rPr>
  </w:style>
  <w:style w:type="character" w:customStyle="1" w:styleId="Nadpis2Char">
    <w:name w:val="Nadpis 2 Char"/>
    <w:basedOn w:val="Standardnpsmoodstavce"/>
    <w:link w:val="Nadpis2"/>
    <w:locked/>
    <w:rsid w:val="00B34B61"/>
    <w:rPr>
      <w:rFonts w:ascii="Arial" w:hAnsi="Arial" w:cs="Times New Roman"/>
      <w:b/>
      <w:sz w:val="28"/>
      <w:lang w:eastAsia="ar-SA" w:bidi="ar-SA"/>
    </w:rPr>
  </w:style>
  <w:style w:type="character" w:customStyle="1" w:styleId="Nadpis3Char">
    <w:name w:val="Nadpis 3 Char"/>
    <w:basedOn w:val="Standardnpsmoodstavce"/>
    <w:link w:val="Nadpis3"/>
    <w:uiPriority w:val="99"/>
    <w:locked/>
    <w:rsid w:val="00B34B61"/>
    <w:rPr>
      <w:rFonts w:ascii="Arial Narrow" w:hAnsi="Arial Narrow" w:cs="Times New Roman"/>
      <w:b/>
      <w:sz w:val="24"/>
      <w:lang w:eastAsia="ar-SA" w:bidi="ar-SA"/>
    </w:rPr>
  </w:style>
  <w:style w:type="character" w:customStyle="1" w:styleId="Nadpis4Char">
    <w:name w:val="Nadpis 4 Char"/>
    <w:basedOn w:val="Standardnpsmoodstavce"/>
    <w:link w:val="Nadpis4"/>
    <w:uiPriority w:val="99"/>
    <w:locked/>
    <w:rsid w:val="00B34B61"/>
    <w:rPr>
      <w:rFonts w:ascii="Arial" w:hAnsi="Arial" w:cs="Times New Roman"/>
      <w:b/>
      <w:sz w:val="32"/>
      <w:lang w:eastAsia="ar-SA" w:bidi="ar-SA"/>
    </w:rPr>
  </w:style>
  <w:style w:type="character" w:customStyle="1" w:styleId="Nadpis5Char">
    <w:name w:val="Nadpis 5 Char"/>
    <w:basedOn w:val="Standardnpsmoodstavce"/>
    <w:link w:val="Nadpis5"/>
    <w:uiPriority w:val="99"/>
    <w:locked/>
    <w:rsid w:val="00B34B61"/>
    <w:rPr>
      <w:rFonts w:ascii="Arial" w:hAnsi="Arial" w:cs="Times New Roman"/>
      <w:b/>
      <w:sz w:val="32"/>
      <w:lang w:eastAsia="ar-SA" w:bidi="ar-SA"/>
    </w:rPr>
  </w:style>
  <w:style w:type="character" w:customStyle="1" w:styleId="Nadpis6Char">
    <w:name w:val="Nadpis 6 Char"/>
    <w:basedOn w:val="Standardnpsmoodstavce"/>
    <w:link w:val="Nadpis6"/>
    <w:uiPriority w:val="99"/>
    <w:locked/>
    <w:rsid w:val="00B34B61"/>
    <w:rPr>
      <w:rFonts w:cs="Times New Roman"/>
      <w:b/>
      <w:sz w:val="22"/>
      <w:lang w:eastAsia="ar-SA" w:bidi="ar-SA"/>
    </w:rPr>
  </w:style>
  <w:style w:type="character" w:customStyle="1" w:styleId="Nadpis7Char">
    <w:name w:val="Nadpis 7 Char"/>
    <w:basedOn w:val="Standardnpsmoodstavce"/>
    <w:link w:val="Nadpis7"/>
    <w:uiPriority w:val="99"/>
    <w:locked/>
    <w:rsid w:val="00B34B61"/>
    <w:rPr>
      <w:rFonts w:cs="Times New Roman"/>
      <w:sz w:val="24"/>
      <w:lang w:eastAsia="ar-SA" w:bidi="ar-SA"/>
    </w:rPr>
  </w:style>
  <w:style w:type="character" w:customStyle="1" w:styleId="Nadpis8Char">
    <w:name w:val="Nadpis 8 Char"/>
    <w:basedOn w:val="Standardnpsmoodstavce"/>
    <w:link w:val="Nadpis8"/>
    <w:uiPriority w:val="99"/>
    <w:locked/>
    <w:rsid w:val="00B34B61"/>
    <w:rPr>
      <w:rFonts w:cs="Times New Roman"/>
      <w:i/>
      <w:sz w:val="24"/>
      <w:lang w:eastAsia="ar-SA" w:bidi="ar-SA"/>
    </w:rPr>
  </w:style>
  <w:style w:type="character" w:customStyle="1" w:styleId="Nadpis9Char">
    <w:name w:val="Nadpis 9 Char"/>
    <w:basedOn w:val="Standardnpsmoodstavce"/>
    <w:link w:val="Nadpis9"/>
    <w:uiPriority w:val="99"/>
    <w:locked/>
    <w:rsid w:val="00B34B61"/>
    <w:rPr>
      <w:rFonts w:ascii="Arial" w:hAnsi="Arial" w:cs="Times New Roman"/>
      <w:sz w:val="22"/>
      <w:lang w:eastAsia="ar-SA" w:bidi="ar-SA"/>
    </w:rPr>
  </w:style>
  <w:style w:type="paragraph" w:styleId="Hlavikaobsahu">
    <w:name w:val="toa heading"/>
    <w:basedOn w:val="Normln"/>
    <w:next w:val="Normln"/>
    <w:uiPriority w:val="99"/>
    <w:semiHidden/>
    <w:rsid w:val="00B34B61"/>
    <w:pPr>
      <w:spacing w:before="120"/>
    </w:pPr>
    <w:rPr>
      <w:rFonts w:ascii="Cambria" w:hAnsi="Cambria"/>
      <w:b/>
      <w:bCs/>
      <w:sz w:val="24"/>
      <w:szCs w:val="24"/>
    </w:rPr>
  </w:style>
  <w:style w:type="paragraph" w:styleId="Odstavecseseznamem">
    <w:name w:val="List Paragraph"/>
    <w:basedOn w:val="Normln"/>
    <w:uiPriority w:val="34"/>
    <w:qFormat/>
    <w:rsid w:val="00F303E4"/>
    <w:pPr>
      <w:ind w:left="720"/>
      <w:contextualSpacing/>
    </w:pPr>
  </w:style>
  <w:style w:type="paragraph" w:styleId="Textbubliny">
    <w:name w:val="Balloon Text"/>
    <w:basedOn w:val="Normln"/>
    <w:link w:val="TextbublinyChar"/>
    <w:uiPriority w:val="99"/>
    <w:semiHidden/>
    <w:rsid w:val="00F303E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303E4"/>
    <w:rPr>
      <w:rFonts w:ascii="Tahoma" w:hAnsi="Tahoma" w:cs="Tahoma"/>
      <w:sz w:val="16"/>
      <w:szCs w:val="16"/>
      <w:lang w:eastAsia="ar-SA" w:bidi="ar-SA"/>
    </w:rPr>
  </w:style>
  <w:style w:type="paragraph" w:styleId="Zhlav">
    <w:name w:val="header"/>
    <w:basedOn w:val="Normln"/>
    <w:link w:val="ZhlavChar"/>
    <w:uiPriority w:val="99"/>
    <w:semiHidden/>
    <w:rsid w:val="00F303E4"/>
    <w:pPr>
      <w:tabs>
        <w:tab w:val="center" w:pos="4536"/>
        <w:tab w:val="right" w:pos="9072"/>
      </w:tabs>
    </w:pPr>
  </w:style>
  <w:style w:type="character" w:customStyle="1" w:styleId="ZhlavChar">
    <w:name w:val="Záhlaví Char"/>
    <w:basedOn w:val="Standardnpsmoodstavce"/>
    <w:link w:val="Zhlav"/>
    <w:uiPriority w:val="99"/>
    <w:semiHidden/>
    <w:locked/>
    <w:rsid w:val="00F303E4"/>
    <w:rPr>
      <w:rFonts w:cs="Times New Roman"/>
      <w:lang w:eastAsia="ar-SA" w:bidi="ar-SA"/>
    </w:rPr>
  </w:style>
  <w:style w:type="paragraph" w:styleId="Zpat">
    <w:name w:val="footer"/>
    <w:basedOn w:val="Normln"/>
    <w:link w:val="ZpatChar"/>
    <w:uiPriority w:val="99"/>
    <w:rsid w:val="00F303E4"/>
    <w:pPr>
      <w:tabs>
        <w:tab w:val="center" w:pos="4536"/>
        <w:tab w:val="right" w:pos="9072"/>
      </w:tabs>
    </w:pPr>
  </w:style>
  <w:style w:type="character" w:customStyle="1" w:styleId="ZpatChar">
    <w:name w:val="Zápatí Char"/>
    <w:basedOn w:val="Standardnpsmoodstavce"/>
    <w:link w:val="Zpat"/>
    <w:uiPriority w:val="99"/>
    <w:locked/>
    <w:rsid w:val="00F303E4"/>
    <w:rPr>
      <w:rFonts w:cs="Times New Roman"/>
      <w:lang w:eastAsia="ar-SA" w:bidi="ar-SA"/>
    </w:rPr>
  </w:style>
  <w:style w:type="character" w:styleId="Hypertextovodkaz">
    <w:name w:val="Hyperlink"/>
    <w:basedOn w:val="Standardnpsmoodstavce"/>
    <w:uiPriority w:val="99"/>
    <w:locked/>
    <w:rsid w:val="0040499B"/>
    <w:rPr>
      <w:color w:val="0000FF"/>
      <w:u w:val="single"/>
    </w:rPr>
  </w:style>
  <w:style w:type="paragraph" w:styleId="Textpoznpodarou">
    <w:name w:val="footnote text"/>
    <w:basedOn w:val="Normln"/>
    <w:link w:val="TextpoznpodarouChar"/>
    <w:locked/>
    <w:rsid w:val="0040499B"/>
  </w:style>
  <w:style w:type="character" w:customStyle="1" w:styleId="TextpoznpodarouChar">
    <w:name w:val="Text pozn. pod čarou Char"/>
    <w:basedOn w:val="Standardnpsmoodstavce"/>
    <w:link w:val="Textpoznpodarou"/>
    <w:rsid w:val="0040499B"/>
    <w:rPr>
      <w:sz w:val="20"/>
      <w:szCs w:val="20"/>
      <w:lang w:eastAsia="ar-SA"/>
    </w:rPr>
  </w:style>
  <w:style w:type="character" w:styleId="Znakapoznpodarou">
    <w:name w:val="footnote reference"/>
    <w:basedOn w:val="Standardnpsmoodstavce"/>
    <w:uiPriority w:val="99"/>
    <w:semiHidden/>
    <w:unhideWhenUsed/>
    <w:locked/>
    <w:rsid w:val="0040499B"/>
    <w:rPr>
      <w:vertAlign w:val="superscript"/>
    </w:rPr>
  </w:style>
  <w:style w:type="paragraph" w:styleId="Titulek">
    <w:name w:val="caption"/>
    <w:basedOn w:val="Normln"/>
    <w:next w:val="Normln"/>
    <w:uiPriority w:val="35"/>
    <w:unhideWhenUsed/>
    <w:qFormat/>
    <w:locked/>
    <w:rsid w:val="0040499B"/>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Venca\Plocha\9.semestr\diplomka\&#16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Venca\Plocha\9.semestr\diplomka\&#16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Venca\Plocha\9.semestr\diplomka\&#16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80087051618548144"/>
          <c:h val="0.8326195683872849"/>
        </c:manualLayout>
      </c:layout>
      <c:barChart>
        <c:barDir val="col"/>
        <c:grouping val="clustered"/>
        <c:varyColors val="0"/>
        <c:ser>
          <c:idx val="0"/>
          <c:order val="0"/>
          <c:tx>
            <c:strRef>
              <c:f>List5!$B$1</c:f>
              <c:strCache>
                <c:ptCount val="1"/>
                <c:pt idx="0">
                  <c:v>abs. četnost</c:v>
                </c:pt>
              </c:strCache>
            </c:strRef>
          </c:tx>
          <c:invertIfNegative val="0"/>
          <c:cat>
            <c:strRef>
              <c:f>List5!$A$2:$A$18</c:f>
              <c:strCache>
                <c:ptCount val="17"/>
                <c:pt idx="0">
                  <c:v>a</c:v>
                </c:pt>
                <c:pt idx="1">
                  <c:v>b</c:v>
                </c:pt>
                <c:pt idx="2">
                  <c:v>bd</c:v>
                </c:pt>
                <c:pt idx="3">
                  <c:v>be</c:v>
                </c:pt>
                <c:pt idx="4">
                  <c:v>bf</c:v>
                </c:pt>
                <c:pt idx="5">
                  <c:v>c</c:v>
                </c:pt>
                <c:pt idx="6">
                  <c:v>cd</c:v>
                </c:pt>
                <c:pt idx="7">
                  <c:v>ce</c:v>
                </c:pt>
                <c:pt idx="8">
                  <c:v>cf</c:v>
                </c:pt>
                <c:pt idx="9">
                  <c:v>d</c:v>
                </c:pt>
                <c:pt idx="10">
                  <c:v>df</c:v>
                </c:pt>
                <c:pt idx="11">
                  <c:v>e</c:v>
                </c:pt>
                <c:pt idx="12">
                  <c:v>ef</c:v>
                </c:pt>
                <c:pt idx="13">
                  <c:v>f</c:v>
                </c:pt>
                <c:pt idx="14">
                  <c:v>fd</c:v>
                </c:pt>
                <c:pt idx="15">
                  <c:v>fg</c:v>
                </c:pt>
                <c:pt idx="16">
                  <c:v>g</c:v>
                </c:pt>
              </c:strCache>
            </c:strRef>
          </c:cat>
          <c:val>
            <c:numRef>
              <c:f>List5!$B$2:$B$18</c:f>
              <c:numCache>
                <c:formatCode>General</c:formatCode>
                <c:ptCount val="17"/>
                <c:pt idx="0">
                  <c:v>90</c:v>
                </c:pt>
                <c:pt idx="1">
                  <c:v>22</c:v>
                </c:pt>
                <c:pt idx="2">
                  <c:v>10</c:v>
                </c:pt>
                <c:pt idx="3">
                  <c:v>2</c:v>
                </c:pt>
                <c:pt idx="4">
                  <c:v>13</c:v>
                </c:pt>
                <c:pt idx="5">
                  <c:v>59</c:v>
                </c:pt>
                <c:pt idx="6">
                  <c:v>15</c:v>
                </c:pt>
                <c:pt idx="7">
                  <c:v>4</c:v>
                </c:pt>
                <c:pt idx="8">
                  <c:v>4</c:v>
                </c:pt>
                <c:pt idx="9">
                  <c:v>31</c:v>
                </c:pt>
                <c:pt idx="10">
                  <c:v>9</c:v>
                </c:pt>
                <c:pt idx="11">
                  <c:v>13</c:v>
                </c:pt>
                <c:pt idx="12">
                  <c:v>16</c:v>
                </c:pt>
                <c:pt idx="13">
                  <c:v>43</c:v>
                </c:pt>
                <c:pt idx="14">
                  <c:v>1</c:v>
                </c:pt>
                <c:pt idx="15">
                  <c:v>14</c:v>
                </c:pt>
                <c:pt idx="16">
                  <c:v>28</c:v>
                </c:pt>
              </c:numCache>
            </c:numRef>
          </c:val>
        </c:ser>
        <c:dLbls>
          <c:showLegendKey val="0"/>
          <c:showVal val="0"/>
          <c:showCatName val="0"/>
          <c:showSerName val="0"/>
          <c:showPercent val="0"/>
          <c:showBubbleSize val="0"/>
        </c:dLbls>
        <c:gapWidth val="150"/>
        <c:axId val="136624384"/>
        <c:axId val="136626176"/>
      </c:barChart>
      <c:lineChart>
        <c:grouping val="standard"/>
        <c:varyColors val="0"/>
        <c:ser>
          <c:idx val="1"/>
          <c:order val="1"/>
          <c:tx>
            <c:strRef>
              <c:f>List5!$C$1</c:f>
              <c:strCache>
                <c:ptCount val="1"/>
                <c:pt idx="0">
                  <c:v>rel. četnost</c:v>
                </c:pt>
              </c:strCache>
            </c:strRef>
          </c:tx>
          <c:marker>
            <c:symbol val="none"/>
          </c:marker>
          <c:cat>
            <c:strRef>
              <c:f>List5!$A$2:$A$18</c:f>
              <c:strCache>
                <c:ptCount val="17"/>
                <c:pt idx="0">
                  <c:v>a</c:v>
                </c:pt>
                <c:pt idx="1">
                  <c:v>b</c:v>
                </c:pt>
                <c:pt idx="2">
                  <c:v>bd</c:v>
                </c:pt>
                <c:pt idx="3">
                  <c:v>be</c:v>
                </c:pt>
                <c:pt idx="4">
                  <c:v>bf</c:v>
                </c:pt>
                <c:pt idx="5">
                  <c:v>c</c:v>
                </c:pt>
                <c:pt idx="6">
                  <c:v>cd</c:v>
                </c:pt>
                <c:pt idx="7">
                  <c:v>ce</c:v>
                </c:pt>
                <c:pt idx="8">
                  <c:v>cf</c:v>
                </c:pt>
                <c:pt idx="9">
                  <c:v>d</c:v>
                </c:pt>
                <c:pt idx="10">
                  <c:v>df</c:v>
                </c:pt>
                <c:pt idx="11">
                  <c:v>e</c:v>
                </c:pt>
                <c:pt idx="12">
                  <c:v>ef</c:v>
                </c:pt>
                <c:pt idx="13">
                  <c:v>f</c:v>
                </c:pt>
                <c:pt idx="14">
                  <c:v>fd</c:v>
                </c:pt>
                <c:pt idx="15">
                  <c:v>fg</c:v>
                </c:pt>
                <c:pt idx="16">
                  <c:v>g</c:v>
                </c:pt>
              </c:strCache>
            </c:strRef>
          </c:cat>
          <c:val>
            <c:numRef>
              <c:f>List5!$C$2:$C$18</c:f>
              <c:numCache>
                <c:formatCode>0.00%</c:formatCode>
                <c:ptCount val="17"/>
                <c:pt idx="0">
                  <c:v>0.24100000000000021</c:v>
                </c:pt>
                <c:pt idx="1">
                  <c:v>5.9000000000000163E-2</c:v>
                </c:pt>
                <c:pt idx="2">
                  <c:v>2.7000000000000086E-2</c:v>
                </c:pt>
                <c:pt idx="3">
                  <c:v>5.0000000000000114E-3</c:v>
                </c:pt>
                <c:pt idx="4">
                  <c:v>3.500000000000001E-2</c:v>
                </c:pt>
                <c:pt idx="5">
                  <c:v>0.1580000000000005</c:v>
                </c:pt>
                <c:pt idx="6">
                  <c:v>4.0000000000000022E-2</c:v>
                </c:pt>
                <c:pt idx="7">
                  <c:v>1.0999999999999998E-2</c:v>
                </c:pt>
                <c:pt idx="8">
                  <c:v>1.0999999999999998E-2</c:v>
                </c:pt>
                <c:pt idx="9">
                  <c:v>8.3000000000000046E-2</c:v>
                </c:pt>
                <c:pt idx="10">
                  <c:v>2.4E-2</c:v>
                </c:pt>
                <c:pt idx="11">
                  <c:v>3.500000000000001E-2</c:v>
                </c:pt>
                <c:pt idx="12">
                  <c:v>4.3000000000000003E-2</c:v>
                </c:pt>
                <c:pt idx="13">
                  <c:v>0.115</c:v>
                </c:pt>
                <c:pt idx="14">
                  <c:v>3.0000000000000079E-3</c:v>
                </c:pt>
                <c:pt idx="15">
                  <c:v>3.6999999999999998E-2</c:v>
                </c:pt>
                <c:pt idx="16">
                  <c:v>7.5000000000000011E-2</c:v>
                </c:pt>
              </c:numCache>
            </c:numRef>
          </c:val>
          <c:smooth val="0"/>
        </c:ser>
        <c:dLbls>
          <c:showLegendKey val="0"/>
          <c:showVal val="0"/>
          <c:showCatName val="0"/>
          <c:showSerName val="0"/>
          <c:showPercent val="0"/>
          <c:showBubbleSize val="0"/>
        </c:dLbls>
        <c:marker val="1"/>
        <c:smooth val="0"/>
        <c:axId val="136629248"/>
        <c:axId val="136627712"/>
      </c:lineChart>
      <c:catAx>
        <c:axId val="136624384"/>
        <c:scaling>
          <c:orientation val="minMax"/>
        </c:scaling>
        <c:delete val="0"/>
        <c:axPos val="b"/>
        <c:majorTickMark val="out"/>
        <c:minorTickMark val="none"/>
        <c:tickLblPos val="nextTo"/>
        <c:crossAx val="136626176"/>
        <c:crosses val="autoZero"/>
        <c:auto val="1"/>
        <c:lblAlgn val="ctr"/>
        <c:lblOffset val="100"/>
        <c:noMultiLvlLbl val="0"/>
      </c:catAx>
      <c:valAx>
        <c:axId val="136626176"/>
        <c:scaling>
          <c:orientation val="minMax"/>
        </c:scaling>
        <c:delete val="0"/>
        <c:axPos val="l"/>
        <c:majorGridlines/>
        <c:numFmt formatCode="General" sourceLinked="1"/>
        <c:majorTickMark val="out"/>
        <c:minorTickMark val="none"/>
        <c:tickLblPos val="nextTo"/>
        <c:crossAx val="136624384"/>
        <c:crosses val="autoZero"/>
        <c:crossBetween val="between"/>
      </c:valAx>
      <c:valAx>
        <c:axId val="136627712"/>
        <c:scaling>
          <c:orientation val="minMax"/>
          <c:max val="0.4"/>
          <c:min val="0"/>
        </c:scaling>
        <c:delete val="0"/>
        <c:axPos val="r"/>
        <c:numFmt formatCode="0.00%" sourceLinked="1"/>
        <c:majorTickMark val="out"/>
        <c:minorTickMark val="none"/>
        <c:tickLblPos val="nextTo"/>
        <c:crossAx val="136629248"/>
        <c:crosses val="max"/>
        <c:crossBetween val="between"/>
      </c:valAx>
      <c:catAx>
        <c:axId val="136629248"/>
        <c:scaling>
          <c:orientation val="minMax"/>
        </c:scaling>
        <c:delete val="1"/>
        <c:axPos val="b"/>
        <c:majorTickMark val="out"/>
        <c:minorTickMark val="none"/>
        <c:tickLblPos val="none"/>
        <c:crossAx val="136627712"/>
        <c:crosses val="autoZero"/>
        <c:auto val="1"/>
        <c:lblAlgn val="ctr"/>
        <c:lblOffset val="100"/>
        <c:noMultiLvlLbl val="0"/>
      </c:catAx>
    </c:plotArea>
    <c:legend>
      <c:legendPos val="r"/>
      <c:layout>
        <c:manualLayout>
          <c:xMode val="edge"/>
          <c:yMode val="edge"/>
          <c:x val="0.67198600174978163"/>
          <c:y val="5.5171697287839022E-2"/>
          <c:w val="0.21968066491688537"/>
          <c:h val="0.1674343832021007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33E-2"/>
          <c:y val="5.1400554097404488E-2"/>
          <c:w val="0.79151290463691693"/>
          <c:h val="0.72098060659084628"/>
        </c:manualLayout>
      </c:layout>
      <c:barChart>
        <c:barDir val="col"/>
        <c:grouping val="clustered"/>
        <c:varyColors val="0"/>
        <c:ser>
          <c:idx val="0"/>
          <c:order val="0"/>
          <c:tx>
            <c:strRef>
              <c:f>List6!$B$1</c:f>
              <c:strCache>
                <c:ptCount val="1"/>
                <c:pt idx="0">
                  <c:v>abs. četnost</c:v>
                </c:pt>
              </c:strCache>
            </c:strRef>
          </c:tx>
          <c:invertIfNegative val="0"/>
          <c:cat>
            <c:strRef>
              <c:f>List6!$A$2:$A$6</c:f>
              <c:strCache>
                <c:ptCount val="5"/>
                <c:pt idx="0">
                  <c:v>žádná reakce</c:v>
                </c:pt>
                <c:pt idx="1">
                  <c:v>autobus</c:v>
                </c:pt>
                <c:pt idx="2">
                  <c:v>auto</c:v>
                </c:pt>
                <c:pt idx="3">
                  <c:v>neuskutečnění cesty</c:v>
                </c:pt>
                <c:pt idx="4">
                  <c:v>jinak</c:v>
                </c:pt>
              </c:strCache>
            </c:strRef>
          </c:cat>
          <c:val>
            <c:numRef>
              <c:f>List6!$B$2:$B$6</c:f>
              <c:numCache>
                <c:formatCode>General</c:formatCode>
                <c:ptCount val="5"/>
                <c:pt idx="0">
                  <c:v>284</c:v>
                </c:pt>
                <c:pt idx="1">
                  <c:v>76</c:v>
                </c:pt>
                <c:pt idx="2">
                  <c:v>9</c:v>
                </c:pt>
                <c:pt idx="3">
                  <c:v>2</c:v>
                </c:pt>
                <c:pt idx="4">
                  <c:v>1</c:v>
                </c:pt>
              </c:numCache>
            </c:numRef>
          </c:val>
        </c:ser>
        <c:dLbls>
          <c:showLegendKey val="0"/>
          <c:showVal val="0"/>
          <c:showCatName val="0"/>
          <c:showSerName val="0"/>
          <c:showPercent val="0"/>
          <c:showBubbleSize val="0"/>
        </c:dLbls>
        <c:gapWidth val="150"/>
        <c:axId val="136860416"/>
        <c:axId val="136861952"/>
      </c:barChart>
      <c:lineChart>
        <c:grouping val="standard"/>
        <c:varyColors val="0"/>
        <c:ser>
          <c:idx val="1"/>
          <c:order val="1"/>
          <c:tx>
            <c:strRef>
              <c:f>List6!$C$1</c:f>
              <c:strCache>
                <c:ptCount val="1"/>
                <c:pt idx="0">
                  <c:v>rel. četnost</c:v>
                </c:pt>
              </c:strCache>
            </c:strRef>
          </c:tx>
          <c:marker>
            <c:symbol val="none"/>
          </c:marker>
          <c:cat>
            <c:strRef>
              <c:f>List6!$A$2:$A$6</c:f>
              <c:strCache>
                <c:ptCount val="5"/>
                <c:pt idx="0">
                  <c:v>žádná reakce</c:v>
                </c:pt>
                <c:pt idx="1">
                  <c:v>autobus</c:v>
                </c:pt>
                <c:pt idx="2">
                  <c:v>auto</c:v>
                </c:pt>
                <c:pt idx="3">
                  <c:v>neuskutečnění cesty</c:v>
                </c:pt>
                <c:pt idx="4">
                  <c:v>jinak</c:v>
                </c:pt>
              </c:strCache>
            </c:strRef>
          </c:cat>
          <c:val>
            <c:numRef>
              <c:f>List6!$C$2:$C$6</c:f>
              <c:numCache>
                <c:formatCode>0.00%</c:formatCode>
                <c:ptCount val="5"/>
                <c:pt idx="0">
                  <c:v>0.76300000000000212</c:v>
                </c:pt>
                <c:pt idx="1">
                  <c:v>0.20400000000000001</c:v>
                </c:pt>
                <c:pt idx="2">
                  <c:v>2.4000000000000011E-2</c:v>
                </c:pt>
                <c:pt idx="3">
                  <c:v>5.0000000000000122E-3</c:v>
                </c:pt>
                <c:pt idx="4">
                  <c:v>3.0000000000000083E-3</c:v>
                </c:pt>
              </c:numCache>
            </c:numRef>
          </c:val>
          <c:smooth val="0"/>
        </c:ser>
        <c:dLbls>
          <c:showLegendKey val="0"/>
          <c:showVal val="0"/>
          <c:showCatName val="0"/>
          <c:showSerName val="0"/>
          <c:showPercent val="0"/>
          <c:showBubbleSize val="0"/>
        </c:dLbls>
        <c:marker val="1"/>
        <c:smooth val="0"/>
        <c:axId val="136865280"/>
        <c:axId val="136863744"/>
      </c:lineChart>
      <c:catAx>
        <c:axId val="136860416"/>
        <c:scaling>
          <c:orientation val="minMax"/>
        </c:scaling>
        <c:delete val="0"/>
        <c:axPos val="b"/>
        <c:majorTickMark val="out"/>
        <c:minorTickMark val="none"/>
        <c:tickLblPos val="nextTo"/>
        <c:crossAx val="136861952"/>
        <c:crosses val="autoZero"/>
        <c:auto val="1"/>
        <c:lblAlgn val="ctr"/>
        <c:lblOffset val="100"/>
        <c:noMultiLvlLbl val="0"/>
      </c:catAx>
      <c:valAx>
        <c:axId val="136861952"/>
        <c:scaling>
          <c:orientation val="minMax"/>
        </c:scaling>
        <c:delete val="0"/>
        <c:axPos val="l"/>
        <c:majorGridlines/>
        <c:numFmt formatCode="General" sourceLinked="1"/>
        <c:majorTickMark val="out"/>
        <c:minorTickMark val="none"/>
        <c:tickLblPos val="nextTo"/>
        <c:crossAx val="136860416"/>
        <c:crosses val="autoZero"/>
        <c:crossBetween val="between"/>
      </c:valAx>
      <c:valAx>
        <c:axId val="136863744"/>
        <c:scaling>
          <c:orientation val="minMax"/>
          <c:max val="1"/>
        </c:scaling>
        <c:delete val="0"/>
        <c:axPos val="r"/>
        <c:numFmt formatCode="0.00%" sourceLinked="1"/>
        <c:majorTickMark val="out"/>
        <c:minorTickMark val="none"/>
        <c:tickLblPos val="nextTo"/>
        <c:crossAx val="136865280"/>
        <c:crosses val="max"/>
        <c:crossBetween val="between"/>
      </c:valAx>
      <c:catAx>
        <c:axId val="136865280"/>
        <c:scaling>
          <c:orientation val="minMax"/>
        </c:scaling>
        <c:delete val="1"/>
        <c:axPos val="b"/>
        <c:majorTickMark val="out"/>
        <c:minorTickMark val="none"/>
        <c:tickLblPos val="none"/>
        <c:crossAx val="136863744"/>
        <c:crosses val="autoZero"/>
        <c:auto val="1"/>
        <c:lblAlgn val="ctr"/>
        <c:lblOffset val="100"/>
        <c:noMultiLvlLbl val="0"/>
      </c:catAx>
    </c:plotArea>
    <c:legend>
      <c:legendPos val="r"/>
      <c:layout>
        <c:manualLayout>
          <c:xMode val="edge"/>
          <c:yMode val="edge"/>
          <c:x val="0.67882539682540066"/>
          <c:y val="8.6217556138815987E-2"/>
          <c:w val="0.20123419687043073"/>
          <c:h val="0.1575853018372717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988407699037624E-2"/>
          <c:y val="5.1400554097404488E-2"/>
          <c:w val="0.80087029746282068"/>
          <c:h val="0.77611512102653835"/>
        </c:manualLayout>
      </c:layout>
      <c:barChart>
        <c:barDir val="col"/>
        <c:grouping val="clustered"/>
        <c:varyColors val="0"/>
        <c:ser>
          <c:idx val="0"/>
          <c:order val="0"/>
          <c:tx>
            <c:strRef>
              <c:f>List8!$B$1</c:f>
              <c:strCache>
                <c:ptCount val="1"/>
                <c:pt idx="0">
                  <c:v>abs. četnost</c:v>
                </c:pt>
              </c:strCache>
            </c:strRef>
          </c:tx>
          <c:invertIfNegative val="0"/>
          <c:cat>
            <c:strRef>
              <c:f>List8!$A$2:$A$6</c:f>
              <c:strCache>
                <c:ptCount val="5"/>
                <c:pt idx="0">
                  <c:v>Student Agency</c:v>
                </c:pt>
                <c:pt idx="1">
                  <c:v>Eurolines</c:v>
                </c:pt>
                <c:pt idx="2">
                  <c:v>jiného</c:v>
                </c:pt>
                <c:pt idx="3">
                  <c:v>ne</c:v>
                </c:pt>
                <c:pt idx="4">
                  <c:v>nevím</c:v>
                </c:pt>
              </c:strCache>
            </c:strRef>
          </c:cat>
          <c:val>
            <c:numRef>
              <c:f>List8!$B$2:$B$6</c:f>
              <c:numCache>
                <c:formatCode>General</c:formatCode>
                <c:ptCount val="5"/>
                <c:pt idx="0">
                  <c:v>66</c:v>
                </c:pt>
                <c:pt idx="1">
                  <c:v>3</c:v>
                </c:pt>
                <c:pt idx="2">
                  <c:v>0</c:v>
                </c:pt>
                <c:pt idx="3">
                  <c:v>2</c:v>
                </c:pt>
                <c:pt idx="4">
                  <c:v>5</c:v>
                </c:pt>
              </c:numCache>
            </c:numRef>
          </c:val>
        </c:ser>
        <c:dLbls>
          <c:showLegendKey val="0"/>
          <c:showVal val="0"/>
          <c:showCatName val="0"/>
          <c:showSerName val="0"/>
          <c:showPercent val="0"/>
          <c:showBubbleSize val="0"/>
        </c:dLbls>
        <c:gapWidth val="150"/>
        <c:axId val="136887296"/>
        <c:axId val="136901376"/>
      </c:barChart>
      <c:lineChart>
        <c:grouping val="standard"/>
        <c:varyColors val="0"/>
        <c:ser>
          <c:idx val="1"/>
          <c:order val="1"/>
          <c:tx>
            <c:strRef>
              <c:f>List8!$C$1</c:f>
              <c:strCache>
                <c:ptCount val="1"/>
                <c:pt idx="0">
                  <c:v>rel. četnost</c:v>
                </c:pt>
              </c:strCache>
            </c:strRef>
          </c:tx>
          <c:marker>
            <c:symbol val="none"/>
          </c:marker>
          <c:cat>
            <c:strRef>
              <c:f>List8!$A$2:$A$6</c:f>
              <c:strCache>
                <c:ptCount val="5"/>
                <c:pt idx="0">
                  <c:v>Student Agency</c:v>
                </c:pt>
                <c:pt idx="1">
                  <c:v>Eurolines</c:v>
                </c:pt>
                <c:pt idx="2">
                  <c:v>jiného</c:v>
                </c:pt>
                <c:pt idx="3">
                  <c:v>ne</c:v>
                </c:pt>
                <c:pt idx="4">
                  <c:v>nevím</c:v>
                </c:pt>
              </c:strCache>
            </c:strRef>
          </c:cat>
          <c:val>
            <c:numRef>
              <c:f>List8!$C$2:$C$6</c:f>
              <c:numCache>
                <c:formatCode>0.00%</c:formatCode>
                <c:ptCount val="5"/>
                <c:pt idx="0">
                  <c:v>0.86800000000000277</c:v>
                </c:pt>
                <c:pt idx="1">
                  <c:v>3.9000000000000014E-2</c:v>
                </c:pt>
                <c:pt idx="2">
                  <c:v>0</c:v>
                </c:pt>
                <c:pt idx="3">
                  <c:v>2.5999999999999999E-2</c:v>
                </c:pt>
                <c:pt idx="4">
                  <c:v>6.6000000000000003E-2</c:v>
                </c:pt>
              </c:numCache>
            </c:numRef>
          </c:val>
          <c:smooth val="0"/>
        </c:ser>
        <c:dLbls>
          <c:showLegendKey val="0"/>
          <c:showVal val="0"/>
          <c:showCatName val="0"/>
          <c:showSerName val="0"/>
          <c:showPercent val="0"/>
          <c:showBubbleSize val="0"/>
        </c:dLbls>
        <c:marker val="1"/>
        <c:smooth val="0"/>
        <c:axId val="137035776"/>
        <c:axId val="136902912"/>
      </c:lineChart>
      <c:catAx>
        <c:axId val="136887296"/>
        <c:scaling>
          <c:orientation val="minMax"/>
        </c:scaling>
        <c:delete val="0"/>
        <c:axPos val="b"/>
        <c:majorTickMark val="out"/>
        <c:minorTickMark val="none"/>
        <c:tickLblPos val="nextTo"/>
        <c:crossAx val="136901376"/>
        <c:crosses val="autoZero"/>
        <c:auto val="1"/>
        <c:lblAlgn val="ctr"/>
        <c:lblOffset val="100"/>
        <c:noMultiLvlLbl val="0"/>
      </c:catAx>
      <c:valAx>
        <c:axId val="136901376"/>
        <c:scaling>
          <c:orientation val="minMax"/>
        </c:scaling>
        <c:delete val="0"/>
        <c:axPos val="l"/>
        <c:majorGridlines/>
        <c:numFmt formatCode="General" sourceLinked="1"/>
        <c:majorTickMark val="out"/>
        <c:minorTickMark val="none"/>
        <c:tickLblPos val="nextTo"/>
        <c:crossAx val="136887296"/>
        <c:crosses val="autoZero"/>
        <c:crossBetween val="between"/>
      </c:valAx>
      <c:valAx>
        <c:axId val="136902912"/>
        <c:scaling>
          <c:orientation val="minMax"/>
        </c:scaling>
        <c:delete val="0"/>
        <c:axPos val="r"/>
        <c:numFmt formatCode="0.00%" sourceLinked="1"/>
        <c:majorTickMark val="out"/>
        <c:minorTickMark val="none"/>
        <c:tickLblPos val="nextTo"/>
        <c:crossAx val="137035776"/>
        <c:crosses val="max"/>
        <c:crossBetween val="between"/>
      </c:valAx>
      <c:catAx>
        <c:axId val="137035776"/>
        <c:scaling>
          <c:orientation val="minMax"/>
        </c:scaling>
        <c:delete val="1"/>
        <c:axPos val="b"/>
        <c:majorTickMark val="out"/>
        <c:minorTickMark val="none"/>
        <c:tickLblPos val="none"/>
        <c:crossAx val="136902912"/>
        <c:crosses val="autoZero"/>
        <c:auto val="1"/>
        <c:lblAlgn val="ctr"/>
        <c:lblOffset val="100"/>
        <c:noMultiLvlLbl val="0"/>
      </c:catAx>
    </c:plotArea>
    <c:legend>
      <c:legendPos val="r"/>
      <c:layout>
        <c:manualLayout>
          <c:xMode val="edge"/>
          <c:yMode val="edge"/>
          <c:x val="0.65254155730534025"/>
          <c:y val="7.8319845435987162E-2"/>
          <c:w val="0.21968066491688537"/>
          <c:h val="0.1674343832021011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0902E-9AF1-4A9A-B061-AED6472E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3803</Words>
  <Characters>22438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Rederer</dc:creator>
  <cp:keywords/>
  <dc:description/>
  <cp:lastModifiedBy>Kvizda Martin</cp:lastModifiedBy>
  <cp:revision>84</cp:revision>
  <dcterms:created xsi:type="dcterms:W3CDTF">2012-10-25T16:00:00Z</dcterms:created>
  <dcterms:modified xsi:type="dcterms:W3CDTF">2012-11-22T15:16:00Z</dcterms:modified>
</cp:coreProperties>
</file>