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D1F377" w14:textId="77777777" w:rsidR="002E1136" w:rsidRPr="007A2A97" w:rsidRDefault="002E1136" w:rsidP="002E1136">
      <w:pPr>
        <w:spacing w:line="360" w:lineRule="auto"/>
        <w:jc w:val="center"/>
        <w:rPr>
          <w:b/>
          <w:bCs/>
        </w:rPr>
      </w:pPr>
    </w:p>
    <w:p w14:paraId="1C75E104" w14:textId="77777777" w:rsidR="002E1136" w:rsidRPr="007A2A97" w:rsidRDefault="003C3514" w:rsidP="002E1136">
      <w:pPr>
        <w:spacing w:line="360" w:lineRule="auto"/>
        <w:jc w:val="center"/>
      </w:pPr>
      <w:r w:rsidRPr="007A2A97">
        <w:rPr>
          <w:b/>
          <w:bCs/>
        </w:rPr>
        <w:t>Současné konstrukty optimismu a pesimismu ve výzkumu</w:t>
      </w:r>
      <w:r w:rsidR="002E1136" w:rsidRPr="007A2A97">
        <w:rPr>
          <w:rStyle w:val="Znakapoznpodarou"/>
          <w:b/>
          <w:bCs/>
        </w:rPr>
        <w:footnoteReference w:id="1"/>
      </w:r>
    </w:p>
    <w:p w14:paraId="7146268C" w14:textId="77777777" w:rsidR="002E1136" w:rsidRPr="007A2A97" w:rsidRDefault="002E1136" w:rsidP="002E1136">
      <w:pPr>
        <w:spacing w:line="360" w:lineRule="auto"/>
        <w:jc w:val="center"/>
      </w:pPr>
      <w:r w:rsidRPr="007A2A97">
        <w:t xml:space="preserve">Jaroslava Dosedlová* – Helena </w:t>
      </w:r>
      <w:proofErr w:type="spellStart"/>
      <w:r w:rsidRPr="007A2A97">
        <w:t>Klimusová</w:t>
      </w:r>
      <w:proofErr w:type="spellEnd"/>
      <w:r w:rsidRPr="007A2A97">
        <w:t>* – Zuzan</w:t>
      </w:r>
      <w:r w:rsidR="003C3514" w:rsidRPr="007A2A97">
        <w:t>a Slováčková* – Šárka Fořtová*</w:t>
      </w:r>
    </w:p>
    <w:p w14:paraId="2B41CFBB" w14:textId="77777777" w:rsidR="002E1136" w:rsidRPr="007A2A97" w:rsidRDefault="002E1136" w:rsidP="002E1136">
      <w:pPr>
        <w:spacing w:line="360" w:lineRule="auto"/>
      </w:pPr>
    </w:p>
    <w:p w14:paraId="16CB10FA" w14:textId="77777777" w:rsidR="002E1136" w:rsidRPr="007A2A97" w:rsidRDefault="002E1136" w:rsidP="002E1136">
      <w:pPr>
        <w:spacing w:line="360" w:lineRule="auto"/>
      </w:pPr>
      <w:r w:rsidRPr="007A2A97">
        <w:rPr>
          <w:i/>
          <w:iCs/>
        </w:rPr>
        <w:t>*Psychologický ústav, Filozofická fakulta, Masarykova univerzita v Brně</w:t>
      </w:r>
    </w:p>
    <w:p w14:paraId="31428AF6" w14:textId="77777777" w:rsidR="002E1136" w:rsidRPr="007A2A97" w:rsidRDefault="002E1136" w:rsidP="002E1136">
      <w:pPr>
        <w:spacing w:line="360" w:lineRule="auto"/>
      </w:pPr>
    </w:p>
    <w:p w14:paraId="60D9C499" w14:textId="77777777" w:rsidR="002E1136" w:rsidRPr="007A2A97" w:rsidRDefault="002E1136" w:rsidP="002E1136">
      <w:pPr>
        <w:spacing w:line="360" w:lineRule="auto"/>
      </w:pPr>
      <w:r w:rsidRPr="007A2A97">
        <w:rPr>
          <w:b/>
          <w:bCs/>
          <w:i/>
          <w:iCs/>
        </w:rPr>
        <w:t>Klíčová slova:</w:t>
      </w:r>
      <w:r w:rsidRPr="007A2A97">
        <w:t xml:space="preserve"> optimismus, pesimismus</w:t>
      </w:r>
    </w:p>
    <w:p w14:paraId="1D581B7E" w14:textId="77777777" w:rsidR="00B21ECF" w:rsidRPr="007A2A97" w:rsidRDefault="00B21ECF" w:rsidP="00B21ECF"/>
    <w:p w14:paraId="5823788E" w14:textId="5F80E228" w:rsidR="004A4A6F" w:rsidRDefault="00B21ECF" w:rsidP="000617D8">
      <w:pPr>
        <w:spacing w:line="360" w:lineRule="auto"/>
      </w:pPr>
      <w:r w:rsidRPr="007A2A97">
        <w:t xml:space="preserve">Příspěvek se věnuje </w:t>
      </w:r>
      <w:r w:rsidR="00942A16">
        <w:t xml:space="preserve">třem </w:t>
      </w:r>
      <w:r w:rsidRPr="007A2A97">
        <w:t>současným konstruktům optimismu a pesimismu: dispozičnímu optimismu (</w:t>
      </w:r>
      <w:proofErr w:type="spellStart"/>
      <w:r w:rsidRPr="007A2A97">
        <w:t>Carver</w:t>
      </w:r>
      <w:proofErr w:type="spellEnd"/>
      <w:r w:rsidRPr="007A2A97">
        <w:t xml:space="preserve">, </w:t>
      </w:r>
      <w:proofErr w:type="spellStart"/>
      <w:r w:rsidRPr="007A2A97">
        <w:t>Scheier</w:t>
      </w:r>
      <w:proofErr w:type="spellEnd"/>
      <w:r w:rsidRPr="007A2A97">
        <w:t>, 2002), optimismu jako expla</w:t>
      </w:r>
      <w:r w:rsidR="00942A16">
        <w:t>načnímu stylu (</w:t>
      </w:r>
      <w:proofErr w:type="spellStart"/>
      <w:r w:rsidR="00942A16">
        <w:t>Seligman</w:t>
      </w:r>
      <w:proofErr w:type="spellEnd"/>
      <w:r w:rsidR="00942A16">
        <w:t xml:space="preserve">, 1990) a </w:t>
      </w:r>
      <w:r w:rsidRPr="007A2A97">
        <w:t>defenzivnímu pesimismu (</w:t>
      </w:r>
      <w:proofErr w:type="spellStart"/>
      <w:r w:rsidR="000617D8">
        <w:t>Cantor</w:t>
      </w:r>
      <w:proofErr w:type="spellEnd"/>
      <w:r w:rsidR="000617D8">
        <w:t xml:space="preserve">, </w:t>
      </w:r>
      <w:r w:rsidRPr="007A2A97">
        <w:t xml:space="preserve">Norem, </w:t>
      </w:r>
      <w:r w:rsidR="000617D8">
        <w:t>1989</w:t>
      </w:r>
      <w:r w:rsidRPr="007A2A97">
        <w:t>)</w:t>
      </w:r>
      <w:r w:rsidR="00942A16">
        <w:t>.</w:t>
      </w:r>
      <w:r w:rsidRPr="007A2A97">
        <w:t xml:space="preserve"> </w:t>
      </w:r>
      <w:r w:rsidR="00942A16">
        <w:t xml:space="preserve">Ověřuje konstrukt defenzivního pesimismu a dále posuzuje vztahy mezi jednotlivými typy optimismu/pesimismu. </w:t>
      </w:r>
      <w:r w:rsidRPr="007A2A97">
        <w:t>Krom</w:t>
      </w:r>
      <w:r w:rsidR="000617D8">
        <w:t>ě teoretického zakotvení autorky nabízejí</w:t>
      </w:r>
      <w:r w:rsidRPr="007A2A97">
        <w:t xml:space="preserve"> rekapitulaci výsledků </w:t>
      </w:r>
      <w:r w:rsidR="00942A16">
        <w:t xml:space="preserve">dvou studií, z nichž jedna byla podporovaná GA ČR (projekt č. </w:t>
      </w:r>
      <w:r w:rsidR="00942A16" w:rsidRPr="00946CBD">
        <w:rPr>
          <w:lang w:val="en-US"/>
        </w:rPr>
        <w:t>406/09/0611</w:t>
      </w:r>
      <w:r w:rsidR="005D1AEE">
        <w:rPr>
          <w:lang w:val="en-US"/>
        </w:rPr>
        <w:t xml:space="preserve">). </w:t>
      </w:r>
      <w:proofErr w:type="spellStart"/>
      <w:r w:rsidR="005D1AEE">
        <w:rPr>
          <w:lang w:val="en-US"/>
        </w:rPr>
        <w:t>Závěry</w:t>
      </w:r>
      <w:proofErr w:type="spellEnd"/>
      <w:r w:rsidR="005D1AEE">
        <w:rPr>
          <w:lang w:val="en-US"/>
        </w:rPr>
        <w:t xml:space="preserve"> o</w:t>
      </w:r>
      <w:proofErr w:type="spellStart"/>
      <w:r w:rsidR="005D1AEE">
        <w:t>bou</w:t>
      </w:r>
      <w:proofErr w:type="spellEnd"/>
      <w:r w:rsidR="005D1AEE">
        <w:t xml:space="preserve"> studií potvrzují</w:t>
      </w:r>
      <w:proofErr w:type="gramStart"/>
      <w:r w:rsidR="00274578">
        <w:t>,</w:t>
      </w:r>
      <w:r w:rsidR="005D1AEE">
        <w:t xml:space="preserve">  že</w:t>
      </w:r>
      <w:proofErr w:type="gramEnd"/>
      <w:r w:rsidR="005D1AEE">
        <w:t xml:space="preserve"> jednotlivé konstrukty optimismu/pesimismu jsou na sobě do značné míry nezávislé.  </w:t>
      </w:r>
    </w:p>
    <w:p w14:paraId="63D4B9DF" w14:textId="77777777" w:rsidR="000617D8" w:rsidRDefault="005D1AEE" w:rsidP="000617D8">
      <w:pPr>
        <w:spacing w:line="360" w:lineRule="auto"/>
      </w:pPr>
      <w:r>
        <w:t xml:space="preserve"> </w:t>
      </w:r>
    </w:p>
    <w:p w14:paraId="72EB9B7E" w14:textId="77777777" w:rsidR="000617D8" w:rsidRPr="007A2A97" w:rsidRDefault="004A4A6F" w:rsidP="000617D8">
      <w:pPr>
        <w:spacing w:line="360" w:lineRule="auto"/>
      </w:pPr>
      <w:proofErr w:type="spellStart"/>
      <w:r>
        <w:t>Key</w:t>
      </w:r>
      <w:proofErr w:type="spellEnd"/>
      <w:r>
        <w:t xml:space="preserve"> </w:t>
      </w:r>
      <w:proofErr w:type="spellStart"/>
      <w:r>
        <w:t>words</w:t>
      </w:r>
      <w:proofErr w:type="spellEnd"/>
      <w:r>
        <w:t xml:space="preserve">: </w:t>
      </w:r>
      <w:proofErr w:type="spellStart"/>
      <w:r>
        <w:t>optimism</w:t>
      </w:r>
      <w:proofErr w:type="spellEnd"/>
      <w:r>
        <w:t xml:space="preserve">, </w:t>
      </w:r>
      <w:proofErr w:type="spellStart"/>
      <w:r>
        <w:t>pessimism</w:t>
      </w:r>
      <w:proofErr w:type="spellEnd"/>
    </w:p>
    <w:p w14:paraId="53B917CD" w14:textId="77777777" w:rsidR="000617D8" w:rsidRPr="007A2A97" w:rsidRDefault="000617D8" w:rsidP="000617D8">
      <w:pPr>
        <w:spacing w:line="360" w:lineRule="auto"/>
      </w:pPr>
    </w:p>
    <w:p w14:paraId="7ED2E404" w14:textId="77777777" w:rsidR="000617D8" w:rsidRPr="00750489" w:rsidRDefault="000617D8" w:rsidP="000617D8">
      <w:pPr>
        <w:spacing w:line="360" w:lineRule="auto"/>
        <w:ind w:firstLine="708"/>
      </w:pPr>
      <w:proofErr w:type="spellStart"/>
      <w:r w:rsidRPr="00750489">
        <w:t>The</w:t>
      </w:r>
      <w:proofErr w:type="spellEnd"/>
      <w:r w:rsidRPr="00750489">
        <w:t xml:space="preserve">  </w:t>
      </w:r>
      <w:proofErr w:type="spellStart"/>
      <w:r w:rsidRPr="00750489">
        <w:t>exploratory</w:t>
      </w:r>
      <w:proofErr w:type="spellEnd"/>
      <w:r w:rsidRPr="00750489">
        <w:t xml:space="preserve"> study </w:t>
      </w:r>
      <w:proofErr w:type="spellStart"/>
      <w:r w:rsidRPr="00750489">
        <w:t>contributes</w:t>
      </w:r>
      <w:proofErr w:type="spellEnd"/>
      <w:r w:rsidRPr="00750489">
        <w:t xml:space="preserve"> to </w:t>
      </w:r>
      <w:proofErr w:type="spellStart"/>
      <w:r w:rsidRPr="00750489">
        <w:t>clarifications</w:t>
      </w:r>
      <w:proofErr w:type="spellEnd"/>
      <w:r w:rsidRPr="00750489">
        <w:t xml:space="preserve"> on </w:t>
      </w:r>
      <w:proofErr w:type="spellStart"/>
      <w:r w:rsidRPr="00750489">
        <w:t>relation</w:t>
      </w:r>
      <w:proofErr w:type="spellEnd"/>
      <w:r w:rsidRPr="00750489">
        <w:t xml:space="preserve"> </w:t>
      </w:r>
      <w:proofErr w:type="spellStart"/>
      <w:r w:rsidRPr="00750489">
        <w:t>among</w:t>
      </w:r>
      <w:proofErr w:type="spellEnd"/>
      <w:r w:rsidRPr="00750489">
        <w:t xml:space="preserve"> </w:t>
      </w:r>
      <w:proofErr w:type="spellStart"/>
      <w:r w:rsidRPr="00750489">
        <w:t>dispositional</w:t>
      </w:r>
      <w:proofErr w:type="spellEnd"/>
      <w:r w:rsidRPr="00750489">
        <w:t xml:space="preserve"> </w:t>
      </w:r>
      <w:proofErr w:type="spellStart"/>
      <w:r w:rsidRPr="00750489">
        <w:t>optimism</w:t>
      </w:r>
      <w:proofErr w:type="spellEnd"/>
      <w:r w:rsidRPr="00750489">
        <w:t>/</w:t>
      </w:r>
      <w:proofErr w:type="spellStart"/>
      <w:r w:rsidRPr="00750489">
        <w:t>pessimism</w:t>
      </w:r>
      <w:proofErr w:type="spellEnd"/>
      <w:r w:rsidRPr="00750489">
        <w:t xml:space="preserve"> (</w:t>
      </w:r>
      <w:proofErr w:type="spellStart"/>
      <w:r w:rsidRPr="00750489">
        <w:t>Carver</w:t>
      </w:r>
      <w:proofErr w:type="spellEnd"/>
      <w:r w:rsidRPr="00750489">
        <w:t xml:space="preserve">, </w:t>
      </w:r>
      <w:proofErr w:type="spellStart"/>
      <w:r w:rsidRPr="00750489">
        <w:t>Scheier</w:t>
      </w:r>
      <w:proofErr w:type="spellEnd"/>
      <w:r w:rsidRPr="00750489">
        <w:t xml:space="preserve">, 2002), </w:t>
      </w:r>
      <w:proofErr w:type="spellStart"/>
      <w:r w:rsidRPr="00750489">
        <w:t>optimism</w:t>
      </w:r>
      <w:proofErr w:type="spellEnd"/>
      <w:r w:rsidRPr="00750489">
        <w:t>/</w:t>
      </w:r>
      <w:proofErr w:type="spellStart"/>
      <w:r w:rsidRPr="00750489">
        <w:t>pessimism</w:t>
      </w:r>
      <w:proofErr w:type="spellEnd"/>
      <w:r w:rsidRPr="00750489">
        <w:t xml:space="preserve"> as a </w:t>
      </w:r>
      <w:proofErr w:type="spellStart"/>
      <w:r w:rsidRPr="00750489">
        <w:t>explanatory</w:t>
      </w:r>
      <w:proofErr w:type="spellEnd"/>
      <w:r w:rsidRPr="00750489">
        <w:t xml:space="preserve"> style (</w:t>
      </w:r>
      <w:proofErr w:type="spellStart"/>
      <w:r w:rsidRPr="00750489">
        <w:t>Seligman</w:t>
      </w:r>
      <w:proofErr w:type="spellEnd"/>
      <w:r w:rsidRPr="00750489">
        <w:t xml:space="preserve">, 1990) and </w:t>
      </w:r>
      <w:proofErr w:type="spellStart"/>
      <w:r w:rsidRPr="00750489">
        <w:t>defensive</w:t>
      </w:r>
      <w:proofErr w:type="spellEnd"/>
      <w:r w:rsidRPr="00750489">
        <w:t xml:space="preserve"> </w:t>
      </w:r>
      <w:proofErr w:type="spellStart"/>
      <w:r w:rsidRPr="00750489">
        <w:t>pessimism</w:t>
      </w:r>
      <w:proofErr w:type="spellEnd"/>
      <w:r w:rsidRPr="00750489">
        <w:t xml:space="preserve"> (</w:t>
      </w:r>
      <w:proofErr w:type="spellStart"/>
      <w:r w:rsidRPr="00750489">
        <w:t>Cantor</w:t>
      </w:r>
      <w:proofErr w:type="spellEnd"/>
      <w:r w:rsidRPr="00750489">
        <w:t xml:space="preserve">, Norem, 1989). </w:t>
      </w:r>
      <w:proofErr w:type="spellStart"/>
      <w:r w:rsidR="009C5035" w:rsidRPr="00750489">
        <w:t>Two</w:t>
      </w:r>
      <w:proofErr w:type="spellEnd"/>
      <w:r w:rsidR="009C5035" w:rsidRPr="00750489">
        <w:t xml:space="preserve"> </w:t>
      </w:r>
      <w:proofErr w:type="spellStart"/>
      <w:r w:rsidR="009C5035" w:rsidRPr="00750489">
        <w:t>studies</w:t>
      </w:r>
      <w:proofErr w:type="spellEnd"/>
      <w:r w:rsidR="009C5035" w:rsidRPr="00750489">
        <w:t xml:space="preserve"> (N</w:t>
      </w:r>
      <w:r w:rsidR="009C5035" w:rsidRPr="00750489">
        <w:rPr>
          <w:vertAlign w:val="subscript"/>
        </w:rPr>
        <w:t>1</w:t>
      </w:r>
      <w:r w:rsidR="009C5035" w:rsidRPr="00750489">
        <w:t>=1617, N</w:t>
      </w:r>
      <w:r w:rsidR="009C5035" w:rsidRPr="00750489">
        <w:rPr>
          <w:vertAlign w:val="subscript"/>
        </w:rPr>
        <w:t>2</w:t>
      </w:r>
      <w:r w:rsidR="009C5035" w:rsidRPr="00750489">
        <w:t xml:space="preserve">=106) are </w:t>
      </w:r>
      <w:proofErr w:type="spellStart"/>
      <w:r w:rsidR="009C5035" w:rsidRPr="00750489">
        <w:t>presented</w:t>
      </w:r>
      <w:proofErr w:type="spellEnd"/>
      <w:r w:rsidR="009C5035" w:rsidRPr="00750489">
        <w:t xml:space="preserve"> (</w:t>
      </w:r>
      <w:proofErr w:type="spellStart"/>
      <w:r w:rsidR="009C5035" w:rsidRPr="00750489">
        <w:t>one</w:t>
      </w:r>
      <w:proofErr w:type="spellEnd"/>
      <w:r w:rsidR="009C5035" w:rsidRPr="00750489">
        <w:t xml:space="preserve"> </w:t>
      </w:r>
      <w:proofErr w:type="spellStart"/>
      <w:r w:rsidR="009C5035" w:rsidRPr="00750489">
        <w:t>of</w:t>
      </w:r>
      <w:proofErr w:type="spellEnd"/>
      <w:r w:rsidR="009C5035" w:rsidRPr="00750489">
        <w:t xml:space="preserve"> </w:t>
      </w:r>
      <w:proofErr w:type="spellStart"/>
      <w:r w:rsidR="009C5035" w:rsidRPr="00750489">
        <w:t>them</w:t>
      </w:r>
      <w:proofErr w:type="spellEnd"/>
      <w:r w:rsidR="009C5035" w:rsidRPr="00750489">
        <w:t xml:space="preserve"> </w:t>
      </w:r>
      <w:proofErr w:type="spellStart"/>
      <w:r w:rsidR="009C5035" w:rsidRPr="00750489">
        <w:t>was</w:t>
      </w:r>
      <w:proofErr w:type="spellEnd"/>
      <w:r w:rsidR="009C5035" w:rsidRPr="00750489">
        <w:t xml:space="preserve"> </w:t>
      </w:r>
      <w:proofErr w:type="spellStart"/>
      <w:r w:rsidR="009C5035" w:rsidRPr="00750489">
        <w:t>supported</w:t>
      </w:r>
      <w:proofErr w:type="spellEnd"/>
      <w:r w:rsidR="009C5035" w:rsidRPr="00750489">
        <w:t xml:space="preserve"> by Czech Grant </w:t>
      </w:r>
      <w:proofErr w:type="spellStart"/>
      <w:r w:rsidR="009C5035" w:rsidRPr="00750489">
        <w:t>Agency</w:t>
      </w:r>
      <w:proofErr w:type="spellEnd"/>
      <w:r w:rsidR="009C5035" w:rsidRPr="00750489">
        <w:t xml:space="preserve">, no. 406/09/0611). </w:t>
      </w:r>
      <w:proofErr w:type="spellStart"/>
      <w:r w:rsidR="009C5035" w:rsidRPr="00750489">
        <w:t>The</w:t>
      </w:r>
      <w:proofErr w:type="spellEnd"/>
      <w:r w:rsidR="009C5035" w:rsidRPr="00750489">
        <w:t xml:space="preserve"> </w:t>
      </w:r>
      <w:proofErr w:type="spellStart"/>
      <w:r w:rsidR="009C5035" w:rsidRPr="00750489">
        <w:t>results</w:t>
      </w:r>
      <w:proofErr w:type="spellEnd"/>
      <w:r w:rsidR="009C5035" w:rsidRPr="00750489">
        <w:t xml:space="preserve"> </w:t>
      </w:r>
      <w:proofErr w:type="spellStart"/>
      <w:r w:rsidR="004A4A6F" w:rsidRPr="00750489">
        <w:t>confirm</w:t>
      </w:r>
      <w:proofErr w:type="spellEnd"/>
      <w:r w:rsidR="004A4A6F" w:rsidRPr="00750489">
        <w:t xml:space="preserve"> </w:t>
      </w:r>
      <w:proofErr w:type="spellStart"/>
      <w:r w:rsidR="004A4A6F" w:rsidRPr="00750489">
        <w:t>that</w:t>
      </w:r>
      <w:proofErr w:type="spellEnd"/>
      <w:r w:rsidR="004A4A6F" w:rsidRPr="00750489">
        <w:t xml:space="preserve"> </w:t>
      </w:r>
      <w:proofErr w:type="spellStart"/>
      <w:r w:rsidR="004A4A6F" w:rsidRPr="00750489">
        <w:t>the</w:t>
      </w:r>
      <w:proofErr w:type="spellEnd"/>
      <w:r w:rsidR="004A4A6F" w:rsidRPr="00750489">
        <w:t xml:space="preserve"> </w:t>
      </w:r>
      <w:proofErr w:type="spellStart"/>
      <w:r w:rsidR="00750489">
        <w:t>presently</w:t>
      </w:r>
      <w:proofErr w:type="spellEnd"/>
      <w:r w:rsidR="00750489">
        <w:t xml:space="preserve"> </w:t>
      </w:r>
      <w:proofErr w:type="spellStart"/>
      <w:r w:rsidR="00750489">
        <w:t>existing</w:t>
      </w:r>
      <w:proofErr w:type="spellEnd"/>
      <w:r w:rsidR="00750489">
        <w:t xml:space="preserve"> </w:t>
      </w:r>
      <w:proofErr w:type="spellStart"/>
      <w:r w:rsidR="004A4A6F" w:rsidRPr="00750489">
        <w:t>leading</w:t>
      </w:r>
      <w:proofErr w:type="spellEnd"/>
      <w:r w:rsidR="004A4A6F" w:rsidRPr="00750489">
        <w:t xml:space="preserve"> </w:t>
      </w:r>
      <w:proofErr w:type="spellStart"/>
      <w:r w:rsidR="004A4A6F" w:rsidRPr="00750489">
        <w:t>constructs</w:t>
      </w:r>
      <w:proofErr w:type="spellEnd"/>
      <w:r w:rsidR="004A4A6F" w:rsidRPr="00750489">
        <w:t xml:space="preserve"> </w:t>
      </w:r>
      <w:proofErr w:type="spellStart"/>
      <w:r w:rsidR="004A4A6F" w:rsidRPr="00750489">
        <w:t>of</w:t>
      </w:r>
      <w:proofErr w:type="spellEnd"/>
      <w:r w:rsidR="004A4A6F" w:rsidRPr="00750489">
        <w:t xml:space="preserve"> </w:t>
      </w:r>
      <w:proofErr w:type="spellStart"/>
      <w:r w:rsidR="004A4A6F" w:rsidRPr="00750489">
        <w:t>optimism</w:t>
      </w:r>
      <w:proofErr w:type="spellEnd"/>
      <w:r w:rsidR="004A4A6F" w:rsidRPr="00750489">
        <w:t>/</w:t>
      </w:r>
      <w:proofErr w:type="spellStart"/>
      <w:r w:rsidR="004A4A6F" w:rsidRPr="00750489">
        <w:t>pessimism</w:t>
      </w:r>
      <w:proofErr w:type="spellEnd"/>
      <w:r w:rsidR="004A4A6F" w:rsidRPr="00750489">
        <w:t xml:space="preserve"> are independent in </w:t>
      </w:r>
      <w:proofErr w:type="spellStart"/>
      <w:r w:rsidR="004A4A6F" w:rsidRPr="00750489">
        <w:t>large</w:t>
      </w:r>
      <w:proofErr w:type="spellEnd"/>
      <w:r w:rsidR="004A4A6F" w:rsidRPr="00750489">
        <w:t xml:space="preserve"> </w:t>
      </w:r>
      <w:proofErr w:type="spellStart"/>
      <w:r w:rsidR="004A4A6F" w:rsidRPr="00750489">
        <w:t>measure</w:t>
      </w:r>
      <w:proofErr w:type="spellEnd"/>
      <w:r w:rsidR="004A4A6F" w:rsidRPr="00750489">
        <w:t xml:space="preserve">. </w:t>
      </w:r>
      <w:proofErr w:type="spellStart"/>
      <w:r w:rsidR="004A4A6F" w:rsidRPr="00750489">
        <w:t>The</w:t>
      </w:r>
      <w:proofErr w:type="spellEnd"/>
      <w:r w:rsidR="004A4A6F" w:rsidRPr="00750489">
        <w:t xml:space="preserve"> </w:t>
      </w:r>
      <w:proofErr w:type="spellStart"/>
      <w:r w:rsidR="004A4A6F" w:rsidRPr="00750489">
        <w:t>subsequent</w:t>
      </w:r>
      <w:proofErr w:type="spellEnd"/>
      <w:r w:rsidR="004A4A6F" w:rsidRPr="00750489">
        <w:t xml:space="preserve"> </w:t>
      </w:r>
      <w:proofErr w:type="spellStart"/>
      <w:r w:rsidR="004A4A6F" w:rsidRPr="00750489">
        <w:t>aim</w:t>
      </w:r>
      <w:proofErr w:type="spellEnd"/>
      <w:r w:rsidR="004A4A6F" w:rsidRPr="00750489">
        <w:t xml:space="preserve"> </w:t>
      </w:r>
      <w:proofErr w:type="spellStart"/>
      <w:r w:rsidR="004A4A6F" w:rsidRPr="00750489">
        <w:t>is</w:t>
      </w:r>
      <w:proofErr w:type="spellEnd"/>
      <w:r w:rsidR="004A4A6F" w:rsidRPr="00750489">
        <w:t xml:space="preserve"> to </w:t>
      </w:r>
      <w:proofErr w:type="spellStart"/>
      <w:r w:rsidR="004A4A6F" w:rsidRPr="00750489">
        <w:t>create</w:t>
      </w:r>
      <w:proofErr w:type="spellEnd"/>
      <w:r w:rsidR="004A4A6F" w:rsidRPr="00750489">
        <w:t xml:space="preserve"> a model </w:t>
      </w:r>
      <w:proofErr w:type="spellStart"/>
      <w:r w:rsidR="004A4A6F" w:rsidRPr="00750489">
        <w:t>of</w:t>
      </w:r>
      <w:proofErr w:type="spellEnd"/>
      <w:r w:rsidR="004A4A6F" w:rsidRPr="00750489">
        <w:t xml:space="preserve"> </w:t>
      </w:r>
      <w:proofErr w:type="spellStart"/>
      <w:r w:rsidR="004A4A6F" w:rsidRPr="00750489">
        <w:t>optimism</w:t>
      </w:r>
      <w:proofErr w:type="spellEnd"/>
      <w:r w:rsidR="004A4A6F" w:rsidRPr="00750489">
        <w:t xml:space="preserve"> </w:t>
      </w:r>
      <w:proofErr w:type="spellStart"/>
      <w:r w:rsidR="004A4A6F" w:rsidRPr="00750489">
        <w:t>based</w:t>
      </w:r>
      <w:proofErr w:type="spellEnd"/>
      <w:r w:rsidR="004A4A6F" w:rsidRPr="00750489">
        <w:t xml:space="preserve"> on </w:t>
      </w:r>
      <w:proofErr w:type="spellStart"/>
      <w:r w:rsidR="004A4A6F" w:rsidRPr="00750489">
        <w:t>the</w:t>
      </w:r>
      <w:proofErr w:type="spellEnd"/>
      <w:r w:rsidR="004A4A6F" w:rsidRPr="00750489">
        <w:t xml:space="preserve"> </w:t>
      </w:r>
      <w:proofErr w:type="spellStart"/>
      <w:r w:rsidR="004A4A6F" w:rsidRPr="00750489">
        <w:t>presented</w:t>
      </w:r>
      <w:proofErr w:type="spellEnd"/>
      <w:r w:rsidR="004A4A6F" w:rsidRPr="00750489">
        <w:t xml:space="preserve"> </w:t>
      </w:r>
      <w:proofErr w:type="spellStart"/>
      <w:r w:rsidR="004A4A6F" w:rsidRPr="00750489">
        <w:t>concepts</w:t>
      </w:r>
      <w:proofErr w:type="spellEnd"/>
      <w:r w:rsidR="004A4A6F" w:rsidRPr="00750489">
        <w:t xml:space="preserve">. </w:t>
      </w:r>
      <w:r w:rsidR="004A4A6F" w:rsidRPr="00750489">
        <w:rPr>
          <w:lang w:val="en-GB"/>
        </w:rPr>
        <w:t xml:space="preserve"> </w:t>
      </w:r>
    </w:p>
    <w:p w14:paraId="7B8277C4" w14:textId="77777777" w:rsidR="000617D8" w:rsidRDefault="000617D8" w:rsidP="000617D8">
      <w:pPr>
        <w:spacing w:line="360" w:lineRule="auto"/>
      </w:pPr>
    </w:p>
    <w:p w14:paraId="5739A665" w14:textId="77777777" w:rsidR="000617D8" w:rsidRDefault="000617D8" w:rsidP="000617D8"/>
    <w:p w14:paraId="59B144D6" w14:textId="77777777" w:rsidR="00FB0E7C" w:rsidRDefault="00FB0E7C" w:rsidP="000617D8">
      <w:pPr>
        <w:pStyle w:val="Odstavecseseznamem"/>
        <w:numPr>
          <w:ilvl w:val="0"/>
          <w:numId w:val="13"/>
        </w:numPr>
      </w:pPr>
      <w:r w:rsidRPr="007A2A97">
        <w:t>Úvod</w:t>
      </w:r>
    </w:p>
    <w:p w14:paraId="00AA9EE9" w14:textId="77777777" w:rsidR="000617D8" w:rsidRPr="007A2A97" w:rsidRDefault="000617D8" w:rsidP="000617D8">
      <w:pPr>
        <w:pStyle w:val="Odstavecseseznamem"/>
      </w:pPr>
    </w:p>
    <w:p w14:paraId="2C9F09F7" w14:textId="77777777" w:rsidR="00B21ECF" w:rsidRPr="007A2A97" w:rsidRDefault="002E1136" w:rsidP="00B21ECF">
      <w:pPr>
        <w:pStyle w:val="Zkladntext2"/>
        <w:spacing w:line="360" w:lineRule="auto"/>
        <w:ind w:firstLine="708"/>
        <w:jc w:val="both"/>
      </w:pPr>
      <w:r w:rsidRPr="007A2A97">
        <w:t xml:space="preserve"> </w:t>
      </w:r>
      <w:r w:rsidR="00B21ECF" w:rsidRPr="007A2A97">
        <w:t xml:space="preserve">Současná pojetí optimismu vyzdvihují jeho různé aspekty. </w:t>
      </w:r>
    </w:p>
    <w:p w14:paraId="6C4E20D8" w14:textId="2D13AA22" w:rsidR="00B21ECF" w:rsidRPr="007A2A97" w:rsidRDefault="00B21ECF" w:rsidP="00B21ECF">
      <w:pPr>
        <w:spacing w:line="360" w:lineRule="auto"/>
        <w:jc w:val="both"/>
      </w:pPr>
      <w:r w:rsidRPr="007A2A97">
        <w:tab/>
      </w:r>
      <w:proofErr w:type="spellStart"/>
      <w:r w:rsidRPr="007A2A97">
        <w:t>Carver</w:t>
      </w:r>
      <w:proofErr w:type="spellEnd"/>
      <w:r w:rsidRPr="007A2A97">
        <w:t xml:space="preserve"> </w:t>
      </w:r>
      <w:r w:rsidRPr="007A2A97">
        <w:sym w:font="Symbol" w:char="F026"/>
      </w:r>
      <w:r w:rsidR="00135530">
        <w:t xml:space="preserve"> </w:t>
      </w:r>
      <w:proofErr w:type="spellStart"/>
      <w:r w:rsidR="00135530">
        <w:t>Scheier</w:t>
      </w:r>
      <w:proofErr w:type="spellEnd"/>
      <w:r w:rsidR="00135530">
        <w:t xml:space="preserve"> (2002</w:t>
      </w:r>
      <w:r w:rsidRPr="007A2A97">
        <w:t xml:space="preserve">) jsou zastánci teorie </w:t>
      </w:r>
      <w:r w:rsidRPr="007A2A97">
        <w:rPr>
          <w:u w:val="single"/>
        </w:rPr>
        <w:t>dispozičního optimismu</w:t>
      </w:r>
      <w:r w:rsidRPr="007A2A97">
        <w:t xml:space="preserve"> a definují ho jako generalizované očekávání kladného průběhu událostí i samotného výsledku nějaké </w:t>
      </w:r>
      <w:r w:rsidRPr="007A2A97">
        <w:lastRenderedPageBreak/>
        <w:t>události či činnosti. Na jakoukoliv výzvu reagují optimisté důvěrou v dosažení žádoucích výsledků a setrváním v akci, i když postup je zdlouhavý a obtížný. Pesimisté jsou naopak plni pochybností a váhají. Tyto rozdíly významně ovlivňují mimo jiné i např. vyrovnávání se stresem (</w:t>
      </w:r>
      <w:proofErr w:type="spellStart"/>
      <w:r w:rsidRPr="007A2A97">
        <w:t>coping</w:t>
      </w:r>
      <w:proofErr w:type="spellEnd"/>
      <w:r w:rsidRPr="007A2A97">
        <w:t xml:space="preserve">). Dispoziční optimismus je do značné míry ovlivněn geneticky, nevíme však, zda je dědičný sám o sobě nebo ve vztahu s jinými </w:t>
      </w:r>
      <w:proofErr w:type="spellStart"/>
      <w:r w:rsidRPr="007A2A97">
        <w:t>temperamentovými</w:t>
      </w:r>
      <w:proofErr w:type="spellEnd"/>
      <w:r w:rsidRPr="007A2A97">
        <w:t xml:space="preserve"> charakteristikami. Je to kvalita relativně stálá a trvalá.</w:t>
      </w:r>
    </w:p>
    <w:p w14:paraId="0C4EFB31" w14:textId="77777777" w:rsidR="00B21ECF" w:rsidRPr="007A2A97" w:rsidRDefault="00B21ECF" w:rsidP="00B21ECF">
      <w:pPr>
        <w:spacing w:line="360" w:lineRule="auto"/>
        <w:jc w:val="both"/>
      </w:pPr>
      <w:r w:rsidRPr="007A2A97">
        <w:tab/>
        <w:t xml:space="preserve">Teorie </w:t>
      </w:r>
      <w:r w:rsidRPr="007A2A97">
        <w:rPr>
          <w:u w:val="single"/>
        </w:rPr>
        <w:t>optimismu jako explanačního stylu</w:t>
      </w:r>
      <w:r w:rsidRPr="007A2A97">
        <w:t xml:space="preserve"> vychází z teorie </w:t>
      </w:r>
      <w:proofErr w:type="spellStart"/>
      <w:r w:rsidRPr="007A2A97">
        <w:t>atribucí</w:t>
      </w:r>
      <w:proofErr w:type="spellEnd"/>
      <w:r w:rsidRPr="007A2A97">
        <w:t xml:space="preserve"> a teorie naučené bezmocnosti (</w:t>
      </w:r>
      <w:proofErr w:type="spellStart"/>
      <w:r w:rsidRPr="007A2A97">
        <w:t>Seligman</w:t>
      </w:r>
      <w:proofErr w:type="spellEnd"/>
      <w:r w:rsidRPr="007A2A97">
        <w:t xml:space="preserve">, 1990). Explanační optimistický styl může být charakterizovaný přisouzením externích, nestabilních a specifických příčin neúspěchům a negativním událostem a pesimistický explanační styl je typický přisouzením interních, stabilních a globálních příčin negativním událostem. Základní rozdíl mezi optimistickým a pesimistickým explanačním stylem vnímá </w:t>
      </w:r>
      <w:proofErr w:type="spellStart"/>
      <w:r w:rsidRPr="007A2A97">
        <w:t>Seligman</w:t>
      </w:r>
      <w:proofErr w:type="spellEnd"/>
      <w:r w:rsidRPr="007A2A97">
        <w:t xml:space="preserve"> (2003) v odlišném hodnocení trvalosti příčin úspěchu či neúspěchu, dále v tzv. pronikavosti dobrých či špatných událostí a ve schopnosti udržovat si a pěstovat naději. Podle </w:t>
      </w:r>
      <w:proofErr w:type="spellStart"/>
      <w:r w:rsidRPr="007A2A97">
        <w:t>Seligmana</w:t>
      </w:r>
      <w:proofErr w:type="spellEnd"/>
      <w:r w:rsidRPr="007A2A97">
        <w:t xml:space="preserve"> a jeho spolupracovníků je explanační styl tvárný a je možné upravit pesimistický na optimistický (</w:t>
      </w:r>
      <w:proofErr w:type="spellStart"/>
      <w:r w:rsidRPr="007A2A97">
        <w:t>Seligman</w:t>
      </w:r>
      <w:proofErr w:type="spellEnd"/>
      <w:r w:rsidRPr="007A2A97">
        <w:t xml:space="preserve"> et al., 1988). </w:t>
      </w:r>
    </w:p>
    <w:p w14:paraId="4D073448" w14:textId="77777777" w:rsidR="00B21ECF" w:rsidRPr="007A2A97" w:rsidRDefault="00B21ECF" w:rsidP="00B21ECF">
      <w:pPr>
        <w:spacing w:line="360" w:lineRule="auto"/>
        <w:jc w:val="both"/>
      </w:pPr>
      <w:r w:rsidRPr="007A2A97">
        <w:tab/>
      </w:r>
      <w:proofErr w:type="spellStart"/>
      <w:r w:rsidRPr="007A2A97">
        <w:t>Weinstein</w:t>
      </w:r>
      <w:proofErr w:type="spellEnd"/>
      <w:r w:rsidRPr="007A2A97">
        <w:t xml:space="preserve"> (1980) definoval </w:t>
      </w:r>
      <w:r w:rsidRPr="007A2A97">
        <w:rPr>
          <w:u w:val="single"/>
        </w:rPr>
        <w:t>nerealistický optimismus</w:t>
      </w:r>
      <w:r w:rsidRPr="007A2A97">
        <w:t xml:space="preserve"> jako obecnou tendenci očekávat, že negativní události se spíše přihodí jiným a pozitivní události s větší pravděpodobností nám. Toto pojetí navazuje na koncept tzv. pozitivních iluzí (Taylorová, Brown, 1988, 1994) běžně se vyskytující u spokojených, psychicky zdravých a dobře adaptovaných osob (mírné </w:t>
      </w:r>
      <w:proofErr w:type="spellStart"/>
      <w:r w:rsidRPr="007A2A97">
        <w:t>sebenadhodnocování</w:t>
      </w:r>
      <w:proofErr w:type="spellEnd"/>
      <w:r w:rsidRPr="007A2A97">
        <w:t>, přeceňování možnosti kontrolovat běh událostí svého života a nahlížení budoucnosti ve světle nerealistického optimismu).</w:t>
      </w:r>
    </w:p>
    <w:p w14:paraId="286D91D0" w14:textId="77777777" w:rsidR="00B21ECF" w:rsidRPr="007A2A97" w:rsidRDefault="00B21ECF" w:rsidP="00B21ECF">
      <w:pPr>
        <w:spacing w:line="360" w:lineRule="auto"/>
        <w:jc w:val="both"/>
      </w:pPr>
      <w:r w:rsidRPr="007A2A97">
        <w:tab/>
        <w:t xml:space="preserve">Lidé užívající optimistickou strategii nemyslí příliš na možná rizika a představují si sami sebe v situaci úspěšného zvládání situace. Daná oblast v nich nevzbuzuje úzkost a cítí se mít situaci pod kontrolou. Naproti tomu lidé užívající kognitivní strategii </w:t>
      </w:r>
      <w:r w:rsidRPr="007A2A97">
        <w:rPr>
          <w:u w:val="single"/>
        </w:rPr>
        <w:t>defenzivního pesimismu</w:t>
      </w:r>
      <w:r w:rsidRPr="007A2A97">
        <w:t xml:space="preserve"> očekávají od nastávajících událostí velmi málo, přestože již dříve zažili v podobných situacích úspěch. Tito defenzivní pesimisté jsou úzkostnější, a tak snížená očekávání slouží jako „polštář“ tlumící dopady případného neúspěchu. Představují si, co všechno nepříjemného se může stát, snaží se odhadnout rizika, aby se mohli na ně připravit. Úsilí, které vynakládají při dosahování cílů, není defenzivním pesimismem nijak sníženo. Defenzivní pesimismus </w:t>
      </w:r>
      <w:proofErr w:type="spellStart"/>
      <w:r w:rsidRPr="007A2A97">
        <w:t>Cantorová</w:t>
      </w:r>
      <w:proofErr w:type="spellEnd"/>
      <w:r w:rsidRPr="007A2A97">
        <w:t xml:space="preserve"> a </w:t>
      </w:r>
      <w:proofErr w:type="spellStart"/>
      <w:r w:rsidRPr="007A2A97">
        <w:t>Noremová</w:t>
      </w:r>
      <w:proofErr w:type="spellEnd"/>
      <w:r w:rsidRPr="007A2A97">
        <w:t xml:space="preserve">  (1989, in </w:t>
      </w:r>
      <w:proofErr w:type="spellStart"/>
      <w:r w:rsidRPr="007A2A97">
        <w:t>Chang</w:t>
      </w:r>
      <w:proofErr w:type="spellEnd"/>
      <w:r w:rsidRPr="007A2A97">
        <w:t>, 2002) tedy charakterizují jako kognitivní strategii vyznačující se nízkými očekáváními navzdory minulým úspěchům a ruminacemi týkajícími se možných rizik a jejich zvládání.</w:t>
      </w:r>
    </w:p>
    <w:p w14:paraId="0E7FA25F" w14:textId="77777777" w:rsidR="002E1136" w:rsidRPr="007A2A97" w:rsidRDefault="00B21ECF" w:rsidP="007A2A97">
      <w:pPr>
        <w:spacing w:line="360" w:lineRule="auto"/>
        <w:jc w:val="both"/>
      </w:pPr>
      <w:r w:rsidRPr="007A2A97">
        <w:tab/>
      </w:r>
    </w:p>
    <w:p w14:paraId="5184C6C4" w14:textId="77777777" w:rsidR="002E1136" w:rsidRPr="007A2A97" w:rsidRDefault="002E1136" w:rsidP="002E1136">
      <w:pPr>
        <w:spacing w:line="360" w:lineRule="auto"/>
        <w:ind w:firstLine="360"/>
      </w:pPr>
      <w:r w:rsidRPr="007A2A97">
        <w:t>Cílem naší dílčí studie je</w:t>
      </w:r>
    </w:p>
    <w:p w14:paraId="6DCA2624" w14:textId="77777777" w:rsidR="00BE5203" w:rsidRPr="007A2A97" w:rsidRDefault="0039786F" w:rsidP="0039786F">
      <w:pPr>
        <w:numPr>
          <w:ilvl w:val="0"/>
          <w:numId w:val="1"/>
        </w:numPr>
        <w:spacing w:line="360" w:lineRule="auto"/>
      </w:pPr>
      <w:r w:rsidRPr="007A2A97">
        <w:lastRenderedPageBreak/>
        <w:t>ověřit vztahy mezi dispozičním optimismem/pesimismem, explanačním optimismem a defenzivním pesimismem/strategickým optimismem</w:t>
      </w:r>
    </w:p>
    <w:p w14:paraId="7F262437" w14:textId="77777777" w:rsidR="00BE5203" w:rsidRPr="007A2A97" w:rsidRDefault="0039786F" w:rsidP="0039786F">
      <w:pPr>
        <w:numPr>
          <w:ilvl w:val="0"/>
          <w:numId w:val="1"/>
        </w:numPr>
        <w:spacing w:line="360" w:lineRule="auto"/>
      </w:pPr>
      <w:r w:rsidRPr="007A2A97">
        <w:t xml:space="preserve">ověřit konstrukt defenzivního pesimismu </w:t>
      </w:r>
    </w:p>
    <w:p w14:paraId="75485CF8" w14:textId="77777777" w:rsidR="002E1136" w:rsidRPr="007A2A97" w:rsidRDefault="002E1136" w:rsidP="0039786F">
      <w:pPr>
        <w:spacing w:line="360" w:lineRule="auto"/>
        <w:ind w:left="720"/>
      </w:pPr>
      <w:r w:rsidRPr="007A2A97">
        <w:t xml:space="preserve"> </w:t>
      </w:r>
    </w:p>
    <w:p w14:paraId="74239432" w14:textId="77777777" w:rsidR="002E1136" w:rsidRPr="007A2A97" w:rsidRDefault="002E1136" w:rsidP="002E1136">
      <w:pPr>
        <w:spacing w:line="360" w:lineRule="auto"/>
      </w:pPr>
    </w:p>
    <w:p w14:paraId="13F936FB" w14:textId="77777777" w:rsidR="002E1136" w:rsidRPr="007A2A97" w:rsidRDefault="002E1136" w:rsidP="00FB0E7C">
      <w:pPr>
        <w:pStyle w:val="Odstavecseseznamem"/>
        <w:numPr>
          <w:ilvl w:val="0"/>
          <w:numId w:val="10"/>
        </w:numPr>
        <w:spacing w:line="360" w:lineRule="auto"/>
      </w:pPr>
      <w:r w:rsidRPr="007A2A97">
        <w:rPr>
          <w:bCs/>
        </w:rPr>
        <w:t>Metoda</w:t>
      </w:r>
    </w:p>
    <w:p w14:paraId="5ABEF58D" w14:textId="77777777" w:rsidR="00FB0E7C" w:rsidRPr="007A2A97" w:rsidRDefault="00FB0E7C" w:rsidP="00FB0E7C">
      <w:pPr>
        <w:pStyle w:val="Odstavecseseznamem"/>
        <w:numPr>
          <w:ilvl w:val="1"/>
          <w:numId w:val="10"/>
        </w:numPr>
        <w:spacing w:line="360" w:lineRule="auto"/>
      </w:pPr>
      <w:r w:rsidRPr="007A2A97">
        <w:rPr>
          <w:bCs/>
        </w:rPr>
        <w:t>Výzkumný soubor</w:t>
      </w:r>
    </w:p>
    <w:p w14:paraId="6ADF0F2B" w14:textId="77777777" w:rsidR="002E1136" w:rsidRPr="007A2A97" w:rsidRDefault="0039786F" w:rsidP="002E1136">
      <w:pPr>
        <w:spacing w:line="360" w:lineRule="auto"/>
      </w:pPr>
      <w:r w:rsidRPr="007A2A97">
        <w:t xml:space="preserve">Studie </w:t>
      </w:r>
      <w:proofErr w:type="gramStart"/>
      <w:r w:rsidRPr="007A2A97">
        <w:t>č.1</w:t>
      </w:r>
      <w:proofErr w:type="gramEnd"/>
    </w:p>
    <w:p w14:paraId="0A55C283" w14:textId="77777777" w:rsidR="002E1136" w:rsidRPr="007A2A97" w:rsidRDefault="002E1136" w:rsidP="002E1136">
      <w:pPr>
        <w:spacing w:line="360" w:lineRule="auto"/>
      </w:pPr>
      <w:r w:rsidRPr="007A2A97">
        <w:rPr>
          <w:bCs/>
        </w:rPr>
        <w:t>Výzkumný soubor</w:t>
      </w:r>
      <w:r w:rsidRPr="007A2A97">
        <w:rPr>
          <w:b/>
          <w:bCs/>
        </w:rPr>
        <w:t xml:space="preserve"> </w:t>
      </w:r>
      <w:r w:rsidRPr="007A2A97">
        <w:t xml:space="preserve">tvořilo 1617 studentů českých vysokých škol (vybrané fakulty MU, UK, MZLU, VUT a </w:t>
      </w:r>
      <w:proofErr w:type="gramStart"/>
      <w:r w:rsidRPr="007A2A97">
        <w:t>ČZU) , 376</w:t>
      </w:r>
      <w:proofErr w:type="gramEnd"/>
      <w:r w:rsidRPr="007A2A97">
        <w:t xml:space="preserve"> (23,3%) mužů a 1241 žen (76,7%) s průměrným věkem 22,4 let (</w:t>
      </w:r>
      <w:proofErr w:type="spellStart"/>
      <w:r w:rsidRPr="007A2A97">
        <w:t>sd</w:t>
      </w:r>
      <w:proofErr w:type="spellEnd"/>
      <w:r w:rsidRPr="007A2A97">
        <w:t>=2.5).</w:t>
      </w:r>
    </w:p>
    <w:p w14:paraId="1713BFA2" w14:textId="77777777" w:rsidR="002E1136" w:rsidRPr="007A2A97" w:rsidRDefault="0039786F" w:rsidP="002E1136">
      <w:pPr>
        <w:spacing w:line="360" w:lineRule="auto"/>
      </w:pPr>
      <w:r w:rsidRPr="007A2A97">
        <w:t xml:space="preserve">Studie </w:t>
      </w:r>
      <w:proofErr w:type="gramStart"/>
      <w:r w:rsidRPr="007A2A97">
        <w:t>č.2</w:t>
      </w:r>
      <w:proofErr w:type="gramEnd"/>
    </w:p>
    <w:p w14:paraId="1C319138" w14:textId="77777777" w:rsidR="00E22EDA" w:rsidRDefault="0039786F" w:rsidP="0039786F">
      <w:pPr>
        <w:spacing w:line="360" w:lineRule="auto"/>
      </w:pPr>
      <w:r w:rsidRPr="007A2A97">
        <w:t>Výzkumný soubor tvořilo 106 respondentů</w:t>
      </w:r>
      <w:r w:rsidR="00E22EDA">
        <w:t xml:space="preserve"> získaných metodou příležitostného výběru</w:t>
      </w:r>
      <w:r w:rsidRPr="007A2A97">
        <w:t>, 43 mužů (41%) a 63 žen (59%) mezi 30 – 60 lety, průměr 42,16 let, medián 43 let.</w:t>
      </w:r>
      <w:r w:rsidR="002568AB">
        <w:t xml:space="preserve"> </w:t>
      </w:r>
    </w:p>
    <w:p w14:paraId="2A4778BF" w14:textId="781F2141" w:rsidR="0039786F" w:rsidRDefault="00E22EDA" w:rsidP="002E1136">
      <w:pPr>
        <w:spacing w:line="360" w:lineRule="auto"/>
        <w:rPr>
          <w:sz w:val="22"/>
        </w:rPr>
      </w:pPr>
      <w:r w:rsidRPr="00E22EDA">
        <w:rPr>
          <w:sz w:val="22"/>
        </w:rPr>
        <w:t xml:space="preserve">Distribuce </w:t>
      </w:r>
      <w:r>
        <w:rPr>
          <w:sz w:val="22"/>
        </w:rPr>
        <w:t xml:space="preserve">testové baterie </w:t>
      </w:r>
      <w:r w:rsidRPr="00E22EDA">
        <w:rPr>
          <w:sz w:val="22"/>
        </w:rPr>
        <w:t xml:space="preserve">probíhala </w:t>
      </w:r>
      <w:r>
        <w:rPr>
          <w:sz w:val="22"/>
        </w:rPr>
        <w:t xml:space="preserve">v obou studiích </w:t>
      </w:r>
      <w:r w:rsidRPr="00E22EDA">
        <w:rPr>
          <w:sz w:val="22"/>
        </w:rPr>
        <w:t>elektronicky prostřednictvím e-mail</w:t>
      </w:r>
      <w:r>
        <w:rPr>
          <w:sz w:val="22"/>
        </w:rPr>
        <w:t>em rozesílaných odkazů na webové stránky</w:t>
      </w:r>
      <w:r w:rsidRPr="00E22EDA">
        <w:rPr>
          <w:sz w:val="22"/>
        </w:rPr>
        <w:t xml:space="preserve"> a internetových sociálních sítí.</w:t>
      </w:r>
    </w:p>
    <w:p w14:paraId="54824307" w14:textId="77777777" w:rsidR="005F4438" w:rsidRPr="00E22EDA" w:rsidRDefault="005F4438" w:rsidP="002E1136">
      <w:pPr>
        <w:spacing w:line="360" w:lineRule="auto"/>
        <w:rPr>
          <w:sz w:val="22"/>
        </w:rPr>
      </w:pPr>
    </w:p>
    <w:p w14:paraId="12F0053E" w14:textId="77777777" w:rsidR="002E1136" w:rsidRPr="007A2A97" w:rsidRDefault="00FB0E7C" w:rsidP="00FB0E7C">
      <w:pPr>
        <w:spacing w:line="360" w:lineRule="auto"/>
        <w:ind w:firstLine="708"/>
      </w:pPr>
      <w:r w:rsidRPr="007A2A97">
        <w:rPr>
          <w:bCs/>
        </w:rPr>
        <w:t xml:space="preserve">2.2. </w:t>
      </w:r>
      <w:r w:rsidR="002E1136" w:rsidRPr="007A2A97">
        <w:rPr>
          <w:bCs/>
        </w:rPr>
        <w:t xml:space="preserve">Metody </w:t>
      </w:r>
    </w:p>
    <w:p w14:paraId="1D05C470" w14:textId="77777777" w:rsidR="002E1136" w:rsidRPr="007A2A97" w:rsidRDefault="00FB0E7C" w:rsidP="002E1136">
      <w:pPr>
        <w:spacing w:line="360" w:lineRule="auto"/>
      </w:pPr>
      <w:r w:rsidRPr="007A2A97">
        <w:t>2.2.</w:t>
      </w:r>
      <w:r w:rsidR="002E1136" w:rsidRPr="007A2A97">
        <w:t xml:space="preserve">1. </w:t>
      </w:r>
      <w:r w:rsidR="002E1136" w:rsidRPr="007A2A97">
        <w:rPr>
          <w:bCs/>
        </w:rPr>
        <w:t xml:space="preserve">Test životní orientace - </w:t>
      </w:r>
      <w:proofErr w:type="spellStart"/>
      <w:r w:rsidR="002E1136" w:rsidRPr="007A2A97">
        <w:rPr>
          <w:bCs/>
          <w:iCs/>
        </w:rPr>
        <w:t>Life</w:t>
      </w:r>
      <w:proofErr w:type="spellEnd"/>
      <w:r w:rsidR="002E1136" w:rsidRPr="007A2A97">
        <w:rPr>
          <w:bCs/>
          <w:iCs/>
        </w:rPr>
        <w:t xml:space="preserve"> </w:t>
      </w:r>
      <w:proofErr w:type="spellStart"/>
      <w:r w:rsidR="002E1136" w:rsidRPr="007A2A97">
        <w:rPr>
          <w:bCs/>
          <w:iCs/>
        </w:rPr>
        <w:t>Orientation</w:t>
      </w:r>
      <w:proofErr w:type="spellEnd"/>
      <w:r w:rsidR="002E1136" w:rsidRPr="007A2A97">
        <w:rPr>
          <w:bCs/>
          <w:iCs/>
        </w:rPr>
        <w:t xml:space="preserve"> Test – </w:t>
      </w:r>
      <w:proofErr w:type="spellStart"/>
      <w:r w:rsidR="002E1136" w:rsidRPr="007A2A97">
        <w:rPr>
          <w:bCs/>
          <w:iCs/>
        </w:rPr>
        <w:t>Revised</w:t>
      </w:r>
      <w:proofErr w:type="spellEnd"/>
      <w:r w:rsidR="002E1136" w:rsidRPr="007A2A97">
        <w:rPr>
          <w:bCs/>
          <w:iCs/>
        </w:rPr>
        <w:t xml:space="preserve"> , LOT-R</w:t>
      </w:r>
      <w:r w:rsidR="002E1136" w:rsidRPr="007A2A97">
        <w:t xml:space="preserve"> (</w:t>
      </w:r>
      <w:proofErr w:type="spellStart"/>
      <w:r w:rsidR="002E1136" w:rsidRPr="007A2A97">
        <w:t>Scheier</w:t>
      </w:r>
      <w:proofErr w:type="spellEnd"/>
      <w:r w:rsidR="002E1136" w:rsidRPr="007A2A97">
        <w:t xml:space="preserve">, </w:t>
      </w:r>
      <w:proofErr w:type="spellStart"/>
      <w:r w:rsidR="002E1136" w:rsidRPr="007A2A97">
        <w:t>Carver</w:t>
      </w:r>
      <w:proofErr w:type="spellEnd"/>
      <w:r w:rsidR="002E1136" w:rsidRPr="007A2A97">
        <w:t xml:space="preserve">, </w:t>
      </w:r>
      <w:proofErr w:type="spellStart"/>
      <w:r w:rsidR="002E1136" w:rsidRPr="007A2A97">
        <w:t>Bridges</w:t>
      </w:r>
      <w:proofErr w:type="spellEnd"/>
      <w:r w:rsidR="002E1136" w:rsidRPr="007A2A97">
        <w:t>, 1994).</w:t>
      </w:r>
    </w:p>
    <w:p w14:paraId="014DB6E9" w14:textId="77777777" w:rsidR="002E1136" w:rsidRPr="007A2A97" w:rsidRDefault="002E1136" w:rsidP="002E1136">
      <w:pPr>
        <w:spacing w:line="360" w:lineRule="auto"/>
        <w:ind w:firstLine="708"/>
      </w:pPr>
      <w:proofErr w:type="spellStart"/>
      <w:r w:rsidRPr="007A2A97">
        <w:t>Scheier</w:t>
      </w:r>
      <w:proofErr w:type="spellEnd"/>
      <w:r w:rsidRPr="007A2A97">
        <w:t xml:space="preserve"> a </w:t>
      </w:r>
      <w:proofErr w:type="spellStart"/>
      <w:r w:rsidRPr="007A2A97">
        <w:t>Carver</w:t>
      </w:r>
      <w:proofErr w:type="spellEnd"/>
      <w:r w:rsidRPr="007A2A97">
        <w:t xml:space="preserve"> vyvinuli v r. 1985 metodu </w:t>
      </w:r>
      <w:proofErr w:type="spellStart"/>
      <w:r w:rsidRPr="007A2A97">
        <w:rPr>
          <w:i/>
          <w:iCs/>
        </w:rPr>
        <w:t>Life</w:t>
      </w:r>
      <w:proofErr w:type="spellEnd"/>
      <w:r w:rsidRPr="007A2A97">
        <w:rPr>
          <w:i/>
          <w:iCs/>
        </w:rPr>
        <w:t xml:space="preserve"> </w:t>
      </w:r>
      <w:proofErr w:type="spellStart"/>
      <w:r w:rsidRPr="007A2A97">
        <w:rPr>
          <w:i/>
          <w:iCs/>
        </w:rPr>
        <w:t>Orientation</w:t>
      </w:r>
      <w:proofErr w:type="spellEnd"/>
      <w:r w:rsidRPr="007A2A97">
        <w:rPr>
          <w:i/>
          <w:iCs/>
        </w:rPr>
        <w:t xml:space="preserve"> Test (LOT)</w:t>
      </w:r>
      <w:r w:rsidRPr="007A2A97">
        <w:t>, která se zaměřuje přímo na generalizovaná očekávání determinující aktivitu, na očekávání dobré či špatné budoucnosti. Optimismus a pesimismus jsou chápány jako základní osobnostní charakteristiky, které ovlivňují orientaci lidí v životních událostech.</w:t>
      </w:r>
    </w:p>
    <w:p w14:paraId="1D6EC14B" w14:textId="77777777" w:rsidR="002E1136" w:rsidRPr="007A2A97" w:rsidRDefault="002E1136" w:rsidP="002E1136">
      <w:pPr>
        <w:spacing w:line="360" w:lineRule="auto"/>
      </w:pPr>
      <w:r w:rsidRPr="007A2A97">
        <w:t xml:space="preserve">Novější zkrácená a revidovaná forma dotazníku </w:t>
      </w:r>
      <w:proofErr w:type="spellStart"/>
      <w:r w:rsidRPr="007A2A97">
        <w:rPr>
          <w:i/>
          <w:iCs/>
        </w:rPr>
        <w:t>Life</w:t>
      </w:r>
      <w:proofErr w:type="spellEnd"/>
      <w:r w:rsidRPr="007A2A97">
        <w:rPr>
          <w:i/>
          <w:iCs/>
        </w:rPr>
        <w:t xml:space="preserve"> </w:t>
      </w:r>
      <w:proofErr w:type="spellStart"/>
      <w:r w:rsidRPr="007A2A97">
        <w:rPr>
          <w:i/>
          <w:iCs/>
        </w:rPr>
        <w:t>Orientation</w:t>
      </w:r>
      <w:proofErr w:type="spellEnd"/>
      <w:r w:rsidRPr="007A2A97">
        <w:rPr>
          <w:i/>
          <w:iCs/>
        </w:rPr>
        <w:t xml:space="preserve"> Test – </w:t>
      </w:r>
      <w:proofErr w:type="spellStart"/>
      <w:r w:rsidRPr="007A2A97">
        <w:rPr>
          <w:i/>
          <w:iCs/>
        </w:rPr>
        <w:t>Revised</w:t>
      </w:r>
      <w:proofErr w:type="spellEnd"/>
      <w:r w:rsidRPr="007A2A97">
        <w:rPr>
          <w:i/>
          <w:iCs/>
        </w:rPr>
        <w:t xml:space="preserve"> LOT-R</w:t>
      </w:r>
      <w:r w:rsidRPr="007A2A97">
        <w:t xml:space="preserve"> (</w:t>
      </w:r>
      <w:proofErr w:type="spellStart"/>
      <w:r w:rsidRPr="007A2A97">
        <w:t>Scheier</w:t>
      </w:r>
      <w:proofErr w:type="spellEnd"/>
      <w:r w:rsidRPr="007A2A97">
        <w:t xml:space="preserve">, </w:t>
      </w:r>
      <w:proofErr w:type="spellStart"/>
      <w:r w:rsidRPr="007A2A97">
        <w:t>Carver</w:t>
      </w:r>
      <w:proofErr w:type="spellEnd"/>
      <w:r w:rsidRPr="007A2A97">
        <w:t xml:space="preserve">, </w:t>
      </w:r>
      <w:proofErr w:type="spellStart"/>
      <w:r w:rsidRPr="007A2A97">
        <w:t>Bridges</w:t>
      </w:r>
      <w:proofErr w:type="spellEnd"/>
      <w:r w:rsidRPr="007A2A97">
        <w:t xml:space="preserve">, 1994) je založena na šesti hodnocených položkách a vykazuje dobrou vnitřní konzistenci i stabilitu v čase. V našem souboru jsme ověřovali vnitřní konzistenci škály, </w:t>
      </w:r>
      <w:proofErr w:type="spellStart"/>
      <w:r w:rsidRPr="007A2A97">
        <w:t>Cronbachova</w:t>
      </w:r>
      <w:proofErr w:type="spellEnd"/>
      <w:r w:rsidRPr="007A2A97">
        <w:t xml:space="preserve"> alfa dosáhla hodnoty 0,85.</w:t>
      </w:r>
    </w:p>
    <w:p w14:paraId="3CFA1A03" w14:textId="77777777" w:rsidR="00D66579" w:rsidRPr="007A2A97" w:rsidRDefault="002E1136" w:rsidP="00D66579">
      <w:pPr>
        <w:spacing w:line="360" w:lineRule="auto"/>
        <w:rPr>
          <w:bCs/>
        </w:rPr>
      </w:pPr>
      <w:r w:rsidRPr="007A2A97">
        <w:t>2</w:t>
      </w:r>
      <w:r w:rsidRPr="007A2A97">
        <w:rPr>
          <w:bCs/>
        </w:rPr>
        <w:t>.</w:t>
      </w:r>
      <w:r w:rsidR="00FB0E7C" w:rsidRPr="007A2A97">
        <w:rPr>
          <w:bCs/>
        </w:rPr>
        <w:t xml:space="preserve">2.2. </w:t>
      </w:r>
      <w:r w:rsidRPr="007A2A97">
        <w:rPr>
          <w:bCs/>
        </w:rPr>
        <w:t xml:space="preserve"> </w:t>
      </w:r>
      <w:r w:rsidR="00D66579" w:rsidRPr="007A2A97">
        <w:rPr>
          <w:bCs/>
        </w:rPr>
        <w:t xml:space="preserve">Dotazník </w:t>
      </w:r>
      <w:proofErr w:type="spellStart"/>
      <w:r w:rsidR="00D66579" w:rsidRPr="007A2A97">
        <w:rPr>
          <w:bCs/>
        </w:rPr>
        <w:t>atribučního</w:t>
      </w:r>
      <w:proofErr w:type="spellEnd"/>
      <w:r w:rsidR="00D66579" w:rsidRPr="007A2A97">
        <w:rPr>
          <w:bCs/>
        </w:rPr>
        <w:t xml:space="preserve"> stylu - </w:t>
      </w:r>
      <w:proofErr w:type="spellStart"/>
      <w:r w:rsidR="00D66579" w:rsidRPr="007A2A97">
        <w:rPr>
          <w:bCs/>
        </w:rPr>
        <w:t>Attributional</w:t>
      </w:r>
      <w:proofErr w:type="spellEnd"/>
      <w:r w:rsidR="00D66579" w:rsidRPr="007A2A97">
        <w:rPr>
          <w:bCs/>
        </w:rPr>
        <w:t xml:space="preserve"> Style </w:t>
      </w:r>
      <w:proofErr w:type="spellStart"/>
      <w:r w:rsidR="00D66579" w:rsidRPr="007A2A97">
        <w:rPr>
          <w:bCs/>
        </w:rPr>
        <w:t>Questionnaire</w:t>
      </w:r>
      <w:proofErr w:type="spellEnd"/>
      <w:r w:rsidR="00D66579" w:rsidRPr="007A2A97">
        <w:rPr>
          <w:bCs/>
        </w:rPr>
        <w:t>, ASQ (</w:t>
      </w:r>
      <w:proofErr w:type="spellStart"/>
      <w:r w:rsidR="00D66579" w:rsidRPr="007A2A97">
        <w:rPr>
          <w:bCs/>
        </w:rPr>
        <w:t>Peterson</w:t>
      </w:r>
      <w:proofErr w:type="spellEnd"/>
      <w:r w:rsidR="00D66579" w:rsidRPr="007A2A97">
        <w:rPr>
          <w:bCs/>
        </w:rPr>
        <w:t xml:space="preserve"> et al, 1982)</w:t>
      </w:r>
    </w:p>
    <w:p w14:paraId="61C4BA2B" w14:textId="6EB56AF9" w:rsidR="002E1136" w:rsidRPr="007A2A97" w:rsidRDefault="002E1136" w:rsidP="002E1136">
      <w:pPr>
        <w:spacing w:line="360" w:lineRule="auto"/>
      </w:pPr>
      <w:r w:rsidRPr="007A2A97">
        <w:rPr>
          <w:bCs/>
        </w:rPr>
        <w:t xml:space="preserve">Dotazník </w:t>
      </w:r>
      <w:proofErr w:type="spellStart"/>
      <w:r w:rsidRPr="007A2A97">
        <w:rPr>
          <w:bCs/>
        </w:rPr>
        <w:t>atribučního</w:t>
      </w:r>
      <w:proofErr w:type="spellEnd"/>
      <w:r w:rsidRPr="007A2A97">
        <w:rPr>
          <w:bCs/>
        </w:rPr>
        <w:t xml:space="preserve"> stylu pro vysokoškoláky - </w:t>
      </w:r>
      <w:proofErr w:type="spellStart"/>
      <w:r w:rsidRPr="007A2A97">
        <w:rPr>
          <w:bCs/>
          <w:iCs/>
        </w:rPr>
        <w:t>Academic</w:t>
      </w:r>
      <w:proofErr w:type="spellEnd"/>
      <w:r w:rsidRPr="007A2A97">
        <w:rPr>
          <w:bCs/>
          <w:iCs/>
        </w:rPr>
        <w:t xml:space="preserve"> </w:t>
      </w:r>
      <w:proofErr w:type="spellStart"/>
      <w:r w:rsidRPr="007A2A97">
        <w:rPr>
          <w:bCs/>
          <w:iCs/>
        </w:rPr>
        <w:t>Attributional</w:t>
      </w:r>
      <w:proofErr w:type="spellEnd"/>
      <w:r w:rsidRPr="007A2A97">
        <w:rPr>
          <w:bCs/>
          <w:iCs/>
        </w:rPr>
        <w:t xml:space="preserve"> Style </w:t>
      </w:r>
      <w:proofErr w:type="spellStart"/>
      <w:r w:rsidRPr="007A2A97">
        <w:rPr>
          <w:bCs/>
          <w:iCs/>
        </w:rPr>
        <w:t>Questionnaire</w:t>
      </w:r>
      <w:proofErr w:type="spellEnd"/>
      <w:r w:rsidRPr="007A2A97">
        <w:rPr>
          <w:bCs/>
          <w:iCs/>
        </w:rPr>
        <w:t>, AASQ</w:t>
      </w:r>
      <w:r w:rsidRPr="007A2A97">
        <w:rPr>
          <w:iCs/>
        </w:rPr>
        <w:t xml:space="preserve"> </w:t>
      </w:r>
      <w:r w:rsidRPr="007A2A97">
        <w:t>(</w:t>
      </w:r>
      <w:proofErr w:type="spellStart"/>
      <w:r w:rsidRPr="007A2A97">
        <w:t>Peterson</w:t>
      </w:r>
      <w:proofErr w:type="spellEnd"/>
      <w:r w:rsidRPr="007A2A97">
        <w:t xml:space="preserve">, </w:t>
      </w:r>
      <w:proofErr w:type="spellStart"/>
      <w:r w:rsidRPr="007A2A97">
        <w:t>Barret</w:t>
      </w:r>
      <w:r w:rsidR="00A773DA">
        <w:t>t</w:t>
      </w:r>
      <w:proofErr w:type="spellEnd"/>
      <w:r w:rsidR="00A773DA">
        <w:t>, 198</w:t>
      </w:r>
      <w:r w:rsidRPr="007A2A97">
        <w:t>7)</w:t>
      </w:r>
    </w:p>
    <w:p w14:paraId="5326FA4F" w14:textId="77777777" w:rsidR="002E1136" w:rsidRPr="007A2A97" w:rsidRDefault="002E1136" w:rsidP="002E1136">
      <w:pPr>
        <w:spacing w:line="360" w:lineRule="auto"/>
        <w:ind w:firstLine="708"/>
      </w:pPr>
      <w:r w:rsidRPr="007A2A97">
        <w:t>Posuzované osobě jsou předloženy hypotetické situace, které se mohou stát</w:t>
      </w:r>
      <w:r w:rsidR="00D66579" w:rsidRPr="007A2A97">
        <w:t xml:space="preserve"> (v případě ASQ se týkají běžného každodenního života, dotazník  AASQ je výběrem situací přizpůsoben </w:t>
      </w:r>
      <w:r w:rsidR="00D66579" w:rsidRPr="007A2A97">
        <w:lastRenderedPageBreak/>
        <w:t>životní zkušenosti vysokoškolských studentů).</w:t>
      </w:r>
      <w:r w:rsidRPr="007A2A97">
        <w:t xml:space="preserve"> Respondent má určit hlavní příčinu vzniku každé situace, pak ji vymezit na škálách </w:t>
      </w:r>
      <w:proofErr w:type="spellStart"/>
      <w:r w:rsidRPr="007A2A97">
        <w:t>internality</w:t>
      </w:r>
      <w:proofErr w:type="spellEnd"/>
      <w:r w:rsidRPr="007A2A97">
        <w:t xml:space="preserve">, stability a </w:t>
      </w:r>
      <w:proofErr w:type="spellStart"/>
      <w:r w:rsidRPr="007A2A97">
        <w:t>globality</w:t>
      </w:r>
      <w:proofErr w:type="spellEnd"/>
      <w:r w:rsidRPr="007A2A97">
        <w:t xml:space="preserve">. Skóry jsou počítány zvlášť pro pozitivní i negativní situace. Dotazník. Škály stability a </w:t>
      </w:r>
      <w:proofErr w:type="spellStart"/>
      <w:r w:rsidRPr="007A2A97">
        <w:t>globality</w:t>
      </w:r>
      <w:proofErr w:type="spellEnd"/>
      <w:r w:rsidR="00D66579" w:rsidRPr="007A2A97">
        <w:t xml:space="preserve"> AASQ</w:t>
      </w:r>
      <w:r w:rsidRPr="007A2A97">
        <w:t xml:space="preserve"> dosahovaly v našem souboru </w:t>
      </w:r>
      <w:r w:rsidR="00F516FD" w:rsidRPr="007A2A97">
        <w:t xml:space="preserve">v rámci první studie </w:t>
      </w:r>
      <w:r w:rsidRPr="007A2A97">
        <w:t>dobré vnitřní konzistence (</w:t>
      </w:r>
      <w:proofErr w:type="spellStart"/>
      <w:r w:rsidRPr="007A2A97">
        <w:t>Cronbachova</w:t>
      </w:r>
      <w:proofErr w:type="spellEnd"/>
      <w:r w:rsidRPr="007A2A97">
        <w:t xml:space="preserve"> alfa 0,81, respektive 0,80), škála </w:t>
      </w:r>
      <w:proofErr w:type="spellStart"/>
      <w:r w:rsidRPr="007A2A97">
        <w:t>internality</w:t>
      </w:r>
      <w:proofErr w:type="spellEnd"/>
      <w:r w:rsidRPr="007A2A97">
        <w:t xml:space="preserve"> měla vnitřní konzistenci nižší (0,60).</w:t>
      </w:r>
      <w:r w:rsidR="00F516FD" w:rsidRPr="007A2A97">
        <w:t xml:space="preserve"> Vnitřní konzistence ASQ ověřovaná ve druhé studii byla rovněž uspokojivá (</w:t>
      </w:r>
      <w:proofErr w:type="spellStart"/>
      <w:r w:rsidR="00F516FD" w:rsidRPr="007A2A97">
        <w:t>Cronbachova</w:t>
      </w:r>
      <w:proofErr w:type="spellEnd"/>
      <w:r w:rsidR="00F516FD" w:rsidRPr="007A2A97">
        <w:t xml:space="preserve"> alfa 0,77).</w:t>
      </w:r>
    </w:p>
    <w:p w14:paraId="195D77C0" w14:textId="77777777" w:rsidR="00F516FD" w:rsidRPr="007A2A97" w:rsidRDefault="00FB0E7C" w:rsidP="00A40EDC">
      <w:pPr>
        <w:pStyle w:val="Default"/>
        <w:spacing w:line="360" w:lineRule="auto"/>
        <w:rPr>
          <w:rFonts w:eastAsia="Times New Roman"/>
          <w:bCs/>
          <w:color w:val="auto"/>
          <w:lang w:eastAsia="cs-CZ"/>
        </w:rPr>
      </w:pPr>
      <w:r w:rsidRPr="007A2A97">
        <w:rPr>
          <w:rFonts w:eastAsia="Times New Roman"/>
          <w:bCs/>
          <w:color w:val="auto"/>
          <w:lang w:eastAsia="cs-CZ"/>
        </w:rPr>
        <w:t>2.2.</w:t>
      </w:r>
      <w:r w:rsidR="00F516FD" w:rsidRPr="007A2A97">
        <w:rPr>
          <w:rFonts w:eastAsia="Times New Roman"/>
          <w:bCs/>
          <w:color w:val="auto"/>
          <w:lang w:eastAsia="cs-CZ"/>
        </w:rPr>
        <w:t xml:space="preserve">3. Dotazník defenzivního pesimismu – </w:t>
      </w:r>
      <w:proofErr w:type="spellStart"/>
      <w:r w:rsidR="00F516FD" w:rsidRPr="007A2A97">
        <w:t>Defensive</w:t>
      </w:r>
      <w:proofErr w:type="spellEnd"/>
      <w:r w:rsidR="00F516FD" w:rsidRPr="007A2A97">
        <w:t xml:space="preserve"> </w:t>
      </w:r>
      <w:proofErr w:type="spellStart"/>
      <w:r w:rsidR="00F516FD" w:rsidRPr="007A2A97">
        <w:t>Pessimism</w:t>
      </w:r>
      <w:proofErr w:type="spellEnd"/>
      <w:r w:rsidR="00F516FD" w:rsidRPr="007A2A97">
        <w:t xml:space="preserve"> </w:t>
      </w:r>
      <w:proofErr w:type="spellStart"/>
      <w:r w:rsidR="00F516FD" w:rsidRPr="007A2A97">
        <w:t>Questionnaire</w:t>
      </w:r>
      <w:proofErr w:type="spellEnd"/>
      <w:r w:rsidR="00F516FD" w:rsidRPr="007A2A97">
        <w:t xml:space="preserve"> </w:t>
      </w:r>
      <w:r w:rsidR="00F516FD" w:rsidRPr="007A2A97">
        <w:rPr>
          <w:rFonts w:eastAsia="Times New Roman"/>
          <w:bCs/>
          <w:color w:val="auto"/>
          <w:lang w:eastAsia="cs-CZ"/>
        </w:rPr>
        <w:t>DPQ  (Norem, 2002)</w:t>
      </w:r>
    </w:p>
    <w:p w14:paraId="31C7CC6E" w14:textId="77777777" w:rsidR="00022208" w:rsidRPr="007A2A97" w:rsidRDefault="00022208" w:rsidP="00022208">
      <w:pPr>
        <w:spacing w:line="360" w:lineRule="auto"/>
      </w:pPr>
      <w:r w:rsidRPr="007A2A97">
        <w:t xml:space="preserve">Inventář tvoří 17 tvrzení, vůči kterým respondent vyjadřuje míru svého souhlasu či nesouhlasu na sedmibodové škále. Jednotlivé položky byly autorkou dotazníku podrobeny faktorové analýze, která potvrdila dva základní faktory: pesimismus a reflexi. Inventář dobře odlišuje defenzivní pesimismus od realistického pesimismu (v případě respondentových zkušeností s opakovanými neúspěchy v minulosti). Respondenti mohou být vyhodnoceni jako defenzivní pesimisté (horní </w:t>
      </w:r>
      <w:proofErr w:type="spellStart"/>
      <w:r w:rsidRPr="007A2A97">
        <w:t>tercil</w:t>
      </w:r>
      <w:proofErr w:type="spellEnd"/>
      <w:r w:rsidRPr="007A2A97">
        <w:t xml:space="preserve"> či </w:t>
      </w:r>
      <w:proofErr w:type="spellStart"/>
      <w:r w:rsidRPr="007A2A97">
        <w:t>kvartil</w:t>
      </w:r>
      <w:proofErr w:type="spellEnd"/>
      <w:r w:rsidRPr="007A2A97">
        <w:t xml:space="preserve">), strategičtí optimisté (spodní </w:t>
      </w:r>
      <w:proofErr w:type="spellStart"/>
      <w:r w:rsidRPr="007A2A97">
        <w:t>tercil</w:t>
      </w:r>
      <w:proofErr w:type="spellEnd"/>
      <w:r w:rsidRPr="007A2A97">
        <w:t xml:space="preserve"> či </w:t>
      </w:r>
      <w:proofErr w:type="spellStart"/>
      <w:r w:rsidRPr="007A2A97">
        <w:t>kvartil</w:t>
      </w:r>
      <w:proofErr w:type="spellEnd"/>
      <w:r w:rsidRPr="007A2A97">
        <w:t xml:space="preserve">) nebo jako </w:t>
      </w:r>
      <w:proofErr w:type="spellStart"/>
      <w:r w:rsidRPr="007A2A97">
        <w:t>aschematičtí</w:t>
      </w:r>
      <w:proofErr w:type="spellEnd"/>
      <w:r w:rsidRPr="007A2A97">
        <w:t xml:space="preserve"> vzhledem k oběma strategiím. </w:t>
      </w:r>
      <w:proofErr w:type="spellStart"/>
      <w:r w:rsidRPr="007A2A97">
        <w:t>Noremová</w:t>
      </w:r>
      <w:proofErr w:type="spellEnd"/>
      <w:r w:rsidRPr="007A2A97">
        <w:t xml:space="preserve"> (2002, in </w:t>
      </w:r>
      <w:proofErr w:type="spellStart"/>
      <w:r w:rsidRPr="007A2A97">
        <w:t>Chang</w:t>
      </w:r>
      <w:proofErr w:type="spellEnd"/>
      <w:r w:rsidRPr="007A2A97">
        <w:t xml:space="preserve">) uvádí ve výsledcích jednoho z výzkumů provedených na univerzitě více než 40% </w:t>
      </w:r>
      <w:proofErr w:type="spellStart"/>
      <w:r w:rsidRPr="007A2A97">
        <w:t>aschematických</w:t>
      </w:r>
      <w:proofErr w:type="spellEnd"/>
      <w:r w:rsidRPr="007A2A97">
        <w:t xml:space="preserve"> studentů.  </w:t>
      </w:r>
      <w:r w:rsidR="00AF1D19" w:rsidRPr="007A2A97">
        <w:t>Z celkového počtu 17 otázek skórujeme pouze 12, s výplňovými „</w:t>
      </w:r>
      <w:proofErr w:type="spellStart"/>
      <w:r w:rsidR="00AF1D19" w:rsidRPr="007A2A97">
        <w:t>fillers</w:t>
      </w:r>
      <w:proofErr w:type="spellEnd"/>
      <w:r w:rsidR="00AF1D19" w:rsidRPr="007A2A97">
        <w:t xml:space="preserve">“ a experimentálními otázkami v hodnocení nepočítáme. </w:t>
      </w:r>
      <w:r w:rsidRPr="007A2A97">
        <w:t>Reliabilita nástroje je uspokojivá (</w:t>
      </w:r>
      <w:proofErr w:type="spellStart"/>
      <w:r w:rsidRPr="007A2A97">
        <w:t>Cronbachovo</w:t>
      </w:r>
      <w:proofErr w:type="spellEnd"/>
      <w:r w:rsidRPr="007A2A97">
        <w:t xml:space="preserve"> α = 0,78).</w:t>
      </w:r>
    </w:p>
    <w:p w14:paraId="58FA5CF8" w14:textId="77777777" w:rsidR="0041582F" w:rsidRPr="007A2A97" w:rsidRDefault="0041582F" w:rsidP="00022208">
      <w:pPr>
        <w:spacing w:line="360" w:lineRule="auto"/>
      </w:pPr>
    </w:p>
    <w:p w14:paraId="17CD7B1A" w14:textId="77777777" w:rsidR="002E1136" w:rsidRPr="007A2A97" w:rsidRDefault="0041582F" w:rsidP="002E1136">
      <w:pPr>
        <w:spacing w:line="360" w:lineRule="auto"/>
      </w:pPr>
      <w:r w:rsidRPr="007A2A97">
        <w:t xml:space="preserve">Studie </w:t>
      </w:r>
      <w:proofErr w:type="gramStart"/>
      <w:r w:rsidRPr="007A2A97">
        <w:t>č.1:</w:t>
      </w:r>
      <w:proofErr w:type="gramEnd"/>
      <w:r w:rsidRPr="007A2A97">
        <w:t xml:space="preserve"> </w:t>
      </w:r>
      <w:proofErr w:type="spellStart"/>
      <w:r w:rsidRPr="007A2A97">
        <w:t>LOTr</w:t>
      </w:r>
      <w:proofErr w:type="spellEnd"/>
      <w:r w:rsidRPr="007A2A97">
        <w:t>, AASQ</w:t>
      </w:r>
    </w:p>
    <w:p w14:paraId="40F8423A" w14:textId="77777777" w:rsidR="0041582F" w:rsidRPr="007A2A97" w:rsidRDefault="0041582F" w:rsidP="002E1136">
      <w:pPr>
        <w:spacing w:line="360" w:lineRule="auto"/>
      </w:pPr>
      <w:r w:rsidRPr="007A2A97">
        <w:t xml:space="preserve">Studie </w:t>
      </w:r>
      <w:proofErr w:type="gramStart"/>
      <w:r w:rsidRPr="007A2A97">
        <w:t>č.2:</w:t>
      </w:r>
      <w:proofErr w:type="gramEnd"/>
      <w:r w:rsidRPr="007A2A97">
        <w:t xml:space="preserve"> </w:t>
      </w:r>
      <w:proofErr w:type="spellStart"/>
      <w:r w:rsidRPr="007A2A97">
        <w:t>LOTr</w:t>
      </w:r>
      <w:proofErr w:type="spellEnd"/>
      <w:r w:rsidRPr="007A2A97">
        <w:t>, ASQ a DPQ</w:t>
      </w:r>
    </w:p>
    <w:p w14:paraId="0F11843D" w14:textId="77777777" w:rsidR="0041582F" w:rsidRPr="007A2A97" w:rsidRDefault="0041582F" w:rsidP="002E1136">
      <w:pPr>
        <w:spacing w:line="360" w:lineRule="auto"/>
      </w:pPr>
    </w:p>
    <w:p w14:paraId="2E0AD17B" w14:textId="77777777" w:rsidR="002E1136" w:rsidRPr="007A2A97" w:rsidRDefault="002E1136" w:rsidP="00A40EDC">
      <w:pPr>
        <w:pStyle w:val="Odstavecseseznamem"/>
        <w:numPr>
          <w:ilvl w:val="1"/>
          <w:numId w:val="11"/>
        </w:numPr>
        <w:spacing w:line="360" w:lineRule="auto"/>
      </w:pPr>
      <w:r w:rsidRPr="007A2A97">
        <w:rPr>
          <w:bCs/>
        </w:rPr>
        <w:t xml:space="preserve">Způsob zpracování dat </w:t>
      </w:r>
    </w:p>
    <w:p w14:paraId="701333CC" w14:textId="77777777" w:rsidR="002E1136" w:rsidRPr="007A2A97" w:rsidRDefault="00017A06" w:rsidP="002E1136">
      <w:pPr>
        <w:spacing w:line="360" w:lineRule="auto"/>
        <w:ind w:firstLine="708"/>
      </w:pPr>
      <w:r w:rsidRPr="007A2A97">
        <w:t>Pro</w:t>
      </w:r>
      <w:r w:rsidR="0085614D" w:rsidRPr="007A2A97">
        <w:t xml:space="preserve"> ověření vztahů </w:t>
      </w:r>
      <w:r w:rsidR="0041582F" w:rsidRPr="007A2A97">
        <w:t xml:space="preserve">mezi jednotlivými konstrukty optimismu/pesimismu </w:t>
      </w:r>
      <w:r w:rsidRPr="007A2A97">
        <w:t xml:space="preserve">jsme provedli </w:t>
      </w:r>
      <w:r w:rsidR="0041582F" w:rsidRPr="007A2A97">
        <w:t>výpočet korelací</w:t>
      </w:r>
      <w:r w:rsidRPr="007A2A97">
        <w:t xml:space="preserve"> mezi dispozičním optimismem, </w:t>
      </w:r>
      <w:r w:rsidR="0041582F" w:rsidRPr="007A2A97">
        <w:t xml:space="preserve">explanačním optimismem a </w:t>
      </w:r>
      <w:r w:rsidRPr="007A2A97">
        <w:t>defenzivním pesimismem</w:t>
      </w:r>
      <w:r w:rsidR="0041582F" w:rsidRPr="007A2A97">
        <w:t xml:space="preserve">. </w:t>
      </w:r>
      <w:r w:rsidR="002E1136" w:rsidRPr="007A2A97">
        <w:t xml:space="preserve">Faktorovou analýzou </w:t>
      </w:r>
      <w:r w:rsidR="00943872" w:rsidRPr="007A2A97">
        <w:t xml:space="preserve">se šikmou rotací </w:t>
      </w:r>
      <w:proofErr w:type="spellStart"/>
      <w:r w:rsidR="00943872" w:rsidRPr="007A2A97">
        <w:t>Oblimin</w:t>
      </w:r>
      <w:proofErr w:type="spellEnd"/>
      <w:r w:rsidR="00943872" w:rsidRPr="007A2A97">
        <w:t xml:space="preserve"> (delta=0) </w:t>
      </w:r>
      <w:r w:rsidR="002E1136" w:rsidRPr="007A2A97">
        <w:t xml:space="preserve">byla prozkoumána struktura položek </w:t>
      </w:r>
      <w:r w:rsidR="0041582F" w:rsidRPr="007A2A97">
        <w:t>Dotazníku defenzivního pesimismu</w:t>
      </w:r>
      <w:r w:rsidR="00943872" w:rsidRPr="007A2A97">
        <w:t xml:space="preserve">. Tři extrahované faktory byly následně využity jako proměnné </w:t>
      </w:r>
      <w:r w:rsidR="002E1136" w:rsidRPr="007A2A97">
        <w:t>v</w:t>
      </w:r>
      <w:r w:rsidR="00943872" w:rsidRPr="007A2A97">
        <w:t xml:space="preserve">e shlukové analýze s cílem identifikovat jednotlivé typy optimistů/pesimistů. </w:t>
      </w:r>
      <w:r w:rsidR="002E1136" w:rsidRPr="007A2A97">
        <w:t>Výpočty byly provedeny pomocí programu SPSS.</w:t>
      </w:r>
    </w:p>
    <w:p w14:paraId="2BB70A54" w14:textId="77777777" w:rsidR="002E1136" w:rsidRPr="007A2A97" w:rsidRDefault="002E1136" w:rsidP="002E1136">
      <w:pPr>
        <w:spacing w:line="360" w:lineRule="auto"/>
      </w:pPr>
    </w:p>
    <w:p w14:paraId="2813FDAD" w14:textId="77777777" w:rsidR="002E1136" w:rsidRPr="007A2A97" w:rsidRDefault="002E1136" w:rsidP="00A40EDC">
      <w:pPr>
        <w:pStyle w:val="Odstavecseseznamem"/>
        <w:numPr>
          <w:ilvl w:val="0"/>
          <w:numId w:val="11"/>
        </w:numPr>
        <w:spacing w:line="360" w:lineRule="auto"/>
      </w:pPr>
      <w:r w:rsidRPr="007A2A97">
        <w:rPr>
          <w:bCs/>
        </w:rPr>
        <w:t>Výsledky a jejich interpretace</w:t>
      </w:r>
    </w:p>
    <w:p w14:paraId="21F7A26D" w14:textId="77777777" w:rsidR="002E1136" w:rsidRPr="007A2A97" w:rsidRDefault="002E1136" w:rsidP="002E1136">
      <w:pPr>
        <w:spacing w:line="360" w:lineRule="auto"/>
      </w:pPr>
    </w:p>
    <w:p w14:paraId="341EFB80" w14:textId="77777777" w:rsidR="003C3514" w:rsidRPr="007A2A97" w:rsidRDefault="00A40EDC" w:rsidP="00A40EDC">
      <w:pPr>
        <w:pStyle w:val="Odstavecseseznamem"/>
        <w:numPr>
          <w:ilvl w:val="1"/>
          <w:numId w:val="12"/>
        </w:numPr>
        <w:spacing w:line="360" w:lineRule="auto"/>
        <w:rPr>
          <w:bCs/>
        </w:rPr>
      </w:pPr>
      <w:r w:rsidRPr="007A2A97">
        <w:rPr>
          <w:bCs/>
        </w:rPr>
        <w:t xml:space="preserve"> </w:t>
      </w:r>
      <w:r w:rsidR="00943872" w:rsidRPr="007A2A97">
        <w:rPr>
          <w:bCs/>
        </w:rPr>
        <w:t xml:space="preserve">Studie </w:t>
      </w:r>
      <w:proofErr w:type="gramStart"/>
      <w:r w:rsidR="00943872" w:rsidRPr="007A2A97">
        <w:rPr>
          <w:bCs/>
        </w:rPr>
        <w:t>č.1</w:t>
      </w:r>
      <w:proofErr w:type="gramEnd"/>
      <w:r w:rsidR="00943872" w:rsidRPr="007A2A97">
        <w:rPr>
          <w:bCs/>
        </w:rPr>
        <w:t xml:space="preserve"> </w:t>
      </w:r>
    </w:p>
    <w:p w14:paraId="23A3376A" w14:textId="77777777" w:rsidR="002E1136" w:rsidRPr="007A2A97" w:rsidRDefault="00943872" w:rsidP="003C3514">
      <w:pPr>
        <w:pStyle w:val="Odstavecseseznamem"/>
        <w:spacing w:line="360" w:lineRule="auto"/>
        <w:rPr>
          <w:bCs/>
        </w:rPr>
      </w:pPr>
      <w:r w:rsidRPr="007A2A97">
        <w:rPr>
          <w:bCs/>
        </w:rPr>
        <w:lastRenderedPageBreak/>
        <w:t xml:space="preserve">Vztah dispozičního a explanačního optimismu </w:t>
      </w:r>
    </w:p>
    <w:p w14:paraId="4791B626" w14:textId="77777777" w:rsidR="005B0F17" w:rsidRPr="007A2A97" w:rsidRDefault="005B0F17" w:rsidP="005B0F17">
      <w:pPr>
        <w:spacing w:line="360" w:lineRule="auto"/>
      </w:pPr>
    </w:p>
    <w:p w14:paraId="3C05A513" w14:textId="24524613" w:rsidR="005B0F17" w:rsidRPr="002568AB" w:rsidRDefault="00A40EDC" w:rsidP="005B0F17">
      <w:pPr>
        <w:spacing w:line="360" w:lineRule="auto"/>
        <w:rPr>
          <w:i/>
          <w:color w:val="FF0000"/>
        </w:rPr>
      </w:pPr>
      <w:r w:rsidRPr="007A2A97">
        <w:t xml:space="preserve">Tabulka </w:t>
      </w:r>
      <w:proofErr w:type="gramStart"/>
      <w:r w:rsidRPr="007A2A97">
        <w:t>č.1:</w:t>
      </w:r>
      <w:proofErr w:type="gramEnd"/>
      <w:r w:rsidRPr="007A2A97">
        <w:t xml:space="preserve"> Vztah dispozičního optimismu a explanačního optimismu s jeho jednotlivými dimenzemi (personalizací, trvalostí a průrazností</w:t>
      </w:r>
      <w:r w:rsidR="00750489">
        <w:t xml:space="preserve"> pozitivních a negativních událostí</w:t>
      </w:r>
      <w:r w:rsidRPr="007A2A97">
        <w:t>)</w:t>
      </w:r>
      <w:r w:rsidR="002568AB">
        <w:t xml:space="preserve"> </w:t>
      </w:r>
    </w:p>
    <w:p w14:paraId="3F9A9881" w14:textId="77777777" w:rsidR="005B0F17" w:rsidRPr="007A2A97" w:rsidRDefault="005B0F17" w:rsidP="005B0F17">
      <w:pPr>
        <w:spacing w:line="360" w:lineRule="auto"/>
      </w:pPr>
    </w:p>
    <w:tbl>
      <w:tblPr>
        <w:tblStyle w:val="Mkatabulky"/>
        <w:tblW w:w="9210" w:type="dxa"/>
        <w:tblLook w:val="04A0" w:firstRow="1" w:lastRow="0" w:firstColumn="1" w:lastColumn="0" w:noHBand="0" w:noVBand="1"/>
      </w:tblPr>
      <w:tblGrid>
        <w:gridCol w:w="1535"/>
        <w:gridCol w:w="1535"/>
        <w:gridCol w:w="1535"/>
        <w:gridCol w:w="1535"/>
        <w:gridCol w:w="1535"/>
        <w:gridCol w:w="1535"/>
      </w:tblGrid>
      <w:tr w:rsidR="00507B3D" w:rsidRPr="00E9164E" w14:paraId="2BA96998" w14:textId="77777777" w:rsidTr="00507B3D">
        <w:tc>
          <w:tcPr>
            <w:tcW w:w="1535" w:type="dxa"/>
          </w:tcPr>
          <w:p w14:paraId="28D95519" w14:textId="77777777" w:rsidR="00507B3D" w:rsidRPr="00E9164E" w:rsidRDefault="00507B3D" w:rsidP="00507B3D">
            <w:pPr>
              <w:spacing w:line="360" w:lineRule="auto"/>
            </w:pPr>
            <w:r w:rsidRPr="00E9164E">
              <w:rPr>
                <w:bCs/>
                <w:color w:val="000000" w:themeColor="text1"/>
                <w:kern w:val="24"/>
              </w:rPr>
              <w:t>N=1594</w:t>
            </w:r>
          </w:p>
        </w:tc>
        <w:tc>
          <w:tcPr>
            <w:tcW w:w="1535" w:type="dxa"/>
          </w:tcPr>
          <w:p w14:paraId="34A25774" w14:textId="77777777" w:rsidR="005B0F17" w:rsidRPr="00E9164E" w:rsidRDefault="00507B3D" w:rsidP="00507B3D">
            <w:proofErr w:type="spellStart"/>
            <w:r w:rsidRPr="00E9164E">
              <w:rPr>
                <w:bCs/>
                <w:color w:val="000000" w:themeColor="text1"/>
                <w:kern w:val="24"/>
              </w:rPr>
              <w:t>LOTr</w:t>
            </w:r>
            <w:proofErr w:type="spellEnd"/>
          </w:p>
        </w:tc>
        <w:tc>
          <w:tcPr>
            <w:tcW w:w="1535" w:type="dxa"/>
          </w:tcPr>
          <w:p w14:paraId="5301DFE5" w14:textId="77777777" w:rsidR="00507B3D" w:rsidRPr="00E9164E" w:rsidRDefault="00507B3D" w:rsidP="00507B3D">
            <w:r w:rsidRPr="00E9164E">
              <w:rPr>
                <w:bCs/>
                <w:color w:val="000000" w:themeColor="text1"/>
                <w:kern w:val="24"/>
              </w:rPr>
              <w:t>AASQ per-</w:t>
            </w:r>
          </w:p>
          <w:p w14:paraId="09F73D78" w14:textId="77777777" w:rsidR="005B0F17" w:rsidRPr="00E9164E" w:rsidRDefault="00507B3D" w:rsidP="00507B3D">
            <w:proofErr w:type="spellStart"/>
            <w:r w:rsidRPr="00E9164E">
              <w:rPr>
                <w:bCs/>
                <w:color w:val="000000" w:themeColor="text1"/>
                <w:kern w:val="24"/>
              </w:rPr>
              <w:t>sonalizace</w:t>
            </w:r>
            <w:proofErr w:type="spellEnd"/>
          </w:p>
        </w:tc>
        <w:tc>
          <w:tcPr>
            <w:tcW w:w="1535" w:type="dxa"/>
          </w:tcPr>
          <w:p w14:paraId="6CFDDFEF" w14:textId="77777777" w:rsidR="00507B3D" w:rsidRPr="00E9164E" w:rsidRDefault="00507B3D" w:rsidP="00507B3D">
            <w:r w:rsidRPr="00E9164E">
              <w:rPr>
                <w:bCs/>
                <w:color w:val="000000" w:themeColor="text1"/>
                <w:kern w:val="24"/>
              </w:rPr>
              <w:t>AASQ</w:t>
            </w:r>
          </w:p>
          <w:p w14:paraId="6284CEA1" w14:textId="77777777" w:rsidR="005B0F17" w:rsidRPr="00E9164E" w:rsidRDefault="00507B3D" w:rsidP="00507B3D">
            <w:r w:rsidRPr="00E9164E">
              <w:rPr>
                <w:bCs/>
                <w:color w:val="000000" w:themeColor="text1"/>
                <w:kern w:val="24"/>
              </w:rPr>
              <w:t>trvalost</w:t>
            </w:r>
          </w:p>
        </w:tc>
        <w:tc>
          <w:tcPr>
            <w:tcW w:w="1535" w:type="dxa"/>
          </w:tcPr>
          <w:p w14:paraId="1BF7EB9B" w14:textId="77777777" w:rsidR="00507B3D" w:rsidRPr="00E9164E" w:rsidRDefault="00507B3D" w:rsidP="00507B3D">
            <w:r w:rsidRPr="00E9164E">
              <w:rPr>
                <w:bCs/>
                <w:color w:val="000000" w:themeColor="text1"/>
                <w:kern w:val="24"/>
              </w:rPr>
              <w:t>AASQ</w:t>
            </w:r>
          </w:p>
          <w:p w14:paraId="1116491E" w14:textId="77777777" w:rsidR="005B0F17" w:rsidRPr="00E9164E" w:rsidRDefault="00507B3D" w:rsidP="00507B3D">
            <w:r w:rsidRPr="00E9164E">
              <w:rPr>
                <w:bCs/>
                <w:color w:val="000000" w:themeColor="text1"/>
                <w:kern w:val="24"/>
              </w:rPr>
              <w:t>průraznost</w:t>
            </w:r>
          </w:p>
        </w:tc>
        <w:tc>
          <w:tcPr>
            <w:tcW w:w="1535" w:type="dxa"/>
          </w:tcPr>
          <w:p w14:paraId="1EFFB308" w14:textId="77777777" w:rsidR="005B0F17" w:rsidRPr="00E9164E" w:rsidRDefault="00507B3D" w:rsidP="00507B3D">
            <w:r w:rsidRPr="00E9164E">
              <w:t>AASQ</w:t>
            </w:r>
          </w:p>
          <w:p w14:paraId="5283F70C" w14:textId="77777777" w:rsidR="005B0F17" w:rsidRPr="00E9164E" w:rsidRDefault="003C3514" w:rsidP="00507B3D">
            <w:r w:rsidRPr="00E9164E">
              <w:t>celkově</w:t>
            </w:r>
          </w:p>
        </w:tc>
      </w:tr>
      <w:tr w:rsidR="00507B3D" w:rsidRPr="007A2A97" w14:paraId="713FC70E" w14:textId="77777777" w:rsidTr="00507B3D">
        <w:tc>
          <w:tcPr>
            <w:tcW w:w="1535" w:type="dxa"/>
          </w:tcPr>
          <w:p w14:paraId="1D44A4B8" w14:textId="77777777" w:rsidR="00507B3D" w:rsidRPr="007A2A97" w:rsidRDefault="00507B3D" w:rsidP="00507B3D">
            <w:pPr>
              <w:tabs>
                <w:tab w:val="left" w:pos="2244"/>
              </w:tabs>
              <w:rPr>
                <w:bCs/>
                <w:color w:val="000000" w:themeColor="text1"/>
                <w:kern w:val="24"/>
              </w:rPr>
            </w:pPr>
            <w:proofErr w:type="spellStart"/>
            <w:r w:rsidRPr="007A2A97">
              <w:rPr>
                <w:bCs/>
                <w:color w:val="000000" w:themeColor="text1"/>
                <w:kern w:val="24"/>
              </w:rPr>
              <w:t>LOTr</w:t>
            </w:r>
            <w:proofErr w:type="spellEnd"/>
          </w:p>
          <w:p w14:paraId="6D6FD8AB" w14:textId="77777777" w:rsidR="005B0F17" w:rsidRPr="007A2A97" w:rsidRDefault="005B0F17" w:rsidP="00507B3D">
            <w:pPr>
              <w:tabs>
                <w:tab w:val="left" w:pos="2244"/>
              </w:tabs>
            </w:pPr>
          </w:p>
        </w:tc>
        <w:tc>
          <w:tcPr>
            <w:tcW w:w="1535" w:type="dxa"/>
          </w:tcPr>
          <w:p w14:paraId="76D8104E" w14:textId="77777777" w:rsidR="005B0F17" w:rsidRPr="007A2A97" w:rsidRDefault="00507B3D" w:rsidP="003C3514">
            <w:pPr>
              <w:jc w:val="right"/>
            </w:pPr>
            <w:r w:rsidRPr="007A2A97">
              <w:rPr>
                <w:bCs/>
                <w:color w:val="000000" w:themeColor="dark1"/>
                <w:kern w:val="24"/>
              </w:rPr>
              <w:t>1</w:t>
            </w:r>
          </w:p>
        </w:tc>
        <w:tc>
          <w:tcPr>
            <w:tcW w:w="1535" w:type="dxa"/>
          </w:tcPr>
          <w:p w14:paraId="59F667A9" w14:textId="77777777" w:rsidR="005B0F17" w:rsidRPr="007A2A97" w:rsidRDefault="00507B3D" w:rsidP="003C3514">
            <w:pPr>
              <w:jc w:val="right"/>
            </w:pPr>
            <w:r w:rsidRPr="007A2A97">
              <w:rPr>
                <w:bCs/>
                <w:color w:val="000000" w:themeColor="dark1"/>
                <w:kern w:val="24"/>
              </w:rPr>
              <w:t>,048</w:t>
            </w:r>
          </w:p>
        </w:tc>
        <w:tc>
          <w:tcPr>
            <w:tcW w:w="1535" w:type="dxa"/>
          </w:tcPr>
          <w:p w14:paraId="5CF3AAD0" w14:textId="77777777" w:rsidR="005B0F17" w:rsidRPr="007A2A97" w:rsidRDefault="00507B3D" w:rsidP="003C3514">
            <w:pPr>
              <w:jc w:val="right"/>
            </w:pPr>
            <w:r w:rsidRPr="007A2A97">
              <w:rPr>
                <w:bCs/>
                <w:color w:val="000000" w:themeColor="dark1"/>
                <w:kern w:val="24"/>
              </w:rPr>
              <w:t>-,203</w:t>
            </w:r>
            <w:r w:rsidRPr="007A2A97">
              <w:rPr>
                <w:rFonts w:eastAsiaTheme="minorEastAsia"/>
                <w:bCs/>
                <w:color w:val="000000" w:themeColor="dark1"/>
                <w:kern w:val="24"/>
                <w:position w:val="12"/>
                <w:vertAlign w:val="superscript"/>
              </w:rPr>
              <w:t>**</w:t>
            </w:r>
          </w:p>
        </w:tc>
        <w:tc>
          <w:tcPr>
            <w:tcW w:w="1535" w:type="dxa"/>
          </w:tcPr>
          <w:p w14:paraId="0AECE766" w14:textId="77777777" w:rsidR="005B0F17" w:rsidRPr="007A2A97" w:rsidRDefault="00507B3D" w:rsidP="003C3514">
            <w:pPr>
              <w:jc w:val="right"/>
            </w:pPr>
            <w:r w:rsidRPr="007A2A97">
              <w:rPr>
                <w:bCs/>
                <w:color w:val="000000" w:themeColor="dark1"/>
                <w:kern w:val="24"/>
              </w:rPr>
              <w:t>-,157</w:t>
            </w:r>
            <w:r w:rsidRPr="007A2A97">
              <w:rPr>
                <w:rFonts w:eastAsiaTheme="minorEastAsia"/>
                <w:bCs/>
                <w:color w:val="000000" w:themeColor="dark1"/>
                <w:kern w:val="24"/>
                <w:position w:val="12"/>
                <w:vertAlign w:val="superscript"/>
              </w:rPr>
              <w:t>**</w:t>
            </w:r>
          </w:p>
        </w:tc>
        <w:tc>
          <w:tcPr>
            <w:tcW w:w="1535" w:type="dxa"/>
          </w:tcPr>
          <w:p w14:paraId="3D75F4DE" w14:textId="77777777" w:rsidR="005B0F17" w:rsidRPr="007A2A97" w:rsidRDefault="003C3514" w:rsidP="003C3514">
            <w:pPr>
              <w:jc w:val="right"/>
            </w:pPr>
            <w:r w:rsidRPr="007A2A97">
              <w:rPr>
                <w:bCs/>
                <w:color w:val="000000" w:themeColor="dark1"/>
                <w:kern w:val="24"/>
              </w:rPr>
              <w:t>-,146</w:t>
            </w:r>
            <w:r w:rsidRPr="007A2A97">
              <w:rPr>
                <w:rFonts w:eastAsiaTheme="minorEastAsia"/>
                <w:bCs/>
                <w:color w:val="000000" w:themeColor="dark1"/>
                <w:kern w:val="24"/>
                <w:position w:val="12"/>
                <w:vertAlign w:val="superscript"/>
              </w:rPr>
              <w:t>**</w:t>
            </w:r>
          </w:p>
        </w:tc>
      </w:tr>
    </w:tbl>
    <w:p w14:paraId="1FA5A47B" w14:textId="77777777" w:rsidR="005B0F17" w:rsidRPr="007A2A97" w:rsidRDefault="005B0F17" w:rsidP="005B0F17">
      <w:pPr>
        <w:spacing w:line="360" w:lineRule="auto"/>
      </w:pPr>
    </w:p>
    <w:p w14:paraId="30A3CD8A" w14:textId="77777777" w:rsidR="003C3514" w:rsidRPr="007A2A97" w:rsidRDefault="003C3514" w:rsidP="003C3514">
      <w:pPr>
        <w:spacing w:line="360" w:lineRule="auto"/>
        <w:ind w:firstLine="708"/>
      </w:pPr>
      <w:proofErr w:type="gramStart"/>
      <w:r w:rsidRPr="007A2A97">
        <w:rPr>
          <w:bCs/>
          <w:vertAlign w:val="superscript"/>
        </w:rPr>
        <w:t xml:space="preserve">**  </w:t>
      </w:r>
      <w:r w:rsidRPr="007A2A97">
        <w:rPr>
          <w:bCs/>
        </w:rPr>
        <w:t>korelace</w:t>
      </w:r>
      <w:proofErr w:type="gramEnd"/>
      <w:r w:rsidRPr="007A2A97">
        <w:rPr>
          <w:bCs/>
        </w:rPr>
        <w:t xml:space="preserve"> jsou signifikantní na hladině 0,01 </w:t>
      </w:r>
    </w:p>
    <w:p w14:paraId="1710EC38" w14:textId="77777777" w:rsidR="005B0F17" w:rsidRPr="007A2A97" w:rsidRDefault="005B0F17" w:rsidP="002E1136">
      <w:pPr>
        <w:spacing w:line="360" w:lineRule="auto"/>
        <w:ind w:firstLine="708"/>
      </w:pPr>
    </w:p>
    <w:p w14:paraId="7F42E5F3" w14:textId="77777777" w:rsidR="005B0F17" w:rsidRPr="007A2A97" w:rsidRDefault="003C3514" w:rsidP="003C3514">
      <w:pPr>
        <w:spacing w:line="360" w:lineRule="auto"/>
      </w:pPr>
      <w:r w:rsidRPr="007A2A97">
        <w:t xml:space="preserve">Korelace </w:t>
      </w:r>
      <w:r w:rsidR="00750489">
        <w:t xml:space="preserve">mezi dispozičním optimismem a jednotlivými dimenzemi explanačního optimismu včetně jeho kompozitního skóru jsou sice </w:t>
      </w:r>
      <w:r w:rsidR="001D6B1F">
        <w:t xml:space="preserve">díky rozsáhlému výzkumnému souboru </w:t>
      </w:r>
      <w:r w:rsidR="00750489">
        <w:t>průkazné (kromě dimenze personalizace)</w:t>
      </w:r>
      <w:r w:rsidR="001D6B1F">
        <w:t xml:space="preserve"> na 1% hladině významnosti</w:t>
      </w:r>
      <w:r w:rsidR="00750489">
        <w:t xml:space="preserve">, ale </w:t>
      </w:r>
      <w:r w:rsidR="002568AB" w:rsidRPr="005F4438">
        <w:t>nepříliš těsné</w:t>
      </w:r>
      <w:r w:rsidR="00750489">
        <w:t xml:space="preserve">. Naznačují, že oba konstrukty jsou na sobě do značné míry </w:t>
      </w:r>
      <w:r w:rsidR="001D6B1F">
        <w:t>nezávislé a sytí je jiné zdroje.</w:t>
      </w:r>
    </w:p>
    <w:p w14:paraId="447C91AA" w14:textId="77777777" w:rsidR="005B0F17" w:rsidRPr="007A2A97" w:rsidRDefault="005B0F17" w:rsidP="002E1136">
      <w:pPr>
        <w:spacing w:line="360" w:lineRule="auto"/>
        <w:ind w:firstLine="708"/>
      </w:pPr>
    </w:p>
    <w:p w14:paraId="79ED004B" w14:textId="77777777" w:rsidR="005B0F17" w:rsidRPr="007A2A97" w:rsidRDefault="003C3514" w:rsidP="00A40EDC">
      <w:pPr>
        <w:pStyle w:val="Odstavecseseznamem"/>
        <w:numPr>
          <w:ilvl w:val="1"/>
          <w:numId w:val="12"/>
        </w:numPr>
        <w:spacing w:line="360" w:lineRule="auto"/>
      </w:pPr>
      <w:r w:rsidRPr="007A2A97">
        <w:t xml:space="preserve">Studie </w:t>
      </w:r>
      <w:proofErr w:type="gramStart"/>
      <w:r w:rsidRPr="007A2A97">
        <w:t>č.2</w:t>
      </w:r>
      <w:proofErr w:type="gramEnd"/>
    </w:p>
    <w:p w14:paraId="14313FC6" w14:textId="77777777" w:rsidR="003C3514" w:rsidRPr="007A2A97" w:rsidRDefault="003C3514" w:rsidP="00A40EDC">
      <w:pPr>
        <w:pStyle w:val="Odstavecseseznamem"/>
        <w:numPr>
          <w:ilvl w:val="2"/>
          <w:numId w:val="12"/>
        </w:numPr>
        <w:spacing w:line="360" w:lineRule="auto"/>
      </w:pPr>
      <w:r w:rsidRPr="007A2A97">
        <w:t>Ověření konstruktu defenzivního pesimismu</w:t>
      </w:r>
    </w:p>
    <w:p w14:paraId="40685297" w14:textId="77777777" w:rsidR="003C3514" w:rsidRPr="007A2A97" w:rsidRDefault="003C3514" w:rsidP="004E120F">
      <w:pPr>
        <w:spacing w:line="360" w:lineRule="auto"/>
        <w:ind w:firstLine="708"/>
        <w:rPr>
          <w:bCs/>
        </w:rPr>
      </w:pPr>
      <w:r w:rsidRPr="007A2A97">
        <w:rPr>
          <w:bCs/>
        </w:rPr>
        <w:t xml:space="preserve">Faktorovou analýzou se šikmou rotací </w:t>
      </w:r>
      <w:proofErr w:type="spellStart"/>
      <w:r w:rsidR="00AF1D19" w:rsidRPr="007A2A97">
        <w:rPr>
          <w:bCs/>
        </w:rPr>
        <w:t>Oblimin</w:t>
      </w:r>
      <w:proofErr w:type="spellEnd"/>
      <w:r w:rsidR="00AF1D19" w:rsidRPr="007A2A97">
        <w:rPr>
          <w:bCs/>
        </w:rPr>
        <w:t xml:space="preserve"> (delta=0) jsme redukovali 12 skórovaných položek Dotazníku defenzivního pesimismu na 3 faktory, které vysvětlují </w:t>
      </w:r>
      <w:r w:rsidR="002568AB" w:rsidRPr="005F4438">
        <w:rPr>
          <w:bCs/>
        </w:rPr>
        <w:t>60</w:t>
      </w:r>
      <w:r w:rsidR="002568AB" w:rsidRPr="002568AB">
        <w:rPr>
          <w:bCs/>
          <w:color w:val="FF0000"/>
        </w:rPr>
        <w:t xml:space="preserve"> </w:t>
      </w:r>
      <w:r w:rsidR="00AF1D19" w:rsidRPr="007A2A97">
        <w:rPr>
          <w:bCs/>
        </w:rPr>
        <w:t>% společného rozptylu. Jedná se o následující faktory:</w:t>
      </w:r>
    </w:p>
    <w:p w14:paraId="7D354584" w14:textId="77777777" w:rsidR="00AF1D19" w:rsidRPr="005F4438" w:rsidRDefault="00AF1D19" w:rsidP="004E120F">
      <w:pPr>
        <w:spacing w:line="360" w:lineRule="auto"/>
        <w:ind w:left="2124" w:firstLine="708"/>
        <w:rPr>
          <w:bCs/>
        </w:rPr>
      </w:pPr>
      <w:r w:rsidRPr="007A2A97">
        <w:rPr>
          <w:bCs/>
        </w:rPr>
        <w:t>faktor 1 – pesimismus</w:t>
      </w:r>
      <w:r w:rsidR="002568AB">
        <w:rPr>
          <w:bCs/>
        </w:rPr>
        <w:t xml:space="preserve"> </w:t>
      </w:r>
      <w:r w:rsidR="002568AB" w:rsidRPr="005F4438">
        <w:rPr>
          <w:bCs/>
        </w:rPr>
        <w:t>(34 % rozptylu)</w:t>
      </w:r>
    </w:p>
    <w:p w14:paraId="7FB8D0E9" w14:textId="77777777" w:rsidR="00AF1D19" w:rsidRPr="007A2A97" w:rsidRDefault="00AF1D19" w:rsidP="004E120F">
      <w:pPr>
        <w:spacing w:line="360" w:lineRule="auto"/>
        <w:ind w:left="2124" w:firstLine="708"/>
        <w:rPr>
          <w:bCs/>
        </w:rPr>
      </w:pPr>
      <w:r w:rsidRPr="007A2A97">
        <w:rPr>
          <w:bCs/>
        </w:rPr>
        <w:t>faktor 2 – anticipovaná pozitivní sebereflexe</w:t>
      </w:r>
      <w:r w:rsidR="002568AB">
        <w:rPr>
          <w:bCs/>
        </w:rPr>
        <w:t xml:space="preserve"> </w:t>
      </w:r>
      <w:r w:rsidR="002568AB" w:rsidRPr="005F4438">
        <w:rPr>
          <w:bCs/>
        </w:rPr>
        <w:t>(13 % rozptylu)</w:t>
      </w:r>
    </w:p>
    <w:p w14:paraId="70337380" w14:textId="77777777" w:rsidR="00AF1D19" w:rsidRPr="005F4438" w:rsidRDefault="00AF1D19" w:rsidP="004E120F">
      <w:pPr>
        <w:spacing w:line="360" w:lineRule="auto"/>
        <w:ind w:left="2124" w:firstLine="708"/>
        <w:rPr>
          <w:bCs/>
        </w:rPr>
      </w:pPr>
      <w:r w:rsidRPr="007A2A97">
        <w:rPr>
          <w:bCs/>
        </w:rPr>
        <w:t xml:space="preserve">faktor 3 </w:t>
      </w:r>
      <w:r w:rsidR="003C3BC2" w:rsidRPr="007A2A97">
        <w:rPr>
          <w:bCs/>
        </w:rPr>
        <w:t>–</w:t>
      </w:r>
      <w:r w:rsidRPr="007A2A97">
        <w:rPr>
          <w:bCs/>
        </w:rPr>
        <w:t xml:space="preserve"> neplánování</w:t>
      </w:r>
      <w:r w:rsidR="002568AB">
        <w:rPr>
          <w:bCs/>
        </w:rPr>
        <w:t xml:space="preserve"> </w:t>
      </w:r>
      <w:r w:rsidR="002568AB" w:rsidRPr="005F4438">
        <w:rPr>
          <w:bCs/>
        </w:rPr>
        <w:t>(13 % rozptylu)</w:t>
      </w:r>
    </w:p>
    <w:p w14:paraId="00E2F542" w14:textId="77777777" w:rsidR="003C3BC2" w:rsidRDefault="003C3BC2" w:rsidP="002E1136">
      <w:pPr>
        <w:spacing w:line="360" w:lineRule="auto"/>
        <w:rPr>
          <w:bCs/>
        </w:rPr>
      </w:pPr>
      <w:r w:rsidRPr="007A2A97">
        <w:rPr>
          <w:bCs/>
        </w:rPr>
        <w:t>(Přesné výsledky faktorové analýzy autorka zašle zájemcům na vyžádání mailem.)</w:t>
      </w:r>
    </w:p>
    <w:p w14:paraId="1DE78CEA" w14:textId="77777777" w:rsidR="004E120F" w:rsidRPr="004E120F" w:rsidRDefault="004E120F" w:rsidP="004E120F">
      <w:pPr>
        <w:autoSpaceDE w:val="0"/>
        <w:autoSpaceDN w:val="0"/>
        <w:adjustRightInd w:val="0"/>
        <w:spacing w:line="360" w:lineRule="auto"/>
        <w:rPr>
          <w:bCs/>
        </w:rPr>
      </w:pPr>
      <w:r w:rsidRPr="004E120F">
        <w:rPr>
          <w:bCs/>
        </w:rPr>
        <w:t xml:space="preserve">Podle autorky J. </w:t>
      </w:r>
      <w:proofErr w:type="spellStart"/>
      <w:r w:rsidRPr="004E120F">
        <w:rPr>
          <w:bCs/>
        </w:rPr>
        <w:t>Noremové</w:t>
      </w:r>
      <w:proofErr w:type="spellEnd"/>
      <w:r w:rsidRPr="004E120F">
        <w:rPr>
          <w:bCs/>
        </w:rPr>
        <w:t xml:space="preserve"> (2002) sytí tento dotazník dva faktory,</w:t>
      </w:r>
    </w:p>
    <w:p w14:paraId="5715BFBB" w14:textId="77777777" w:rsidR="004E120F" w:rsidRPr="004E120F" w:rsidRDefault="004E120F" w:rsidP="004E120F">
      <w:pPr>
        <w:autoSpaceDE w:val="0"/>
        <w:autoSpaceDN w:val="0"/>
        <w:adjustRightInd w:val="0"/>
        <w:spacing w:line="360" w:lineRule="auto"/>
        <w:rPr>
          <w:bCs/>
        </w:rPr>
      </w:pPr>
      <w:r w:rsidRPr="004E120F">
        <w:rPr>
          <w:bCs/>
        </w:rPr>
        <w:t>defenzivní</w:t>
      </w:r>
      <w:r>
        <w:rPr>
          <w:bCs/>
        </w:rPr>
        <w:t xml:space="preserve"> pesimismus a reflektivita</w:t>
      </w:r>
      <w:r w:rsidRPr="004E120F">
        <w:rPr>
          <w:bCs/>
        </w:rPr>
        <w:t>. Tyto faktory spolu souvisejí</w:t>
      </w:r>
      <w:r>
        <w:rPr>
          <w:bCs/>
        </w:rPr>
        <w:t xml:space="preserve"> a c</w:t>
      </w:r>
      <w:r w:rsidRPr="004E120F">
        <w:rPr>
          <w:bCs/>
        </w:rPr>
        <w:t>elkové</w:t>
      </w:r>
    </w:p>
    <w:p w14:paraId="78693C4A" w14:textId="77777777" w:rsidR="004E120F" w:rsidRPr="004E120F" w:rsidRDefault="004E120F" w:rsidP="004E120F">
      <w:pPr>
        <w:autoSpaceDE w:val="0"/>
        <w:autoSpaceDN w:val="0"/>
        <w:adjustRightInd w:val="0"/>
        <w:spacing w:line="360" w:lineRule="auto"/>
        <w:rPr>
          <w:rFonts w:eastAsiaTheme="minorHAnsi"/>
          <w:lang w:eastAsia="en-US"/>
        </w:rPr>
      </w:pPr>
      <w:r w:rsidRPr="004E120F">
        <w:rPr>
          <w:bCs/>
        </w:rPr>
        <w:t>skóre defenzivního pesimismu tvoří součet položek obou těchto faktorů.</w:t>
      </w:r>
      <w:r>
        <w:rPr>
          <w:bCs/>
        </w:rPr>
        <w:t xml:space="preserve"> </w:t>
      </w:r>
      <w:r w:rsidRPr="004E120F">
        <w:rPr>
          <w:rFonts w:eastAsiaTheme="minorHAnsi"/>
          <w:lang w:eastAsia="en-US"/>
        </w:rPr>
        <w:t>Z</w:t>
      </w:r>
      <w:r>
        <w:rPr>
          <w:rFonts w:eastAsiaTheme="minorHAnsi"/>
          <w:lang w:eastAsia="en-US"/>
        </w:rPr>
        <w:t xml:space="preserve"> naší </w:t>
      </w:r>
      <w:r w:rsidRPr="004E120F">
        <w:rPr>
          <w:rFonts w:eastAsiaTheme="minorHAnsi"/>
          <w:lang w:eastAsia="en-US"/>
        </w:rPr>
        <w:t>faktorové analýzy vyplývá, že</w:t>
      </w:r>
      <w:r>
        <w:rPr>
          <w:rFonts w:eastAsiaTheme="minorHAnsi"/>
          <w:lang w:eastAsia="en-US"/>
        </w:rPr>
        <w:t xml:space="preserve"> </w:t>
      </w:r>
      <w:r w:rsidRPr="004E120F">
        <w:rPr>
          <w:rFonts w:eastAsiaTheme="minorHAnsi"/>
          <w:lang w:eastAsia="en-US"/>
        </w:rPr>
        <w:t>dotazník nevykazuje zcela jasný dvou-faktorový model tak, jak jej</w:t>
      </w:r>
    </w:p>
    <w:p w14:paraId="783AD2D3" w14:textId="77777777" w:rsidR="004E120F" w:rsidRPr="004E120F" w:rsidRDefault="004E120F" w:rsidP="004E120F">
      <w:pPr>
        <w:spacing w:line="360" w:lineRule="auto"/>
        <w:rPr>
          <w:bCs/>
        </w:rPr>
      </w:pPr>
      <w:r w:rsidRPr="004E120F">
        <w:rPr>
          <w:rFonts w:eastAsiaTheme="minorHAnsi"/>
          <w:lang w:eastAsia="en-US"/>
        </w:rPr>
        <w:t xml:space="preserve">předpokládá J. </w:t>
      </w:r>
      <w:proofErr w:type="spellStart"/>
      <w:r w:rsidRPr="004E120F">
        <w:rPr>
          <w:rFonts w:eastAsiaTheme="minorHAnsi"/>
          <w:lang w:eastAsia="en-US"/>
        </w:rPr>
        <w:t>Noremová</w:t>
      </w:r>
      <w:proofErr w:type="spellEnd"/>
      <w:r w:rsidRPr="004E120F">
        <w:rPr>
          <w:rFonts w:eastAsiaTheme="minorHAnsi"/>
          <w:lang w:eastAsia="en-US"/>
        </w:rPr>
        <w:t xml:space="preserve"> (2002).</w:t>
      </w:r>
    </w:p>
    <w:p w14:paraId="03B6D0E2" w14:textId="77777777" w:rsidR="003C3BC2" w:rsidRPr="007A2A97" w:rsidRDefault="003C3BC2" w:rsidP="004E120F">
      <w:pPr>
        <w:spacing w:line="360" w:lineRule="auto"/>
        <w:ind w:firstLine="708"/>
        <w:rPr>
          <w:bCs/>
        </w:rPr>
      </w:pPr>
      <w:r w:rsidRPr="007A2A97">
        <w:rPr>
          <w:bCs/>
        </w:rPr>
        <w:t xml:space="preserve">Shlukovou analýzou </w:t>
      </w:r>
      <w:r w:rsidR="0096543F" w:rsidRPr="007A2A97">
        <w:rPr>
          <w:bCs/>
        </w:rPr>
        <w:t xml:space="preserve">(metodou k-průměrů) jsme určili typy optimistů/pesimistů s využitím výše uvedených 3 faktorů. </w:t>
      </w:r>
      <w:r w:rsidR="002568AB" w:rsidRPr="005F4438">
        <w:rPr>
          <w:bCs/>
        </w:rPr>
        <w:t>Ověřili</w:t>
      </w:r>
      <w:r w:rsidR="0096543F" w:rsidRPr="005F4438">
        <w:rPr>
          <w:bCs/>
        </w:rPr>
        <w:t xml:space="preserve"> </w:t>
      </w:r>
      <w:r w:rsidR="0096543F" w:rsidRPr="007A2A97">
        <w:rPr>
          <w:bCs/>
        </w:rPr>
        <w:t>jsme řešení pro 4 a 5 shluků</w:t>
      </w:r>
      <w:r w:rsidR="00FB0E7C" w:rsidRPr="007A2A97">
        <w:rPr>
          <w:bCs/>
        </w:rPr>
        <w:t xml:space="preserve"> osob</w:t>
      </w:r>
      <w:r w:rsidR="002568AB">
        <w:rPr>
          <w:bCs/>
        </w:rPr>
        <w:t xml:space="preserve">; </w:t>
      </w:r>
      <w:r w:rsidR="002568AB" w:rsidRPr="005F4438">
        <w:rPr>
          <w:bCs/>
        </w:rPr>
        <w:t xml:space="preserve">obě řešení byla </w:t>
      </w:r>
      <w:proofErr w:type="spellStart"/>
      <w:r w:rsidR="002568AB" w:rsidRPr="005F4438">
        <w:rPr>
          <w:bCs/>
        </w:rPr>
        <w:t>validizována</w:t>
      </w:r>
      <w:proofErr w:type="spellEnd"/>
      <w:r w:rsidR="002568AB" w:rsidRPr="005F4438">
        <w:rPr>
          <w:bCs/>
        </w:rPr>
        <w:t xml:space="preserve"> na náhodně rozdělených polovinách souboru</w:t>
      </w:r>
      <w:r w:rsidR="0096543F" w:rsidRPr="005F4438">
        <w:rPr>
          <w:bCs/>
        </w:rPr>
        <w:t>.</w:t>
      </w:r>
      <w:r w:rsidR="0096543F" w:rsidRPr="007A2A97">
        <w:rPr>
          <w:bCs/>
        </w:rPr>
        <w:t xml:space="preserve"> V obou těchto řešeních bylo možné identifikovat skupinu defenzivních pesimistů vyznačujících se vysokou mírou </w:t>
      </w:r>
      <w:r w:rsidR="0096543F" w:rsidRPr="007A2A97">
        <w:rPr>
          <w:bCs/>
        </w:rPr>
        <w:lastRenderedPageBreak/>
        <w:t xml:space="preserve">pesimismu, vysokou mírou plánování a nízkou mírou anticipované pozitivní sebereflexe. </w:t>
      </w:r>
      <w:r w:rsidR="00FB0E7C" w:rsidRPr="007A2A97">
        <w:rPr>
          <w:bCs/>
        </w:rPr>
        <w:t>Pro přiblížení nabízíme grafické znázornění řešení pro 4 shluky osob.</w:t>
      </w:r>
    </w:p>
    <w:p w14:paraId="177814B1" w14:textId="77777777" w:rsidR="00FB0E7C" w:rsidRPr="007A2A97" w:rsidRDefault="00FB0E7C" w:rsidP="002E1136">
      <w:pPr>
        <w:spacing w:line="360" w:lineRule="auto"/>
        <w:rPr>
          <w:bCs/>
        </w:rPr>
      </w:pPr>
    </w:p>
    <w:p w14:paraId="74BE92AE" w14:textId="77777777" w:rsidR="00FB0E7C" w:rsidRPr="007A2A97" w:rsidRDefault="00FB0E7C" w:rsidP="002E1136">
      <w:pPr>
        <w:spacing w:line="360" w:lineRule="auto"/>
        <w:rPr>
          <w:bCs/>
        </w:rPr>
      </w:pPr>
      <w:r w:rsidRPr="007A2A97">
        <w:rPr>
          <w:bCs/>
        </w:rPr>
        <w:t xml:space="preserve">Graf </w:t>
      </w:r>
      <w:proofErr w:type="gramStart"/>
      <w:r w:rsidRPr="007A2A97">
        <w:rPr>
          <w:bCs/>
        </w:rPr>
        <w:t>č.1 Typy</w:t>
      </w:r>
      <w:proofErr w:type="gramEnd"/>
      <w:r w:rsidRPr="007A2A97">
        <w:rPr>
          <w:bCs/>
        </w:rPr>
        <w:t xml:space="preserve"> optimistů a pesimistů</w:t>
      </w:r>
    </w:p>
    <w:p w14:paraId="4E0E08E2" w14:textId="77777777" w:rsidR="00FB0E7C" w:rsidRPr="007A2A97" w:rsidRDefault="00FB0E7C" w:rsidP="002E1136">
      <w:pPr>
        <w:spacing w:line="360" w:lineRule="auto"/>
        <w:rPr>
          <w:b/>
          <w:bCs/>
        </w:rPr>
      </w:pPr>
      <w:r w:rsidRPr="007A2A97">
        <w:rPr>
          <w:b/>
          <w:bCs/>
          <w:noProof/>
        </w:rPr>
        <w:drawing>
          <wp:inline distT="0" distB="0" distL="0" distR="0" wp14:anchorId="5315476B" wp14:editId="7261AE9B">
            <wp:extent cx="5760720" cy="3685734"/>
            <wp:effectExtent l="0" t="0" r="0" b="0"/>
            <wp:docPr id="14339" name="Picture 2"/>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4339" name="Picture 2"/>
                    <pic:cNvPicPr>
                      <a:picLocks noGrp="1"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3685734"/>
                    </a:xfrm>
                    <a:prstGeom prst="rect">
                      <a:avLst/>
                    </a:prstGeom>
                    <a:noFill/>
                    <a:ln>
                      <a:noFill/>
                    </a:ln>
                    <a:effectLst/>
                    <a:extLst/>
                  </pic:spPr>
                </pic:pic>
              </a:graphicData>
            </a:graphic>
          </wp:inline>
        </w:drawing>
      </w:r>
    </w:p>
    <w:p w14:paraId="0B77A0B2" w14:textId="77777777" w:rsidR="00FB0E7C" w:rsidRPr="007A2A97" w:rsidRDefault="00FB0E7C" w:rsidP="00FB0E7C">
      <w:pPr>
        <w:spacing w:line="360" w:lineRule="auto"/>
        <w:rPr>
          <w:bCs/>
        </w:rPr>
      </w:pPr>
      <w:r w:rsidRPr="007A2A97">
        <w:rPr>
          <w:bCs/>
        </w:rPr>
        <w:t xml:space="preserve">Shluk </w:t>
      </w:r>
      <w:proofErr w:type="gramStart"/>
      <w:r w:rsidRPr="007A2A97">
        <w:rPr>
          <w:bCs/>
        </w:rPr>
        <w:t>č.1 plánovití</w:t>
      </w:r>
      <w:proofErr w:type="gramEnd"/>
      <w:r w:rsidRPr="007A2A97">
        <w:rPr>
          <w:bCs/>
        </w:rPr>
        <w:t xml:space="preserve"> nevyhranění </w:t>
      </w:r>
      <w:proofErr w:type="spellStart"/>
      <w:r w:rsidRPr="007A2A97">
        <w:rPr>
          <w:bCs/>
        </w:rPr>
        <w:t>opt</w:t>
      </w:r>
      <w:proofErr w:type="spellEnd"/>
      <w:r w:rsidRPr="007A2A97">
        <w:rPr>
          <w:bCs/>
        </w:rPr>
        <w:t>./pes. (N=36)</w:t>
      </w:r>
    </w:p>
    <w:p w14:paraId="075C70EF" w14:textId="77777777" w:rsidR="00FB0E7C" w:rsidRPr="007A2A97" w:rsidRDefault="00FB0E7C" w:rsidP="00FB0E7C">
      <w:pPr>
        <w:spacing w:line="360" w:lineRule="auto"/>
        <w:rPr>
          <w:bCs/>
        </w:rPr>
      </w:pPr>
      <w:r w:rsidRPr="007A2A97">
        <w:rPr>
          <w:bCs/>
        </w:rPr>
        <w:t xml:space="preserve">Shluk </w:t>
      </w:r>
      <w:proofErr w:type="gramStart"/>
      <w:r w:rsidRPr="007A2A97">
        <w:rPr>
          <w:bCs/>
        </w:rPr>
        <w:t>č.2 optimisté</w:t>
      </w:r>
      <w:proofErr w:type="gramEnd"/>
      <w:r w:rsidRPr="007A2A97">
        <w:rPr>
          <w:bCs/>
        </w:rPr>
        <w:t xml:space="preserve"> (N=21)</w:t>
      </w:r>
    </w:p>
    <w:p w14:paraId="00653102" w14:textId="77777777" w:rsidR="00FB0E7C" w:rsidRPr="007A2A97" w:rsidRDefault="00FB0E7C" w:rsidP="00FB0E7C">
      <w:pPr>
        <w:spacing w:line="360" w:lineRule="auto"/>
        <w:rPr>
          <w:bCs/>
        </w:rPr>
      </w:pPr>
      <w:r w:rsidRPr="007A2A97">
        <w:rPr>
          <w:bCs/>
        </w:rPr>
        <w:t xml:space="preserve">Shluk </w:t>
      </w:r>
      <w:proofErr w:type="gramStart"/>
      <w:r w:rsidRPr="007A2A97">
        <w:rPr>
          <w:bCs/>
        </w:rPr>
        <w:t>č.3 neplánující</w:t>
      </w:r>
      <w:proofErr w:type="gramEnd"/>
      <w:r w:rsidRPr="007A2A97">
        <w:rPr>
          <w:bCs/>
        </w:rPr>
        <w:t xml:space="preserve"> nevyhranění </w:t>
      </w:r>
      <w:proofErr w:type="spellStart"/>
      <w:r w:rsidRPr="007A2A97">
        <w:rPr>
          <w:bCs/>
        </w:rPr>
        <w:t>opt</w:t>
      </w:r>
      <w:proofErr w:type="spellEnd"/>
      <w:r w:rsidRPr="007A2A97">
        <w:rPr>
          <w:bCs/>
        </w:rPr>
        <w:t>./pes. (N=30)</w:t>
      </w:r>
    </w:p>
    <w:p w14:paraId="4515C556" w14:textId="77777777" w:rsidR="00FB0E7C" w:rsidRPr="007A2A97" w:rsidRDefault="00FB0E7C" w:rsidP="00FB0E7C">
      <w:pPr>
        <w:spacing w:line="360" w:lineRule="auto"/>
        <w:rPr>
          <w:bCs/>
        </w:rPr>
      </w:pPr>
      <w:r w:rsidRPr="007A2A97">
        <w:rPr>
          <w:bCs/>
        </w:rPr>
        <w:t>Shluk č. 4 defenzivní pesimisté (N= 19)</w:t>
      </w:r>
    </w:p>
    <w:p w14:paraId="6F404324" w14:textId="77777777" w:rsidR="00FB0E7C" w:rsidRPr="007A2A97" w:rsidRDefault="00FB0E7C" w:rsidP="002E1136">
      <w:pPr>
        <w:spacing w:line="360" w:lineRule="auto"/>
        <w:rPr>
          <w:bCs/>
        </w:rPr>
      </w:pPr>
    </w:p>
    <w:p w14:paraId="0F5CAE92" w14:textId="77777777" w:rsidR="00FB0E7C" w:rsidRPr="007A2A97" w:rsidRDefault="00A40EDC" w:rsidP="00A40EDC">
      <w:pPr>
        <w:pStyle w:val="Odstavecseseznamem"/>
        <w:numPr>
          <w:ilvl w:val="2"/>
          <w:numId w:val="12"/>
        </w:numPr>
        <w:spacing w:line="360" w:lineRule="auto"/>
        <w:rPr>
          <w:bCs/>
        </w:rPr>
      </w:pPr>
      <w:r w:rsidRPr="007A2A97">
        <w:rPr>
          <w:bCs/>
        </w:rPr>
        <w:t>Vztah dispozičního optimismu, explanačního optimismu a defenzivního pesimismu</w:t>
      </w:r>
    </w:p>
    <w:p w14:paraId="71A1DF7E" w14:textId="77777777" w:rsidR="00FB0E7C" w:rsidRPr="007A2A97" w:rsidRDefault="00FB0E7C" w:rsidP="002E1136">
      <w:pPr>
        <w:spacing w:line="360" w:lineRule="auto"/>
        <w:rPr>
          <w:b/>
          <w:bCs/>
        </w:rPr>
      </w:pPr>
    </w:p>
    <w:p w14:paraId="6A07D769" w14:textId="77777777" w:rsidR="00216A0C" w:rsidRPr="007A2A97" w:rsidRDefault="00216A0C" w:rsidP="002E1136">
      <w:pPr>
        <w:spacing w:line="360" w:lineRule="auto"/>
        <w:rPr>
          <w:bCs/>
        </w:rPr>
      </w:pPr>
      <w:r w:rsidRPr="007A2A97">
        <w:rPr>
          <w:bCs/>
        </w:rPr>
        <w:t xml:space="preserve">Tabulka </w:t>
      </w:r>
      <w:proofErr w:type="gramStart"/>
      <w:r w:rsidRPr="007A2A97">
        <w:rPr>
          <w:bCs/>
        </w:rPr>
        <w:t>č.2:</w:t>
      </w:r>
      <w:proofErr w:type="gramEnd"/>
      <w:r w:rsidRPr="007A2A97">
        <w:rPr>
          <w:bCs/>
        </w:rPr>
        <w:t xml:space="preserve"> Vztah jednotlivých konstruktů optimismu a pesimismu</w:t>
      </w:r>
    </w:p>
    <w:p w14:paraId="49DFD40D" w14:textId="77777777" w:rsidR="00FB0E7C" w:rsidRPr="007A2A97" w:rsidRDefault="00FB0E7C" w:rsidP="002E1136">
      <w:pPr>
        <w:spacing w:line="360" w:lineRule="auto"/>
        <w:rPr>
          <w:b/>
          <w:bCs/>
        </w:rPr>
      </w:pPr>
    </w:p>
    <w:tbl>
      <w:tblPr>
        <w:tblStyle w:val="Mkatabulky"/>
        <w:tblW w:w="9207" w:type="dxa"/>
        <w:tblLook w:val="04A0" w:firstRow="1" w:lastRow="0" w:firstColumn="1" w:lastColumn="0" w:noHBand="0" w:noVBand="1"/>
      </w:tblPr>
      <w:tblGrid>
        <w:gridCol w:w="1537"/>
        <w:gridCol w:w="1534"/>
        <w:gridCol w:w="1534"/>
        <w:gridCol w:w="1534"/>
        <w:gridCol w:w="1534"/>
        <w:gridCol w:w="1534"/>
      </w:tblGrid>
      <w:tr w:rsidR="00216A0C" w:rsidRPr="007A2A97" w14:paraId="08280442" w14:textId="77777777" w:rsidTr="00216A0C">
        <w:tc>
          <w:tcPr>
            <w:tcW w:w="1537" w:type="dxa"/>
          </w:tcPr>
          <w:p w14:paraId="2AD6C8B2" w14:textId="77777777" w:rsidR="00216A0C" w:rsidRPr="007A2A97" w:rsidRDefault="00216A0C" w:rsidP="00571C4B">
            <w:r w:rsidRPr="007A2A97">
              <w:rPr>
                <w:b/>
                <w:bCs/>
                <w:color w:val="000000" w:themeColor="text1"/>
                <w:kern w:val="24"/>
              </w:rPr>
              <w:t>N=106</w:t>
            </w:r>
          </w:p>
        </w:tc>
        <w:tc>
          <w:tcPr>
            <w:tcW w:w="1534" w:type="dxa"/>
          </w:tcPr>
          <w:p w14:paraId="0CDE2391" w14:textId="77777777" w:rsidR="00216A0C" w:rsidRPr="007A2A97" w:rsidRDefault="00216A0C" w:rsidP="00571C4B">
            <w:proofErr w:type="spellStart"/>
            <w:r w:rsidRPr="007A2A97">
              <w:rPr>
                <w:b/>
                <w:bCs/>
                <w:color w:val="000000" w:themeColor="text1"/>
                <w:kern w:val="24"/>
              </w:rPr>
              <w:t>LOTr</w:t>
            </w:r>
            <w:proofErr w:type="spellEnd"/>
          </w:p>
        </w:tc>
        <w:tc>
          <w:tcPr>
            <w:tcW w:w="1534" w:type="dxa"/>
          </w:tcPr>
          <w:p w14:paraId="41072F6B" w14:textId="77777777" w:rsidR="00216A0C" w:rsidRPr="007A2A97" w:rsidRDefault="00216A0C" w:rsidP="00571C4B">
            <w:r w:rsidRPr="007A2A97">
              <w:rPr>
                <w:b/>
                <w:bCs/>
                <w:color w:val="000000" w:themeColor="text1"/>
                <w:kern w:val="24"/>
              </w:rPr>
              <w:t>ASQ per-</w:t>
            </w:r>
          </w:p>
          <w:p w14:paraId="4BB2E91F" w14:textId="77777777" w:rsidR="00216A0C" w:rsidRPr="007A2A97" w:rsidRDefault="00216A0C" w:rsidP="00571C4B">
            <w:proofErr w:type="spellStart"/>
            <w:r w:rsidRPr="007A2A97">
              <w:rPr>
                <w:b/>
                <w:bCs/>
                <w:color w:val="000000" w:themeColor="text1"/>
                <w:kern w:val="24"/>
              </w:rPr>
              <w:t>sonalizace</w:t>
            </w:r>
            <w:proofErr w:type="spellEnd"/>
          </w:p>
        </w:tc>
        <w:tc>
          <w:tcPr>
            <w:tcW w:w="1534" w:type="dxa"/>
          </w:tcPr>
          <w:p w14:paraId="29A62E84" w14:textId="77777777" w:rsidR="00216A0C" w:rsidRPr="007A2A97" w:rsidRDefault="00216A0C" w:rsidP="00571C4B">
            <w:r w:rsidRPr="007A2A97">
              <w:rPr>
                <w:b/>
                <w:bCs/>
                <w:color w:val="000000" w:themeColor="text1"/>
                <w:kern w:val="24"/>
              </w:rPr>
              <w:t>ASQ</w:t>
            </w:r>
          </w:p>
          <w:p w14:paraId="67535924" w14:textId="77777777" w:rsidR="00216A0C" w:rsidRPr="007A2A97" w:rsidRDefault="00216A0C" w:rsidP="00571C4B">
            <w:r w:rsidRPr="007A2A97">
              <w:rPr>
                <w:b/>
                <w:bCs/>
                <w:color w:val="000000" w:themeColor="text1"/>
                <w:kern w:val="24"/>
              </w:rPr>
              <w:t>trvalost</w:t>
            </w:r>
          </w:p>
        </w:tc>
        <w:tc>
          <w:tcPr>
            <w:tcW w:w="1534" w:type="dxa"/>
          </w:tcPr>
          <w:p w14:paraId="038F9618" w14:textId="77777777" w:rsidR="00216A0C" w:rsidRPr="007A2A97" w:rsidRDefault="00216A0C" w:rsidP="00571C4B">
            <w:r w:rsidRPr="007A2A97">
              <w:rPr>
                <w:b/>
                <w:bCs/>
                <w:color w:val="000000" w:themeColor="text1"/>
                <w:kern w:val="24"/>
              </w:rPr>
              <w:t>ASQ</w:t>
            </w:r>
          </w:p>
          <w:p w14:paraId="367DCC4B" w14:textId="77777777" w:rsidR="00216A0C" w:rsidRPr="007A2A97" w:rsidRDefault="00216A0C" w:rsidP="00571C4B">
            <w:r w:rsidRPr="007A2A97">
              <w:rPr>
                <w:b/>
                <w:bCs/>
                <w:color w:val="000000" w:themeColor="text1"/>
                <w:kern w:val="24"/>
              </w:rPr>
              <w:t>pronikavost</w:t>
            </w:r>
          </w:p>
        </w:tc>
        <w:tc>
          <w:tcPr>
            <w:tcW w:w="1534" w:type="dxa"/>
          </w:tcPr>
          <w:p w14:paraId="13132E38" w14:textId="77777777" w:rsidR="00216A0C" w:rsidRPr="007A2A97" w:rsidRDefault="00216A0C" w:rsidP="00571C4B">
            <w:r w:rsidRPr="007A2A97">
              <w:rPr>
                <w:b/>
                <w:bCs/>
                <w:color w:val="000000" w:themeColor="text1"/>
                <w:kern w:val="24"/>
              </w:rPr>
              <w:t>ASQ</w:t>
            </w:r>
          </w:p>
          <w:p w14:paraId="61E0CD12" w14:textId="77777777" w:rsidR="00216A0C" w:rsidRPr="007A2A97" w:rsidRDefault="00216A0C" w:rsidP="00571C4B">
            <w:r w:rsidRPr="007A2A97">
              <w:rPr>
                <w:b/>
                <w:bCs/>
                <w:color w:val="000000" w:themeColor="text1"/>
                <w:kern w:val="24"/>
              </w:rPr>
              <w:t>celkově</w:t>
            </w:r>
          </w:p>
        </w:tc>
      </w:tr>
      <w:tr w:rsidR="00216A0C" w:rsidRPr="007A2A97" w14:paraId="5376A186" w14:textId="77777777" w:rsidTr="00216A0C">
        <w:tc>
          <w:tcPr>
            <w:tcW w:w="1537" w:type="dxa"/>
          </w:tcPr>
          <w:p w14:paraId="02380DDB" w14:textId="77777777" w:rsidR="00216A0C" w:rsidRPr="007A2A97" w:rsidRDefault="00216A0C" w:rsidP="00571C4B">
            <w:r w:rsidRPr="007A2A97">
              <w:rPr>
                <w:b/>
                <w:bCs/>
                <w:color w:val="000000" w:themeColor="dark1"/>
                <w:kern w:val="24"/>
              </w:rPr>
              <w:t>DPQ F1</w:t>
            </w:r>
          </w:p>
          <w:p w14:paraId="3B782EAD" w14:textId="77777777" w:rsidR="00216A0C" w:rsidRPr="007A2A97" w:rsidRDefault="00216A0C" w:rsidP="00571C4B">
            <w:r w:rsidRPr="007A2A97">
              <w:rPr>
                <w:b/>
                <w:bCs/>
                <w:color w:val="000000" w:themeColor="dark1"/>
                <w:kern w:val="24"/>
              </w:rPr>
              <w:t>pesimismus</w:t>
            </w:r>
          </w:p>
        </w:tc>
        <w:tc>
          <w:tcPr>
            <w:tcW w:w="1534" w:type="dxa"/>
          </w:tcPr>
          <w:p w14:paraId="0CA36B75" w14:textId="77777777" w:rsidR="00216A0C" w:rsidRPr="007A2A97" w:rsidRDefault="00216A0C" w:rsidP="00216A0C">
            <w:pPr>
              <w:jc w:val="right"/>
            </w:pPr>
            <w:r w:rsidRPr="007A2A97">
              <w:rPr>
                <w:b/>
                <w:bCs/>
                <w:color w:val="C00000"/>
                <w:kern w:val="24"/>
              </w:rPr>
              <w:t>-,575</w:t>
            </w:r>
            <w:r w:rsidRPr="007A2A97">
              <w:rPr>
                <w:rFonts w:eastAsiaTheme="minorEastAsia"/>
                <w:b/>
                <w:bCs/>
                <w:color w:val="C00000"/>
                <w:kern w:val="24"/>
                <w:position w:val="12"/>
                <w:vertAlign w:val="superscript"/>
              </w:rPr>
              <w:t>**</w:t>
            </w:r>
          </w:p>
        </w:tc>
        <w:tc>
          <w:tcPr>
            <w:tcW w:w="1534" w:type="dxa"/>
          </w:tcPr>
          <w:p w14:paraId="745E325B" w14:textId="77777777" w:rsidR="00216A0C" w:rsidRPr="007A2A97" w:rsidRDefault="00216A0C" w:rsidP="00216A0C">
            <w:pPr>
              <w:jc w:val="right"/>
            </w:pPr>
            <w:proofErr w:type="gramStart"/>
            <w:r w:rsidRPr="007A2A97">
              <w:rPr>
                <w:b/>
                <w:bCs/>
                <w:color w:val="000000" w:themeColor="dark1"/>
                <w:kern w:val="24"/>
              </w:rPr>
              <w:t>-,002</w:t>
            </w:r>
            <w:proofErr w:type="gramEnd"/>
          </w:p>
        </w:tc>
        <w:tc>
          <w:tcPr>
            <w:tcW w:w="1534" w:type="dxa"/>
          </w:tcPr>
          <w:p w14:paraId="5CBEB881" w14:textId="77777777" w:rsidR="00216A0C" w:rsidRPr="007A2A97" w:rsidRDefault="00216A0C" w:rsidP="00216A0C">
            <w:pPr>
              <w:jc w:val="right"/>
            </w:pPr>
            <w:r w:rsidRPr="007A2A97">
              <w:rPr>
                <w:b/>
                <w:bCs/>
                <w:color w:val="000000" w:themeColor="dark1"/>
                <w:kern w:val="24"/>
              </w:rPr>
              <w:t>,124</w:t>
            </w:r>
          </w:p>
        </w:tc>
        <w:tc>
          <w:tcPr>
            <w:tcW w:w="1534" w:type="dxa"/>
          </w:tcPr>
          <w:p w14:paraId="1BB918FD" w14:textId="77777777" w:rsidR="00216A0C" w:rsidRPr="007A2A97" w:rsidRDefault="00216A0C" w:rsidP="00216A0C">
            <w:pPr>
              <w:jc w:val="right"/>
            </w:pPr>
            <w:r w:rsidRPr="007A2A97">
              <w:rPr>
                <w:b/>
                <w:bCs/>
                <w:color w:val="000000" w:themeColor="dark1"/>
                <w:kern w:val="24"/>
              </w:rPr>
              <w:t>,046</w:t>
            </w:r>
          </w:p>
        </w:tc>
        <w:tc>
          <w:tcPr>
            <w:tcW w:w="1534" w:type="dxa"/>
          </w:tcPr>
          <w:p w14:paraId="27005982" w14:textId="77777777" w:rsidR="00216A0C" w:rsidRPr="007A2A97" w:rsidRDefault="00216A0C" w:rsidP="00216A0C">
            <w:pPr>
              <w:jc w:val="right"/>
            </w:pPr>
            <w:r w:rsidRPr="007A2A97">
              <w:rPr>
                <w:b/>
                <w:bCs/>
                <w:color w:val="000000" w:themeColor="dark1"/>
                <w:kern w:val="24"/>
              </w:rPr>
              <w:t>-,285</w:t>
            </w:r>
            <w:r w:rsidRPr="007A2A97">
              <w:rPr>
                <w:rFonts w:eastAsiaTheme="minorEastAsia"/>
                <w:b/>
                <w:bCs/>
                <w:color w:val="000000" w:themeColor="dark1"/>
                <w:kern w:val="24"/>
                <w:position w:val="12"/>
                <w:vertAlign w:val="superscript"/>
              </w:rPr>
              <w:t>**</w:t>
            </w:r>
          </w:p>
        </w:tc>
      </w:tr>
      <w:tr w:rsidR="00216A0C" w:rsidRPr="007A2A97" w14:paraId="7EE9D2AB" w14:textId="77777777" w:rsidTr="00216A0C">
        <w:tc>
          <w:tcPr>
            <w:tcW w:w="1537" w:type="dxa"/>
          </w:tcPr>
          <w:p w14:paraId="091F6E98" w14:textId="77777777" w:rsidR="00216A0C" w:rsidRPr="007A2A97" w:rsidRDefault="00216A0C" w:rsidP="00571C4B">
            <w:r w:rsidRPr="007A2A97">
              <w:rPr>
                <w:b/>
                <w:bCs/>
                <w:color w:val="000000" w:themeColor="dark1"/>
                <w:kern w:val="24"/>
              </w:rPr>
              <w:t>DPQ F2</w:t>
            </w:r>
          </w:p>
          <w:p w14:paraId="15E279B0" w14:textId="77777777" w:rsidR="00216A0C" w:rsidRPr="007A2A97" w:rsidRDefault="00216A0C" w:rsidP="00571C4B">
            <w:r w:rsidRPr="007A2A97">
              <w:rPr>
                <w:b/>
                <w:bCs/>
                <w:color w:val="000000" w:themeColor="dark1"/>
                <w:kern w:val="24"/>
              </w:rPr>
              <w:t xml:space="preserve">anticipovaná </w:t>
            </w:r>
          </w:p>
          <w:p w14:paraId="2C631ED1" w14:textId="77777777" w:rsidR="00216A0C" w:rsidRPr="007A2A97" w:rsidRDefault="00216A0C" w:rsidP="00571C4B">
            <w:r w:rsidRPr="007A2A97">
              <w:rPr>
                <w:b/>
                <w:bCs/>
                <w:color w:val="000000" w:themeColor="dark1"/>
                <w:kern w:val="24"/>
              </w:rPr>
              <w:t>sebereflexe</w:t>
            </w:r>
          </w:p>
        </w:tc>
        <w:tc>
          <w:tcPr>
            <w:tcW w:w="1534" w:type="dxa"/>
          </w:tcPr>
          <w:p w14:paraId="71A21582" w14:textId="77777777" w:rsidR="00216A0C" w:rsidRPr="007A2A97" w:rsidRDefault="00216A0C" w:rsidP="00216A0C">
            <w:pPr>
              <w:jc w:val="right"/>
            </w:pPr>
            <w:r w:rsidRPr="007A2A97">
              <w:rPr>
                <w:b/>
                <w:bCs/>
                <w:color w:val="000000" w:themeColor="dark1"/>
                <w:kern w:val="24"/>
              </w:rPr>
              <w:t>,124</w:t>
            </w:r>
          </w:p>
        </w:tc>
        <w:tc>
          <w:tcPr>
            <w:tcW w:w="1534" w:type="dxa"/>
          </w:tcPr>
          <w:p w14:paraId="72201768" w14:textId="77777777" w:rsidR="00216A0C" w:rsidRPr="007A2A97" w:rsidRDefault="00216A0C" w:rsidP="00216A0C">
            <w:pPr>
              <w:jc w:val="right"/>
            </w:pPr>
            <w:r w:rsidRPr="007A2A97">
              <w:rPr>
                <w:b/>
                <w:bCs/>
                <w:color w:val="000000" w:themeColor="dark1"/>
                <w:kern w:val="24"/>
              </w:rPr>
              <w:t>,028</w:t>
            </w:r>
          </w:p>
        </w:tc>
        <w:tc>
          <w:tcPr>
            <w:tcW w:w="1534" w:type="dxa"/>
          </w:tcPr>
          <w:p w14:paraId="542EE24C" w14:textId="77777777" w:rsidR="00216A0C" w:rsidRPr="007A2A97" w:rsidRDefault="00216A0C" w:rsidP="00216A0C">
            <w:pPr>
              <w:jc w:val="right"/>
            </w:pPr>
            <w:r w:rsidRPr="007A2A97">
              <w:rPr>
                <w:b/>
                <w:bCs/>
                <w:color w:val="000000" w:themeColor="dark1"/>
                <w:kern w:val="24"/>
              </w:rPr>
              <w:t>,108</w:t>
            </w:r>
          </w:p>
        </w:tc>
        <w:tc>
          <w:tcPr>
            <w:tcW w:w="1534" w:type="dxa"/>
          </w:tcPr>
          <w:p w14:paraId="25AC5EA5" w14:textId="77777777" w:rsidR="00216A0C" w:rsidRPr="007A2A97" w:rsidRDefault="00216A0C" w:rsidP="00216A0C">
            <w:pPr>
              <w:jc w:val="right"/>
            </w:pPr>
            <w:r w:rsidRPr="007A2A97">
              <w:rPr>
                <w:b/>
                <w:bCs/>
                <w:color w:val="000000" w:themeColor="dark1"/>
                <w:kern w:val="24"/>
              </w:rPr>
              <w:t>,155</w:t>
            </w:r>
          </w:p>
        </w:tc>
        <w:tc>
          <w:tcPr>
            <w:tcW w:w="1534" w:type="dxa"/>
          </w:tcPr>
          <w:p w14:paraId="60B79C08" w14:textId="77777777" w:rsidR="00216A0C" w:rsidRPr="007A2A97" w:rsidRDefault="00216A0C" w:rsidP="00216A0C">
            <w:pPr>
              <w:jc w:val="right"/>
            </w:pPr>
            <w:r w:rsidRPr="007A2A97">
              <w:rPr>
                <w:b/>
                <w:bCs/>
                <w:color w:val="000000" w:themeColor="dark1"/>
                <w:kern w:val="24"/>
              </w:rPr>
              <w:t>,053</w:t>
            </w:r>
          </w:p>
        </w:tc>
      </w:tr>
      <w:tr w:rsidR="00216A0C" w:rsidRPr="007A2A97" w14:paraId="0444F582" w14:textId="77777777" w:rsidTr="00216A0C">
        <w:tc>
          <w:tcPr>
            <w:tcW w:w="1537" w:type="dxa"/>
          </w:tcPr>
          <w:p w14:paraId="6B43DC4F" w14:textId="77777777" w:rsidR="00216A0C" w:rsidRPr="007A2A97" w:rsidRDefault="00216A0C" w:rsidP="00571C4B">
            <w:r w:rsidRPr="007A2A97">
              <w:rPr>
                <w:b/>
                <w:bCs/>
                <w:color w:val="000000" w:themeColor="dark1"/>
                <w:kern w:val="24"/>
              </w:rPr>
              <w:lastRenderedPageBreak/>
              <w:t>DPQ F3</w:t>
            </w:r>
          </w:p>
          <w:p w14:paraId="2567BC03" w14:textId="77777777" w:rsidR="00216A0C" w:rsidRPr="007A2A97" w:rsidRDefault="00216A0C" w:rsidP="00571C4B">
            <w:r w:rsidRPr="007A2A97">
              <w:rPr>
                <w:b/>
                <w:bCs/>
                <w:color w:val="000000" w:themeColor="dark1"/>
                <w:kern w:val="24"/>
              </w:rPr>
              <w:t>neplánování</w:t>
            </w:r>
          </w:p>
        </w:tc>
        <w:tc>
          <w:tcPr>
            <w:tcW w:w="1534" w:type="dxa"/>
          </w:tcPr>
          <w:p w14:paraId="17A47591" w14:textId="77777777" w:rsidR="00216A0C" w:rsidRPr="007A2A97" w:rsidRDefault="00216A0C" w:rsidP="00216A0C">
            <w:pPr>
              <w:jc w:val="right"/>
            </w:pPr>
            <w:r w:rsidRPr="007A2A97">
              <w:rPr>
                <w:b/>
                <w:bCs/>
                <w:color w:val="000000" w:themeColor="dark1"/>
                <w:kern w:val="24"/>
              </w:rPr>
              <w:t>,218</w:t>
            </w:r>
            <w:r w:rsidRPr="007A2A97">
              <w:rPr>
                <w:rFonts w:eastAsiaTheme="minorEastAsia"/>
                <w:b/>
                <w:bCs/>
                <w:color w:val="000000" w:themeColor="dark1"/>
                <w:kern w:val="24"/>
                <w:position w:val="12"/>
                <w:vertAlign w:val="superscript"/>
              </w:rPr>
              <w:t>*</w:t>
            </w:r>
          </w:p>
        </w:tc>
        <w:tc>
          <w:tcPr>
            <w:tcW w:w="1534" w:type="dxa"/>
          </w:tcPr>
          <w:p w14:paraId="1B3EF12D" w14:textId="77777777" w:rsidR="00216A0C" w:rsidRPr="007A2A97" w:rsidRDefault="00216A0C" w:rsidP="00216A0C">
            <w:pPr>
              <w:jc w:val="right"/>
            </w:pPr>
            <w:proofErr w:type="gramStart"/>
            <w:r w:rsidRPr="007A2A97">
              <w:rPr>
                <w:b/>
                <w:bCs/>
                <w:color w:val="000000" w:themeColor="dark1"/>
                <w:kern w:val="24"/>
              </w:rPr>
              <w:t>-,008</w:t>
            </w:r>
            <w:proofErr w:type="gramEnd"/>
          </w:p>
        </w:tc>
        <w:tc>
          <w:tcPr>
            <w:tcW w:w="1534" w:type="dxa"/>
          </w:tcPr>
          <w:p w14:paraId="58B71959" w14:textId="77777777" w:rsidR="00216A0C" w:rsidRPr="007A2A97" w:rsidRDefault="00216A0C" w:rsidP="00216A0C">
            <w:pPr>
              <w:jc w:val="right"/>
            </w:pPr>
            <w:proofErr w:type="gramStart"/>
            <w:r w:rsidRPr="007A2A97">
              <w:rPr>
                <w:b/>
                <w:bCs/>
                <w:color w:val="000000" w:themeColor="dark1"/>
                <w:kern w:val="24"/>
              </w:rPr>
              <w:t>-,145</w:t>
            </w:r>
            <w:proofErr w:type="gramEnd"/>
          </w:p>
        </w:tc>
        <w:tc>
          <w:tcPr>
            <w:tcW w:w="1534" w:type="dxa"/>
          </w:tcPr>
          <w:p w14:paraId="0354488C" w14:textId="77777777" w:rsidR="00216A0C" w:rsidRPr="007A2A97" w:rsidRDefault="00216A0C" w:rsidP="00216A0C">
            <w:pPr>
              <w:jc w:val="right"/>
            </w:pPr>
            <w:proofErr w:type="gramStart"/>
            <w:r w:rsidRPr="007A2A97">
              <w:rPr>
                <w:b/>
                <w:bCs/>
                <w:color w:val="000000" w:themeColor="dark1"/>
                <w:kern w:val="24"/>
              </w:rPr>
              <w:t>-,063</w:t>
            </w:r>
            <w:proofErr w:type="gramEnd"/>
          </w:p>
        </w:tc>
        <w:tc>
          <w:tcPr>
            <w:tcW w:w="1534" w:type="dxa"/>
          </w:tcPr>
          <w:p w14:paraId="536FD4D6" w14:textId="77777777" w:rsidR="00216A0C" w:rsidRPr="007A2A97" w:rsidRDefault="00216A0C" w:rsidP="00216A0C">
            <w:pPr>
              <w:jc w:val="right"/>
            </w:pPr>
            <w:r w:rsidRPr="007A2A97">
              <w:rPr>
                <w:b/>
                <w:bCs/>
                <w:color w:val="000000" w:themeColor="dark1"/>
                <w:kern w:val="24"/>
              </w:rPr>
              <w:t>,120</w:t>
            </w:r>
          </w:p>
        </w:tc>
      </w:tr>
    </w:tbl>
    <w:p w14:paraId="648B2596" w14:textId="77777777" w:rsidR="001E5120" w:rsidRDefault="001E5120" w:rsidP="001E5120">
      <w:pPr>
        <w:spacing w:line="360" w:lineRule="auto"/>
        <w:ind w:firstLine="708"/>
        <w:rPr>
          <w:bCs/>
          <w:vertAlign w:val="superscript"/>
        </w:rPr>
      </w:pPr>
    </w:p>
    <w:p w14:paraId="492DCF85" w14:textId="77777777" w:rsidR="001E5120" w:rsidRDefault="001E5120" w:rsidP="001E5120">
      <w:pPr>
        <w:spacing w:line="360" w:lineRule="auto"/>
        <w:ind w:firstLine="708"/>
        <w:rPr>
          <w:bCs/>
        </w:rPr>
      </w:pPr>
      <w:proofErr w:type="gramStart"/>
      <w:r w:rsidRPr="007A2A97">
        <w:rPr>
          <w:bCs/>
          <w:vertAlign w:val="superscript"/>
        </w:rPr>
        <w:t xml:space="preserve">**  </w:t>
      </w:r>
      <w:r w:rsidRPr="007A2A97">
        <w:rPr>
          <w:bCs/>
        </w:rPr>
        <w:t>korelace</w:t>
      </w:r>
      <w:proofErr w:type="gramEnd"/>
      <w:r w:rsidRPr="007A2A97">
        <w:rPr>
          <w:bCs/>
        </w:rPr>
        <w:t xml:space="preserve"> jsou signifikantní na hladině 0,01 </w:t>
      </w:r>
    </w:p>
    <w:p w14:paraId="7D7F0DF6" w14:textId="77777777" w:rsidR="001E5120" w:rsidRPr="007A2A97" w:rsidRDefault="001E5120" w:rsidP="001E5120">
      <w:pPr>
        <w:spacing w:line="360" w:lineRule="auto"/>
        <w:ind w:firstLine="708"/>
      </w:pPr>
      <w:proofErr w:type="gramStart"/>
      <w:r>
        <w:rPr>
          <w:bCs/>
          <w:vertAlign w:val="superscript"/>
        </w:rPr>
        <w:t>*</w:t>
      </w:r>
      <w:r w:rsidRPr="007A2A97">
        <w:rPr>
          <w:bCs/>
          <w:vertAlign w:val="superscript"/>
        </w:rPr>
        <w:t xml:space="preserve">  </w:t>
      </w:r>
      <w:r w:rsidRPr="007A2A97">
        <w:rPr>
          <w:bCs/>
        </w:rPr>
        <w:t>korelace</w:t>
      </w:r>
      <w:proofErr w:type="gramEnd"/>
      <w:r w:rsidRPr="007A2A97">
        <w:rPr>
          <w:bCs/>
        </w:rPr>
        <w:t xml:space="preserve"> js</w:t>
      </w:r>
      <w:r>
        <w:rPr>
          <w:bCs/>
        </w:rPr>
        <w:t>ou signifikantní na hladině 0,05</w:t>
      </w:r>
      <w:r w:rsidRPr="007A2A97">
        <w:rPr>
          <w:bCs/>
        </w:rPr>
        <w:t xml:space="preserve"> </w:t>
      </w:r>
    </w:p>
    <w:p w14:paraId="0E477EBF" w14:textId="77777777" w:rsidR="002E1136" w:rsidRDefault="001E5120" w:rsidP="001E5120">
      <w:pPr>
        <w:spacing w:line="360" w:lineRule="auto"/>
        <w:ind w:firstLine="708"/>
      </w:pPr>
      <w:r>
        <w:t>Potvrdili jsme výraznou zápornou korelaci mezi dispozičním optimismem a faktorem pesimismu identifikovaného na základě faktorové analýzy položek Dotazníku defenzivního pesimismu (DPQ).</w:t>
      </w:r>
      <w:r w:rsidR="001D6B1F">
        <w:t xml:space="preserve"> Čím více lidé přemýšlejí o možném neúspěchu, tím nižšího skóru v rámci dispozičního optimismu dosahují. Znamená to, že defenzivní pesimismus se pojí spíše s dispozičním pesimismem.</w:t>
      </w:r>
      <w:r>
        <w:t xml:space="preserve"> Méně těsný záporný vztah jsme potvrdili i mezi faktorem pesimismu DPQ  a kompozitním skóre</w:t>
      </w:r>
      <w:r w:rsidR="00267B4C">
        <w:t>m</w:t>
      </w:r>
      <w:r>
        <w:t xml:space="preserve"> optimismu jako </w:t>
      </w:r>
      <w:r w:rsidR="00267B4C">
        <w:t>explanačního stylu. Tyto výsledky potvrzují i teoretická východiska defenzivního pesimismu: tuto kognitivní strategii nepreferují optimisté.</w:t>
      </w:r>
    </w:p>
    <w:p w14:paraId="67D619E9" w14:textId="77777777" w:rsidR="00267B4C" w:rsidRPr="007A2A97" w:rsidRDefault="00267B4C" w:rsidP="001E5120">
      <w:pPr>
        <w:spacing w:line="360" w:lineRule="auto"/>
        <w:ind w:firstLine="708"/>
      </w:pPr>
    </w:p>
    <w:p w14:paraId="1BACE626" w14:textId="77777777" w:rsidR="002E1136" w:rsidRPr="007A2A97" w:rsidRDefault="002E1136" w:rsidP="002E1136">
      <w:pPr>
        <w:spacing w:line="360" w:lineRule="auto"/>
        <w:rPr>
          <w:b/>
          <w:bCs/>
        </w:rPr>
      </w:pPr>
      <w:r w:rsidRPr="007A2A97">
        <w:rPr>
          <w:b/>
          <w:bCs/>
        </w:rPr>
        <w:t>Diskuse a závěr</w:t>
      </w:r>
    </w:p>
    <w:p w14:paraId="530605DD" w14:textId="77777777" w:rsidR="007A2A97" w:rsidRDefault="007A2A97" w:rsidP="007A2A97">
      <w:pPr>
        <w:spacing w:line="360" w:lineRule="auto"/>
        <w:jc w:val="both"/>
      </w:pPr>
      <w:r w:rsidRPr="007A2A97">
        <w:t>Je možné identifikovat jedinou dimenzi (optimismus), kter</w:t>
      </w:r>
      <w:r w:rsidR="009E4718">
        <w:t xml:space="preserve">á je společná pro všechny </w:t>
      </w:r>
      <w:r w:rsidRPr="007A2A97">
        <w:t xml:space="preserve">uvedené konstrukty optimismu/pesimismu, nebo představují soubor odlišných dimenzí? </w:t>
      </w:r>
    </w:p>
    <w:p w14:paraId="291BC2C2" w14:textId="77777777" w:rsidR="007A2A97" w:rsidRDefault="009E4718" w:rsidP="00E9164E">
      <w:pPr>
        <w:spacing w:line="360" w:lineRule="auto"/>
        <w:ind w:firstLine="708"/>
        <w:jc w:val="both"/>
      </w:pPr>
      <w:r>
        <w:t xml:space="preserve">I naše studie jsou dokladem toho, </w:t>
      </w:r>
      <w:r w:rsidR="007A2A97">
        <w:t xml:space="preserve">že dispoziční optimismus, optimismus jako explanační styl a defenzivní pesimismus jsou </w:t>
      </w:r>
      <w:r>
        <w:t xml:space="preserve">odlišné konstrukty a každý z nich popisuje jinou část kognitivních, emočních a konativních aspektů osobnosti. </w:t>
      </w:r>
    </w:p>
    <w:p w14:paraId="290B4D4B" w14:textId="77777777" w:rsidR="00267B4C" w:rsidRPr="007A2A97" w:rsidRDefault="00267B4C" w:rsidP="008B3E76">
      <w:pPr>
        <w:autoSpaceDE w:val="0"/>
        <w:autoSpaceDN w:val="0"/>
        <w:adjustRightInd w:val="0"/>
        <w:spacing w:line="360" w:lineRule="auto"/>
        <w:ind w:firstLine="708"/>
      </w:pPr>
      <w:r>
        <w:t xml:space="preserve">Záporný vztah mezi dispozičním optimismem a explanačním optimismem na jedné straně a defenzivním pesimismem na straně druhé ovlivňuje významná mediátorová proměnná: úzkostnost. V diplomové práci (Maxová, 2012) jsme </w:t>
      </w:r>
      <w:r w:rsidR="008B3E76">
        <w:t xml:space="preserve">na základě jednoduché a vícenásobné regresní analýzy </w:t>
      </w:r>
      <w:r w:rsidR="00546998">
        <w:t>potvrdili</w:t>
      </w:r>
      <w:r w:rsidR="008B3E76">
        <w:t xml:space="preserve">, že </w:t>
      </w:r>
      <w:r w:rsidR="008B3E76" w:rsidRPr="008B3E76">
        <w:t>vztah mezi defenzivním pesimismem a</w:t>
      </w:r>
      <w:r w:rsidR="008B3E76">
        <w:t xml:space="preserve"> </w:t>
      </w:r>
      <w:r w:rsidR="008B3E76" w:rsidRPr="008B3E76">
        <w:t>dispozičním optimismem je dán zejména jejich vztahem s</w:t>
      </w:r>
      <w:r w:rsidR="008B3E76">
        <w:t> </w:t>
      </w:r>
      <w:r w:rsidR="008B3E76" w:rsidRPr="008B3E76">
        <w:t>úzkostností</w:t>
      </w:r>
      <w:r w:rsidR="008B3E76">
        <w:t xml:space="preserve">: dispoziční optimismus s ní koreluje negativně, kdežto defenzivní pesimismus pozitivně. </w:t>
      </w:r>
      <w:r w:rsidR="00546998">
        <w:t xml:space="preserve"> Defenzivní pesimisté trpí zvýšenou mírou úzkostnosti a snížená očekávání směrem do budoucnosti </w:t>
      </w:r>
      <w:r w:rsidR="00D91AFC">
        <w:t xml:space="preserve">navzdory minulým úspěchům </w:t>
      </w:r>
      <w:r w:rsidR="00546998">
        <w:t>jim pomáhají ji zvládat</w:t>
      </w:r>
      <w:r w:rsidR="00D91AFC">
        <w:t xml:space="preserve">. </w:t>
      </w:r>
      <w:proofErr w:type="spellStart"/>
      <w:r w:rsidR="00D91AFC">
        <w:t>Cantorová</w:t>
      </w:r>
      <w:proofErr w:type="spellEnd"/>
      <w:r w:rsidR="00D91AFC">
        <w:t xml:space="preserve"> s </w:t>
      </w:r>
      <w:proofErr w:type="spellStart"/>
      <w:r w:rsidR="00D91AFC">
        <w:t>Noremovou</w:t>
      </w:r>
      <w:proofErr w:type="spellEnd"/>
      <w:r w:rsidR="00D91AFC">
        <w:t xml:space="preserve"> (1989) vnímají defenzivní pesimismus jako jednu z </w:t>
      </w:r>
      <w:proofErr w:type="spellStart"/>
      <w:r w:rsidR="00D91AFC">
        <w:t>copingových</w:t>
      </w:r>
      <w:proofErr w:type="spellEnd"/>
      <w:r w:rsidR="00D91AFC">
        <w:t xml:space="preserve"> </w:t>
      </w:r>
      <w:r w:rsidR="008B3E76">
        <w:t xml:space="preserve">strategií, díky níž </w:t>
      </w:r>
      <w:r w:rsidR="00D91AFC">
        <w:t xml:space="preserve">mohou </w:t>
      </w:r>
      <w:r w:rsidR="008B3E76">
        <w:t xml:space="preserve">lidé s vyšší mírou úzkostnosti </w:t>
      </w:r>
      <w:r w:rsidR="001D6B1F">
        <w:t xml:space="preserve">dosahovat </w:t>
      </w:r>
      <w:r w:rsidR="00D91AFC">
        <w:t xml:space="preserve">ve výkonově orientovaných situacích stejně dobrých výsledků jako optimisté s nízkou mírou úzkostnosti. </w:t>
      </w:r>
      <w:r w:rsidR="00546998">
        <w:t xml:space="preserve"> </w:t>
      </w:r>
      <w:r>
        <w:t xml:space="preserve">  </w:t>
      </w:r>
    </w:p>
    <w:p w14:paraId="31A0EE4B" w14:textId="77777777" w:rsidR="007A2A97" w:rsidRPr="007A2A97" w:rsidRDefault="007A2A97" w:rsidP="00E9164E">
      <w:pPr>
        <w:spacing w:line="360" w:lineRule="auto"/>
        <w:jc w:val="both"/>
      </w:pPr>
      <w:r w:rsidRPr="007A2A97">
        <w:tab/>
      </w:r>
      <w:r w:rsidR="009E4718">
        <w:t>Navazující výzkum bychom rádi zaměřili na konstrukci modelu</w:t>
      </w:r>
      <w:r w:rsidRPr="007A2A97">
        <w:t xml:space="preserve"> optimismu</w:t>
      </w:r>
      <w:r w:rsidR="009E4718">
        <w:t xml:space="preserve"> vzhledem k tomu, že tato oblast zůstává v České republice dosud nezpracovaná</w:t>
      </w:r>
      <w:r w:rsidR="00E9164E">
        <w:t xml:space="preserve">. Stejný cíl si kladl </w:t>
      </w:r>
      <w:proofErr w:type="spellStart"/>
      <w:r w:rsidRPr="007A2A97">
        <w:t>Schwarzer</w:t>
      </w:r>
      <w:proofErr w:type="spellEnd"/>
      <w:r w:rsidRPr="007A2A97">
        <w:t xml:space="preserve"> (1994)</w:t>
      </w:r>
      <w:r w:rsidR="00E9164E">
        <w:t>, který</w:t>
      </w:r>
      <w:r w:rsidRPr="007A2A97">
        <w:t xml:space="preserve"> rozlišil funkční a defenzivní optimismus. Funkční optimismus v jeho </w:t>
      </w:r>
      <w:r w:rsidRPr="007A2A97">
        <w:lastRenderedPageBreak/>
        <w:t>pojetí představuje dispoziční optimismus, optimismus jako explanační styl a také generalizované vědomí vlastní účinnosti (</w:t>
      </w:r>
      <w:proofErr w:type="spellStart"/>
      <w:r w:rsidRPr="007A2A97">
        <w:t>self-efficacy</w:t>
      </w:r>
      <w:proofErr w:type="spellEnd"/>
      <w:r w:rsidRPr="007A2A97">
        <w:t xml:space="preserve">). Nerealistický optimismus klasifikuje jako defenzivní optimismus. </w:t>
      </w:r>
      <w:r w:rsidRPr="007A2A97">
        <w:tab/>
      </w:r>
      <w:proofErr w:type="spellStart"/>
      <w:r w:rsidRPr="007A2A97">
        <w:t>Fournier</w:t>
      </w:r>
      <w:proofErr w:type="spellEnd"/>
      <w:r w:rsidRPr="007A2A97">
        <w:t xml:space="preserve">, </w:t>
      </w:r>
      <w:proofErr w:type="spellStart"/>
      <w:r w:rsidRPr="007A2A97">
        <w:t>Ridder</w:t>
      </w:r>
      <w:proofErr w:type="spellEnd"/>
      <w:r w:rsidRPr="007A2A97">
        <w:t xml:space="preserve"> a </w:t>
      </w:r>
      <w:proofErr w:type="spellStart"/>
      <w:r w:rsidRPr="007A2A97">
        <w:t>Bensing</w:t>
      </w:r>
      <w:proofErr w:type="spellEnd"/>
      <w:r w:rsidRPr="007A2A97">
        <w:t xml:space="preserve"> (1999) dospěli k modelu optimismu o třech faktorech: očekávání zaměřené do budoucnosti, vědomí vlastní účinnosti a nerealistické myšlení.   </w:t>
      </w:r>
    </w:p>
    <w:p w14:paraId="05E287FE" w14:textId="77777777" w:rsidR="007A2A97" w:rsidRPr="007A2A97" w:rsidRDefault="007A2A97" w:rsidP="002E1136">
      <w:pPr>
        <w:spacing w:line="360" w:lineRule="auto"/>
      </w:pPr>
    </w:p>
    <w:p w14:paraId="5E87DF75" w14:textId="77777777" w:rsidR="002E1136" w:rsidRPr="007A2A97" w:rsidRDefault="002E1136" w:rsidP="002E1136">
      <w:pPr>
        <w:spacing w:line="360" w:lineRule="auto"/>
        <w:rPr>
          <w:b/>
          <w:bCs/>
          <w:i/>
          <w:iCs/>
        </w:rPr>
      </w:pPr>
      <w:r w:rsidRPr="007A2A97">
        <w:rPr>
          <w:b/>
          <w:bCs/>
          <w:i/>
          <w:iCs/>
        </w:rPr>
        <w:t>Literatura:</w:t>
      </w:r>
    </w:p>
    <w:p w14:paraId="62AFDF3D" w14:textId="77777777" w:rsidR="002E1136" w:rsidRPr="007A2A97" w:rsidRDefault="002E1136" w:rsidP="002E1136">
      <w:pPr>
        <w:ind w:left="360" w:hanging="360"/>
      </w:pPr>
      <w:r w:rsidRPr="007A2A97">
        <w:t xml:space="preserve"> </w:t>
      </w:r>
    </w:p>
    <w:p w14:paraId="738B3C08" w14:textId="77777777" w:rsidR="00580845" w:rsidRDefault="00580845" w:rsidP="009404F3">
      <w:pPr>
        <w:spacing w:line="360" w:lineRule="auto"/>
        <w:ind w:left="709" w:hanging="709"/>
      </w:pPr>
      <w:proofErr w:type="spellStart"/>
      <w:r>
        <w:t>Cantor</w:t>
      </w:r>
      <w:proofErr w:type="spellEnd"/>
      <w:r>
        <w:t xml:space="preserve">, N., Norem, </w:t>
      </w:r>
      <w:proofErr w:type="gramStart"/>
      <w:r>
        <w:t>J.K.</w:t>
      </w:r>
      <w:proofErr w:type="gramEnd"/>
      <w:r>
        <w:t xml:space="preserve"> (1989). </w:t>
      </w:r>
      <w:proofErr w:type="spellStart"/>
      <w:r>
        <w:t>Defensive</w:t>
      </w:r>
      <w:proofErr w:type="spellEnd"/>
      <w:r>
        <w:t xml:space="preserve"> </w:t>
      </w:r>
      <w:proofErr w:type="spellStart"/>
      <w:r>
        <w:t>Pessimism</w:t>
      </w:r>
      <w:proofErr w:type="spellEnd"/>
      <w:r>
        <w:t xml:space="preserve"> and Stress nad </w:t>
      </w:r>
      <w:proofErr w:type="spellStart"/>
      <w:r>
        <w:t>Coping</w:t>
      </w:r>
      <w:proofErr w:type="spellEnd"/>
      <w:r>
        <w:t xml:space="preserve">. </w:t>
      </w:r>
      <w:proofErr w:type="spellStart"/>
      <w:r w:rsidRPr="009404F3">
        <w:t>Social</w:t>
      </w:r>
      <w:proofErr w:type="spellEnd"/>
      <w:r w:rsidRPr="009404F3">
        <w:t xml:space="preserve"> </w:t>
      </w:r>
      <w:proofErr w:type="spellStart"/>
      <w:r w:rsidRPr="009404F3">
        <w:t>Cognition</w:t>
      </w:r>
      <w:proofErr w:type="spellEnd"/>
      <w:r w:rsidRPr="009404F3">
        <w:t>,</w:t>
      </w:r>
      <w:r>
        <w:t xml:space="preserve"> </w:t>
      </w:r>
      <w:proofErr w:type="gramStart"/>
      <w:r>
        <w:t>Vol.7, No</w:t>
      </w:r>
      <w:proofErr w:type="gramEnd"/>
      <w:r>
        <w:t>. 2, 92 – 112.</w:t>
      </w:r>
    </w:p>
    <w:p w14:paraId="6F7EF4BB" w14:textId="77777777" w:rsidR="002E1136" w:rsidRDefault="002E1136" w:rsidP="009404F3">
      <w:pPr>
        <w:spacing w:line="360" w:lineRule="auto"/>
        <w:ind w:left="709" w:hanging="709"/>
      </w:pPr>
      <w:proofErr w:type="spellStart"/>
      <w:r w:rsidRPr="007A2A97">
        <w:t>Carver</w:t>
      </w:r>
      <w:proofErr w:type="spellEnd"/>
      <w:r w:rsidRPr="007A2A97">
        <w:t xml:space="preserve">, </w:t>
      </w:r>
      <w:proofErr w:type="spellStart"/>
      <w:proofErr w:type="gramStart"/>
      <w:r w:rsidRPr="007A2A97">
        <w:t>Ch.S</w:t>
      </w:r>
      <w:proofErr w:type="spellEnd"/>
      <w:r w:rsidRPr="007A2A97">
        <w:t>.</w:t>
      </w:r>
      <w:proofErr w:type="gramEnd"/>
      <w:r w:rsidRPr="007A2A97">
        <w:t xml:space="preserve">, </w:t>
      </w:r>
      <w:proofErr w:type="spellStart"/>
      <w:r w:rsidRPr="007A2A97">
        <w:t>Scheier</w:t>
      </w:r>
      <w:proofErr w:type="spellEnd"/>
      <w:r w:rsidRPr="007A2A97">
        <w:t xml:space="preserve">, M. (2002). </w:t>
      </w:r>
      <w:proofErr w:type="spellStart"/>
      <w:r w:rsidRPr="007A2A97">
        <w:t>Optimism</w:t>
      </w:r>
      <w:proofErr w:type="spellEnd"/>
      <w:r w:rsidRPr="007A2A97">
        <w:t xml:space="preserve">. In </w:t>
      </w:r>
      <w:proofErr w:type="spellStart"/>
      <w:r w:rsidRPr="007A2A97">
        <w:t>Snyder,C.R</w:t>
      </w:r>
      <w:proofErr w:type="spellEnd"/>
      <w:r w:rsidRPr="007A2A97">
        <w:t xml:space="preserve">., </w:t>
      </w:r>
      <w:proofErr w:type="spellStart"/>
      <w:r w:rsidRPr="007A2A97">
        <w:t>Lopez</w:t>
      </w:r>
      <w:proofErr w:type="spellEnd"/>
      <w:r w:rsidRPr="007A2A97">
        <w:t xml:space="preserve">, </w:t>
      </w:r>
      <w:proofErr w:type="gramStart"/>
      <w:r w:rsidRPr="007A2A97">
        <w:t>S.J.</w:t>
      </w:r>
      <w:proofErr w:type="gramEnd"/>
      <w:r w:rsidRPr="007A2A97">
        <w:t xml:space="preserve"> </w:t>
      </w:r>
      <w:proofErr w:type="spellStart"/>
      <w:r w:rsidRPr="007A2A97">
        <w:t>Eds</w:t>
      </w:r>
      <w:proofErr w:type="spellEnd"/>
      <w:r w:rsidRPr="007A2A97">
        <w:t xml:space="preserve">. (2002). Handbook </w:t>
      </w:r>
      <w:proofErr w:type="spellStart"/>
      <w:r w:rsidRPr="007A2A97">
        <w:t>of</w:t>
      </w:r>
      <w:proofErr w:type="spellEnd"/>
      <w:r w:rsidRPr="007A2A97">
        <w:t xml:space="preserve"> Positive Psychology. Oxford </w:t>
      </w:r>
      <w:proofErr w:type="spellStart"/>
      <w:r w:rsidRPr="007A2A97">
        <w:t>Unversity</w:t>
      </w:r>
      <w:proofErr w:type="spellEnd"/>
      <w:r w:rsidRPr="007A2A97">
        <w:t xml:space="preserve"> </w:t>
      </w:r>
      <w:proofErr w:type="spellStart"/>
      <w:r w:rsidRPr="007A2A97">
        <w:t>Press</w:t>
      </w:r>
      <w:proofErr w:type="spellEnd"/>
      <w:r w:rsidRPr="007A2A97">
        <w:t>.</w:t>
      </w:r>
    </w:p>
    <w:p w14:paraId="44C75A93" w14:textId="77777777" w:rsidR="00564A39" w:rsidRPr="00580845" w:rsidRDefault="00564A39" w:rsidP="009404F3">
      <w:pPr>
        <w:spacing w:line="360" w:lineRule="auto"/>
        <w:ind w:left="720" w:hanging="720"/>
        <w:jc w:val="both"/>
      </w:pPr>
      <w:proofErr w:type="spellStart"/>
      <w:r w:rsidRPr="00580845">
        <w:t>Chang</w:t>
      </w:r>
      <w:proofErr w:type="spellEnd"/>
      <w:r w:rsidRPr="00580845">
        <w:t>, E. C. (</w:t>
      </w:r>
      <w:proofErr w:type="gramStart"/>
      <w:r w:rsidRPr="00580845">
        <w:t>Ed.) (2002</w:t>
      </w:r>
      <w:proofErr w:type="gramEnd"/>
      <w:r w:rsidRPr="00580845">
        <w:t xml:space="preserve">). </w:t>
      </w:r>
      <w:proofErr w:type="spellStart"/>
      <w:r w:rsidRPr="00580845">
        <w:t>Optimism</w:t>
      </w:r>
      <w:proofErr w:type="spellEnd"/>
      <w:r w:rsidRPr="00580845">
        <w:t xml:space="preserve"> &amp; </w:t>
      </w:r>
      <w:proofErr w:type="spellStart"/>
      <w:r w:rsidRPr="00580845">
        <w:t>Pessimism</w:t>
      </w:r>
      <w:proofErr w:type="spellEnd"/>
      <w:r w:rsidRPr="00580845">
        <w:t xml:space="preserve">, </w:t>
      </w:r>
      <w:proofErr w:type="spellStart"/>
      <w:r w:rsidRPr="00580845">
        <w:t>Implications</w:t>
      </w:r>
      <w:proofErr w:type="spellEnd"/>
      <w:r w:rsidRPr="00580845">
        <w:t xml:space="preserve"> </w:t>
      </w:r>
      <w:proofErr w:type="spellStart"/>
      <w:r w:rsidRPr="00580845">
        <w:t>for</w:t>
      </w:r>
      <w:proofErr w:type="spellEnd"/>
      <w:r w:rsidRPr="00580845">
        <w:t xml:space="preserve"> </w:t>
      </w:r>
      <w:proofErr w:type="spellStart"/>
      <w:r w:rsidRPr="00580845">
        <w:t>Theory</w:t>
      </w:r>
      <w:proofErr w:type="spellEnd"/>
      <w:r w:rsidRPr="00580845">
        <w:t xml:space="preserve">, </w:t>
      </w:r>
      <w:proofErr w:type="spellStart"/>
      <w:r w:rsidRPr="00580845">
        <w:t>Research</w:t>
      </w:r>
      <w:proofErr w:type="spellEnd"/>
      <w:r w:rsidRPr="00580845">
        <w:t xml:space="preserve">, and </w:t>
      </w:r>
      <w:proofErr w:type="spellStart"/>
      <w:r w:rsidRPr="00580845">
        <w:t>Practice</w:t>
      </w:r>
      <w:proofErr w:type="spellEnd"/>
      <w:r w:rsidRPr="00580845">
        <w:t>. APA, Washington, DC.</w:t>
      </w:r>
    </w:p>
    <w:p w14:paraId="09D43567" w14:textId="77777777" w:rsidR="00564A39" w:rsidRDefault="00564A39" w:rsidP="009404F3">
      <w:pPr>
        <w:spacing w:line="360" w:lineRule="auto"/>
        <w:ind w:left="720" w:hanging="720"/>
        <w:jc w:val="both"/>
      </w:pPr>
      <w:proofErr w:type="spellStart"/>
      <w:proofErr w:type="gramStart"/>
      <w:r w:rsidRPr="00580845">
        <w:t>Fournier,M</w:t>
      </w:r>
      <w:proofErr w:type="spellEnd"/>
      <w:r w:rsidRPr="00580845">
        <w:t>.</w:t>
      </w:r>
      <w:proofErr w:type="gramEnd"/>
      <w:r w:rsidRPr="00580845">
        <w:t xml:space="preserve">, de </w:t>
      </w:r>
      <w:proofErr w:type="spellStart"/>
      <w:r w:rsidRPr="00580845">
        <w:t>Ridder</w:t>
      </w:r>
      <w:proofErr w:type="spellEnd"/>
      <w:r w:rsidRPr="00580845">
        <w:t xml:space="preserve">, D. </w:t>
      </w:r>
      <w:proofErr w:type="gramStart"/>
      <w:r w:rsidRPr="00580845">
        <w:t xml:space="preserve">&amp; </w:t>
      </w:r>
      <w:proofErr w:type="spellStart"/>
      <w:r w:rsidRPr="00580845">
        <w:t>Bensing</w:t>
      </w:r>
      <w:proofErr w:type="spellEnd"/>
      <w:r w:rsidRPr="00580845">
        <w:t>, J. (1999).</w:t>
      </w:r>
      <w:proofErr w:type="gramEnd"/>
      <w:r w:rsidRPr="00580845">
        <w:t xml:space="preserve"> Optimism and Adaptation to Multiple Sclerosis: What Does Optimism Mean? Journal of Behavioral Medicine, 22, 4, 303 – 326. </w:t>
      </w:r>
    </w:p>
    <w:p w14:paraId="40D5B7C3" w14:textId="6E9639D1" w:rsidR="00A773DA" w:rsidRDefault="00A773DA" w:rsidP="009404F3">
      <w:pPr>
        <w:spacing w:line="360" w:lineRule="auto"/>
        <w:ind w:left="720" w:hanging="720"/>
        <w:jc w:val="both"/>
      </w:pPr>
      <w:r>
        <w:t xml:space="preserve">Maxová, V. (2012). Defenzivní pesimismus ve vztahu ke </w:t>
      </w:r>
      <w:proofErr w:type="spellStart"/>
      <w:r>
        <w:t>copingovým</w:t>
      </w:r>
      <w:proofErr w:type="spellEnd"/>
      <w:r>
        <w:t xml:space="preserve"> strategiím. Diplomová práce, FF MU, Brno.</w:t>
      </w:r>
    </w:p>
    <w:p w14:paraId="747FA4E3" w14:textId="77777777" w:rsidR="002E1136" w:rsidRDefault="002E1136" w:rsidP="009404F3">
      <w:pPr>
        <w:spacing w:line="360" w:lineRule="auto"/>
        <w:ind w:left="709" w:hanging="709"/>
      </w:pPr>
      <w:r w:rsidRPr="007A2A97">
        <w:t xml:space="preserve">Norem, </w:t>
      </w:r>
      <w:proofErr w:type="gramStart"/>
      <w:r w:rsidRPr="007A2A97">
        <w:t>J.K.</w:t>
      </w:r>
      <w:proofErr w:type="gramEnd"/>
      <w:r w:rsidRPr="007A2A97">
        <w:t xml:space="preserve"> (2002). </w:t>
      </w:r>
      <w:proofErr w:type="spellStart"/>
      <w:r w:rsidRPr="007A2A97">
        <w:t>Defensive</w:t>
      </w:r>
      <w:proofErr w:type="spellEnd"/>
      <w:r w:rsidRPr="007A2A97">
        <w:t xml:space="preserve"> </w:t>
      </w:r>
      <w:proofErr w:type="spellStart"/>
      <w:r w:rsidRPr="007A2A97">
        <w:t>Pessimism</w:t>
      </w:r>
      <w:proofErr w:type="spellEnd"/>
      <w:r w:rsidRPr="007A2A97">
        <w:t xml:space="preserve">, </w:t>
      </w:r>
      <w:proofErr w:type="spellStart"/>
      <w:r w:rsidRPr="007A2A97">
        <w:t>Optimism</w:t>
      </w:r>
      <w:proofErr w:type="spellEnd"/>
      <w:r w:rsidRPr="007A2A97">
        <w:t xml:space="preserve">, and </w:t>
      </w:r>
      <w:proofErr w:type="spellStart"/>
      <w:r w:rsidRPr="007A2A97">
        <w:t>Pessimism</w:t>
      </w:r>
      <w:proofErr w:type="spellEnd"/>
      <w:r w:rsidRPr="007A2A97">
        <w:t xml:space="preserve">. In </w:t>
      </w:r>
      <w:proofErr w:type="spellStart"/>
      <w:proofErr w:type="gramStart"/>
      <w:r w:rsidRPr="007A2A97">
        <w:t>Chang</w:t>
      </w:r>
      <w:proofErr w:type="spellEnd"/>
      <w:r w:rsidRPr="007A2A97">
        <w:t>, E.C.</w:t>
      </w:r>
      <w:proofErr w:type="gramEnd"/>
      <w:r w:rsidRPr="007A2A97">
        <w:t xml:space="preserve"> Ed. (2002). </w:t>
      </w:r>
      <w:proofErr w:type="spellStart"/>
      <w:r w:rsidRPr="007A2A97">
        <w:t>Optimism</w:t>
      </w:r>
      <w:proofErr w:type="spellEnd"/>
      <w:r w:rsidRPr="007A2A97">
        <w:t xml:space="preserve"> &amp; </w:t>
      </w:r>
      <w:proofErr w:type="spellStart"/>
      <w:r w:rsidRPr="007A2A97">
        <w:t>Pesimism</w:t>
      </w:r>
      <w:proofErr w:type="spellEnd"/>
      <w:r w:rsidRPr="007A2A97">
        <w:t xml:space="preserve">. APA, </w:t>
      </w:r>
      <w:proofErr w:type="spellStart"/>
      <w:proofErr w:type="gramStart"/>
      <w:r w:rsidRPr="007A2A97">
        <w:t>Washington,DC</w:t>
      </w:r>
      <w:proofErr w:type="spellEnd"/>
      <w:proofErr w:type="gramEnd"/>
      <w:r w:rsidRPr="007A2A97">
        <w:t>.</w:t>
      </w:r>
    </w:p>
    <w:p w14:paraId="00C98471" w14:textId="4DEA8C30" w:rsidR="00725F3E" w:rsidRDefault="00725F3E" w:rsidP="009404F3">
      <w:pPr>
        <w:spacing w:line="360" w:lineRule="auto"/>
        <w:ind w:left="709" w:hanging="709"/>
        <w:rPr>
          <w:sz w:val="23"/>
          <w:szCs w:val="23"/>
        </w:rPr>
      </w:pPr>
      <w:proofErr w:type="spellStart"/>
      <w:r>
        <w:rPr>
          <w:sz w:val="23"/>
          <w:szCs w:val="23"/>
        </w:rPr>
        <w:t>Peterson</w:t>
      </w:r>
      <w:proofErr w:type="spellEnd"/>
      <w:r>
        <w:rPr>
          <w:sz w:val="23"/>
          <w:szCs w:val="23"/>
        </w:rPr>
        <w:t xml:space="preserve">, C., </w:t>
      </w:r>
      <w:proofErr w:type="spellStart"/>
      <w:r>
        <w:rPr>
          <w:sz w:val="23"/>
          <w:szCs w:val="23"/>
        </w:rPr>
        <w:t>Semmel</w:t>
      </w:r>
      <w:proofErr w:type="spellEnd"/>
      <w:r>
        <w:rPr>
          <w:sz w:val="23"/>
          <w:szCs w:val="23"/>
        </w:rPr>
        <w:t xml:space="preserve">, A., von </w:t>
      </w:r>
      <w:proofErr w:type="spellStart"/>
      <w:r>
        <w:rPr>
          <w:sz w:val="23"/>
          <w:szCs w:val="23"/>
        </w:rPr>
        <w:t>Baeyer</w:t>
      </w:r>
      <w:proofErr w:type="spellEnd"/>
      <w:r>
        <w:rPr>
          <w:sz w:val="23"/>
          <w:szCs w:val="23"/>
        </w:rPr>
        <w:t xml:space="preserve">, C., </w:t>
      </w:r>
      <w:proofErr w:type="spellStart"/>
      <w:r>
        <w:rPr>
          <w:sz w:val="23"/>
          <w:szCs w:val="23"/>
        </w:rPr>
        <w:t>Abramson</w:t>
      </w:r>
      <w:proofErr w:type="spellEnd"/>
      <w:r>
        <w:rPr>
          <w:sz w:val="23"/>
          <w:szCs w:val="23"/>
        </w:rPr>
        <w:t xml:space="preserve">, </w:t>
      </w:r>
      <w:proofErr w:type="gramStart"/>
      <w:r>
        <w:rPr>
          <w:sz w:val="23"/>
          <w:szCs w:val="23"/>
        </w:rPr>
        <w:t xml:space="preserve">L.Y., </w:t>
      </w:r>
      <w:proofErr w:type="spellStart"/>
      <w:r>
        <w:rPr>
          <w:sz w:val="23"/>
          <w:szCs w:val="23"/>
        </w:rPr>
        <w:t>Metalsky</w:t>
      </w:r>
      <w:proofErr w:type="spellEnd"/>
      <w:proofErr w:type="gramEnd"/>
      <w:r>
        <w:rPr>
          <w:sz w:val="23"/>
          <w:szCs w:val="23"/>
        </w:rPr>
        <w:t xml:space="preserve">, G.I., &amp; </w:t>
      </w:r>
      <w:proofErr w:type="spellStart"/>
      <w:r>
        <w:rPr>
          <w:sz w:val="23"/>
          <w:szCs w:val="23"/>
        </w:rPr>
        <w:t>Seligman</w:t>
      </w:r>
      <w:proofErr w:type="spellEnd"/>
      <w:r>
        <w:rPr>
          <w:sz w:val="23"/>
          <w:szCs w:val="23"/>
        </w:rPr>
        <w:t xml:space="preserve">, M.E.P. </w:t>
      </w:r>
      <w:bookmarkStart w:id="0" w:name="_GoBack"/>
      <w:bookmarkEnd w:id="0"/>
      <w:r>
        <w:rPr>
          <w:sz w:val="23"/>
          <w:szCs w:val="23"/>
        </w:rPr>
        <w:t xml:space="preserve">(1982). </w:t>
      </w:r>
      <w:proofErr w:type="spellStart"/>
      <w:r>
        <w:rPr>
          <w:sz w:val="23"/>
          <w:szCs w:val="23"/>
        </w:rPr>
        <w:t>The</w:t>
      </w:r>
      <w:proofErr w:type="spellEnd"/>
      <w:r>
        <w:rPr>
          <w:sz w:val="23"/>
          <w:szCs w:val="23"/>
        </w:rPr>
        <w:t xml:space="preserve"> </w:t>
      </w:r>
      <w:proofErr w:type="spellStart"/>
      <w:r>
        <w:rPr>
          <w:sz w:val="23"/>
          <w:szCs w:val="23"/>
        </w:rPr>
        <w:t>attributional</w:t>
      </w:r>
      <w:proofErr w:type="spellEnd"/>
      <w:r>
        <w:rPr>
          <w:sz w:val="23"/>
          <w:szCs w:val="23"/>
        </w:rPr>
        <w:t xml:space="preserve"> Style </w:t>
      </w:r>
      <w:proofErr w:type="spellStart"/>
      <w:r>
        <w:rPr>
          <w:sz w:val="23"/>
          <w:szCs w:val="23"/>
        </w:rPr>
        <w:t>Questionnaire</w:t>
      </w:r>
      <w:proofErr w:type="spellEnd"/>
      <w:r>
        <w:rPr>
          <w:sz w:val="23"/>
          <w:szCs w:val="23"/>
        </w:rPr>
        <w:t xml:space="preserve">. </w:t>
      </w:r>
      <w:proofErr w:type="spellStart"/>
      <w:r w:rsidRPr="00A773DA">
        <w:rPr>
          <w:iCs/>
          <w:sz w:val="23"/>
          <w:szCs w:val="23"/>
        </w:rPr>
        <w:t>Cognitive</w:t>
      </w:r>
      <w:proofErr w:type="spellEnd"/>
      <w:r w:rsidRPr="00A773DA">
        <w:rPr>
          <w:iCs/>
          <w:sz w:val="23"/>
          <w:szCs w:val="23"/>
        </w:rPr>
        <w:t xml:space="preserve"> </w:t>
      </w:r>
      <w:proofErr w:type="spellStart"/>
      <w:r w:rsidRPr="00A773DA">
        <w:rPr>
          <w:iCs/>
          <w:sz w:val="23"/>
          <w:szCs w:val="23"/>
        </w:rPr>
        <w:t>Therapy</w:t>
      </w:r>
      <w:proofErr w:type="spellEnd"/>
      <w:r w:rsidRPr="00A773DA">
        <w:rPr>
          <w:iCs/>
          <w:sz w:val="23"/>
          <w:szCs w:val="23"/>
        </w:rPr>
        <w:t xml:space="preserve"> and </w:t>
      </w:r>
      <w:proofErr w:type="spellStart"/>
      <w:r w:rsidRPr="00A773DA">
        <w:rPr>
          <w:iCs/>
          <w:sz w:val="23"/>
          <w:szCs w:val="23"/>
        </w:rPr>
        <w:t>Research</w:t>
      </w:r>
      <w:proofErr w:type="spellEnd"/>
      <w:r>
        <w:rPr>
          <w:sz w:val="23"/>
          <w:szCs w:val="23"/>
        </w:rPr>
        <w:t>, 6 (3), pp. 287-300.</w:t>
      </w:r>
    </w:p>
    <w:p w14:paraId="1A874CAB" w14:textId="0A56BE6A" w:rsidR="00503832" w:rsidRPr="00503832" w:rsidRDefault="00503832" w:rsidP="00503832">
      <w:pPr>
        <w:spacing w:line="360" w:lineRule="auto"/>
        <w:ind w:left="709" w:hanging="709"/>
        <w:rPr>
          <w:sz w:val="23"/>
          <w:szCs w:val="23"/>
        </w:rPr>
      </w:pPr>
      <w:proofErr w:type="spellStart"/>
      <w:r w:rsidRPr="00503832">
        <w:rPr>
          <w:sz w:val="23"/>
          <w:szCs w:val="23"/>
        </w:rPr>
        <w:t>Peterson</w:t>
      </w:r>
      <w:proofErr w:type="spellEnd"/>
      <w:r w:rsidRPr="00503832">
        <w:rPr>
          <w:sz w:val="23"/>
          <w:szCs w:val="23"/>
        </w:rPr>
        <w:t xml:space="preserve">, C., &amp; </w:t>
      </w:r>
      <w:proofErr w:type="spellStart"/>
      <w:r w:rsidRPr="00503832">
        <w:rPr>
          <w:sz w:val="23"/>
          <w:szCs w:val="23"/>
        </w:rPr>
        <w:t>Barrett</w:t>
      </w:r>
      <w:proofErr w:type="spellEnd"/>
      <w:r w:rsidRPr="00503832">
        <w:rPr>
          <w:sz w:val="23"/>
          <w:szCs w:val="23"/>
        </w:rPr>
        <w:t xml:space="preserve">, L. (1987). </w:t>
      </w:r>
      <w:proofErr w:type="spellStart"/>
      <w:r w:rsidRPr="00503832">
        <w:rPr>
          <w:sz w:val="23"/>
          <w:szCs w:val="23"/>
        </w:rPr>
        <w:t>Explanatory</w:t>
      </w:r>
      <w:proofErr w:type="spellEnd"/>
      <w:r w:rsidRPr="00503832">
        <w:rPr>
          <w:sz w:val="23"/>
          <w:szCs w:val="23"/>
        </w:rPr>
        <w:t xml:space="preserve"> style and </w:t>
      </w:r>
      <w:proofErr w:type="spellStart"/>
      <w:r w:rsidRPr="00503832">
        <w:rPr>
          <w:sz w:val="23"/>
          <w:szCs w:val="23"/>
        </w:rPr>
        <w:t>academic</w:t>
      </w:r>
      <w:proofErr w:type="spellEnd"/>
      <w:r w:rsidRPr="00503832">
        <w:rPr>
          <w:sz w:val="23"/>
          <w:szCs w:val="23"/>
        </w:rPr>
        <w:t xml:space="preserve"> performance </w:t>
      </w:r>
      <w:proofErr w:type="spellStart"/>
      <w:r w:rsidRPr="00503832">
        <w:rPr>
          <w:sz w:val="23"/>
          <w:szCs w:val="23"/>
        </w:rPr>
        <w:t>among</w:t>
      </w:r>
      <w:proofErr w:type="spellEnd"/>
      <w:r w:rsidRPr="00503832">
        <w:rPr>
          <w:sz w:val="23"/>
          <w:szCs w:val="23"/>
        </w:rPr>
        <w:t xml:space="preserve"> university </w:t>
      </w:r>
      <w:proofErr w:type="spellStart"/>
      <w:r w:rsidRPr="00503832">
        <w:rPr>
          <w:sz w:val="23"/>
          <w:szCs w:val="23"/>
        </w:rPr>
        <w:t>freshmen</w:t>
      </w:r>
      <w:proofErr w:type="spellEnd"/>
      <w:r w:rsidRPr="00503832">
        <w:rPr>
          <w:sz w:val="23"/>
          <w:szCs w:val="23"/>
        </w:rPr>
        <w:t xml:space="preserve">. </w:t>
      </w:r>
      <w:proofErr w:type="spellStart"/>
      <w:r w:rsidRPr="00503832">
        <w:rPr>
          <w:sz w:val="23"/>
          <w:szCs w:val="23"/>
        </w:rPr>
        <w:t>Journal</w:t>
      </w:r>
      <w:proofErr w:type="spellEnd"/>
      <w:r w:rsidRPr="00503832">
        <w:rPr>
          <w:sz w:val="23"/>
          <w:szCs w:val="23"/>
        </w:rPr>
        <w:t xml:space="preserve"> </w:t>
      </w:r>
      <w:proofErr w:type="spellStart"/>
      <w:r w:rsidRPr="00503832">
        <w:rPr>
          <w:sz w:val="23"/>
          <w:szCs w:val="23"/>
        </w:rPr>
        <w:t>of</w:t>
      </w:r>
      <w:proofErr w:type="spellEnd"/>
      <w:r>
        <w:rPr>
          <w:sz w:val="23"/>
          <w:szCs w:val="23"/>
        </w:rPr>
        <w:t xml:space="preserve"> </w:t>
      </w:r>
      <w:r w:rsidRPr="00503832">
        <w:rPr>
          <w:sz w:val="23"/>
          <w:szCs w:val="23"/>
        </w:rPr>
        <w:t xml:space="preserve">Personality and </w:t>
      </w:r>
      <w:proofErr w:type="spellStart"/>
      <w:r w:rsidRPr="00503832">
        <w:rPr>
          <w:sz w:val="23"/>
          <w:szCs w:val="23"/>
        </w:rPr>
        <w:t>Social</w:t>
      </w:r>
      <w:proofErr w:type="spellEnd"/>
      <w:r w:rsidRPr="00503832">
        <w:rPr>
          <w:sz w:val="23"/>
          <w:szCs w:val="23"/>
        </w:rPr>
        <w:t xml:space="preserve"> Psychology, 53, 603–607.</w:t>
      </w:r>
    </w:p>
    <w:p w14:paraId="4256747F" w14:textId="77777777" w:rsidR="00564A39" w:rsidRPr="00580845" w:rsidRDefault="00564A39" w:rsidP="009404F3">
      <w:pPr>
        <w:spacing w:line="360" w:lineRule="auto"/>
        <w:ind w:left="720" w:hanging="720"/>
        <w:jc w:val="both"/>
      </w:pPr>
      <w:proofErr w:type="spellStart"/>
      <w:r w:rsidRPr="00580845">
        <w:t>Seligman</w:t>
      </w:r>
      <w:proofErr w:type="spellEnd"/>
      <w:r w:rsidRPr="00580845">
        <w:t xml:space="preserve"> et al. (1988). </w:t>
      </w:r>
      <w:proofErr w:type="spellStart"/>
      <w:r w:rsidRPr="00580845">
        <w:t>Explanatory</w:t>
      </w:r>
      <w:proofErr w:type="spellEnd"/>
      <w:r w:rsidRPr="00580845">
        <w:t xml:space="preserve"> style </w:t>
      </w:r>
      <w:proofErr w:type="spellStart"/>
      <w:r w:rsidRPr="00580845">
        <w:t>change</w:t>
      </w:r>
      <w:proofErr w:type="spellEnd"/>
      <w:r w:rsidRPr="00580845">
        <w:t xml:space="preserve"> </w:t>
      </w:r>
      <w:proofErr w:type="spellStart"/>
      <w:r w:rsidRPr="00580845">
        <w:t>during</w:t>
      </w:r>
      <w:proofErr w:type="spellEnd"/>
      <w:r w:rsidRPr="00580845">
        <w:t xml:space="preserve"> </w:t>
      </w:r>
      <w:proofErr w:type="spellStart"/>
      <w:r w:rsidRPr="00580845">
        <w:t>cognitive</w:t>
      </w:r>
      <w:proofErr w:type="spellEnd"/>
      <w:r w:rsidRPr="00580845">
        <w:t xml:space="preserve"> </w:t>
      </w:r>
      <w:proofErr w:type="spellStart"/>
      <w:r w:rsidRPr="00580845">
        <w:t>therapy</w:t>
      </w:r>
      <w:proofErr w:type="spellEnd"/>
      <w:r w:rsidRPr="00580845">
        <w:t xml:space="preserve"> </w:t>
      </w:r>
      <w:proofErr w:type="spellStart"/>
      <w:r w:rsidRPr="00580845">
        <w:t>for</w:t>
      </w:r>
      <w:proofErr w:type="spellEnd"/>
      <w:r w:rsidRPr="00580845">
        <w:t xml:space="preserve"> </w:t>
      </w:r>
      <w:proofErr w:type="spellStart"/>
      <w:r w:rsidRPr="00580845">
        <w:t>unipolar</w:t>
      </w:r>
      <w:proofErr w:type="spellEnd"/>
      <w:r w:rsidRPr="00580845">
        <w:t xml:space="preserve"> </w:t>
      </w:r>
      <w:proofErr w:type="spellStart"/>
      <w:r w:rsidRPr="00580845">
        <w:t>depression</w:t>
      </w:r>
      <w:proofErr w:type="spellEnd"/>
      <w:r w:rsidRPr="00580845">
        <w:t xml:space="preserve">. </w:t>
      </w:r>
      <w:proofErr w:type="spellStart"/>
      <w:r w:rsidRPr="00580845">
        <w:t>Journal</w:t>
      </w:r>
      <w:proofErr w:type="spellEnd"/>
      <w:r w:rsidRPr="00580845">
        <w:t xml:space="preserve"> </w:t>
      </w:r>
      <w:proofErr w:type="spellStart"/>
      <w:r w:rsidRPr="00580845">
        <w:t>of</w:t>
      </w:r>
      <w:proofErr w:type="spellEnd"/>
      <w:r w:rsidRPr="00580845">
        <w:t xml:space="preserve"> </w:t>
      </w:r>
      <w:proofErr w:type="spellStart"/>
      <w:r w:rsidRPr="00580845">
        <w:t>Abnormal</w:t>
      </w:r>
      <w:proofErr w:type="spellEnd"/>
      <w:r w:rsidRPr="00580845">
        <w:t xml:space="preserve"> Psychology, 97, 13 – 18.</w:t>
      </w:r>
    </w:p>
    <w:p w14:paraId="3D3F0787" w14:textId="6635EC3A" w:rsidR="002E1136" w:rsidRPr="007A2A97" w:rsidRDefault="002E1136" w:rsidP="009404F3">
      <w:pPr>
        <w:spacing w:line="360" w:lineRule="auto"/>
      </w:pPr>
      <w:proofErr w:type="spellStart"/>
      <w:r w:rsidRPr="007A2A97">
        <w:t>Seligman</w:t>
      </w:r>
      <w:proofErr w:type="spellEnd"/>
      <w:r w:rsidRPr="007A2A97">
        <w:t>, M.</w:t>
      </w:r>
      <w:r w:rsidR="009404F3">
        <w:t xml:space="preserve"> </w:t>
      </w:r>
      <w:r w:rsidRPr="007A2A97">
        <w:t xml:space="preserve">(1990). </w:t>
      </w:r>
      <w:proofErr w:type="spellStart"/>
      <w:r w:rsidRPr="007A2A97">
        <w:t>Learned</w:t>
      </w:r>
      <w:proofErr w:type="spellEnd"/>
      <w:r w:rsidRPr="007A2A97">
        <w:t xml:space="preserve"> </w:t>
      </w:r>
      <w:proofErr w:type="spellStart"/>
      <w:r w:rsidRPr="007A2A97">
        <w:t>optimism</w:t>
      </w:r>
      <w:proofErr w:type="spellEnd"/>
      <w:r w:rsidRPr="007A2A97">
        <w:t xml:space="preserve">. New York: </w:t>
      </w:r>
      <w:proofErr w:type="spellStart"/>
      <w:r w:rsidRPr="007A2A97">
        <w:t>Knopf</w:t>
      </w:r>
      <w:proofErr w:type="spellEnd"/>
      <w:r w:rsidRPr="007A2A97">
        <w:t>.</w:t>
      </w:r>
    </w:p>
    <w:p w14:paraId="3610A521" w14:textId="77777777" w:rsidR="002E1136" w:rsidRPr="007A2A97" w:rsidRDefault="002E1136" w:rsidP="00503832">
      <w:pPr>
        <w:spacing w:line="360" w:lineRule="auto"/>
      </w:pPr>
      <w:proofErr w:type="spellStart"/>
      <w:r w:rsidRPr="007A2A97">
        <w:t>Seligman</w:t>
      </w:r>
      <w:proofErr w:type="spellEnd"/>
      <w:r w:rsidRPr="007A2A97">
        <w:t xml:space="preserve">, M. (2003). Opravdové štěstí. </w:t>
      </w:r>
      <w:proofErr w:type="spellStart"/>
      <w:r w:rsidRPr="007A2A97">
        <w:t>Euromedia</w:t>
      </w:r>
      <w:proofErr w:type="spellEnd"/>
      <w:r w:rsidRPr="007A2A97">
        <w:t xml:space="preserve"> Group, Praha.</w:t>
      </w:r>
    </w:p>
    <w:p w14:paraId="69CAE3AA" w14:textId="77777777" w:rsidR="002E1136" w:rsidRDefault="002E1136" w:rsidP="00503832">
      <w:pPr>
        <w:spacing w:line="360" w:lineRule="auto"/>
        <w:ind w:left="709" w:hanging="709"/>
      </w:pPr>
      <w:proofErr w:type="spellStart"/>
      <w:r w:rsidRPr="007A2A97">
        <w:t>Scheier</w:t>
      </w:r>
      <w:proofErr w:type="spellEnd"/>
      <w:r w:rsidRPr="007A2A97">
        <w:t xml:space="preserve">, </w:t>
      </w:r>
      <w:proofErr w:type="gramStart"/>
      <w:r w:rsidRPr="007A2A97">
        <w:t xml:space="preserve">M.F., </w:t>
      </w:r>
      <w:proofErr w:type="spellStart"/>
      <w:r w:rsidRPr="007A2A97">
        <w:t>Carver</w:t>
      </w:r>
      <w:proofErr w:type="spellEnd"/>
      <w:proofErr w:type="gramEnd"/>
      <w:r w:rsidRPr="007A2A97">
        <w:t xml:space="preserve">, C.S. (1985). </w:t>
      </w:r>
      <w:proofErr w:type="spellStart"/>
      <w:r w:rsidRPr="007A2A97">
        <w:t>Optimism</w:t>
      </w:r>
      <w:proofErr w:type="spellEnd"/>
      <w:r w:rsidRPr="007A2A97">
        <w:t xml:space="preserve">, </w:t>
      </w:r>
      <w:proofErr w:type="spellStart"/>
      <w:r w:rsidRPr="007A2A97">
        <w:t>coping</w:t>
      </w:r>
      <w:proofErr w:type="spellEnd"/>
      <w:r w:rsidRPr="007A2A97">
        <w:t xml:space="preserve">, and </w:t>
      </w:r>
      <w:proofErr w:type="spellStart"/>
      <w:r w:rsidRPr="007A2A97">
        <w:t>health</w:t>
      </w:r>
      <w:proofErr w:type="spellEnd"/>
      <w:r w:rsidRPr="007A2A97">
        <w:t xml:space="preserve">: </w:t>
      </w:r>
      <w:proofErr w:type="spellStart"/>
      <w:r w:rsidRPr="007A2A97">
        <w:t>Assessment</w:t>
      </w:r>
      <w:proofErr w:type="spellEnd"/>
      <w:r w:rsidRPr="007A2A97">
        <w:t xml:space="preserve"> nad </w:t>
      </w:r>
      <w:proofErr w:type="spellStart"/>
      <w:r w:rsidRPr="007A2A97">
        <w:t>implications</w:t>
      </w:r>
      <w:proofErr w:type="spellEnd"/>
      <w:r w:rsidRPr="007A2A97">
        <w:t xml:space="preserve"> </w:t>
      </w:r>
      <w:proofErr w:type="spellStart"/>
      <w:r w:rsidRPr="007A2A97">
        <w:t>of</w:t>
      </w:r>
      <w:proofErr w:type="spellEnd"/>
      <w:r w:rsidRPr="007A2A97">
        <w:t xml:space="preserve"> </w:t>
      </w:r>
      <w:proofErr w:type="spellStart"/>
      <w:r w:rsidRPr="007A2A97">
        <w:t>generalized</w:t>
      </w:r>
      <w:proofErr w:type="spellEnd"/>
      <w:r w:rsidRPr="007A2A97">
        <w:t xml:space="preserve"> </w:t>
      </w:r>
      <w:proofErr w:type="spellStart"/>
      <w:r w:rsidRPr="007A2A97">
        <w:t>outcome</w:t>
      </w:r>
      <w:proofErr w:type="spellEnd"/>
      <w:r w:rsidRPr="007A2A97">
        <w:t xml:space="preserve"> </w:t>
      </w:r>
      <w:proofErr w:type="spellStart"/>
      <w:r w:rsidRPr="007A2A97">
        <w:t>expectancies</w:t>
      </w:r>
      <w:proofErr w:type="spellEnd"/>
      <w:r w:rsidRPr="007A2A97">
        <w:t xml:space="preserve">. </w:t>
      </w:r>
      <w:proofErr w:type="spellStart"/>
      <w:r w:rsidRPr="009404F3">
        <w:rPr>
          <w:iCs/>
        </w:rPr>
        <w:t>Health</w:t>
      </w:r>
      <w:proofErr w:type="spellEnd"/>
      <w:r w:rsidRPr="009404F3">
        <w:rPr>
          <w:iCs/>
        </w:rPr>
        <w:t xml:space="preserve"> Psychology</w:t>
      </w:r>
      <w:r w:rsidRPr="007A2A97">
        <w:t>, 4, 219 – 247.</w:t>
      </w:r>
    </w:p>
    <w:p w14:paraId="085689C7" w14:textId="03146274" w:rsidR="00503832" w:rsidRDefault="00503832" w:rsidP="00503832">
      <w:pPr>
        <w:autoSpaceDE w:val="0"/>
        <w:autoSpaceDN w:val="0"/>
        <w:adjustRightInd w:val="0"/>
        <w:spacing w:line="360" w:lineRule="auto"/>
        <w:ind w:left="709" w:hanging="709"/>
      </w:pPr>
      <w:proofErr w:type="spellStart"/>
      <w:r w:rsidRPr="00503832">
        <w:t>Scheier</w:t>
      </w:r>
      <w:proofErr w:type="spellEnd"/>
      <w:r w:rsidRPr="00503832">
        <w:t xml:space="preserve">, M., F., </w:t>
      </w:r>
      <w:proofErr w:type="spellStart"/>
      <w:r w:rsidRPr="00503832">
        <w:t>Carver</w:t>
      </w:r>
      <w:proofErr w:type="spellEnd"/>
      <w:r w:rsidRPr="00503832">
        <w:t xml:space="preserve">, CH., S., </w:t>
      </w:r>
      <w:proofErr w:type="spellStart"/>
      <w:r w:rsidRPr="00503832">
        <w:t>Bridges</w:t>
      </w:r>
      <w:proofErr w:type="spellEnd"/>
      <w:r w:rsidRPr="00503832">
        <w:t xml:space="preserve"> &amp; M., W. (1994). </w:t>
      </w:r>
      <w:proofErr w:type="spellStart"/>
      <w:r w:rsidRPr="00503832">
        <w:t>Distinguishing</w:t>
      </w:r>
      <w:proofErr w:type="spellEnd"/>
      <w:r>
        <w:t xml:space="preserve"> </w:t>
      </w:r>
      <w:proofErr w:type="spellStart"/>
      <w:r w:rsidRPr="00503832">
        <w:t>Optimism</w:t>
      </w:r>
      <w:proofErr w:type="spellEnd"/>
      <w:r w:rsidRPr="00503832">
        <w:t xml:space="preserve"> </w:t>
      </w:r>
      <w:proofErr w:type="spellStart"/>
      <w:r w:rsidRPr="00503832">
        <w:t>From</w:t>
      </w:r>
      <w:proofErr w:type="spellEnd"/>
      <w:r w:rsidRPr="00503832">
        <w:t xml:space="preserve"> </w:t>
      </w:r>
      <w:proofErr w:type="spellStart"/>
      <w:r w:rsidRPr="00503832">
        <w:t>Neuroticism</w:t>
      </w:r>
      <w:proofErr w:type="spellEnd"/>
      <w:r w:rsidRPr="00503832">
        <w:t xml:space="preserve"> (and </w:t>
      </w:r>
      <w:proofErr w:type="spellStart"/>
      <w:r w:rsidRPr="00503832">
        <w:t>Trait</w:t>
      </w:r>
      <w:proofErr w:type="spellEnd"/>
      <w:r w:rsidRPr="00503832">
        <w:t xml:space="preserve"> </w:t>
      </w:r>
      <w:proofErr w:type="spellStart"/>
      <w:r w:rsidRPr="00503832">
        <w:t>Anxiety</w:t>
      </w:r>
      <w:proofErr w:type="spellEnd"/>
      <w:r w:rsidRPr="00503832">
        <w:t xml:space="preserve">, </w:t>
      </w:r>
      <w:proofErr w:type="spellStart"/>
      <w:r w:rsidRPr="00503832">
        <w:t>Self</w:t>
      </w:r>
      <w:proofErr w:type="spellEnd"/>
      <w:r w:rsidRPr="00503832">
        <w:t xml:space="preserve">-Mastery, and </w:t>
      </w:r>
      <w:proofErr w:type="spellStart"/>
      <w:r w:rsidRPr="00503832">
        <w:t>Self</w:t>
      </w:r>
      <w:proofErr w:type="spellEnd"/>
      <w:r w:rsidRPr="00503832">
        <w:t>-</w:t>
      </w:r>
      <w:r>
        <w:t xml:space="preserve"> </w:t>
      </w:r>
      <w:proofErr w:type="spellStart"/>
      <w:r w:rsidRPr="00503832">
        <w:t>Esteem</w:t>
      </w:r>
      <w:proofErr w:type="spellEnd"/>
      <w:r w:rsidRPr="00503832">
        <w:t xml:space="preserve">): A </w:t>
      </w:r>
      <w:proofErr w:type="spellStart"/>
      <w:r w:rsidRPr="00503832">
        <w:t>Reevaluation</w:t>
      </w:r>
      <w:proofErr w:type="spellEnd"/>
      <w:r w:rsidRPr="00503832">
        <w:t xml:space="preserve"> </w:t>
      </w:r>
      <w:proofErr w:type="spellStart"/>
      <w:r w:rsidRPr="00503832">
        <w:t>of</w:t>
      </w:r>
      <w:proofErr w:type="spellEnd"/>
      <w:r w:rsidRPr="00503832">
        <w:t xml:space="preserve"> </w:t>
      </w:r>
      <w:proofErr w:type="spellStart"/>
      <w:r w:rsidRPr="00503832">
        <w:lastRenderedPageBreak/>
        <w:t>the</w:t>
      </w:r>
      <w:proofErr w:type="spellEnd"/>
      <w:r w:rsidRPr="00503832">
        <w:t xml:space="preserve"> </w:t>
      </w:r>
      <w:proofErr w:type="spellStart"/>
      <w:r w:rsidRPr="00503832">
        <w:t>Life</w:t>
      </w:r>
      <w:proofErr w:type="spellEnd"/>
      <w:r w:rsidRPr="00503832">
        <w:t xml:space="preserve"> </w:t>
      </w:r>
      <w:proofErr w:type="spellStart"/>
      <w:r w:rsidRPr="00503832">
        <w:t>Orientation</w:t>
      </w:r>
      <w:proofErr w:type="spellEnd"/>
      <w:r w:rsidRPr="00503832">
        <w:t xml:space="preserve"> Test. </w:t>
      </w:r>
      <w:proofErr w:type="spellStart"/>
      <w:r w:rsidRPr="00503832">
        <w:t>Journal</w:t>
      </w:r>
      <w:proofErr w:type="spellEnd"/>
      <w:r w:rsidRPr="00503832">
        <w:t xml:space="preserve"> </w:t>
      </w:r>
      <w:proofErr w:type="spellStart"/>
      <w:r w:rsidRPr="00503832">
        <w:t>of</w:t>
      </w:r>
      <w:proofErr w:type="spellEnd"/>
      <w:r>
        <w:t xml:space="preserve"> </w:t>
      </w:r>
      <w:r w:rsidRPr="00503832">
        <w:t xml:space="preserve">Personality and </w:t>
      </w:r>
      <w:proofErr w:type="spellStart"/>
      <w:r w:rsidRPr="00503832">
        <w:t>Social</w:t>
      </w:r>
      <w:proofErr w:type="spellEnd"/>
      <w:r w:rsidRPr="00503832">
        <w:t xml:space="preserve"> Psychology, 67, 6, 1063 – 1078.</w:t>
      </w:r>
    </w:p>
    <w:p w14:paraId="57B161E8" w14:textId="77777777" w:rsidR="00564A39" w:rsidRPr="00580845" w:rsidRDefault="00564A39" w:rsidP="00503832">
      <w:pPr>
        <w:spacing w:line="360" w:lineRule="auto"/>
        <w:ind w:left="720" w:hanging="720"/>
        <w:jc w:val="both"/>
      </w:pPr>
      <w:proofErr w:type="spellStart"/>
      <w:r w:rsidRPr="00580845">
        <w:t>Schwarzer</w:t>
      </w:r>
      <w:proofErr w:type="spellEnd"/>
      <w:r w:rsidRPr="00580845">
        <w:t xml:space="preserve">, R. (1994). </w:t>
      </w:r>
      <w:proofErr w:type="spellStart"/>
      <w:r w:rsidRPr="00580845">
        <w:t>Optimism</w:t>
      </w:r>
      <w:proofErr w:type="spellEnd"/>
      <w:r w:rsidRPr="00580845">
        <w:t xml:space="preserve">, vulnerability and </w:t>
      </w:r>
      <w:proofErr w:type="spellStart"/>
      <w:r w:rsidRPr="00580845">
        <w:t>self-beliefs</w:t>
      </w:r>
      <w:proofErr w:type="spellEnd"/>
      <w:r w:rsidRPr="00580845">
        <w:t xml:space="preserve"> as </w:t>
      </w:r>
      <w:proofErr w:type="spellStart"/>
      <w:r w:rsidRPr="00580845">
        <w:t>health-related</w:t>
      </w:r>
      <w:proofErr w:type="spellEnd"/>
      <w:r w:rsidRPr="00580845">
        <w:t xml:space="preserve"> </w:t>
      </w:r>
      <w:proofErr w:type="spellStart"/>
      <w:r w:rsidRPr="00580845">
        <w:t>cognitions</w:t>
      </w:r>
      <w:proofErr w:type="spellEnd"/>
      <w:r w:rsidRPr="00580845">
        <w:t xml:space="preserve">: A </w:t>
      </w:r>
      <w:proofErr w:type="spellStart"/>
      <w:r w:rsidRPr="00580845">
        <w:t>systematic</w:t>
      </w:r>
      <w:proofErr w:type="spellEnd"/>
      <w:r w:rsidRPr="00580845">
        <w:t xml:space="preserve"> </w:t>
      </w:r>
      <w:proofErr w:type="spellStart"/>
      <w:r w:rsidRPr="00580845">
        <w:t>overview</w:t>
      </w:r>
      <w:proofErr w:type="spellEnd"/>
      <w:r w:rsidRPr="00580845">
        <w:t xml:space="preserve">. </w:t>
      </w:r>
      <w:proofErr w:type="spellStart"/>
      <w:r w:rsidRPr="00580845">
        <w:t>Psychol</w:t>
      </w:r>
      <w:proofErr w:type="spellEnd"/>
      <w:r w:rsidRPr="00580845">
        <w:t xml:space="preserve">. </w:t>
      </w:r>
      <w:proofErr w:type="spellStart"/>
      <w:r w:rsidRPr="00580845">
        <w:t>Health</w:t>
      </w:r>
      <w:proofErr w:type="spellEnd"/>
      <w:r w:rsidRPr="00580845">
        <w:t>, 9, 161 – 180.</w:t>
      </w:r>
    </w:p>
    <w:p w14:paraId="278CD936" w14:textId="77777777" w:rsidR="002E1136" w:rsidRPr="007A2A97" w:rsidRDefault="002E1136" w:rsidP="009404F3">
      <w:pPr>
        <w:spacing w:line="360" w:lineRule="auto"/>
        <w:ind w:left="709" w:hanging="709"/>
      </w:pPr>
      <w:proofErr w:type="spellStart"/>
      <w:r w:rsidRPr="007A2A97">
        <w:t>Snyder,C.R</w:t>
      </w:r>
      <w:proofErr w:type="spellEnd"/>
      <w:r w:rsidRPr="007A2A97">
        <w:t xml:space="preserve">., </w:t>
      </w:r>
      <w:proofErr w:type="spellStart"/>
      <w:r w:rsidRPr="007A2A97">
        <w:t>Lopez</w:t>
      </w:r>
      <w:proofErr w:type="spellEnd"/>
      <w:r w:rsidRPr="007A2A97">
        <w:t xml:space="preserve">, </w:t>
      </w:r>
      <w:proofErr w:type="gramStart"/>
      <w:r w:rsidRPr="007A2A97">
        <w:t>S.J.</w:t>
      </w:r>
      <w:proofErr w:type="gramEnd"/>
      <w:r w:rsidRPr="007A2A97">
        <w:t xml:space="preserve"> </w:t>
      </w:r>
      <w:proofErr w:type="spellStart"/>
      <w:r w:rsidRPr="007A2A97">
        <w:t>Eds</w:t>
      </w:r>
      <w:proofErr w:type="spellEnd"/>
      <w:r w:rsidRPr="007A2A97">
        <w:t xml:space="preserve">. (2002). Handbook </w:t>
      </w:r>
      <w:proofErr w:type="spellStart"/>
      <w:r w:rsidRPr="007A2A97">
        <w:t>of</w:t>
      </w:r>
      <w:proofErr w:type="spellEnd"/>
      <w:r w:rsidRPr="007A2A97">
        <w:t xml:space="preserve"> Positive Psychology. Oxford </w:t>
      </w:r>
      <w:proofErr w:type="spellStart"/>
      <w:r w:rsidRPr="007A2A97">
        <w:t>Unversity</w:t>
      </w:r>
      <w:proofErr w:type="spellEnd"/>
      <w:r w:rsidRPr="007A2A97">
        <w:t xml:space="preserve"> </w:t>
      </w:r>
      <w:proofErr w:type="spellStart"/>
      <w:r w:rsidRPr="007A2A97">
        <w:t>Press</w:t>
      </w:r>
      <w:proofErr w:type="spellEnd"/>
      <w:r w:rsidRPr="007A2A97">
        <w:t>.</w:t>
      </w:r>
    </w:p>
    <w:p w14:paraId="257DC162" w14:textId="77777777" w:rsidR="00564A39" w:rsidRPr="00580845" w:rsidRDefault="00564A39" w:rsidP="009404F3">
      <w:pPr>
        <w:spacing w:line="360" w:lineRule="auto"/>
        <w:ind w:left="709" w:hanging="709"/>
      </w:pPr>
      <w:proofErr w:type="spellStart"/>
      <w:r w:rsidRPr="00580845">
        <w:t>Taylor</w:t>
      </w:r>
      <w:proofErr w:type="spellEnd"/>
      <w:r w:rsidRPr="00580845">
        <w:t xml:space="preserve">, S. E., Brown, L. (1994). Positive </w:t>
      </w:r>
      <w:proofErr w:type="spellStart"/>
      <w:r w:rsidRPr="00580845">
        <w:t>illusions</w:t>
      </w:r>
      <w:proofErr w:type="spellEnd"/>
      <w:r w:rsidRPr="00580845">
        <w:t xml:space="preserve"> and </w:t>
      </w:r>
      <w:proofErr w:type="spellStart"/>
      <w:r w:rsidRPr="00580845">
        <w:t>well-being</w:t>
      </w:r>
      <w:proofErr w:type="spellEnd"/>
      <w:r w:rsidRPr="00580845">
        <w:t xml:space="preserve"> </w:t>
      </w:r>
      <w:proofErr w:type="spellStart"/>
      <w:r w:rsidRPr="00580845">
        <w:t>revisited</w:t>
      </w:r>
      <w:proofErr w:type="spellEnd"/>
      <w:r w:rsidRPr="00580845">
        <w:t xml:space="preserve">: </w:t>
      </w:r>
      <w:proofErr w:type="spellStart"/>
      <w:r w:rsidRPr="00580845">
        <w:t>separating</w:t>
      </w:r>
      <w:proofErr w:type="spellEnd"/>
      <w:r w:rsidRPr="00580845">
        <w:t xml:space="preserve"> </w:t>
      </w:r>
      <w:proofErr w:type="spellStart"/>
      <w:r w:rsidRPr="00580845">
        <w:t>fact</w:t>
      </w:r>
      <w:proofErr w:type="spellEnd"/>
      <w:r w:rsidRPr="00580845">
        <w:t xml:space="preserve"> </w:t>
      </w:r>
      <w:proofErr w:type="spellStart"/>
      <w:r w:rsidRPr="00580845">
        <w:t>from</w:t>
      </w:r>
      <w:proofErr w:type="spellEnd"/>
      <w:r w:rsidRPr="00580845">
        <w:t xml:space="preserve"> fiction. </w:t>
      </w:r>
      <w:proofErr w:type="spellStart"/>
      <w:r w:rsidRPr="00580845">
        <w:t>Psychological</w:t>
      </w:r>
      <w:proofErr w:type="spellEnd"/>
      <w:r w:rsidRPr="00580845">
        <w:t xml:space="preserve"> Bulletin, 116, 1, 21-27.</w:t>
      </w:r>
    </w:p>
    <w:p w14:paraId="6470834C" w14:textId="77777777" w:rsidR="00564A39" w:rsidRPr="00580845" w:rsidRDefault="00564A39" w:rsidP="009404F3">
      <w:pPr>
        <w:spacing w:line="360" w:lineRule="auto"/>
        <w:ind w:left="709" w:hanging="709"/>
      </w:pPr>
      <w:proofErr w:type="spellStart"/>
      <w:r w:rsidRPr="00580845">
        <w:t>Taylor</w:t>
      </w:r>
      <w:proofErr w:type="spellEnd"/>
      <w:r w:rsidRPr="00580845">
        <w:t xml:space="preserve">, S. E., Brown, L. (1988). </w:t>
      </w:r>
      <w:proofErr w:type="spellStart"/>
      <w:r w:rsidRPr="00580845">
        <w:t>Illusion</w:t>
      </w:r>
      <w:proofErr w:type="spellEnd"/>
      <w:r w:rsidRPr="00580845">
        <w:t xml:space="preserve"> and </w:t>
      </w:r>
      <w:proofErr w:type="spellStart"/>
      <w:r w:rsidRPr="00580845">
        <w:t>well-being</w:t>
      </w:r>
      <w:proofErr w:type="spellEnd"/>
      <w:r w:rsidRPr="00580845">
        <w:t xml:space="preserve">: A </w:t>
      </w:r>
      <w:proofErr w:type="spellStart"/>
      <w:r w:rsidRPr="00580845">
        <w:t>social</w:t>
      </w:r>
      <w:proofErr w:type="spellEnd"/>
      <w:r w:rsidRPr="00580845">
        <w:t xml:space="preserve"> </w:t>
      </w:r>
      <w:proofErr w:type="spellStart"/>
      <w:r w:rsidRPr="00580845">
        <w:t>psychological</w:t>
      </w:r>
      <w:proofErr w:type="spellEnd"/>
      <w:r w:rsidRPr="00580845">
        <w:t xml:space="preserve"> </w:t>
      </w:r>
      <w:proofErr w:type="spellStart"/>
      <w:r w:rsidRPr="00580845">
        <w:t>perspective</w:t>
      </w:r>
      <w:proofErr w:type="spellEnd"/>
      <w:r w:rsidRPr="00580845">
        <w:t xml:space="preserve"> on </w:t>
      </w:r>
      <w:proofErr w:type="spellStart"/>
      <w:r w:rsidRPr="00580845">
        <w:t>mental</w:t>
      </w:r>
      <w:proofErr w:type="spellEnd"/>
      <w:r w:rsidRPr="00580845">
        <w:t xml:space="preserve"> </w:t>
      </w:r>
      <w:proofErr w:type="spellStart"/>
      <w:r w:rsidRPr="00580845">
        <w:t>health</w:t>
      </w:r>
      <w:proofErr w:type="spellEnd"/>
      <w:r w:rsidRPr="00580845">
        <w:t xml:space="preserve">. </w:t>
      </w:r>
      <w:proofErr w:type="spellStart"/>
      <w:r w:rsidRPr="00580845">
        <w:t>Psychological</w:t>
      </w:r>
      <w:proofErr w:type="spellEnd"/>
      <w:r w:rsidRPr="00580845">
        <w:t xml:space="preserve"> Bulletin, 103, 2, 193-210.</w:t>
      </w:r>
    </w:p>
    <w:p w14:paraId="3977A9E0" w14:textId="77777777" w:rsidR="00564A39" w:rsidRPr="00580845" w:rsidRDefault="00564A39" w:rsidP="009404F3">
      <w:pPr>
        <w:spacing w:line="360" w:lineRule="auto"/>
      </w:pPr>
      <w:proofErr w:type="spellStart"/>
      <w:r w:rsidRPr="00580845">
        <w:t>Weinstein</w:t>
      </w:r>
      <w:proofErr w:type="spellEnd"/>
      <w:r w:rsidRPr="00580845">
        <w:t xml:space="preserve">, N. D. (1980). </w:t>
      </w:r>
      <w:proofErr w:type="spellStart"/>
      <w:r w:rsidRPr="00580845">
        <w:t>Unrealistic</w:t>
      </w:r>
      <w:proofErr w:type="spellEnd"/>
      <w:r w:rsidRPr="00580845">
        <w:t xml:space="preserve"> </w:t>
      </w:r>
      <w:proofErr w:type="spellStart"/>
      <w:r w:rsidRPr="00580845">
        <w:t>optimism</w:t>
      </w:r>
      <w:proofErr w:type="spellEnd"/>
      <w:r w:rsidRPr="00580845">
        <w:t xml:space="preserve"> </w:t>
      </w:r>
      <w:proofErr w:type="spellStart"/>
      <w:r w:rsidRPr="00580845">
        <w:t>about</w:t>
      </w:r>
      <w:proofErr w:type="spellEnd"/>
      <w:r w:rsidRPr="00580845">
        <w:t xml:space="preserve"> </w:t>
      </w:r>
      <w:proofErr w:type="spellStart"/>
      <w:r w:rsidRPr="00580845">
        <w:t>future</w:t>
      </w:r>
      <w:proofErr w:type="spellEnd"/>
      <w:r w:rsidRPr="00580845">
        <w:t xml:space="preserve"> </w:t>
      </w:r>
      <w:proofErr w:type="spellStart"/>
      <w:r w:rsidRPr="00580845">
        <w:t>life</w:t>
      </w:r>
      <w:proofErr w:type="spellEnd"/>
      <w:r w:rsidRPr="00580845">
        <w:t xml:space="preserve"> </w:t>
      </w:r>
      <w:proofErr w:type="spellStart"/>
      <w:r w:rsidRPr="00580845">
        <w:t>events</w:t>
      </w:r>
      <w:proofErr w:type="spellEnd"/>
      <w:r w:rsidRPr="00580845">
        <w:t xml:space="preserve">. </w:t>
      </w:r>
      <w:proofErr w:type="spellStart"/>
      <w:r w:rsidRPr="00580845">
        <w:t>Journal</w:t>
      </w:r>
      <w:proofErr w:type="spellEnd"/>
      <w:r w:rsidRPr="00580845">
        <w:t xml:space="preserve"> </w:t>
      </w:r>
      <w:proofErr w:type="spellStart"/>
      <w:r w:rsidRPr="00580845">
        <w:t>of</w:t>
      </w:r>
      <w:proofErr w:type="spellEnd"/>
      <w:r w:rsidRPr="00580845">
        <w:t xml:space="preserve"> Personality and </w:t>
      </w:r>
      <w:proofErr w:type="spellStart"/>
      <w:r w:rsidRPr="00580845">
        <w:t>Social</w:t>
      </w:r>
      <w:proofErr w:type="spellEnd"/>
      <w:r w:rsidRPr="00580845">
        <w:t xml:space="preserve"> Psychology 39, 5, 806-820.</w:t>
      </w:r>
    </w:p>
    <w:p w14:paraId="4570D021" w14:textId="77777777" w:rsidR="002E1136" w:rsidRPr="007A2A97" w:rsidRDefault="002E1136" w:rsidP="009404F3">
      <w:pPr>
        <w:spacing w:line="360" w:lineRule="auto"/>
      </w:pPr>
    </w:p>
    <w:p w14:paraId="13ED51A4" w14:textId="77777777" w:rsidR="002E1136" w:rsidRPr="007A2A97" w:rsidRDefault="002E1136" w:rsidP="009404F3">
      <w:pPr>
        <w:spacing w:line="360" w:lineRule="auto"/>
      </w:pPr>
    </w:p>
    <w:p w14:paraId="08BF0B2B" w14:textId="77777777" w:rsidR="002E1136" w:rsidRPr="007A2A97" w:rsidRDefault="002E1136" w:rsidP="002E1136">
      <w:pPr>
        <w:spacing w:line="360" w:lineRule="auto"/>
      </w:pPr>
    </w:p>
    <w:p w14:paraId="241C2898" w14:textId="77777777" w:rsidR="002E1136" w:rsidRPr="007A2A97" w:rsidRDefault="002E1136" w:rsidP="002E1136">
      <w:pPr>
        <w:spacing w:line="360" w:lineRule="auto"/>
      </w:pPr>
    </w:p>
    <w:p w14:paraId="674E1CFE" w14:textId="77777777" w:rsidR="002E1136" w:rsidRPr="007A2A97" w:rsidRDefault="002E1136" w:rsidP="002E1136">
      <w:pPr>
        <w:spacing w:line="360" w:lineRule="auto"/>
      </w:pPr>
    </w:p>
    <w:p w14:paraId="3ABB2AF1" w14:textId="77777777" w:rsidR="002E1136" w:rsidRPr="007A2A97" w:rsidRDefault="002E1136" w:rsidP="002E1136">
      <w:pPr>
        <w:spacing w:line="360" w:lineRule="auto"/>
      </w:pPr>
    </w:p>
    <w:p w14:paraId="396B4441" w14:textId="77777777" w:rsidR="002E1136" w:rsidRPr="007A2A97" w:rsidRDefault="002E1136" w:rsidP="002E1136">
      <w:pPr>
        <w:spacing w:line="360" w:lineRule="auto"/>
      </w:pPr>
    </w:p>
    <w:p w14:paraId="6326503F" w14:textId="77777777" w:rsidR="002E1136" w:rsidRPr="007A2A97" w:rsidRDefault="002E1136" w:rsidP="002E1136">
      <w:pPr>
        <w:spacing w:line="360" w:lineRule="auto"/>
      </w:pPr>
    </w:p>
    <w:p w14:paraId="4FE16A89" w14:textId="77777777" w:rsidR="002E1136" w:rsidRPr="007A2A97" w:rsidRDefault="002E1136" w:rsidP="002E1136">
      <w:pPr>
        <w:spacing w:line="360" w:lineRule="auto"/>
      </w:pPr>
    </w:p>
    <w:p w14:paraId="15C0E7F5" w14:textId="77777777" w:rsidR="002E1136" w:rsidRPr="007A2A97" w:rsidRDefault="002E1136" w:rsidP="002E1136">
      <w:pPr>
        <w:spacing w:line="360" w:lineRule="auto"/>
      </w:pPr>
    </w:p>
    <w:p w14:paraId="248F61D8" w14:textId="77777777" w:rsidR="002E1136" w:rsidRPr="007A2A97" w:rsidRDefault="002E1136" w:rsidP="002E1136">
      <w:pPr>
        <w:spacing w:line="360" w:lineRule="auto"/>
      </w:pPr>
    </w:p>
    <w:p w14:paraId="2BA96C05" w14:textId="77777777" w:rsidR="002E1136" w:rsidRPr="007A2A97" w:rsidRDefault="002E1136" w:rsidP="002E1136">
      <w:pPr>
        <w:spacing w:line="360" w:lineRule="auto"/>
      </w:pPr>
    </w:p>
    <w:p w14:paraId="1DA1B969" w14:textId="77777777" w:rsidR="002E1136" w:rsidRPr="007A2A97" w:rsidRDefault="002E1136" w:rsidP="002E1136">
      <w:pPr>
        <w:spacing w:line="360" w:lineRule="auto"/>
      </w:pPr>
    </w:p>
    <w:p w14:paraId="6052B075" w14:textId="77777777" w:rsidR="002E1136" w:rsidRPr="007A2A97" w:rsidRDefault="002E1136" w:rsidP="002E1136">
      <w:pPr>
        <w:spacing w:line="360" w:lineRule="auto"/>
      </w:pPr>
    </w:p>
    <w:p w14:paraId="5F486500" w14:textId="77777777" w:rsidR="002E1136" w:rsidRPr="007A2A97" w:rsidRDefault="002E1136" w:rsidP="002E1136">
      <w:pPr>
        <w:spacing w:line="360" w:lineRule="auto"/>
      </w:pPr>
    </w:p>
    <w:p w14:paraId="77578B6F" w14:textId="77777777" w:rsidR="002E1136" w:rsidRPr="007A2A97" w:rsidRDefault="002E1136" w:rsidP="002E1136">
      <w:pPr>
        <w:spacing w:line="360" w:lineRule="auto"/>
      </w:pPr>
    </w:p>
    <w:p w14:paraId="748D2ABD" w14:textId="77777777" w:rsidR="002E1136" w:rsidRPr="007A2A97" w:rsidRDefault="002E1136" w:rsidP="002E1136">
      <w:pPr>
        <w:spacing w:line="360" w:lineRule="auto"/>
      </w:pPr>
    </w:p>
    <w:p w14:paraId="66AD99F5" w14:textId="77777777" w:rsidR="002E1136" w:rsidRPr="007A2A97" w:rsidRDefault="002E1136" w:rsidP="002E1136">
      <w:pPr>
        <w:spacing w:line="360" w:lineRule="auto"/>
      </w:pPr>
    </w:p>
    <w:p w14:paraId="2CF82B3D" w14:textId="77777777" w:rsidR="002E1136" w:rsidRPr="007A2A97" w:rsidRDefault="002E1136" w:rsidP="002E1136">
      <w:pPr>
        <w:spacing w:line="360" w:lineRule="auto"/>
      </w:pPr>
    </w:p>
    <w:p w14:paraId="479F97D4" w14:textId="77777777" w:rsidR="002E1136" w:rsidRPr="007A2A97" w:rsidRDefault="002E1136" w:rsidP="002E1136">
      <w:pPr>
        <w:spacing w:line="360" w:lineRule="auto"/>
      </w:pPr>
    </w:p>
    <w:p w14:paraId="50908398" w14:textId="77777777" w:rsidR="00525446" w:rsidRPr="007A2A97" w:rsidRDefault="00525446"/>
    <w:sectPr w:rsidR="00525446" w:rsidRPr="007A2A9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A62676" w14:textId="77777777" w:rsidR="004C2E60" w:rsidRDefault="004C2E60" w:rsidP="002E1136">
      <w:r>
        <w:separator/>
      </w:r>
    </w:p>
  </w:endnote>
  <w:endnote w:type="continuationSeparator" w:id="0">
    <w:p w14:paraId="48F491D4" w14:textId="77777777" w:rsidR="004C2E60" w:rsidRDefault="004C2E60" w:rsidP="002E11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00000000" w:usb2="00000000" w:usb3="00000000" w:csb0="000001F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0E7751" w14:textId="77777777" w:rsidR="004C2E60" w:rsidRDefault="004C2E60" w:rsidP="002E1136">
      <w:r>
        <w:separator/>
      </w:r>
    </w:p>
  </w:footnote>
  <w:footnote w:type="continuationSeparator" w:id="0">
    <w:p w14:paraId="4655FC2B" w14:textId="77777777" w:rsidR="004C2E60" w:rsidRDefault="004C2E60" w:rsidP="002E1136">
      <w:r>
        <w:continuationSeparator/>
      </w:r>
    </w:p>
  </w:footnote>
  <w:footnote w:id="1">
    <w:p w14:paraId="43CC2406" w14:textId="77777777" w:rsidR="002E1136" w:rsidRPr="00946CBD" w:rsidRDefault="002E1136" w:rsidP="002E1136">
      <w:pPr>
        <w:rPr>
          <w:lang w:val="en-US"/>
        </w:rPr>
      </w:pPr>
      <w:r>
        <w:rPr>
          <w:rStyle w:val="Znakapoznpodarou"/>
        </w:rPr>
        <w:footnoteRef/>
      </w:r>
      <w:r>
        <w:t xml:space="preserve"> </w:t>
      </w:r>
      <w:r w:rsidRPr="00946CBD">
        <w:rPr>
          <w:lang w:val="en-US"/>
        </w:rPr>
        <w:t xml:space="preserve"> </w:t>
      </w:r>
      <w:proofErr w:type="spellStart"/>
      <w:r w:rsidRPr="00946CBD">
        <w:rPr>
          <w:lang w:val="en-US"/>
        </w:rPr>
        <w:t>Publikovaná</w:t>
      </w:r>
      <w:proofErr w:type="spellEnd"/>
      <w:r w:rsidRPr="00946CBD">
        <w:rPr>
          <w:lang w:val="en-US"/>
        </w:rPr>
        <w:t xml:space="preserve"> </w:t>
      </w:r>
      <w:proofErr w:type="spellStart"/>
      <w:r w:rsidRPr="00946CBD">
        <w:rPr>
          <w:lang w:val="en-US"/>
        </w:rPr>
        <w:t>studie</w:t>
      </w:r>
      <w:proofErr w:type="spellEnd"/>
      <w:r w:rsidRPr="00946CBD">
        <w:rPr>
          <w:lang w:val="en-US"/>
        </w:rPr>
        <w:t xml:space="preserve"> je </w:t>
      </w:r>
      <w:proofErr w:type="spellStart"/>
      <w:r w:rsidRPr="00946CBD">
        <w:rPr>
          <w:lang w:val="en-US"/>
        </w:rPr>
        <w:t>součástí</w:t>
      </w:r>
      <w:proofErr w:type="spellEnd"/>
      <w:r w:rsidRPr="00946CBD">
        <w:rPr>
          <w:lang w:val="en-US"/>
        </w:rPr>
        <w:t xml:space="preserve"> </w:t>
      </w:r>
      <w:proofErr w:type="spellStart"/>
      <w:r w:rsidRPr="00946CBD">
        <w:rPr>
          <w:lang w:val="en-US"/>
        </w:rPr>
        <w:t>plnění</w:t>
      </w:r>
      <w:proofErr w:type="spellEnd"/>
      <w:r w:rsidRPr="00946CBD">
        <w:rPr>
          <w:lang w:val="en-US"/>
        </w:rPr>
        <w:t xml:space="preserve"> </w:t>
      </w:r>
      <w:proofErr w:type="spellStart"/>
      <w:r w:rsidRPr="00946CBD">
        <w:rPr>
          <w:lang w:val="en-US"/>
        </w:rPr>
        <w:t>výzkumného</w:t>
      </w:r>
      <w:proofErr w:type="spellEnd"/>
      <w:r w:rsidRPr="00946CBD">
        <w:rPr>
          <w:lang w:val="en-US"/>
        </w:rPr>
        <w:t xml:space="preserve"> </w:t>
      </w:r>
      <w:proofErr w:type="spellStart"/>
      <w:r w:rsidRPr="00946CBD">
        <w:rPr>
          <w:lang w:val="en-US"/>
        </w:rPr>
        <w:t>projektu</w:t>
      </w:r>
      <w:proofErr w:type="spellEnd"/>
      <w:r w:rsidRPr="00946CBD">
        <w:rPr>
          <w:lang w:val="en-US"/>
        </w:rPr>
        <w:t xml:space="preserve"> </w:t>
      </w:r>
      <w:proofErr w:type="spellStart"/>
      <w:r w:rsidRPr="00946CBD">
        <w:rPr>
          <w:lang w:val="en-US"/>
        </w:rPr>
        <w:t>podporovaného</w:t>
      </w:r>
      <w:proofErr w:type="spellEnd"/>
      <w:r w:rsidRPr="00946CBD">
        <w:rPr>
          <w:lang w:val="en-US"/>
        </w:rPr>
        <w:t xml:space="preserve"> GA ČR </w:t>
      </w:r>
      <w:proofErr w:type="spellStart"/>
      <w:r w:rsidRPr="00946CBD">
        <w:rPr>
          <w:lang w:val="en-US"/>
        </w:rPr>
        <w:t>registrovaného</w:t>
      </w:r>
      <w:proofErr w:type="spellEnd"/>
      <w:r w:rsidRPr="00946CBD">
        <w:rPr>
          <w:lang w:val="en-US"/>
        </w:rPr>
        <w:t xml:space="preserve"> pod č. 406/09/0611</w:t>
      </w:r>
    </w:p>
    <w:p w14:paraId="098EE34F" w14:textId="77777777" w:rsidR="002E1136" w:rsidRDefault="002E1136" w:rsidP="002E1136">
      <w:pPr>
        <w:pStyle w:val="Textpoznpodarou"/>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167FD"/>
    <w:multiLevelType w:val="hybridMultilevel"/>
    <w:tmpl w:val="C2A0F88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2061372"/>
    <w:multiLevelType w:val="hybridMultilevel"/>
    <w:tmpl w:val="7714C47E"/>
    <w:lvl w:ilvl="0" w:tplc="A46064EE">
      <w:start w:val="1"/>
      <w:numFmt w:val="bullet"/>
      <w:lvlText w:val=""/>
      <w:lvlJc w:val="left"/>
      <w:pPr>
        <w:tabs>
          <w:tab w:val="num" w:pos="720"/>
        </w:tabs>
        <w:ind w:left="720" w:hanging="360"/>
      </w:pPr>
      <w:rPr>
        <w:rFonts w:ascii="Wingdings" w:hAnsi="Wingdings" w:hint="default"/>
      </w:rPr>
    </w:lvl>
    <w:lvl w:ilvl="1" w:tplc="8384C5A2">
      <w:start w:val="1"/>
      <w:numFmt w:val="bullet"/>
      <w:lvlText w:val=""/>
      <w:lvlJc w:val="left"/>
      <w:pPr>
        <w:tabs>
          <w:tab w:val="num" w:pos="1440"/>
        </w:tabs>
        <w:ind w:left="1440" w:hanging="360"/>
      </w:pPr>
      <w:rPr>
        <w:rFonts w:ascii="Wingdings" w:hAnsi="Wingdings" w:hint="default"/>
      </w:rPr>
    </w:lvl>
    <w:lvl w:ilvl="2" w:tplc="6336714A" w:tentative="1">
      <w:start w:val="1"/>
      <w:numFmt w:val="bullet"/>
      <w:lvlText w:val=""/>
      <w:lvlJc w:val="left"/>
      <w:pPr>
        <w:tabs>
          <w:tab w:val="num" w:pos="2160"/>
        </w:tabs>
        <w:ind w:left="2160" w:hanging="360"/>
      </w:pPr>
      <w:rPr>
        <w:rFonts w:ascii="Wingdings" w:hAnsi="Wingdings" w:hint="default"/>
      </w:rPr>
    </w:lvl>
    <w:lvl w:ilvl="3" w:tplc="AC523BBE" w:tentative="1">
      <w:start w:val="1"/>
      <w:numFmt w:val="bullet"/>
      <w:lvlText w:val=""/>
      <w:lvlJc w:val="left"/>
      <w:pPr>
        <w:tabs>
          <w:tab w:val="num" w:pos="2880"/>
        </w:tabs>
        <w:ind w:left="2880" w:hanging="360"/>
      </w:pPr>
      <w:rPr>
        <w:rFonts w:ascii="Wingdings" w:hAnsi="Wingdings" w:hint="default"/>
      </w:rPr>
    </w:lvl>
    <w:lvl w:ilvl="4" w:tplc="64129162" w:tentative="1">
      <w:start w:val="1"/>
      <w:numFmt w:val="bullet"/>
      <w:lvlText w:val=""/>
      <w:lvlJc w:val="left"/>
      <w:pPr>
        <w:tabs>
          <w:tab w:val="num" w:pos="3600"/>
        </w:tabs>
        <w:ind w:left="3600" w:hanging="360"/>
      </w:pPr>
      <w:rPr>
        <w:rFonts w:ascii="Wingdings" w:hAnsi="Wingdings" w:hint="default"/>
      </w:rPr>
    </w:lvl>
    <w:lvl w:ilvl="5" w:tplc="C24C63F4" w:tentative="1">
      <w:start w:val="1"/>
      <w:numFmt w:val="bullet"/>
      <w:lvlText w:val=""/>
      <w:lvlJc w:val="left"/>
      <w:pPr>
        <w:tabs>
          <w:tab w:val="num" w:pos="4320"/>
        </w:tabs>
        <w:ind w:left="4320" w:hanging="360"/>
      </w:pPr>
      <w:rPr>
        <w:rFonts w:ascii="Wingdings" w:hAnsi="Wingdings" w:hint="default"/>
      </w:rPr>
    </w:lvl>
    <w:lvl w:ilvl="6" w:tplc="E77E5750" w:tentative="1">
      <w:start w:val="1"/>
      <w:numFmt w:val="bullet"/>
      <w:lvlText w:val=""/>
      <w:lvlJc w:val="left"/>
      <w:pPr>
        <w:tabs>
          <w:tab w:val="num" w:pos="5040"/>
        </w:tabs>
        <w:ind w:left="5040" w:hanging="360"/>
      </w:pPr>
      <w:rPr>
        <w:rFonts w:ascii="Wingdings" w:hAnsi="Wingdings" w:hint="default"/>
      </w:rPr>
    </w:lvl>
    <w:lvl w:ilvl="7" w:tplc="2DA0C54A" w:tentative="1">
      <w:start w:val="1"/>
      <w:numFmt w:val="bullet"/>
      <w:lvlText w:val=""/>
      <w:lvlJc w:val="left"/>
      <w:pPr>
        <w:tabs>
          <w:tab w:val="num" w:pos="5760"/>
        </w:tabs>
        <w:ind w:left="5760" w:hanging="360"/>
      </w:pPr>
      <w:rPr>
        <w:rFonts w:ascii="Wingdings" w:hAnsi="Wingdings" w:hint="default"/>
      </w:rPr>
    </w:lvl>
    <w:lvl w:ilvl="8" w:tplc="43A0AD88" w:tentative="1">
      <w:start w:val="1"/>
      <w:numFmt w:val="bullet"/>
      <w:lvlText w:val=""/>
      <w:lvlJc w:val="left"/>
      <w:pPr>
        <w:tabs>
          <w:tab w:val="num" w:pos="6480"/>
        </w:tabs>
        <w:ind w:left="6480" w:hanging="360"/>
      </w:pPr>
      <w:rPr>
        <w:rFonts w:ascii="Wingdings" w:hAnsi="Wingdings" w:hint="default"/>
      </w:rPr>
    </w:lvl>
  </w:abstractNum>
  <w:abstractNum w:abstractNumId="2">
    <w:nsid w:val="1FB21621"/>
    <w:multiLevelType w:val="hybridMultilevel"/>
    <w:tmpl w:val="E126E9D8"/>
    <w:lvl w:ilvl="0" w:tplc="5D006414">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
    <w:nsid w:val="255A1741"/>
    <w:multiLevelType w:val="singleLevel"/>
    <w:tmpl w:val="0405000B"/>
    <w:lvl w:ilvl="0">
      <w:start w:val="1"/>
      <w:numFmt w:val="bullet"/>
      <w:lvlText w:val=""/>
      <w:lvlJc w:val="left"/>
      <w:pPr>
        <w:tabs>
          <w:tab w:val="num" w:pos="360"/>
        </w:tabs>
        <w:ind w:left="360" w:hanging="360"/>
      </w:pPr>
      <w:rPr>
        <w:rFonts w:ascii="Wingdings" w:hAnsi="Wingdings" w:hint="default"/>
      </w:rPr>
    </w:lvl>
  </w:abstractNum>
  <w:abstractNum w:abstractNumId="4">
    <w:nsid w:val="281E537A"/>
    <w:multiLevelType w:val="multilevel"/>
    <w:tmpl w:val="8438D4B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nsid w:val="29E31271"/>
    <w:multiLevelType w:val="multilevel"/>
    <w:tmpl w:val="5164ED22"/>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3A191577"/>
    <w:multiLevelType w:val="hybridMultilevel"/>
    <w:tmpl w:val="BD389C6E"/>
    <w:lvl w:ilvl="0" w:tplc="0405000F">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459813DA"/>
    <w:multiLevelType w:val="hybridMultilevel"/>
    <w:tmpl w:val="8B1C2036"/>
    <w:lvl w:ilvl="0" w:tplc="2E04B48C">
      <w:start w:val="1"/>
      <w:numFmt w:val="bullet"/>
      <w:lvlText w:val=""/>
      <w:lvlJc w:val="left"/>
      <w:pPr>
        <w:tabs>
          <w:tab w:val="num" w:pos="720"/>
        </w:tabs>
        <w:ind w:left="720" w:hanging="360"/>
      </w:pPr>
      <w:rPr>
        <w:rFonts w:ascii="Wingdings" w:hAnsi="Wingdings" w:hint="default"/>
      </w:rPr>
    </w:lvl>
    <w:lvl w:ilvl="1" w:tplc="CDAAAD38">
      <w:start w:val="1"/>
      <w:numFmt w:val="bullet"/>
      <w:lvlText w:val=""/>
      <w:lvlJc w:val="left"/>
      <w:pPr>
        <w:tabs>
          <w:tab w:val="num" w:pos="1440"/>
        </w:tabs>
        <w:ind w:left="1440" w:hanging="360"/>
      </w:pPr>
      <w:rPr>
        <w:rFonts w:ascii="Wingdings" w:hAnsi="Wingdings" w:hint="default"/>
      </w:rPr>
    </w:lvl>
    <w:lvl w:ilvl="2" w:tplc="D248CA1E" w:tentative="1">
      <w:start w:val="1"/>
      <w:numFmt w:val="bullet"/>
      <w:lvlText w:val=""/>
      <w:lvlJc w:val="left"/>
      <w:pPr>
        <w:tabs>
          <w:tab w:val="num" w:pos="2160"/>
        </w:tabs>
        <w:ind w:left="2160" w:hanging="360"/>
      </w:pPr>
      <w:rPr>
        <w:rFonts w:ascii="Wingdings" w:hAnsi="Wingdings" w:hint="default"/>
      </w:rPr>
    </w:lvl>
    <w:lvl w:ilvl="3" w:tplc="8A68445E" w:tentative="1">
      <w:start w:val="1"/>
      <w:numFmt w:val="bullet"/>
      <w:lvlText w:val=""/>
      <w:lvlJc w:val="left"/>
      <w:pPr>
        <w:tabs>
          <w:tab w:val="num" w:pos="2880"/>
        </w:tabs>
        <w:ind w:left="2880" w:hanging="360"/>
      </w:pPr>
      <w:rPr>
        <w:rFonts w:ascii="Wingdings" w:hAnsi="Wingdings" w:hint="default"/>
      </w:rPr>
    </w:lvl>
    <w:lvl w:ilvl="4" w:tplc="315012A6" w:tentative="1">
      <w:start w:val="1"/>
      <w:numFmt w:val="bullet"/>
      <w:lvlText w:val=""/>
      <w:lvlJc w:val="left"/>
      <w:pPr>
        <w:tabs>
          <w:tab w:val="num" w:pos="3600"/>
        </w:tabs>
        <w:ind w:left="3600" w:hanging="360"/>
      </w:pPr>
      <w:rPr>
        <w:rFonts w:ascii="Wingdings" w:hAnsi="Wingdings" w:hint="default"/>
      </w:rPr>
    </w:lvl>
    <w:lvl w:ilvl="5" w:tplc="F2984BBE" w:tentative="1">
      <w:start w:val="1"/>
      <w:numFmt w:val="bullet"/>
      <w:lvlText w:val=""/>
      <w:lvlJc w:val="left"/>
      <w:pPr>
        <w:tabs>
          <w:tab w:val="num" w:pos="4320"/>
        </w:tabs>
        <w:ind w:left="4320" w:hanging="360"/>
      </w:pPr>
      <w:rPr>
        <w:rFonts w:ascii="Wingdings" w:hAnsi="Wingdings" w:hint="default"/>
      </w:rPr>
    </w:lvl>
    <w:lvl w:ilvl="6" w:tplc="2848A3F4" w:tentative="1">
      <w:start w:val="1"/>
      <w:numFmt w:val="bullet"/>
      <w:lvlText w:val=""/>
      <w:lvlJc w:val="left"/>
      <w:pPr>
        <w:tabs>
          <w:tab w:val="num" w:pos="5040"/>
        </w:tabs>
        <w:ind w:left="5040" w:hanging="360"/>
      </w:pPr>
      <w:rPr>
        <w:rFonts w:ascii="Wingdings" w:hAnsi="Wingdings" w:hint="default"/>
      </w:rPr>
    </w:lvl>
    <w:lvl w:ilvl="7" w:tplc="58507B7C" w:tentative="1">
      <w:start w:val="1"/>
      <w:numFmt w:val="bullet"/>
      <w:lvlText w:val=""/>
      <w:lvlJc w:val="left"/>
      <w:pPr>
        <w:tabs>
          <w:tab w:val="num" w:pos="5760"/>
        </w:tabs>
        <w:ind w:left="5760" w:hanging="360"/>
      </w:pPr>
      <w:rPr>
        <w:rFonts w:ascii="Wingdings" w:hAnsi="Wingdings" w:hint="default"/>
      </w:rPr>
    </w:lvl>
    <w:lvl w:ilvl="8" w:tplc="A794828C" w:tentative="1">
      <w:start w:val="1"/>
      <w:numFmt w:val="bullet"/>
      <w:lvlText w:val=""/>
      <w:lvlJc w:val="left"/>
      <w:pPr>
        <w:tabs>
          <w:tab w:val="num" w:pos="6480"/>
        </w:tabs>
        <w:ind w:left="6480" w:hanging="360"/>
      </w:pPr>
      <w:rPr>
        <w:rFonts w:ascii="Wingdings" w:hAnsi="Wingdings" w:hint="default"/>
      </w:rPr>
    </w:lvl>
  </w:abstractNum>
  <w:abstractNum w:abstractNumId="8">
    <w:nsid w:val="4C203901"/>
    <w:multiLevelType w:val="multilevel"/>
    <w:tmpl w:val="70F629BE"/>
    <w:lvl w:ilvl="0">
      <w:start w:val="2"/>
      <w:numFmt w:val="decimal"/>
      <w:lvlText w:val="%1."/>
      <w:lvlJc w:val="left"/>
      <w:pPr>
        <w:ind w:left="360" w:hanging="360"/>
      </w:pPr>
      <w:rPr>
        <w:rFonts w:hint="default"/>
        <w:b w:val="0"/>
      </w:rPr>
    </w:lvl>
    <w:lvl w:ilvl="1">
      <w:start w:val="3"/>
      <w:numFmt w:val="decimal"/>
      <w:lvlText w:val="%1.%2."/>
      <w:lvlJc w:val="left"/>
      <w:pPr>
        <w:ind w:left="1440" w:hanging="360"/>
      </w:pPr>
      <w:rPr>
        <w:rFonts w:hint="default"/>
        <w:b w:val="0"/>
      </w:rPr>
    </w:lvl>
    <w:lvl w:ilvl="2">
      <w:start w:val="1"/>
      <w:numFmt w:val="decimal"/>
      <w:lvlText w:val="%1.%2.%3."/>
      <w:lvlJc w:val="left"/>
      <w:pPr>
        <w:ind w:left="2880" w:hanging="720"/>
      </w:pPr>
      <w:rPr>
        <w:rFonts w:hint="default"/>
        <w:b/>
      </w:rPr>
    </w:lvl>
    <w:lvl w:ilvl="3">
      <w:start w:val="1"/>
      <w:numFmt w:val="decimal"/>
      <w:lvlText w:val="%1.%2.%3.%4."/>
      <w:lvlJc w:val="left"/>
      <w:pPr>
        <w:ind w:left="3960" w:hanging="72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440" w:hanging="1800"/>
      </w:pPr>
      <w:rPr>
        <w:rFonts w:hint="default"/>
        <w:b/>
      </w:rPr>
    </w:lvl>
  </w:abstractNum>
  <w:abstractNum w:abstractNumId="9">
    <w:nsid w:val="5D886955"/>
    <w:multiLevelType w:val="singleLevel"/>
    <w:tmpl w:val="0405000B"/>
    <w:lvl w:ilvl="0">
      <w:start w:val="1"/>
      <w:numFmt w:val="bullet"/>
      <w:lvlText w:val=""/>
      <w:lvlJc w:val="left"/>
      <w:pPr>
        <w:tabs>
          <w:tab w:val="num" w:pos="360"/>
        </w:tabs>
        <w:ind w:left="360" w:hanging="360"/>
      </w:pPr>
      <w:rPr>
        <w:rFonts w:ascii="Wingdings" w:hAnsi="Wingdings" w:hint="default"/>
      </w:rPr>
    </w:lvl>
  </w:abstractNum>
  <w:abstractNum w:abstractNumId="10">
    <w:nsid w:val="632A08EB"/>
    <w:multiLevelType w:val="hybridMultilevel"/>
    <w:tmpl w:val="369EA2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693B446F"/>
    <w:multiLevelType w:val="multilevel"/>
    <w:tmpl w:val="77F0CDA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7FA66563"/>
    <w:multiLevelType w:val="multilevel"/>
    <w:tmpl w:val="9CE8FB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7"/>
  </w:num>
  <w:num w:numId="3">
    <w:abstractNumId w:val="1"/>
  </w:num>
  <w:num w:numId="4">
    <w:abstractNumId w:val="9"/>
  </w:num>
  <w:num w:numId="5">
    <w:abstractNumId w:val="3"/>
  </w:num>
  <w:num w:numId="6">
    <w:abstractNumId w:val="0"/>
  </w:num>
  <w:num w:numId="7">
    <w:abstractNumId w:val="6"/>
  </w:num>
  <w:num w:numId="8">
    <w:abstractNumId w:val="11"/>
  </w:num>
  <w:num w:numId="9">
    <w:abstractNumId w:val="2"/>
  </w:num>
  <w:num w:numId="10">
    <w:abstractNumId w:val="4"/>
  </w:num>
  <w:num w:numId="11">
    <w:abstractNumId w:val="8"/>
  </w:num>
  <w:num w:numId="12">
    <w:abstractNumId w:val="5"/>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136"/>
    <w:rsid w:val="00017A06"/>
    <w:rsid w:val="00022208"/>
    <w:rsid w:val="000617D8"/>
    <w:rsid w:val="000F5039"/>
    <w:rsid w:val="00135530"/>
    <w:rsid w:val="001D6B1F"/>
    <w:rsid w:val="001E5120"/>
    <w:rsid w:val="00216A0C"/>
    <w:rsid w:val="00221BE6"/>
    <w:rsid w:val="002568AB"/>
    <w:rsid w:val="00267B4C"/>
    <w:rsid w:val="00274578"/>
    <w:rsid w:val="002E1136"/>
    <w:rsid w:val="0039786F"/>
    <w:rsid w:val="003C3514"/>
    <w:rsid w:val="003C3BC2"/>
    <w:rsid w:val="0041582F"/>
    <w:rsid w:val="00445D66"/>
    <w:rsid w:val="004A4A6F"/>
    <w:rsid w:val="004C2E60"/>
    <w:rsid w:val="004E120F"/>
    <w:rsid w:val="00503832"/>
    <w:rsid w:val="00507B3D"/>
    <w:rsid w:val="00525446"/>
    <w:rsid w:val="00546998"/>
    <w:rsid w:val="00564A39"/>
    <w:rsid w:val="00580845"/>
    <w:rsid w:val="005B0F17"/>
    <w:rsid w:val="005D1AEE"/>
    <w:rsid w:val="005F4438"/>
    <w:rsid w:val="0067753E"/>
    <w:rsid w:val="00725F3E"/>
    <w:rsid w:val="00750489"/>
    <w:rsid w:val="007A2A97"/>
    <w:rsid w:val="0085614D"/>
    <w:rsid w:val="008676B5"/>
    <w:rsid w:val="008B3E76"/>
    <w:rsid w:val="009404F3"/>
    <w:rsid w:val="0094289D"/>
    <w:rsid w:val="00942A16"/>
    <w:rsid w:val="00943872"/>
    <w:rsid w:val="0096543F"/>
    <w:rsid w:val="009C5035"/>
    <w:rsid w:val="009E4718"/>
    <w:rsid w:val="00A40EDC"/>
    <w:rsid w:val="00A773DA"/>
    <w:rsid w:val="00AA6A36"/>
    <w:rsid w:val="00AF1D19"/>
    <w:rsid w:val="00B21ECF"/>
    <w:rsid w:val="00B61D34"/>
    <w:rsid w:val="00BE5203"/>
    <w:rsid w:val="00D66579"/>
    <w:rsid w:val="00D91AFC"/>
    <w:rsid w:val="00E22EDA"/>
    <w:rsid w:val="00E9164E"/>
    <w:rsid w:val="00F516FD"/>
    <w:rsid w:val="00FB0E7C"/>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88A3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E1136"/>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semiHidden/>
    <w:rsid w:val="002E1136"/>
    <w:rPr>
      <w:sz w:val="20"/>
      <w:szCs w:val="20"/>
    </w:rPr>
  </w:style>
  <w:style w:type="character" w:customStyle="1" w:styleId="TextpoznpodarouChar">
    <w:name w:val="Text pozn. pod čarou Char"/>
    <w:basedOn w:val="Standardnpsmoodstavce"/>
    <w:link w:val="Textpoznpodarou"/>
    <w:semiHidden/>
    <w:rsid w:val="002E1136"/>
    <w:rPr>
      <w:rFonts w:ascii="Times New Roman" w:eastAsia="Times New Roman" w:hAnsi="Times New Roman" w:cs="Times New Roman"/>
      <w:sz w:val="20"/>
      <w:szCs w:val="20"/>
      <w:lang w:eastAsia="cs-CZ"/>
    </w:rPr>
  </w:style>
  <w:style w:type="character" w:styleId="Znakapoznpodarou">
    <w:name w:val="footnote reference"/>
    <w:basedOn w:val="Standardnpsmoodstavce"/>
    <w:semiHidden/>
    <w:rsid w:val="002E1136"/>
    <w:rPr>
      <w:vertAlign w:val="superscript"/>
    </w:rPr>
  </w:style>
  <w:style w:type="paragraph" w:styleId="Zkladntext2">
    <w:name w:val="Body Text 2"/>
    <w:basedOn w:val="Normln"/>
    <w:link w:val="Zkladntext2Char"/>
    <w:rsid w:val="00B21ECF"/>
  </w:style>
  <w:style w:type="character" w:customStyle="1" w:styleId="Zkladntext2Char">
    <w:name w:val="Základní text 2 Char"/>
    <w:basedOn w:val="Standardnpsmoodstavce"/>
    <w:link w:val="Zkladntext2"/>
    <w:rsid w:val="00B21ECF"/>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39786F"/>
    <w:pPr>
      <w:ind w:left="720"/>
      <w:contextualSpacing/>
    </w:pPr>
  </w:style>
  <w:style w:type="paragraph" w:styleId="Normlnweb">
    <w:name w:val="Normal (Web)"/>
    <w:basedOn w:val="Normln"/>
    <w:uiPriority w:val="99"/>
    <w:unhideWhenUsed/>
    <w:rsid w:val="00D66579"/>
    <w:pPr>
      <w:spacing w:before="100" w:beforeAutospacing="1" w:after="100" w:afterAutospacing="1"/>
    </w:pPr>
  </w:style>
  <w:style w:type="paragraph" w:customStyle="1" w:styleId="Default">
    <w:name w:val="Default"/>
    <w:rsid w:val="00F516FD"/>
    <w:pPr>
      <w:autoSpaceDE w:val="0"/>
      <w:autoSpaceDN w:val="0"/>
      <w:adjustRightInd w:val="0"/>
      <w:spacing w:after="0" w:line="240" w:lineRule="auto"/>
    </w:pPr>
    <w:rPr>
      <w:rFonts w:ascii="Times New Roman" w:hAnsi="Times New Roman" w:cs="Times New Roman"/>
      <w:color w:val="000000"/>
      <w:sz w:val="24"/>
      <w:szCs w:val="24"/>
    </w:rPr>
  </w:style>
  <w:style w:type="paragraph" w:styleId="Zkladntext">
    <w:name w:val="Body Text"/>
    <w:basedOn w:val="Normln"/>
    <w:link w:val="ZkladntextChar"/>
    <w:uiPriority w:val="99"/>
    <w:semiHidden/>
    <w:unhideWhenUsed/>
    <w:rsid w:val="00022208"/>
    <w:pPr>
      <w:spacing w:after="120"/>
    </w:pPr>
  </w:style>
  <w:style w:type="character" w:customStyle="1" w:styleId="ZkladntextChar">
    <w:name w:val="Základní text Char"/>
    <w:basedOn w:val="Standardnpsmoodstavce"/>
    <w:link w:val="Zkladntext"/>
    <w:uiPriority w:val="99"/>
    <w:semiHidden/>
    <w:rsid w:val="00022208"/>
    <w:rPr>
      <w:rFonts w:ascii="Times New Roman" w:eastAsia="Times New Roman" w:hAnsi="Times New Roman" w:cs="Times New Roman"/>
      <w:sz w:val="24"/>
      <w:szCs w:val="24"/>
      <w:lang w:eastAsia="cs-CZ"/>
    </w:rPr>
  </w:style>
  <w:style w:type="table" w:styleId="Mkatabulky">
    <w:name w:val="Table Grid"/>
    <w:basedOn w:val="Normlntabulka"/>
    <w:uiPriority w:val="59"/>
    <w:rsid w:val="00507B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bubliny">
    <w:name w:val="Balloon Text"/>
    <w:basedOn w:val="Normln"/>
    <w:link w:val="TextbublinyChar"/>
    <w:uiPriority w:val="99"/>
    <w:semiHidden/>
    <w:unhideWhenUsed/>
    <w:rsid w:val="00FB0E7C"/>
    <w:rPr>
      <w:rFonts w:ascii="Tahoma" w:hAnsi="Tahoma" w:cs="Tahoma"/>
      <w:sz w:val="16"/>
      <w:szCs w:val="16"/>
    </w:rPr>
  </w:style>
  <w:style w:type="character" w:customStyle="1" w:styleId="TextbublinyChar">
    <w:name w:val="Text bubliny Char"/>
    <w:basedOn w:val="Standardnpsmoodstavce"/>
    <w:link w:val="Textbubliny"/>
    <w:uiPriority w:val="99"/>
    <w:semiHidden/>
    <w:rsid w:val="00FB0E7C"/>
    <w:rPr>
      <w:rFonts w:ascii="Tahoma" w:eastAsia="Times New Roman" w:hAnsi="Tahoma" w:cs="Tahoma"/>
      <w:sz w:val="16"/>
      <w:szCs w:val="16"/>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E1136"/>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semiHidden/>
    <w:rsid w:val="002E1136"/>
    <w:rPr>
      <w:sz w:val="20"/>
      <w:szCs w:val="20"/>
    </w:rPr>
  </w:style>
  <w:style w:type="character" w:customStyle="1" w:styleId="TextpoznpodarouChar">
    <w:name w:val="Text pozn. pod čarou Char"/>
    <w:basedOn w:val="Standardnpsmoodstavce"/>
    <w:link w:val="Textpoznpodarou"/>
    <w:semiHidden/>
    <w:rsid w:val="002E1136"/>
    <w:rPr>
      <w:rFonts w:ascii="Times New Roman" w:eastAsia="Times New Roman" w:hAnsi="Times New Roman" w:cs="Times New Roman"/>
      <w:sz w:val="20"/>
      <w:szCs w:val="20"/>
      <w:lang w:eastAsia="cs-CZ"/>
    </w:rPr>
  </w:style>
  <w:style w:type="character" w:styleId="Znakapoznpodarou">
    <w:name w:val="footnote reference"/>
    <w:basedOn w:val="Standardnpsmoodstavce"/>
    <w:semiHidden/>
    <w:rsid w:val="002E1136"/>
    <w:rPr>
      <w:vertAlign w:val="superscript"/>
    </w:rPr>
  </w:style>
  <w:style w:type="paragraph" w:styleId="Zkladntext2">
    <w:name w:val="Body Text 2"/>
    <w:basedOn w:val="Normln"/>
    <w:link w:val="Zkladntext2Char"/>
    <w:rsid w:val="00B21ECF"/>
  </w:style>
  <w:style w:type="character" w:customStyle="1" w:styleId="Zkladntext2Char">
    <w:name w:val="Základní text 2 Char"/>
    <w:basedOn w:val="Standardnpsmoodstavce"/>
    <w:link w:val="Zkladntext2"/>
    <w:rsid w:val="00B21ECF"/>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39786F"/>
    <w:pPr>
      <w:ind w:left="720"/>
      <w:contextualSpacing/>
    </w:pPr>
  </w:style>
  <w:style w:type="paragraph" w:styleId="Normlnweb">
    <w:name w:val="Normal (Web)"/>
    <w:basedOn w:val="Normln"/>
    <w:uiPriority w:val="99"/>
    <w:unhideWhenUsed/>
    <w:rsid w:val="00D66579"/>
    <w:pPr>
      <w:spacing w:before="100" w:beforeAutospacing="1" w:after="100" w:afterAutospacing="1"/>
    </w:pPr>
  </w:style>
  <w:style w:type="paragraph" w:customStyle="1" w:styleId="Default">
    <w:name w:val="Default"/>
    <w:rsid w:val="00F516FD"/>
    <w:pPr>
      <w:autoSpaceDE w:val="0"/>
      <w:autoSpaceDN w:val="0"/>
      <w:adjustRightInd w:val="0"/>
      <w:spacing w:after="0" w:line="240" w:lineRule="auto"/>
    </w:pPr>
    <w:rPr>
      <w:rFonts w:ascii="Times New Roman" w:hAnsi="Times New Roman" w:cs="Times New Roman"/>
      <w:color w:val="000000"/>
      <w:sz w:val="24"/>
      <w:szCs w:val="24"/>
    </w:rPr>
  </w:style>
  <w:style w:type="paragraph" w:styleId="Zkladntext">
    <w:name w:val="Body Text"/>
    <w:basedOn w:val="Normln"/>
    <w:link w:val="ZkladntextChar"/>
    <w:uiPriority w:val="99"/>
    <w:semiHidden/>
    <w:unhideWhenUsed/>
    <w:rsid w:val="00022208"/>
    <w:pPr>
      <w:spacing w:after="120"/>
    </w:pPr>
  </w:style>
  <w:style w:type="character" w:customStyle="1" w:styleId="ZkladntextChar">
    <w:name w:val="Základní text Char"/>
    <w:basedOn w:val="Standardnpsmoodstavce"/>
    <w:link w:val="Zkladntext"/>
    <w:uiPriority w:val="99"/>
    <w:semiHidden/>
    <w:rsid w:val="00022208"/>
    <w:rPr>
      <w:rFonts w:ascii="Times New Roman" w:eastAsia="Times New Roman" w:hAnsi="Times New Roman" w:cs="Times New Roman"/>
      <w:sz w:val="24"/>
      <w:szCs w:val="24"/>
      <w:lang w:eastAsia="cs-CZ"/>
    </w:rPr>
  </w:style>
  <w:style w:type="table" w:styleId="Mkatabulky">
    <w:name w:val="Table Grid"/>
    <w:basedOn w:val="Normlntabulka"/>
    <w:uiPriority w:val="59"/>
    <w:rsid w:val="00507B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bubliny">
    <w:name w:val="Balloon Text"/>
    <w:basedOn w:val="Normln"/>
    <w:link w:val="TextbublinyChar"/>
    <w:uiPriority w:val="99"/>
    <w:semiHidden/>
    <w:unhideWhenUsed/>
    <w:rsid w:val="00FB0E7C"/>
    <w:rPr>
      <w:rFonts w:ascii="Tahoma" w:hAnsi="Tahoma" w:cs="Tahoma"/>
      <w:sz w:val="16"/>
      <w:szCs w:val="16"/>
    </w:rPr>
  </w:style>
  <w:style w:type="character" w:customStyle="1" w:styleId="TextbublinyChar">
    <w:name w:val="Text bubliny Char"/>
    <w:basedOn w:val="Standardnpsmoodstavce"/>
    <w:link w:val="Textbubliny"/>
    <w:uiPriority w:val="99"/>
    <w:semiHidden/>
    <w:rsid w:val="00FB0E7C"/>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228574">
      <w:bodyDiv w:val="1"/>
      <w:marLeft w:val="0"/>
      <w:marRight w:val="0"/>
      <w:marTop w:val="0"/>
      <w:marBottom w:val="0"/>
      <w:divBdr>
        <w:top w:val="none" w:sz="0" w:space="0" w:color="auto"/>
        <w:left w:val="none" w:sz="0" w:space="0" w:color="auto"/>
        <w:bottom w:val="none" w:sz="0" w:space="0" w:color="auto"/>
        <w:right w:val="none" w:sz="0" w:space="0" w:color="auto"/>
      </w:divBdr>
    </w:div>
    <w:div w:id="379980802">
      <w:bodyDiv w:val="1"/>
      <w:marLeft w:val="0"/>
      <w:marRight w:val="0"/>
      <w:marTop w:val="0"/>
      <w:marBottom w:val="0"/>
      <w:divBdr>
        <w:top w:val="none" w:sz="0" w:space="0" w:color="auto"/>
        <w:left w:val="none" w:sz="0" w:space="0" w:color="auto"/>
        <w:bottom w:val="none" w:sz="0" w:space="0" w:color="auto"/>
        <w:right w:val="none" w:sz="0" w:space="0" w:color="auto"/>
      </w:divBdr>
    </w:div>
    <w:div w:id="494687598">
      <w:bodyDiv w:val="1"/>
      <w:marLeft w:val="0"/>
      <w:marRight w:val="0"/>
      <w:marTop w:val="0"/>
      <w:marBottom w:val="0"/>
      <w:divBdr>
        <w:top w:val="none" w:sz="0" w:space="0" w:color="auto"/>
        <w:left w:val="none" w:sz="0" w:space="0" w:color="auto"/>
        <w:bottom w:val="none" w:sz="0" w:space="0" w:color="auto"/>
        <w:right w:val="none" w:sz="0" w:space="0" w:color="auto"/>
      </w:divBdr>
    </w:div>
    <w:div w:id="959073834">
      <w:bodyDiv w:val="1"/>
      <w:marLeft w:val="0"/>
      <w:marRight w:val="0"/>
      <w:marTop w:val="0"/>
      <w:marBottom w:val="0"/>
      <w:divBdr>
        <w:top w:val="none" w:sz="0" w:space="0" w:color="auto"/>
        <w:left w:val="none" w:sz="0" w:space="0" w:color="auto"/>
        <w:bottom w:val="none" w:sz="0" w:space="0" w:color="auto"/>
        <w:right w:val="none" w:sz="0" w:space="0" w:color="auto"/>
      </w:divBdr>
      <w:divsChild>
        <w:div w:id="2023627409">
          <w:marLeft w:val="1166"/>
          <w:marRight w:val="0"/>
          <w:marTop w:val="134"/>
          <w:marBottom w:val="0"/>
          <w:divBdr>
            <w:top w:val="none" w:sz="0" w:space="0" w:color="auto"/>
            <w:left w:val="none" w:sz="0" w:space="0" w:color="auto"/>
            <w:bottom w:val="none" w:sz="0" w:space="0" w:color="auto"/>
            <w:right w:val="none" w:sz="0" w:space="0" w:color="auto"/>
          </w:divBdr>
        </w:div>
        <w:div w:id="908001498">
          <w:marLeft w:val="1166"/>
          <w:marRight w:val="0"/>
          <w:marTop w:val="134"/>
          <w:marBottom w:val="0"/>
          <w:divBdr>
            <w:top w:val="none" w:sz="0" w:space="0" w:color="auto"/>
            <w:left w:val="none" w:sz="0" w:space="0" w:color="auto"/>
            <w:bottom w:val="none" w:sz="0" w:space="0" w:color="auto"/>
            <w:right w:val="none" w:sz="0" w:space="0" w:color="auto"/>
          </w:divBdr>
        </w:div>
      </w:divsChild>
    </w:div>
    <w:div w:id="1059593765">
      <w:bodyDiv w:val="1"/>
      <w:marLeft w:val="0"/>
      <w:marRight w:val="0"/>
      <w:marTop w:val="0"/>
      <w:marBottom w:val="0"/>
      <w:divBdr>
        <w:top w:val="none" w:sz="0" w:space="0" w:color="auto"/>
        <w:left w:val="none" w:sz="0" w:space="0" w:color="auto"/>
        <w:bottom w:val="none" w:sz="0" w:space="0" w:color="auto"/>
        <w:right w:val="none" w:sz="0" w:space="0" w:color="auto"/>
      </w:divBdr>
    </w:div>
    <w:div w:id="1089082571">
      <w:bodyDiv w:val="1"/>
      <w:marLeft w:val="0"/>
      <w:marRight w:val="0"/>
      <w:marTop w:val="0"/>
      <w:marBottom w:val="0"/>
      <w:divBdr>
        <w:top w:val="none" w:sz="0" w:space="0" w:color="auto"/>
        <w:left w:val="none" w:sz="0" w:space="0" w:color="auto"/>
        <w:bottom w:val="none" w:sz="0" w:space="0" w:color="auto"/>
        <w:right w:val="none" w:sz="0" w:space="0" w:color="auto"/>
      </w:divBdr>
    </w:div>
    <w:div w:id="1684891298">
      <w:bodyDiv w:val="1"/>
      <w:marLeft w:val="0"/>
      <w:marRight w:val="0"/>
      <w:marTop w:val="0"/>
      <w:marBottom w:val="0"/>
      <w:divBdr>
        <w:top w:val="none" w:sz="0" w:space="0" w:color="auto"/>
        <w:left w:val="none" w:sz="0" w:space="0" w:color="auto"/>
        <w:bottom w:val="none" w:sz="0" w:space="0" w:color="auto"/>
        <w:right w:val="none" w:sz="0" w:space="0" w:color="auto"/>
      </w:divBdr>
    </w:div>
    <w:div w:id="2066372955">
      <w:bodyDiv w:val="1"/>
      <w:marLeft w:val="0"/>
      <w:marRight w:val="0"/>
      <w:marTop w:val="0"/>
      <w:marBottom w:val="0"/>
      <w:divBdr>
        <w:top w:val="none" w:sz="0" w:space="0" w:color="auto"/>
        <w:left w:val="none" w:sz="0" w:space="0" w:color="auto"/>
        <w:bottom w:val="none" w:sz="0" w:space="0" w:color="auto"/>
        <w:right w:val="none" w:sz="0" w:space="0" w:color="auto"/>
      </w:divBdr>
      <w:divsChild>
        <w:div w:id="18046238">
          <w:marLeft w:val="1166"/>
          <w:marRight w:val="0"/>
          <w:marTop w:val="13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9</Pages>
  <Words>2351</Words>
  <Characters>13876</Characters>
  <Application>Microsoft Office Word</Application>
  <DocSecurity>0</DocSecurity>
  <Lines>115</Lines>
  <Paragraphs>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Jaroslava</dc:creator>
  <cp:lastModifiedBy>Jaroslava</cp:lastModifiedBy>
  <cp:revision>3</cp:revision>
  <cp:lastPrinted>2012-10-04T10:39:00Z</cp:lastPrinted>
  <dcterms:created xsi:type="dcterms:W3CDTF">2012-10-04T09:54:00Z</dcterms:created>
  <dcterms:modified xsi:type="dcterms:W3CDTF">2012-10-04T11:54:00Z</dcterms:modified>
</cp:coreProperties>
</file>