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025" w:rsidRPr="007A738A" w:rsidRDefault="00BD3025" w:rsidP="007A738A">
      <w:pPr>
        <w:pStyle w:val="Nzev"/>
      </w:pPr>
      <w:r w:rsidRPr="007A738A">
        <w:t xml:space="preserve">The impact of exchange rate changes on inflation in the V4 countries in the process of economic transition </w:t>
      </w:r>
    </w:p>
    <w:p w:rsidR="00BD3025" w:rsidRPr="007A738A" w:rsidRDefault="00BD3025" w:rsidP="0093439A">
      <w:pPr>
        <w:pStyle w:val="Author"/>
      </w:pPr>
      <w:r w:rsidRPr="007A738A">
        <w:t>Libor Žídek</w:t>
      </w:r>
      <w:r w:rsidRPr="007A738A">
        <w:rPr>
          <w:vertAlign w:val="superscript"/>
        </w:rPr>
        <w:footnoteReference w:id="1"/>
      </w:r>
      <w:r w:rsidRPr="007A738A">
        <w:t>, Daniel Němec</w:t>
      </w:r>
      <w:r w:rsidRPr="007A738A">
        <w:rPr>
          <w:vertAlign w:val="superscript"/>
        </w:rPr>
        <w:footnoteReference w:id="2"/>
      </w:r>
    </w:p>
    <w:p w:rsidR="00BD3025" w:rsidRPr="007A738A" w:rsidRDefault="00BD3025" w:rsidP="00E01DCB">
      <w:pPr>
        <w:pStyle w:val="Abstract"/>
      </w:pPr>
      <w:r w:rsidRPr="007A738A">
        <w:rPr>
          <w:rStyle w:val="AbstractHeader"/>
        </w:rPr>
        <w:t>Abstract.</w:t>
      </w:r>
      <w:r w:rsidRPr="007A738A">
        <w:t xml:space="preserve"> Our contribution focuses on the role of the exchange rate changes in the V4 countries during the transition process towards a market economy. Regarding the variety of exchange rate regimes implemented in the V4 countries at the start of the economic transition, we are especially interested in the degree of exchange rate pass-through to the domestic inflation in these countries. The respective countries followed different exchange rate strategies. The fixed exchange rate regime was applied in Czechoslovakia. Crawling peg was used in Hungary and Poland. And floating and fixed exchange rate with large band were applied in the new century. We have compared the impacts of the different exchange rate regimes on the price stability during the transformation process. The effects were examined using country specific SVAR models and corresponding historical shock decompositions. We found out that the exchange rate indeed played important role in the price stability but the specific impact is highly individual.</w:t>
      </w:r>
    </w:p>
    <w:p w:rsidR="00BD3025" w:rsidRPr="007A738A" w:rsidRDefault="00BD3025" w:rsidP="00925964">
      <w:pPr>
        <w:pStyle w:val="Keywords"/>
      </w:pPr>
      <w:r w:rsidRPr="007A738A">
        <w:rPr>
          <w:rStyle w:val="KeywordsHeader"/>
        </w:rPr>
        <w:t>Keywords:</w:t>
      </w:r>
      <w:r w:rsidRPr="007A738A">
        <w:t xml:space="preserve"> V4 countries, exchange rate pass-through, structural vector </w:t>
      </w:r>
      <w:proofErr w:type="spellStart"/>
      <w:r w:rsidRPr="007A738A">
        <w:t>autoregression</w:t>
      </w:r>
      <w:proofErr w:type="spellEnd"/>
      <w:r w:rsidRPr="007A738A">
        <w:t xml:space="preserve"> model, economic transition, inflation.</w:t>
      </w:r>
    </w:p>
    <w:p w:rsidR="00BD3025" w:rsidRPr="007A738A" w:rsidRDefault="00BD3025" w:rsidP="00925964">
      <w:pPr>
        <w:pStyle w:val="Classifications"/>
      </w:pPr>
      <w:r w:rsidRPr="007A738A">
        <w:rPr>
          <w:rStyle w:val="KeywordsHeader"/>
        </w:rPr>
        <w:t xml:space="preserve">JEL Classification: </w:t>
      </w:r>
      <w:r w:rsidRPr="007A738A">
        <w:t>C22, F31</w:t>
      </w:r>
    </w:p>
    <w:p w:rsidR="00BD3025" w:rsidRPr="007A738A" w:rsidRDefault="00BD3025" w:rsidP="00925964">
      <w:pPr>
        <w:pStyle w:val="Classifications"/>
      </w:pPr>
      <w:r w:rsidRPr="007A738A">
        <w:rPr>
          <w:rStyle w:val="KeywordsHeader"/>
        </w:rPr>
        <w:t xml:space="preserve">AMS Classification: </w:t>
      </w:r>
      <w:r w:rsidRPr="007A738A">
        <w:t>91B84</w:t>
      </w:r>
    </w:p>
    <w:p w:rsidR="00BD3025" w:rsidRPr="007A738A" w:rsidRDefault="00BD3025" w:rsidP="005A428E">
      <w:pPr>
        <w:pStyle w:val="Nadpis1"/>
      </w:pPr>
      <w:r w:rsidRPr="007A738A">
        <w:t>Introduction</w:t>
      </w:r>
    </w:p>
    <w:p w:rsidR="00BD3025" w:rsidRPr="007A738A" w:rsidRDefault="00BD3025" w:rsidP="00392372">
      <w:pPr>
        <w:pStyle w:val="Zkladntext"/>
      </w:pPr>
      <w:r w:rsidRPr="007A738A">
        <w:t xml:space="preserve">The Central European countries decided to follow different exchange rate strategies during the transformation process. Our goal is to detect the impact of the different exchange rate regimes on the inflation development in the V4 countries (the Czech Republic, the Slovak Republic, Hungary and Poland) in the period </w:t>
      </w:r>
      <w:r w:rsidRPr="007A738A">
        <w:rPr>
          <w:szCs w:val="20"/>
        </w:rPr>
        <w:t>between</w:t>
      </w:r>
      <w:r w:rsidRPr="007A738A">
        <w:t xml:space="preserve"> the beginning of 1993 and the end of 2007. The first date was selected due to availability of data and the second due to the start of the financial crisis that would affect the overall results. We suppose that the different exchange rate strategies had different impacts on inflation development. Foremost we expect that the fixed exchange rate should have only a limited impact on inflation – indeed, this type of exchange rate should stabilize it. The crawling peg system should be inflationary because small devaluations are supposed to cause growth in imported prices. And we expect that the impact of the floating regime will be ambiguous because there are usually periods of both appreciation and depreciation. The countries applied different regimes in different times. We split the overall analyzed period into </w:t>
      </w:r>
      <w:proofErr w:type="spellStart"/>
      <w:r w:rsidRPr="007A738A">
        <w:t>subperiods</w:t>
      </w:r>
      <w:proofErr w:type="spellEnd"/>
      <w:r w:rsidRPr="007A738A">
        <w:t xml:space="preserve"> according to the applied exchange rate regime. And we use the country specific Structural Vector </w:t>
      </w:r>
      <w:proofErr w:type="spellStart"/>
      <w:r w:rsidRPr="007A738A">
        <w:t>Autoregression</w:t>
      </w:r>
      <w:proofErr w:type="spellEnd"/>
      <w:r w:rsidRPr="007A738A">
        <w:t xml:space="preserve"> models (SVAR models) to estimate structural shocks. Using SVAR simulation procedures we are able to decompose the development of inflation into the specific structural shocks contribution. This method allows us to evaluate the impact of the </w:t>
      </w:r>
      <w:r w:rsidR="00FE2C84" w:rsidRPr="007A738A">
        <w:t xml:space="preserve">historical </w:t>
      </w:r>
      <w:r w:rsidRPr="007A738A">
        <w:t>exchange rate shock</w:t>
      </w:r>
      <w:r w:rsidR="00FE2C84" w:rsidRPr="007A738A">
        <w:t>s</w:t>
      </w:r>
      <w:r w:rsidRPr="007A738A">
        <w:t xml:space="preserve"> on inflation. </w:t>
      </w:r>
      <w:r w:rsidR="00FE2C84" w:rsidRPr="007A738A">
        <w:t xml:space="preserve">Our approach differs from those one presented by </w:t>
      </w:r>
      <w:proofErr w:type="spellStart"/>
      <w:r w:rsidR="00FE2C84" w:rsidRPr="007A738A">
        <w:t>Mirdala</w:t>
      </w:r>
      <w:proofErr w:type="spellEnd"/>
      <w:r w:rsidR="00FE2C84" w:rsidRPr="007A738A">
        <w:t xml:space="preserve"> </w:t>
      </w:r>
      <w:r w:rsidR="000E7E28">
        <w:fldChar w:fldCharType="begin"/>
      </w:r>
      <w:r w:rsidR="000E7E28">
        <w:instrText xml:space="preserve"> REF _Ref360377901 \r \h  \* MERGEFORMAT </w:instrText>
      </w:r>
      <w:r w:rsidR="000E7E28">
        <w:fldChar w:fldCharType="separate"/>
      </w:r>
      <w:r w:rsidR="002C07CA" w:rsidRPr="007A738A">
        <w:t>[4]</w:t>
      </w:r>
      <w:r w:rsidR="000E7E28">
        <w:fldChar w:fldCharType="end"/>
      </w:r>
      <w:r w:rsidR="00FE2C84" w:rsidRPr="007A738A">
        <w:t xml:space="preserve">, </w:t>
      </w:r>
      <w:r w:rsidR="000E7E28">
        <w:fldChar w:fldCharType="begin"/>
      </w:r>
      <w:r w:rsidR="000E7E28">
        <w:instrText xml:space="preserve"> REF _Ref360377903 \r \h  \* MERGEFORMAT </w:instrText>
      </w:r>
      <w:r w:rsidR="000E7E28">
        <w:fldChar w:fldCharType="separate"/>
      </w:r>
      <w:r w:rsidR="002C07CA" w:rsidRPr="007A738A">
        <w:t>[5]</w:t>
      </w:r>
      <w:r w:rsidR="000E7E28">
        <w:fldChar w:fldCharType="end"/>
      </w:r>
      <w:r w:rsidR="00FE2C84" w:rsidRPr="007A738A">
        <w:t xml:space="preserve"> due to fact that he has evaluated the exchange rate pass-through to domestic prices using the forecast error variance decomposition.  He was thus not able to observe the real historical consequences of the exchange rate changes in the first half of the 1990s. </w:t>
      </w:r>
      <w:r w:rsidRPr="007A738A">
        <w:t>Although the SVAR approach assumes possible interdependencies among all of the modeled endogenous variables, we will focus on one sided causality from nominal exchange rates changes to price level changes</w:t>
      </w:r>
      <w:r w:rsidR="00B33435">
        <w:t>.</w:t>
      </w:r>
    </w:p>
    <w:p w:rsidR="00BD3025" w:rsidRPr="007A738A" w:rsidRDefault="00BD3025" w:rsidP="005A428E">
      <w:pPr>
        <w:pStyle w:val="Nadpis1"/>
      </w:pPr>
      <w:r w:rsidRPr="007A738A">
        <w:t>Exchange rates in transformation process</w:t>
      </w:r>
    </w:p>
    <w:p w:rsidR="00BD3025" w:rsidRPr="007A738A" w:rsidRDefault="00BD3025" w:rsidP="00392372">
      <w:pPr>
        <w:pStyle w:val="Zkladntext"/>
      </w:pPr>
      <w:r w:rsidRPr="007A738A">
        <w:t>In this section we first of all describe the different exchange rate regimes and consequently write about their application in the transformation process. The Central European countries used generally three different exchange rate regimes. The first was the fixed exchange rate regime. There is no general agreement on the definition of the fixed exchange rate because definitions diverge about the existence and the size of the potential fluc</w:t>
      </w:r>
      <w:r w:rsidRPr="007A738A">
        <w:lastRenderedPageBreak/>
        <w:t>tuation zone.</w:t>
      </w:r>
      <w:r w:rsidR="002C07CA" w:rsidRPr="007A738A">
        <w:rPr>
          <w:vertAlign w:val="superscript"/>
        </w:rPr>
        <w:t xml:space="preserve"> </w:t>
      </w:r>
      <w:r w:rsidR="002C07CA" w:rsidRPr="007A738A">
        <w:rPr>
          <w:vertAlign w:val="superscript"/>
        </w:rPr>
        <w:footnoteReference w:id="3"/>
      </w:r>
      <w:r w:rsidRPr="007A738A">
        <w:t xml:space="preserve"> We will consider the exchange rate as fixed even if there was a fluctuation zone. Keeping a fixed exchange rate was the main goal of the respective central bank in the specific period and it was supposed that a stable exchange rate should stabilize inflation pressures at the same time. The flip side of this exchange rate system was a parallel real appreciation of the currency. The other con is that the fixed exchange rate regimes are in the long run </w:t>
      </w:r>
      <w:proofErr w:type="gramStart"/>
      <w:r w:rsidRPr="007A738A">
        <w:t>unstable  and</w:t>
      </w:r>
      <w:proofErr w:type="gramEnd"/>
      <w:r w:rsidRPr="007A738A">
        <w:t xml:space="preserve"> can lead to currency crisis as in the Czech Republic in 1997. The second exchange rate regime – crawling peg – tried to avoid or soften this real appreciation by small periodic monthly devaluations of the currency. These devaluations were supposed to balance the impact of higher growth in prices in the domestic economy. The positive side is transparency for the market subjects. The flip side of this regime should be inflation that is caused by devaluations. It means that this exchange rate regime tries to soften real appreciation but it causes it as the side effect of devaluations. The third regime that was applied later on in the period is floating. There should not be any general impact of the regime on inflation. The depreciation of the exchange rate should have of course an inflationary impact and contrary wise.</w:t>
      </w:r>
    </w:p>
    <w:p w:rsidR="00BD3025" w:rsidRPr="007A738A" w:rsidRDefault="00BD3025" w:rsidP="00D43AC4">
      <w:pPr>
        <w:pStyle w:val="Zkladntext-prvnodsazen"/>
      </w:pPr>
      <w:r w:rsidRPr="007A738A">
        <w:t>What was the specific development of the exchange rate regimes? We will consider only the main changes in the development. The reformers decided for the fixed exchange rate regime at the beginning of the transformation process in the Czech Republic (Czechoslovakia). A small fluctuation zone (+/- 0.5%) was introduced in May 1993. And the zone was widened in February 1996 to +/- 7.5 %. The fixed exchange rate system collapsed in May 1997 in the currency crisis. The managed floating has been in use since that time which is close to de facto free floating. The trend in this period was towards nominal appreciation. Generally, the real exchange rate was appreciating for the whole period</w:t>
      </w:r>
      <w:r w:rsidR="002C07CA" w:rsidRPr="007A738A">
        <w:t xml:space="preserve"> </w:t>
      </w:r>
      <w:proofErr w:type="spellStart"/>
      <w:r w:rsidR="002C07CA" w:rsidRPr="007A738A">
        <w:t>Frait</w:t>
      </w:r>
      <w:proofErr w:type="spellEnd"/>
      <w:r w:rsidR="002C07CA" w:rsidRPr="007A738A">
        <w:t xml:space="preserve">, </w:t>
      </w:r>
      <w:proofErr w:type="spellStart"/>
      <w:r w:rsidR="002C07CA" w:rsidRPr="007A738A">
        <w:t>Komárek</w:t>
      </w:r>
      <w:proofErr w:type="spellEnd"/>
      <w:r w:rsidR="002C07CA" w:rsidRPr="007A738A">
        <w:t xml:space="preserve"> </w:t>
      </w:r>
      <w:r w:rsidR="000E7E28">
        <w:fldChar w:fldCharType="begin"/>
      </w:r>
      <w:r w:rsidR="000E7E28">
        <w:instrText xml:space="preserve"> REF _Ref325202335 \n \h  \* MERGEFORMAT </w:instrText>
      </w:r>
      <w:r w:rsidR="000E7E28">
        <w:fldChar w:fldCharType="separate"/>
      </w:r>
      <w:r w:rsidR="002C07CA" w:rsidRPr="007A738A">
        <w:t>[1]</w:t>
      </w:r>
      <w:r w:rsidR="000E7E28">
        <w:fldChar w:fldCharType="end"/>
      </w:r>
      <w:r w:rsidRPr="007A738A">
        <w:t>. We can see the development of both nominal as well as real exchange rate in the following charts – Figure 1.</w:t>
      </w:r>
      <w:r w:rsidR="00D513E6" w:rsidRPr="007A738A">
        <w:rPr>
          <w:rStyle w:val="Znakapoznpodarou"/>
        </w:rPr>
        <w:footnoteReference w:id="4"/>
      </w:r>
      <w:r w:rsidR="00D513E6" w:rsidRPr="007A738A">
        <w:t xml:space="preserve"> </w:t>
      </w:r>
      <w:r w:rsidRPr="007A738A">
        <w:t xml:space="preserve"> </w:t>
      </w:r>
    </w:p>
    <w:p w:rsidR="00BD3025" w:rsidRPr="007A738A" w:rsidRDefault="00F93D5B" w:rsidP="00D43AC4">
      <w:pPr>
        <w:pStyle w:val="Zkladntext-prvnodsazen"/>
      </w:pPr>
      <w:r>
        <w:rPr>
          <w:noProof/>
          <w:lang w:val="cs-CZ"/>
        </w:rPr>
        <w:pict>
          <v:group id="_x0000_s1026" style="position:absolute;left:0;text-align:left;margin-left:0;margin-top:81.1pt;width:483.05pt;height:219.25pt;z-index:1;mso-position-horizontal:center" coordorigin="1334,9577" coordsize="9661,4385"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 1" o:spid="_x0000_s1027" type="#_x0000_t75" style="position:absolute;left:1334;top:9577;width:4739;height:4385;visibility:visible;mso-wrap-distance-bottom:.06pt">
              <v:imagedata r:id="rId8" o:title=""/>
              <o:lock v:ext="edit" aspectratio="f"/>
            </v:shape>
            <v:shape id="Graf 2" o:spid="_x0000_s1028" type="#_x0000_t75" style="position:absolute;left:6255;top:9580;width:4740;height:4382;visibility:visible;mso-wrap-distance-bottom:.03pt" o:preferrelative="f">
              <v:imagedata r:id="rId9" o:title=""/>
              <o:lock v:ext="edit" aspectratio="f"/>
            </v:shape>
            <w10:wrap type="square"/>
          </v:group>
        </w:pict>
      </w:r>
      <w:r w:rsidR="00BD3025" w:rsidRPr="007A738A">
        <w:t>Slovakia had the same basis of the exchange rate as the Czech Republic. But the Slovak crown was allowed to move in a small fluctuation zone +/- 1.5 since February 1993 and the currency was devaluated by 10 % in July of that year. In 1996 and 1997, the fluctuation zone was widened in three steps to +/- 7 %. And the currency regime changed to managed floating in October 1998. The country became a member of ERM II in October 2005. The country joined the Eurozone after two revaluations at the beginning of 2009. The overall trends in the nominal and real exchange rates were similar to the development of the Czech crown.</w:t>
      </w:r>
    </w:p>
    <w:p w:rsidR="00BD3025" w:rsidRPr="007A738A" w:rsidRDefault="00BD3025" w:rsidP="00876FA5">
      <w:pPr>
        <w:pStyle w:val="Zkladntext-prvnodsazen"/>
        <w:jc w:val="center"/>
      </w:pPr>
      <w:bookmarkStart w:id="0" w:name="_Ref357533317"/>
      <w:r w:rsidRPr="007A738A">
        <w:rPr>
          <w:b/>
          <w:bCs/>
        </w:rPr>
        <w:t xml:space="preserve">Figure </w:t>
      </w:r>
      <w:r w:rsidR="006637EA" w:rsidRPr="007A738A">
        <w:rPr>
          <w:b/>
          <w:bCs/>
        </w:rPr>
        <w:fldChar w:fldCharType="begin"/>
      </w:r>
      <w:r w:rsidRPr="007A738A">
        <w:rPr>
          <w:b/>
          <w:bCs/>
        </w:rPr>
        <w:instrText xml:space="preserve"> SEQ Figure \* ARABIC </w:instrText>
      </w:r>
      <w:r w:rsidR="006637EA" w:rsidRPr="007A738A">
        <w:rPr>
          <w:b/>
          <w:bCs/>
        </w:rPr>
        <w:fldChar w:fldCharType="separate"/>
      </w:r>
      <w:r w:rsidR="002C07CA" w:rsidRPr="007A738A">
        <w:rPr>
          <w:b/>
          <w:bCs/>
          <w:noProof/>
        </w:rPr>
        <w:t>1</w:t>
      </w:r>
      <w:r w:rsidR="006637EA" w:rsidRPr="007A738A">
        <w:rPr>
          <w:b/>
          <w:bCs/>
        </w:rPr>
        <w:fldChar w:fldCharType="end"/>
      </w:r>
      <w:bookmarkEnd w:id="0"/>
      <w:r w:rsidRPr="007A738A">
        <w:t xml:space="preserve"> Development of the nominal and real exchange rates (index, 1993M1 = 100, indirect quote)</w:t>
      </w:r>
    </w:p>
    <w:p w:rsidR="00BD3025" w:rsidRPr="007A738A" w:rsidRDefault="00BD3025" w:rsidP="00D17E81">
      <w:pPr>
        <w:pStyle w:val="Zkladntext-prvnodsazen"/>
      </w:pPr>
      <w:r w:rsidRPr="007A738A">
        <w:t>Hungary used the fixed exchange rate regime at the beginning of the transformation process. But the exchange rate was irregularly devaluated and the fluctuation zone gradually widened from +/- 0.3 % in July 1992 to +/-2.25 % in December 1994. The overall exchange rate regime was changed to crawling peg in March 1995 after a 9 % devaluation. Regular devaluations in the system gradually decreased till October 2001, when the central bank decided for the fixed exchange rate system with a fluctuation zone +/- 15 %. The system changed to managed floating only in May 2008. We can see in the following chart that the nominal exchange rate signifi</w:t>
      </w:r>
      <w:r w:rsidRPr="007A738A">
        <w:lastRenderedPageBreak/>
        <w:t xml:space="preserve">cantly depreciated during the 1990s and consequently oscillated. The real exchange rate appreciated in the first years but then it was highly stable during the crawling peg period. Since 2003, the trend was again towards real appreciation. </w:t>
      </w:r>
    </w:p>
    <w:p w:rsidR="00BD3025" w:rsidRPr="007A738A" w:rsidRDefault="00BD3025" w:rsidP="00EA5CBC">
      <w:pPr>
        <w:pStyle w:val="Zkladntext-prvnodsazen"/>
      </w:pPr>
      <w:r w:rsidRPr="007A738A">
        <w:t>Poland applied the fixed exchange rate regime at the beginning of the transformation process</w:t>
      </w:r>
      <w:r w:rsidR="002C07CA" w:rsidRPr="007A738A">
        <w:t xml:space="preserve"> </w:t>
      </w:r>
      <w:proofErr w:type="spellStart"/>
      <w:proofErr w:type="gramStart"/>
      <w:r w:rsidR="002C07CA" w:rsidRPr="007A738A">
        <w:t>Žídek</w:t>
      </w:r>
      <w:proofErr w:type="spellEnd"/>
      <w:r w:rsidR="002C07CA" w:rsidRPr="007A738A">
        <w:t xml:space="preserve"> </w:t>
      </w:r>
      <w:r w:rsidR="006637EA" w:rsidRPr="007A738A">
        <w:fldChar w:fldCharType="begin"/>
      </w:r>
      <w:proofErr w:type="gramEnd"/>
      <w:r w:rsidR="002C07CA" w:rsidRPr="007A738A">
        <w:instrText xml:space="preserve"> REF _Ref360377901 \r \h  \* MERGEFORMAT </w:instrText>
      </w:r>
      <w:r w:rsidR="006637EA" w:rsidRPr="007A738A">
        <w:fldChar w:fldCharType="separate"/>
      </w:r>
      <w:r w:rsidR="000E7E28">
        <w:fldChar w:fldCharType="begin"/>
      </w:r>
      <w:r w:rsidR="000E7E28">
        <w:instrText xml:space="preserve"> REF _Ref361649170 \r \h  \* MERGEFORMAT </w:instrText>
      </w:r>
      <w:r w:rsidR="000E7E28">
        <w:fldChar w:fldCharType="separate"/>
      </w:r>
      <w:r w:rsidR="002C07CA" w:rsidRPr="007A738A">
        <w:t>[7]</w:t>
      </w:r>
      <w:r w:rsidR="000E7E28">
        <w:fldChar w:fldCharType="end"/>
      </w:r>
      <w:r w:rsidR="006637EA" w:rsidRPr="007A738A">
        <w:fldChar w:fldCharType="end"/>
      </w:r>
      <w:r w:rsidR="002C07CA" w:rsidRPr="007A738A">
        <w:t xml:space="preserve"> </w:t>
      </w:r>
      <w:r w:rsidRPr="007A738A">
        <w:t>. It was changed to the crawling peg regime at the end of 1991. Consequently there were additionally irregular devaluations of Zloty. The monthly devaluations connected with crawling peg were gradually declining. Meanwhile, the fluctuation zone was widened up to +/- 15 % in March 1999. Zloty has been in the regime of free floating since April 2000. The currency significantly nominally depreciated in the 1990s. Consequently, there were periods of appreciation and depreciation. In real terms Zloty appreciated nearly for the whole period regardless of the exchange rate regime.</w:t>
      </w:r>
    </w:p>
    <w:p w:rsidR="00BD3025" w:rsidRPr="007A738A" w:rsidRDefault="00BD3025" w:rsidP="00925964">
      <w:pPr>
        <w:pStyle w:val="Nadpis1"/>
      </w:pPr>
      <w:r w:rsidRPr="007A738A">
        <w:t>Data and methodology</w:t>
      </w:r>
    </w:p>
    <w:p w:rsidR="00BD3025" w:rsidRPr="007A738A" w:rsidRDefault="00BD3025" w:rsidP="00925964">
      <w:pPr>
        <w:pStyle w:val="Zkladntext-prvnodsazen"/>
        <w:ind w:firstLine="0"/>
      </w:pPr>
      <w:r w:rsidRPr="007A738A">
        <w:t xml:space="preserve">The main purpose of our paper is to estimate the impact of exchange rate changes on domestic inflation. To study the determinants of the domestic price level changes in the economy we use the methodology proposed by Ito and Sato </w:t>
      </w:r>
      <w:r w:rsidR="000E7E28">
        <w:fldChar w:fldCharType="begin"/>
      </w:r>
      <w:r w:rsidR="000E7E28">
        <w:instrText xml:space="preserve"> REF _Ref360368135 \r \h  \* MERGEFORMAT </w:instrText>
      </w:r>
      <w:r w:rsidR="000E7E28">
        <w:fldChar w:fldCharType="separate"/>
      </w:r>
      <w:r w:rsidR="002C07CA" w:rsidRPr="007A738A">
        <w:t>[3]</w:t>
      </w:r>
      <w:r w:rsidR="000E7E28">
        <w:fldChar w:fldCharType="end"/>
      </w:r>
      <w:r w:rsidRPr="007A738A">
        <w:t xml:space="preserve"> tuned in a way to incorporate the particularities of the V4 transition economies.  In order to examine the sources of inflation in the transition period, we will use a framework that includes the possibility of mutual interactions of the key macroeconomic variables. Although the main question is to reveal the direct influence of the exchange rate on domestic inflation, it is also possible that domestic inflation may affect the exchange rate. This type of causality will be thus examined using the vector </w:t>
      </w:r>
      <w:proofErr w:type="spellStart"/>
      <w:r w:rsidRPr="007A738A">
        <w:t>autoregression</w:t>
      </w:r>
      <w:proofErr w:type="spellEnd"/>
      <w:r w:rsidRPr="007A738A">
        <w:t xml:space="preserve"> (VAR) analysis which is a useful approach allowing interaction between the exchange rate and domestic macroeconomic variables.</w:t>
      </w:r>
    </w:p>
    <w:p w:rsidR="00BD3025" w:rsidRPr="007A738A" w:rsidRDefault="00BD3025" w:rsidP="00244385">
      <w:pPr>
        <w:pStyle w:val="Zkladntext-prvnodsazen"/>
      </w:pPr>
      <w:r w:rsidRPr="007A738A">
        <w:t xml:space="preserve">Our VAR analysis starts with an estimation of a reduced form model. Obtained residuals are then transformed to the structural shocks using </w:t>
      </w:r>
      <w:proofErr w:type="spellStart"/>
      <w:r w:rsidRPr="007A738A">
        <w:t>Cholesky</w:t>
      </w:r>
      <w:proofErr w:type="spellEnd"/>
      <w:r w:rsidRPr="007A738A">
        <w:t xml:space="preserve"> decomposition. Effects of structural shocks of various macroeconomic variables on inflation are thus investigated using the structural VAR model (SVAR model). Identified structural shocks are incorporated into simulation exercises that will decompose the actual trajectories of our observed variables into the particular shock components. The resulting historical shock decomposition points out the main factors standing behind the development of inflation in the transition period.</w:t>
      </w:r>
    </w:p>
    <w:p w:rsidR="00BD3025" w:rsidRPr="007A738A" w:rsidRDefault="00BD3025" w:rsidP="00244385">
      <w:pPr>
        <w:pStyle w:val="Zkladntext-prvnodsazen"/>
      </w:pPr>
      <w:r w:rsidRPr="007A738A">
        <w:t>Our VAR model is set up using the vector of five endogenous variables</w:t>
      </w:r>
      <w:r w:rsidRPr="007A738A">
        <w:rPr>
          <w:rStyle w:val="Znakapoznpodarou"/>
        </w:rPr>
        <w:footnoteReference w:id="5"/>
      </w:r>
      <w:r w:rsidRPr="007A738A">
        <w:t>:</w:t>
      </w:r>
    </w:p>
    <w:tbl>
      <w:tblPr>
        <w:tblW w:w="5000" w:type="pct"/>
        <w:jc w:val="center"/>
        <w:tblLook w:val="01E0" w:firstRow="1" w:lastRow="1" w:firstColumn="1" w:lastColumn="1" w:noHBand="0" w:noVBand="0"/>
      </w:tblPr>
      <w:tblGrid>
        <w:gridCol w:w="8255"/>
        <w:gridCol w:w="1033"/>
      </w:tblGrid>
      <w:tr w:rsidR="00BD3025" w:rsidRPr="007A738A">
        <w:trPr>
          <w:jc w:val="center"/>
        </w:trPr>
        <w:tc>
          <w:tcPr>
            <w:tcW w:w="4444" w:type="pct"/>
            <w:vAlign w:val="center"/>
          </w:tcPr>
          <w:p w:rsidR="00BD3025" w:rsidRPr="007A738A" w:rsidRDefault="00BD3025" w:rsidP="0048193A">
            <w:pPr>
              <w:pStyle w:val="CenteredObject"/>
            </w:pPr>
            <w:r w:rsidRPr="007A738A">
              <w:rPr>
                <w:position w:val="-10"/>
              </w:rPr>
              <w:object w:dxaOrig="2980" w:dyaOrig="300">
                <v:shape id="_x0000_i1025" type="#_x0000_t75" style="width:148.85pt;height:15.05pt" o:ole="">
                  <v:imagedata r:id="rId10" o:title=""/>
                </v:shape>
                <o:OLEObject Type="Embed" ProgID="Equation.3" ShapeID="_x0000_i1025" DrawAspect="Content" ObjectID="_1438020001" r:id="rId11"/>
              </w:object>
            </w:r>
          </w:p>
        </w:tc>
        <w:tc>
          <w:tcPr>
            <w:tcW w:w="556" w:type="pct"/>
            <w:vAlign w:val="center"/>
          </w:tcPr>
          <w:p w:rsidR="00BD3025" w:rsidRPr="007A738A" w:rsidRDefault="00BD3025" w:rsidP="0048193A">
            <w:pPr>
              <w:pStyle w:val="EquationNumber"/>
            </w:pPr>
            <w:r w:rsidRPr="007A738A">
              <w:t>(1)</w:t>
            </w:r>
          </w:p>
        </w:tc>
      </w:tr>
    </w:tbl>
    <w:p w:rsidR="00BD3025" w:rsidRPr="007A738A" w:rsidRDefault="00BD3025" w:rsidP="00FB182A">
      <w:pPr>
        <w:pStyle w:val="Zkladntext-prvnodsazen"/>
        <w:ind w:firstLine="0"/>
      </w:pPr>
      <w:r w:rsidRPr="007A738A">
        <w:t xml:space="preserve">where </w:t>
      </w:r>
      <w:r w:rsidRPr="007A738A">
        <w:rPr>
          <w:position w:val="-10"/>
        </w:rPr>
        <w:object w:dxaOrig="560" w:dyaOrig="300">
          <v:shape id="_x0000_i1026" type="#_x0000_t75" style="width:27.95pt;height:15.05pt" o:ole="">
            <v:imagedata r:id="rId12" o:title=""/>
          </v:shape>
          <o:OLEObject Type="Embed" ProgID="Equation.3" ShapeID="_x0000_i1026" DrawAspect="Content" ObjectID="_1438020002" r:id="rId13"/>
        </w:object>
      </w:r>
      <w:r w:rsidRPr="007A738A">
        <w:t xml:space="preserve">denotes changes in the natural log of oil prices, </w:t>
      </w:r>
      <w:r w:rsidRPr="007A738A">
        <w:rPr>
          <w:position w:val="-10"/>
        </w:rPr>
        <w:object w:dxaOrig="440" w:dyaOrig="300">
          <v:shape id="_x0000_i1027" type="#_x0000_t75" style="width:21.5pt;height:15.05pt" o:ole="">
            <v:imagedata r:id="rId14" o:title=""/>
          </v:shape>
          <o:OLEObject Type="Embed" ProgID="Equation.3" ShapeID="_x0000_i1027" DrawAspect="Content" ObjectID="_1438020003" r:id="rId15"/>
        </w:object>
      </w:r>
      <w:r w:rsidRPr="007A738A">
        <w:t xml:space="preserve"> is the output gap, </w:t>
      </w:r>
      <w:r w:rsidRPr="007A738A">
        <w:rPr>
          <w:position w:val="-10"/>
        </w:rPr>
        <w:object w:dxaOrig="400" w:dyaOrig="300">
          <v:shape id="_x0000_i1028" type="#_x0000_t75" style="width:20.4pt;height:15.05pt" o:ole="">
            <v:imagedata r:id="rId16" o:title=""/>
          </v:shape>
          <o:OLEObject Type="Embed" ProgID="Equation.3" ShapeID="_x0000_i1028" DrawAspect="Content" ObjectID="_1438020004" r:id="rId17"/>
        </w:object>
      </w:r>
      <w:r w:rsidRPr="007A738A">
        <w:t xml:space="preserve">denotes changes in the natural log of money supply, </w:t>
      </w:r>
      <w:r w:rsidRPr="007A738A">
        <w:rPr>
          <w:position w:val="-10"/>
        </w:rPr>
        <w:object w:dxaOrig="740" w:dyaOrig="300">
          <v:shape id="_x0000_i1029" type="#_x0000_t75" style="width:37.05pt;height:15.05pt" o:ole="">
            <v:imagedata r:id="rId18" o:title=""/>
          </v:shape>
          <o:OLEObject Type="Embed" ProgID="Equation.3" ShapeID="_x0000_i1029" DrawAspect="Content" ObjectID="_1438020005" r:id="rId19"/>
        </w:object>
      </w:r>
      <w:r w:rsidRPr="007A738A">
        <w:t xml:space="preserve"> is the growth rate of nominal effective exchange rate and </w:t>
      </w:r>
      <w:r w:rsidRPr="007A738A">
        <w:rPr>
          <w:position w:val="-10"/>
        </w:rPr>
        <w:object w:dxaOrig="360" w:dyaOrig="300">
          <v:shape id="_x0000_i1030" type="#_x0000_t75" style="width:18.25pt;height:15.05pt" o:ole="">
            <v:imagedata r:id="rId20" o:title=""/>
          </v:shape>
          <o:OLEObject Type="Embed" ProgID="Equation.3" ShapeID="_x0000_i1030" DrawAspect="Content" ObjectID="_1438020006" r:id="rId21"/>
        </w:object>
      </w:r>
      <w:r w:rsidRPr="007A738A">
        <w:t xml:space="preserve"> is the difference of the natural log of the price index. </w:t>
      </w:r>
    </w:p>
    <w:p w:rsidR="00BD3025" w:rsidRPr="007A738A" w:rsidRDefault="00BD3025" w:rsidP="00244385">
      <w:pPr>
        <w:pStyle w:val="Zkladntext-prvnodsazen"/>
      </w:pPr>
      <w:r w:rsidRPr="007A738A">
        <w:t>The data set used for estimation is from January 1993 to December 2007. The data source is International Financial Statistics (IFS) provided by the International Monetary Fund. The observed variables for all V4 countries are as follows:</w:t>
      </w:r>
    </w:p>
    <w:p w:rsidR="00BD3025" w:rsidRPr="007A738A" w:rsidRDefault="00BD3025" w:rsidP="00EA34AB">
      <w:pPr>
        <w:pStyle w:val="Seznamsodrkami"/>
        <w:numPr>
          <w:ilvl w:val="0"/>
          <w:numId w:val="10"/>
        </w:numPr>
        <w:tabs>
          <w:tab w:val="clear" w:pos="300"/>
          <w:tab w:val="num" w:pos="600"/>
        </w:tabs>
        <w:ind w:left="600"/>
      </w:pPr>
      <w:r w:rsidRPr="007A738A">
        <w:t>IPM: Index of industrial production, 2005=100;</w:t>
      </w:r>
    </w:p>
    <w:p w:rsidR="00BD3025" w:rsidRPr="007A738A" w:rsidRDefault="00BD3025" w:rsidP="00EA34AB">
      <w:pPr>
        <w:pStyle w:val="Seznamsodrkami"/>
        <w:numPr>
          <w:ilvl w:val="0"/>
          <w:numId w:val="10"/>
        </w:numPr>
        <w:ind w:left="600"/>
      </w:pPr>
      <w:r w:rsidRPr="007A738A">
        <w:t>CPI: Consumer prices index, all items, 2005=100;</w:t>
      </w:r>
    </w:p>
    <w:p w:rsidR="00BD3025" w:rsidRPr="007A738A" w:rsidRDefault="00BD3025" w:rsidP="00EA34AB">
      <w:pPr>
        <w:pStyle w:val="Seznamsodrkami"/>
        <w:numPr>
          <w:ilvl w:val="0"/>
          <w:numId w:val="10"/>
        </w:numPr>
        <w:ind w:left="600"/>
      </w:pPr>
      <w:r w:rsidRPr="007A738A">
        <w:t>PPI: Producer prices index, all commodities, 2005=100;</w:t>
      </w:r>
    </w:p>
    <w:p w:rsidR="00BD3025" w:rsidRPr="007A738A" w:rsidRDefault="00BD3025" w:rsidP="00EA34AB">
      <w:pPr>
        <w:pStyle w:val="Seznamsodrkami"/>
        <w:numPr>
          <w:ilvl w:val="0"/>
          <w:numId w:val="10"/>
        </w:numPr>
        <w:ind w:left="600"/>
      </w:pPr>
      <w:r w:rsidRPr="007A738A">
        <w:t>M1: Monetary Aggregate M1, national currency;</w:t>
      </w:r>
    </w:p>
    <w:p w:rsidR="00BD3025" w:rsidRPr="007A738A" w:rsidRDefault="00BD3025" w:rsidP="00EA34AB">
      <w:pPr>
        <w:pStyle w:val="Seznamsodrkami"/>
        <w:numPr>
          <w:ilvl w:val="0"/>
          <w:numId w:val="10"/>
        </w:numPr>
        <w:ind w:left="600"/>
      </w:pPr>
      <w:r w:rsidRPr="007A738A">
        <w:t>OIL: Crude oil prices (Brent – Europe), dollars per barrel;</w:t>
      </w:r>
    </w:p>
    <w:p w:rsidR="00BD3025" w:rsidRPr="007A738A" w:rsidRDefault="00BD3025" w:rsidP="00EA34AB">
      <w:pPr>
        <w:pStyle w:val="Seznamsodrkami"/>
        <w:numPr>
          <w:ilvl w:val="0"/>
          <w:numId w:val="10"/>
        </w:numPr>
        <w:ind w:left="600"/>
      </w:pPr>
      <w:r w:rsidRPr="007A738A">
        <w:t>NEER: Nominal effective exchange rate (index), 2005=100, direct quote (increase means appreciation);</w:t>
      </w:r>
    </w:p>
    <w:p w:rsidR="00BD3025" w:rsidRPr="007A738A" w:rsidRDefault="00BD3025" w:rsidP="00244385">
      <w:pPr>
        <w:pStyle w:val="Zkladntext-prvnodsazen"/>
      </w:pPr>
      <w:r w:rsidRPr="007A738A">
        <w:t xml:space="preserve">All variables (except NEER) were seasonally adjusted using the X12-ARIMA procedure. After seasonal adjustment, the variables were transformed using logarithmic transformation. Unit root tests proved the existence of unit roots in all variables. Except IPM, the variables were expressed in growth rates terms (i.e. logarithmic differences). Variables IPM were filtered using </w:t>
      </w:r>
      <w:proofErr w:type="spellStart"/>
      <w:r w:rsidRPr="007A738A">
        <w:t>Hodrick</w:t>
      </w:r>
      <w:proofErr w:type="spellEnd"/>
      <w:r w:rsidRPr="007A738A">
        <w:t>-Prescott filter with the smoothing constant</w:t>
      </w:r>
      <w:r w:rsidRPr="007A738A">
        <w:rPr>
          <w:color w:val="FF0000"/>
          <w:position w:val="-6"/>
        </w:rPr>
        <w:object w:dxaOrig="880" w:dyaOrig="240">
          <v:shape id="_x0000_i1031" type="#_x0000_t75" style="width:44.05pt;height:11.8pt" o:ole="">
            <v:imagedata r:id="rId22" o:title=""/>
          </v:shape>
          <o:OLEObject Type="Embed" ProgID="Equation.3" ShapeID="_x0000_i1031" DrawAspect="Content" ObjectID="_1438020007" r:id="rId23"/>
        </w:object>
      </w:r>
      <w:r w:rsidR="006637EA" w:rsidRPr="007A738A">
        <w:fldChar w:fldCharType="begin"/>
      </w:r>
      <w:r w:rsidRPr="007A738A">
        <w:instrText xml:space="preserve"> QUOTE </w:instrText>
      </w:r>
      <w:r w:rsidR="005D2742">
        <w:rPr>
          <w:position w:val="-5"/>
        </w:rPr>
        <w:pict>
          <v:shape id="_x0000_i1032" type="#_x0000_t75" style="width:45.15pt;height:18.25pt">
            <v:imagedata r:id="rId24" o:title="" chromakey="white"/>
          </v:shape>
        </w:pict>
      </w:r>
      <w:r w:rsidRPr="007A738A">
        <w:instrText xml:space="preserve"> </w:instrText>
      </w:r>
      <w:r w:rsidR="006637EA" w:rsidRPr="007A738A">
        <w:fldChar w:fldCharType="separate"/>
      </w:r>
      <w:r w:rsidR="006637EA" w:rsidRPr="007A738A">
        <w:fldChar w:fldCharType="end"/>
      </w:r>
      <w:r w:rsidRPr="007A738A">
        <w:t xml:space="preserve">. This procedure resulted in the corresponding </w:t>
      </w:r>
      <w:r w:rsidRPr="007A738A">
        <w:rPr>
          <w:position w:val="-10"/>
        </w:rPr>
        <w:object w:dxaOrig="440" w:dyaOrig="300">
          <v:shape id="_x0000_i1033" type="#_x0000_t75" style="width:21.5pt;height:15.05pt" o:ole="">
            <v:imagedata r:id="rId25" o:title=""/>
          </v:shape>
          <o:OLEObject Type="Embed" ProgID="Equation.3" ShapeID="_x0000_i1033" DrawAspect="Content" ObjectID="_1438020008" r:id="rId26"/>
        </w:object>
      </w:r>
      <w:r w:rsidRPr="007A738A">
        <w:t xml:space="preserve"> variable. These transformations led to stationary variables. As a monetary policy variable (money supply), the base money (M1) is used. As price index variable, we used CPI in our final model. All the variables were selected in accordance with the arguments presented by Ito and Sato (2008) and are very similar to those used by </w:t>
      </w:r>
      <w:proofErr w:type="spellStart"/>
      <w:r w:rsidRPr="007A738A">
        <w:t>Mirdala</w:t>
      </w:r>
      <w:proofErr w:type="spellEnd"/>
      <w:r w:rsidRPr="007A738A">
        <w:t xml:space="preserve"> (2009). These variables express economic linkage between </w:t>
      </w:r>
      <w:r w:rsidRPr="007A738A">
        <w:lastRenderedPageBreak/>
        <w:t xml:space="preserve">inflation and internal and external macroeconomic factors. Oil price inflation represents possible external supply shocks, demand shock effects are included in the output gap, and money supply allows us to capture the effects of monetary policy on domestic inflation. </w:t>
      </w:r>
    </w:p>
    <w:p w:rsidR="00BD3025" w:rsidRPr="007A738A" w:rsidRDefault="00BD3025" w:rsidP="00EA34AB">
      <w:pPr>
        <w:pStyle w:val="Zkladntext-prvnodsazen"/>
        <w:ind w:firstLine="0"/>
      </w:pPr>
      <w:r w:rsidRPr="007A738A">
        <w:t xml:space="preserve">Identified structural shocks are based on the </w:t>
      </w:r>
      <w:proofErr w:type="spellStart"/>
      <w:r w:rsidRPr="007A738A">
        <w:t>Cholesky</w:t>
      </w:r>
      <w:proofErr w:type="spellEnd"/>
      <w:r w:rsidRPr="007A738A">
        <w:t xml:space="preserve"> decomposition of the variance-covariance matrix </w:t>
      </w:r>
      <w:r w:rsidRPr="007A738A">
        <w:rPr>
          <w:position w:val="-4"/>
        </w:rPr>
        <w:object w:dxaOrig="220" w:dyaOrig="220">
          <v:shape id="_x0000_i1034" type="#_x0000_t75" style="width:11.3pt;height:11.3pt" o:ole="">
            <v:imagedata r:id="rId27" o:title=""/>
          </v:shape>
          <o:OLEObject Type="Embed" ProgID="Equation.3" ShapeID="_x0000_i1034" DrawAspect="Content" ObjectID="_1438020009" r:id="rId28"/>
        </w:object>
      </w:r>
      <w:r w:rsidRPr="007A738A">
        <w:t xml:space="preserve"> of the reduced-form VAR residuals. The link between the reduced-form VAR residuals </w:t>
      </w:r>
      <w:r w:rsidRPr="007A738A">
        <w:rPr>
          <w:position w:val="-10"/>
        </w:rPr>
        <w:object w:dxaOrig="360" w:dyaOrig="300">
          <v:shape id="_x0000_i1035" type="#_x0000_t75" style="width:18.25pt;height:15.05pt" o:ole="">
            <v:imagedata r:id="rId29" o:title=""/>
          </v:shape>
          <o:OLEObject Type="Embed" ProgID="Equation.3" ShapeID="_x0000_i1035" DrawAspect="Content" ObjectID="_1438020010" r:id="rId30"/>
        </w:object>
      </w:r>
      <w:r w:rsidRPr="007A738A">
        <w:t xml:space="preserve"> and the structural shocks </w:t>
      </w:r>
      <w:r w:rsidRPr="007A738A">
        <w:rPr>
          <w:position w:val="-10"/>
        </w:rPr>
        <w:object w:dxaOrig="360" w:dyaOrig="300">
          <v:shape id="_x0000_i1036" type="#_x0000_t75" style="width:18.25pt;height:15.05pt" o:ole="">
            <v:imagedata r:id="rId31" o:title=""/>
          </v:shape>
          <o:OLEObject Type="Embed" ProgID="Equation.3" ShapeID="_x0000_i1036" DrawAspect="Content" ObjectID="_1438020011" r:id="rId32"/>
        </w:object>
      </w:r>
      <w:r w:rsidRPr="007A738A">
        <w:t xml:space="preserve"> can be written as</w:t>
      </w:r>
    </w:p>
    <w:tbl>
      <w:tblPr>
        <w:tblW w:w="5000" w:type="pct"/>
        <w:jc w:val="center"/>
        <w:tblLook w:val="01E0" w:firstRow="1" w:lastRow="1" w:firstColumn="1" w:lastColumn="1" w:noHBand="0" w:noVBand="0"/>
      </w:tblPr>
      <w:tblGrid>
        <w:gridCol w:w="8255"/>
        <w:gridCol w:w="1033"/>
      </w:tblGrid>
      <w:tr w:rsidR="00BD3025" w:rsidRPr="007A738A">
        <w:trPr>
          <w:jc w:val="center"/>
        </w:trPr>
        <w:tc>
          <w:tcPr>
            <w:tcW w:w="4444" w:type="pct"/>
            <w:vAlign w:val="center"/>
          </w:tcPr>
          <w:p w:rsidR="00BD3025" w:rsidRPr="007A738A" w:rsidRDefault="00BD3025" w:rsidP="00F93D5B">
            <w:pPr>
              <w:pStyle w:val="CenteredObject"/>
            </w:pPr>
            <w:r w:rsidRPr="007A738A">
              <w:rPr>
                <w:position w:val="-10"/>
              </w:rPr>
              <w:object w:dxaOrig="700" w:dyaOrig="300">
                <v:shape id="_x0000_i1037" type="#_x0000_t75" style="width:34.95pt;height:15.05pt" o:ole="">
                  <v:imagedata r:id="rId33" o:title=""/>
                </v:shape>
                <o:OLEObject Type="Embed" ProgID="Equation.3" ShapeID="_x0000_i1037" DrawAspect="Content" ObjectID="_1438020012" r:id="rId34"/>
              </w:object>
            </w:r>
          </w:p>
        </w:tc>
        <w:tc>
          <w:tcPr>
            <w:tcW w:w="556" w:type="pct"/>
            <w:vAlign w:val="center"/>
          </w:tcPr>
          <w:p w:rsidR="00BD3025" w:rsidRPr="007A738A" w:rsidRDefault="00BD3025" w:rsidP="00C3064E">
            <w:pPr>
              <w:pStyle w:val="EquationNumber"/>
            </w:pPr>
            <w:r w:rsidRPr="007A738A">
              <w:t>(2)</w:t>
            </w:r>
          </w:p>
        </w:tc>
      </w:tr>
    </w:tbl>
    <w:p w:rsidR="00BD3025" w:rsidRPr="007A738A" w:rsidRDefault="00BD3025" w:rsidP="00C222F8">
      <w:pPr>
        <w:pStyle w:val="Zkladntext-prvnodsazen"/>
        <w:ind w:firstLine="0"/>
      </w:pPr>
      <w:proofErr w:type="gramStart"/>
      <w:r w:rsidRPr="007A738A">
        <w:t>where</w:t>
      </w:r>
      <w:proofErr w:type="gramEnd"/>
      <w:r w:rsidRPr="007A738A">
        <w:rPr>
          <w:position w:val="-10"/>
        </w:rPr>
        <w:object w:dxaOrig="2340" w:dyaOrig="340">
          <v:shape id="_x0000_i1038" type="#_x0000_t75" style="width:117.15pt;height:16.65pt" o:ole="">
            <v:imagedata r:id="rId35" o:title=""/>
          </v:shape>
          <o:OLEObject Type="Embed" ProgID="Equation.3" ShapeID="_x0000_i1038" DrawAspect="Content" ObjectID="_1438020013" r:id="rId36"/>
        </w:object>
      </w:r>
      <w:r w:rsidRPr="007A738A">
        <w:t xml:space="preserve">, </w:t>
      </w:r>
      <w:r w:rsidRPr="007A738A">
        <w:rPr>
          <w:position w:val="-10"/>
        </w:rPr>
        <w:object w:dxaOrig="2340" w:dyaOrig="340">
          <v:shape id="_x0000_i1039" type="#_x0000_t75" style="width:117.15pt;height:16.65pt" o:ole="">
            <v:imagedata r:id="rId37" o:title=""/>
          </v:shape>
          <o:OLEObject Type="Embed" ProgID="Equation.3" ShapeID="_x0000_i1039" DrawAspect="Content" ObjectID="_1438020014" r:id="rId38"/>
        </w:object>
      </w:r>
      <w:r w:rsidRPr="007A738A">
        <w:t xml:space="preserve"> and </w:t>
      </w:r>
      <w:r w:rsidRPr="007A738A">
        <w:rPr>
          <w:position w:val="-6"/>
        </w:rPr>
        <w:object w:dxaOrig="200" w:dyaOrig="240">
          <v:shape id="_x0000_i1040" type="#_x0000_t75" style="width:9.15pt;height:12.9pt" o:ole="">
            <v:imagedata r:id="rId39" o:title=""/>
          </v:shape>
          <o:OLEObject Type="Embed" ProgID="Equation.3" ShapeID="_x0000_i1040" DrawAspect="Content" ObjectID="_1438020015" r:id="rId40"/>
        </w:object>
      </w:r>
      <w:r w:rsidRPr="007A738A">
        <w:t xml:space="preserve">is the lower-triangular matrix derived given the covariance matrix </w:t>
      </w:r>
      <w:r w:rsidRPr="007A738A">
        <w:rPr>
          <w:position w:val="-4"/>
        </w:rPr>
        <w:object w:dxaOrig="240" w:dyaOrig="220">
          <v:shape id="_x0000_i1041" type="#_x0000_t75" style="width:11.8pt;height:11.3pt" o:ole="">
            <v:imagedata r:id="rId41" o:title=""/>
          </v:shape>
          <o:OLEObject Type="Embed" ProgID="Equation.3" ShapeID="_x0000_i1041" DrawAspect="Content" ObjectID="_1438020016" r:id="rId42"/>
        </w:object>
      </w:r>
      <w:r w:rsidRPr="007A738A">
        <w:t xml:space="preserve">. The </w:t>
      </w:r>
      <w:proofErr w:type="spellStart"/>
      <w:r w:rsidRPr="007A738A">
        <w:t>Cholesky</w:t>
      </w:r>
      <w:proofErr w:type="spellEnd"/>
      <w:r w:rsidRPr="007A738A">
        <w:t xml:space="preserve"> decomposition of </w:t>
      </w:r>
      <w:r w:rsidRPr="007A738A">
        <w:rPr>
          <w:position w:val="-4"/>
        </w:rPr>
        <w:object w:dxaOrig="240" w:dyaOrig="220">
          <v:shape id="_x0000_i1042" type="#_x0000_t75" style="width:11.8pt;height:11.3pt" o:ole="">
            <v:imagedata r:id="rId43" o:title=""/>
          </v:shape>
          <o:OLEObject Type="Embed" ProgID="Equation.3" ShapeID="_x0000_i1042" DrawAspect="Content" ObjectID="_1438020017" r:id="rId44"/>
        </w:object>
      </w:r>
      <w:r w:rsidRPr="007A738A">
        <w:t xml:space="preserve"> implies </w:t>
      </w:r>
      <w:r w:rsidRPr="007A738A">
        <w:rPr>
          <w:position w:val="-4"/>
        </w:rPr>
        <w:object w:dxaOrig="720" w:dyaOrig="220">
          <v:shape id="_x0000_i1043" type="#_x0000_t75" style="width:36.55pt;height:11.3pt" o:ole="">
            <v:imagedata r:id="rId45" o:title=""/>
          </v:shape>
          <o:OLEObject Type="Embed" ProgID="Equation.3" ShapeID="_x0000_i1043" DrawAspect="Content" ObjectID="_1438020018" r:id="rId46"/>
        </w:object>
      </w:r>
      <w:r w:rsidRPr="007A738A">
        <w:t xml:space="preserve"> with a lower triangular matrix</w:t>
      </w:r>
      <w:r w:rsidRPr="007A738A">
        <w:rPr>
          <w:position w:val="-4"/>
        </w:rPr>
        <w:object w:dxaOrig="220" w:dyaOrig="220">
          <v:shape id="_x0000_i1044" type="#_x0000_t75" style="width:10.75pt;height:11.3pt" o:ole="">
            <v:imagedata r:id="rId47" o:title=""/>
          </v:shape>
          <o:OLEObject Type="Embed" ProgID="Equation.3" ShapeID="_x0000_i1044" DrawAspect="Content" ObjectID="_1438020019" r:id="rId48"/>
        </w:object>
      </w:r>
      <w:r w:rsidRPr="007A738A">
        <w:t>. Since</w:t>
      </w:r>
      <w:r w:rsidRPr="007A738A">
        <w:rPr>
          <w:position w:val="-10"/>
        </w:rPr>
        <w:object w:dxaOrig="2580" w:dyaOrig="300">
          <v:shape id="_x0000_i1045" type="#_x0000_t75" style="width:128.95pt;height:15.05pt" o:ole="">
            <v:imagedata r:id="rId49" o:title=""/>
          </v:shape>
          <o:OLEObject Type="Embed" ProgID="Equation.3" ShapeID="_x0000_i1045" DrawAspect="Content" ObjectID="_1438020020" r:id="rId50"/>
        </w:object>
      </w:r>
      <w:r w:rsidRPr="007A738A">
        <w:t xml:space="preserve">, where structural disturbances </w:t>
      </w:r>
      <w:r w:rsidRPr="007A738A">
        <w:rPr>
          <w:position w:val="-12"/>
        </w:rPr>
        <w:object w:dxaOrig="240" w:dyaOrig="360">
          <v:shape id="_x0000_i1046" type="#_x0000_t75" style="width:11.8pt;height:18.25pt" o:ole="">
            <v:imagedata r:id="rId51" o:title=""/>
          </v:shape>
          <o:OLEObject Type="Embed" ProgID="Equation.3" ShapeID="_x0000_i1046" DrawAspect="Content" ObjectID="_1438020021" r:id="rId52"/>
        </w:object>
      </w:r>
      <w:r w:rsidRPr="007A738A">
        <w:t xml:space="preserve"> are considered to be orthonormal, the matrix </w:t>
      </w:r>
      <w:r w:rsidRPr="007A738A">
        <w:rPr>
          <w:position w:val="-6"/>
        </w:rPr>
        <w:object w:dxaOrig="200" w:dyaOrig="240">
          <v:shape id="_x0000_i1047" type="#_x0000_t75" style="width:9.15pt;height:12.9pt" o:ole="">
            <v:imagedata r:id="rId53" o:title=""/>
          </v:shape>
          <o:OLEObject Type="Embed" ProgID="Equation.3" ShapeID="_x0000_i1047" DrawAspect="Content" ObjectID="_1438020022" r:id="rId54"/>
        </w:object>
      </w:r>
      <w:r w:rsidRPr="007A738A">
        <w:t xml:space="preserve"> is equal to</w:t>
      </w:r>
      <w:r w:rsidRPr="007A738A">
        <w:rPr>
          <w:position w:val="-4"/>
        </w:rPr>
        <w:object w:dxaOrig="220" w:dyaOrig="220">
          <v:shape id="_x0000_i1048" type="#_x0000_t75" style="width:10.75pt;height:11.3pt" o:ole="">
            <v:imagedata r:id="rId55" o:title=""/>
          </v:shape>
          <o:OLEObject Type="Embed" ProgID="Equation.3" ShapeID="_x0000_i1048" DrawAspect="Content" ObjectID="_1438020023" r:id="rId56"/>
        </w:object>
      </w:r>
      <w:r w:rsidRPr="007A738A">
        <w:t xml:space="preserve">. The structural model defined by the equation (2) is identified due to fact that lower-triangular matrix </w:t>
      </w:r>
      <w:r w:rsidRPr="007A738A">
        <w:rPr>
          <w:position w:val="-6"/>
        </w:rPr>
        <w:object w:dxaOrig="200" w:dyaOrig="240">
          <v:shape id="_x0000_i1049" type="#_x0000_t75" style="width:9.15pt;height:12.9pt" o:ole="">
            <v:imagedata r:id="rId57" o:title=""/>
          </v:shape>
          <o:OLEObject Type="Embed" ProgID="Equation.3" ShapeID="_x0000_i1049" DrawAspect="Content" ObjectID="_1438020024" r:id="rId58"/>
        </w:object>
      </w:r>
      <w:r w:rsidRPr="007A738A">
        <w:t xml:space="preserve"> imposes enough zero restrictions</w:t>
      </w:r>
      <w:r w:rsidRPr="007A738A">
        <w:rPr>
          <w:position w:val="-10"/>
        </w:rPr>
        <w:object w:dxaOrig="999" w:dyaOrig="300">
          <v:shape id="_x0000_i1050" type="#_x0000_t75" style="width:50.5pt;height:15.05pt" o:ole="">
            <v:imagedata r:id="rId59" o:title=""/>
          </v:shape>
          <o:OLEObject Type="Embed" ProgID="Equation.3" ShapeID="_x0000_i1050" DrawAspect="Content" ObjectID="_1438020025" r:id="rId60"/>
        </w:object>
      </w:r>
      <w:r w:rsidRPr="007A738A">
        <w:t xml:space="preserve">, where </w:t>
      </w:r>
      <w:r w:rsidRPr="007A738A">
        <w:rPr>
          <w:position w:val="-6"/>
        </w:rPr>
        <w:object w:dxaOrig="180" w:dyaOrig="260">
          <v:shape id="_x0000_i1051" type="#_x0000_t75" style="width:9.15pt;height:12.9pt" o:ole="">
            <v:imagedata r:id="rId61" o:title=""/>
          </v:shape>
          <o:OLEObject Type="Embed" ProgID="Equation.3" ShapeID="_x0000_i1051" DrawAspect="Content" ObjectID="_1438020026" r:id="rId62"/>
        </w:object>
      </w:r>
      <w:r w:rsidRPr="007A738A">
        <w:t xml:space="preserve"> denotes the number of endogenous variables. The lower-triangular matrix </w:t>
      </w:r>
      <w:r w:rsidRPr="007A738A">
        <w:rPr>
          <w:position w:val="-6"/>
        </w:rPr>
        <w:object w:dxaOrig="200" w:dyaOrig="240">
          <v:shape id="_x0000_i1052" type="#_x0000_t75" style="width:9.15pt;height:12.9pt" o:ole="">
            <v:imagedata r:id="rId63" o:title=""/>
          </v:shape>
          <o:OLEObject Type="Embed" ProgID="Equation.3" ShapeID="_x0000_i1052" DrawAspect="Content" ObjectID="_1438020027" r:id="rId64"/>
        </w:object>
      </w:r>
      <w:r w:rsidRPr="007A738A">
        <w:t xml:space="preserve"> implies that some structural shocks have no long-lasting effect on the </w:t>
      </w:r>
      <w:r w:rsidR="00F65B81" w:rsidRPr="007A738A">
        <w:t>endogenous</w:t>
      </w:r>
      <w:r w:rsidRPr="007A738A">
        <w:t xml:space="preserve"> variables. The ordering is thus important and is based on the economic intuition. For example, we assume that changes in oil prices are influenced only by the oil price (supply) shock</w:t>
      </w:r>
      <w:r w:rsidRPr="007A738A">
        <w:rPr>
          <w:position w:val="-10"/>
        </w:rPr>
        <w:object w:dxaOrig="360" w:dyaOrig="340">
          <v:shape id="_x0000_i1053" type="#_x0000_t75" style="width:18.25pt;height:16.65pt" o:ole="">
            <v:imagedata r:id="rId65" o:title=""/>
          </v:shape>
          <o:OLEObject Type="Embed" ProgID="Equation.3" ShapeID="_x0000_i1053" DrawAspect="Content" ObjectID="_1438020028" r:id="rId66"/>
        </w:object>
      </w:r>
      <w:r w:rsidRPr="007A738A">
        <w:t>itself.</w:t>
      </w:r>
    </w:p>
    <w:p w:rsidR="00BD3025" w:rsidRPr="007A738A" w:rsidRDefault="00BD3025" w:rsidP="00925964">
      <w:pPr>
        <w:pStyle w:val="Nadpis1"/>
      </w:pPr>
      <w:r w:rsidRPr="007A738A">
        <w:t>Estimation results</w:t>
      </w:r>
    </w:p>
    <w:p w:rsidR="00BD3025" w:rsidRPr="007A738A" w:rsidRDefault="00BD3025" w:rsidP="00872EBC">
      <w:pPr>
        <w:pStyle w:val="Zkladntext"/>
        <w:rPr>
          <w:szCs w:val="20"/>
        </w:rPr>
      </w:pPr>
      <w:r w:rsidRPr="007A738A">
        <w:rPr>
          <w:szCs w:val="20"/>
        </w:rPr>
        <w:t xml:space="preserve">The lag order of the VAR model was selected using the </w:t>
      </w:r>
      <w:proofErr w:type="spellStart"/>
      <w:r w:rsidRPr="007A738A">
        <w:rPr>
          <w:szCs w:val="20"/>
        </w:rPr>
        <w:t>Akaike</w:t>
      </w:r>
      <w:proofErr w:type="spellEnd"/>
      <w:r w:rsidRPr="007A738A">
        <w:rPr>
          <w:szCs w:val="20"/>
        </w:rPr>
        <w:t xml:space="preserve"> information criterion (AIC). The constant term was included in our model specification that might be justified by the fact, that there was a significant (i.e. non-zero) growth in the monthly CPI. The reduced form VAR models for all V4 countries have been estimated using the complete data set starting from 1993M2 to 2007M12</w:t>
      </w:r>
      <w:r w:rsidRPr="007A738A">
        <w:rPr>
          <w:rStyle w:val="Znakapoznpodarou"/>
          <w:szCs w:val="20"/>
        </w:rPr>
        <w:footnoteReference w:id="6"/>
      </w:r>
      <w:r w:rsidRPr="007A738A">
        <w:rPr>
          <w:szCs w:val="20"/>
        </w:rPr>
        <w:t xml:space="preserve">. Structural shocks were computed from the VAR residuals. </w:t>
      </w:r>
    </w:p>
    <w:p w:rsidR="00BD3025" w:rsidRPr="007A738A" w:rsidRDefault="00F93D5B" w:rsidP="00872EBC">
      <w:pPr>
        <w:pStyle w:val="Zkladntext-prvnodsazen"/>
        <w:ind w:firstLine="0"/>
        <w:jc w:val="center"/>
      </w:pPr>
      <w:r>
        <w:rPr>
          <w:noProof/>
          <w:lang w:val="cs-CZ"/>
        </w:rPr>
        <w:pict>
          <v:group id="_x0000_s1029" style="position:absolute;left:0;text-align:left;margin-left:-3.65pt;margin-top:10.05pt;width:483.7pt;height:309.95pt;z-index:2" coordorigin="1232,1972" coordsize="9070,5953">
            <o:lock v:ext="edit" aspectratio="t"/>
            <v:shape id="_x0000_s1030" type="#_x0000_t75" style="position:absolute;left:1232;top:1983;width:4535;height:2918">
              <v:imagedata r:id="rId67" o:title="" croptop="1791f" cropbottom="4954f" cropleft="4675f" cropright="2577f"/>
            </v:shape>
            <v:shape id="_x0000_s1031" type="#_x0000_t75" style="position:absolute;left:5767;top:1972;width:4535;height:2944">
              <v:imagedata r:id="rId68" o:title="" croptop="1592f" cropbottom="4733f" cropleft="4731f" cropright="2577f"/>
            </v:shape>
            <v:shape id="_x0000_s1032" type="#_x0000_t75" style="position:absolute;left:1287;top:4938;width:4480;height:2987">
              <v:imagedata r:id="rId69" o:title="" croptop="1393f" cropbottom="4733f" cropleft="5407f" cropright="2577f"/>
            </v:shape>
            <v:shape id="_x0000_s1033" type="#_x0000_t75" style="position:absolute;left:5818;top:4936;width:4473;height:2977">
              <v:imagedata r:id="rId70" o:title="" croptop="1437f" cropbottom="4711f" cropleft="5407f" cropright="2577f"/>
            </v:shape>
            <w10:wrap type="square"/>
          </v:group>
        </w:pict>
      </w:r>
      <w:r w:rsidR="00BD3025" w:rsidRPr="007A738A">
        <w:rPr>
          <w:rStyle w:val="CaptionHeader"/>
        </w:rPr>
        <w:t xml:space="preserve">Figure </w:t>
      </w:r>
      <w:r w:rsidR="006637EA" w:rsidRPr="007A738A">
        <w:rPr>
          <w:rStyle w:val="CaptionHeader"/>
        </w:rPr>
        <w:fldChar w:fldCharType="begin"/>
      </w:r>
      <w:r w:rsidR="00BD3025" w:rsidRPr="007A738A">
        <w:rPr>
          <w:rStyle w:val="CaptionHeader"/>
        </w:rPr>
        <w:instrText xml:space="preserve"> SEQ Figure \* ARABIC </w:instrText>
      </w:r>
      <w:r w:rsidR="006637EA" w:rsidRPr="007A738A">
        <w:rPr>
          <w:rStyle w:val="CaptionHeader"/>
        </w:rPr>
        <w:fldChar w:fldCharType="separate"/>
      </w:r>
      <w:r w:rsidR="002C07CA" w:rsidRPr="007A738A">
        <w:rPr>
          <w:rStyle w:val="CaptionHeader"/>
          <w:noProof/>
        </w:rPr>
        <w:t>2</w:t>
      </w:r>
      <w:r w:rsidR="006637EA" w:rsidRPr="007A738A">
        <w:rPr>
          <w:rStyle w:val="CaptionHeader"/>
        </w:rPr>
        <w:fldChar w:fldCharType="end"/>
      </w:r>
      <w:r w:rsidR="00BD3025" w:rsidRPr="007A738A">
        <w:t xml:space="preserve"> Historical shock decompositions – inflation</w:t>
      </w:r>
    </w:p>
    <w:p w:rsidR="00BD3025" w:rsidRPr="007A738A" w:rsidRDefault="00BD3025" w:rsidP="00872EBC">
      <w:pPr>
        <w:pStyle w:val="Zkladntext-prvnodsazen"/>
      </w:pPr>
      <w:r w:rsidRPr="007A738A">
        <w:lastRenderedPageBreak/>
        <w:t>Figure 2 shows the historical shocks decomposition of monthly CPI inflation and the development of the NEER (indirect quotation where increase means depreciation). The corresponding structural shocks contributions were computed using the identified and simulated SVAR model. Non-zero shocks were simulated with respect to the lag of reduced-form model (in 1993M4 for the Czech Republic and Slovakia or 1993M5 in case of Hungary and Poland). The subplots in Figure 2 contain a mark of the period of change (vertical line) of the exchange rate regimes. These time intervals are used in Table 2 to determine the relative importance of all shocks to the variance in inflation during the examined period. In particular, the ends of fixed exchange rate period are stated in each country as follow: 1997M5 for the Czech Republic, 2001M5 for Hungary, 2000M5 for Poland and 1998M10 for Slovakia. The remaining periods are considered as the regime of the floating exchange rate. We can notice in the following charts that in several periods exchange rate plays an important role in the explanation of inflation. An interesting period is for example spring of 1997 in the Czech Republic – after the currency crisis. The devaluation was causing inflation. Another interesting period is crawling peg in Hungary after 1995 that had an impact on the growth of the price level as well. On the contrary in Poland and Slovakia there were no periods with such obvious influence of the exchange rate.</w:t>
      </w:r>
    </w:p>
    <w:p w:rsidR="00BD3025" w:rsidRPr="007A738A" w:rsidRDefault="00BD3025" w:rsidP="00872EBC">
      <w:pPr>
        <w:pStyle w:val="Zkladntext-prvnodsazen"/>
      </w:pPr>
      <w:r w:rsidRPr="007A738A">
        <w:t>Forecast error variance decomposition of inflation for all V4 countries is shown in Table 1. We should notice that the exchange rates were the most important inflation variables for all countries. But there are some obvious differences among the countries in terms of the extent of variability.</w:t>
      </w:r>
    </w:p>
    <w:p w:rsidR="00BD3025" w:rsidRPr="007A738A" w:rsidRDefault="00BD3025" w:rsidP="00872EBC">
      <w:pPr>
        <w:pStyle w:val="Zkladntext-prvnodsazen"/>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0"/>
        <w:gridCol w:w="635"/>
        <w:gridCol w:w="635"/>
        <w:gridCol w:w="635"/>
        <w:gridCol w:w="635"/>
        <w:gridCol w:w="635"/>
      </w:tblGrid>
      <w:tr w:rsidR="00BD3025" w:rsidRPr="007A738A">
        <w:trPr>
          <w:trHeight w:val="280"/>
          <w:jc w:val="center"/>
        </w:trPr>
        <w:tc>
          <w:tcPr>
            <w:tcW w:w="0" w:type="auto"/>
            <w:tcBorders>
              <w:left w:val="nil"/>
              <w:right w:val="nil"/>
            </w:tcBorders>
            <w:vAlign w:val="center"/>
          </w:tcPr>
          <w:p w:rsidR="00BD3025" w:rsidRPr="007A738A" w:rsidRDefault="00BD3025" w:rsidP="002639D7">
            <w:pPr>
              <w:pStyle w:val="Tablecenteredtext"/>
              <w:rPr>
                <w:rStyle w:val="Siln"/>
                <w:sz w:val="18"/>
                <w:szCs w:val="18"/>
              </w:rPr>
            </w:pPr>
          </w:p>
        </w:tc>
        <w:tc>
          <w:tcPr>
            <w:tcW w:w="0" w:type="auto"/>
            <w:tcBorders>
              <w:left w:val="nil"/>
              <w:right w:val="nil"/>
            </w:tcBorders>
            <w:vAlign w:val="center"/>
          </w:tcPr>
          <w:p w:rsidR="00BD3025" w:rsidRPr="007A738A" w:rsidRDefault="00BD3025" w:rsidP="002639D7">
            <w:pPr>
              <w:pStyle w:val="Tablecenteredtext"/>
              <w:rPr>
                <w:rStyle w:val="Siln"/>
                <w:sz w:val="18"/>
                <w:szCs w:val="18"/>
              </w:rPr>
            </w:pPr>
            <w:r w:rsidRPr="007A738A">
              <w:rPr>
                <w:rStyle w:val="Siln"/>
                <w:sz w:val="18"/>
                <w:szCs w:val="18"/>
              </w:rPr>
              <w:object w:dxaOrig="340" w:dyaOrig="300">
                <v:shape id="_x0000_i1054" type="#_x0000_t75" style="width:16.65pt;height:15.05pt" o:ole="">
                  <v:imagedata r:id="rId71" o:title=""/>
                </v:shape>
                <o:OLEObject Type="Embed" ProgID="Equation.3" ShapeID="_x0000_i1054" DrawAspect="Content" ObjectID="_1438020029" r:id="rId72"/>
              </w:object>
            </w:r>
          </w:p>
        </w:tc>
        <w:tc>
          <w:tcPr>
            <w:tcW w:w="0" w:type="auto"/>
            <w:tcBorders>
              <w:left w:val="nil"/>
              <w:right w:val="nil"/>
            </w:tcBorders>
            <w:vAlign w:val="center"/>
          </w:tcPr>
          <w:p w:rsidR="00BD3025" w:rsidRPr="007A738A" w:rsidRDefault="00BD3025" w:rsidP="002639D7">
            <w:pPr>
              <w:pStyle w:val="Tablecenteredtext"/>
              <w:rPr>
                <w:rStyle w:val="Siln"/>
                <w:sz w:val="18"/>
                <w:szCs w:val="18"/>
              </w:rPr>
            </w:pPr>
            <w:r w:rsidRPr="007A738A">
              <w:rPr>
                <w:rStyle w:val="Siln"/>
                <w:sz w:val="18"/>
                <w:szCs w:val="18"/>
              </w:rPr>
              <w:object w:dxaOrig="420" w:dyaOrig="300">
                <v:shape id="_x0000_i1055" type="#_x0000_t75" style="width:20.4pt;height:14.5pt" o:ole="">
                  <v:imagedata r:id="rId73" o:title=""/>
                </v:shape>
                <o:OLEObject Type="Embed" ProgID="Equation.3" ShapeID="_x0000_i1055" DrawAspect="Content" ObjectID="_1438020030" r:id="rId74"/>
              </w:object>
            </w:r>
          </w:p>
        </w:tc>
        <w:tc>
          <w:tcPr>
            <w:tcW w:w="0" w:type="auto"/>
            <w:tcBorders>
              <w:left w:val="nil"/>
              <w:right w:val="nil"/>
            </w:tcBorders>
            <w:vAlign w:val="center"/>
          </w:tcPr>
          <w:p w:rsidR="00BD3025" w:rsidRPr="007A738A" w:rsidRDefault="00BD3025" w:rsidP="002639D7">
            <w:pPr>
              <w:pStyle w:val="Tablecenteredtext"/>
              <w:rPr>
                <w:rStyle w:val="Siln"/>
                <w:sz w:val="18"/>
                <w:szCs w:val="18"/>
              </w:rPr>
            </w:pPr>
            <w:r w:rsidRPr="007A738A">
              <w:rPr>
                <w:rStyle w:val="Siln"/>
                <w:sz w:val="18"/>
                <w:szCs w:val="18"/>
              </w:rPr>
              <w:object w:dxaOrig="300" w:dyaOrig="300">
                <v:shape id="_x0000_i1056" type="#_x0000_t75" style="width:15.05pt;height:15.05pt" o:ole="">
                  <v:imagedata r:id="rId75" o:title=""/>
                </v:shape>
                <o:OLEObject Type="Embed" ProgID="Equation.3" ShapeID="_x0000_i1056" DrawAspect="Content" ObjectID="_1438020031" r:id="rId76"/>
              </w:object>
            </w:r>
          </w:p>
        </w:tc>
        <w:tc>
          <w:tcPr>
            <w:tcW w:w="0" w:type="auto"/>
            <w:tcBorders>
              <w:left w:val="nil"/>
              <w:right w:val="nil"/>
            </w:tcBorders>
            <w:vAlign w:val="center"/>
          </w:tcPr>
          <w:p w:rsidR="00BD3025" w:rsidRPr="007A738A" w:rsidRDefault="00BD3025" w:rsidP="002639D7">
            <w:pPr>
              <w:pStyle w:val="Tablecenteredtext"/>
              <w:rPr>
                <w:rStyle w:val="Siln"/>
                <w:sz w:val="18"/>
                <w:szCs w:val="18"/>
              </w:rPr>
            </w:pPr>
            <w:r w:rsidRPr="007A738A">
              <w:rPr>
                <w:rStyle w:val="Siln"/>
                <w:sz w:val="18"/>
                <w:szCs w:val="18"/>
              </w:rPr>
              <w:object w:dxaOrig="440" w:dyaOrig="300">
                <v:shape id="_x0000_i1057" type="#_x0000_t75" style="width:21.5pt;height:15.05pt" o:ole="">
                  <v:imagedata r:id="rId77" o:title=""/>
                </v:shape>
                <o:OLEObject Type="Embed" ProgID="Equation.3" ShapeID="_x0000_i1057" DrawAspect="Content" ObjectID="_1438020032" r:id="rId78"/>
              </w:object>
            </w:r>
          </w:p>
        </w:tc>
        <w:tc>
          <w:tcPr>
            <w:tcW w:w="0" w:type="auto"/>
            <w:tcBorders>
              <w:left w:val="nil"/>
              <w:right w:val="nil"/>
            </w:tcBorders>
            <w:vAlign w:val="center"/>
          </w:tcPr>
          <w:p w:rsidR="00BD3025" w:rsidRPr="007A738A" w:rsidRDefault="00BD3025" w:rsidP="002639D7">
            <w:pPr>
              <w:pStyle w:val="Tablecenteredtext"/>
              <w:rPr>
                <w:rStyle w:val="Siln"/>
                <w:sz w:val="18"/>
                <w:szCs w:val="18"/>
              </w:rPr>
            </w:pPr>
            <w:r w:rsidRPr="007A738A">
              <w:rPr>
                <w:rStyle w:val="Siln"/>
                <w:sz w:val="18"/>
                <w:szCs w:val="18"/>
              </w:rPr>
              <w:object w:dxaOrig="360" w:dyaOrig="300">
                <v:shape id="_x0000_i1058" type="#_x0000_t75" style="width:18.25pt;height:14.5pt" o:ole="">
                  <v:imagedata r:id="rId79" o:title=""/>
                </v:shape>
                <o:OLEObject Type="Embed" ProgID="Equation.3" ShapeID="_x0000_i1058" DrawAspect="Content" ObjectID="_1438020033" r:id="rId80"/>
              </w:object>
            </w:r>
          </w:p>
        </w:tc>
      </w:tr>
      <w:tr w:rsidR="00BD3025" w:rsidRPr="007A738A">
        <w:trPr>
          <w:trHeight w:val="280"/>
          <w:jc w:val="center"/>
        </w:trPr>
        <w:tc>
          <w:tcPr>
            <w:tcW w:w="0" w:type="auto"/>
            <w:tcBorders>
              <w:left w:val="nil"/>
              <w:bottom w:val="nil"/>
              <w:right w:val="nil"/>
            </w:tcBorders>
            <w:vAlign w:val="center"/>
          </w:tcPr>
          <w:p w:rsidR="00BD3025" w:rsidRPr="007A738A" w:rsidRDefault="00BD3025" w:rsidP="002639D7">
            <w:pPr>
              <w:pStyle w:val="Tablecenteredtext"/>
              <w:rPr>
                <w:sz w:val="18"/>
                <w:szCs w:val="18"/>
              </w:rPr>
            </w:pPr>
            <w:r w:rsidRPr="007A738A">
              <w:rPr>
                <w:sz w:val="18"/>
                <w:szCs w:val="18"/>
              </w:rPr>
              <w:t>CZE</w:t>
            </w:r>
          </w:p>
        </w:tc>
        <w:tc>
          <w:tcPr>
            <w:tcW w:w="0" w:type="auto"/>
            <w:tcBorders>
              <w:left w:val="nil"/>
              <w:bottom w:val="nil"/>
              <w:right w:val="nil"/>
            </w:tcBorders>
            <w:vAlign w:val="center"/>
          </w:tcPr>
          <w:p w:rsidR="00BD3025" w:rsidRPr="007A738A" w:rsidRDefault="00BD3025" w:rsidP="002639D7">
            <w:pPr>
              <w:pStyle w:val="Tablecenteredtext"/>
              <w:rPr>
                <w:sz w:val="18"/>
                <w:szCs w:val="18"/>
              </w:rPr>
            </w:pPr>
            <w:r w:rsidRPr="007A738A">
              <w:rPr>
                <w:sz w:val="18"/>
                <w:szCs w:val="18"/>
              </w:rPr>
              <w:t>0.0089</w:t>
            </w:r>
          </w:p>
        </w:tc>
        <w:tc>
          <w:tcPr>
            <w:tcW w:w="0" w:type="auto"/>
            <w:tcBorders>
              <w:left w:val="nil"/>
              <w:bottom w:val="nil"/>
              <w:right w:val="nil"/>
            </w:tcBorders>
            <w:vAlign w:val="center"/>
          </w:tcPr>
          <w:p w:rsidR="00BD3025" w:rsidRPr="007A738A" w:rsidRDefault="00BD3025" w:rsidP="002639D7">
            <w:pPr>
              <w:pStyle w:val="Tablecenteredtext"/>
              <w:rPr>
                <w:sz w:val="18"/>
                <w:szCs w:val="18"/>
              </w:rPr>
            </w:pPr>
            <w:r w:rsidRPr="007A738A">
              <w:rPr>
                <w:sz w:val="18"/>
                <w:szCs w:val="18"/>
              </w:rPr>
              <w:t>0.0224</w:t>
            </w:r>
          </w:p>
        </w:tc>
        <w:tc>
          <w:tcPr>
            <w:tcW w:w="0" w:type="auto"/>
            <w:tcBorders>
              <w:left w:val="nil"/>
              <w:bottom w:val="nil"/>
              <w:right w:val="nil"/>
            </w:tcBorders>
            <w:vAlign w:val="center"/>
          </w:tcPr>
          <w:p w:rsidR="00BD3025" w:rsidRPr="007A738A" w:rsidRDefault="00BD3025" w:rsidP="002639D7">
            <w:pPr>
              <w:pStyle w:val="Tablecenteredtext"/>
              <w:rPr>
                <w:sz w:val="18"/>
                <w:szCs w:val="18"/>
              </w:rPr>
            </w:pPr>
            <w:r w:rsidRPr="007A738A">
              <w:rPr>
                <w:sz w:val="18"/>
                <w:szCs w:val="18"/>
              </w:rPr>
              <w:t>0.0051</w:t>
            </w:r>
          </w:p>
        </w:tc>
        <w:tc>
          <w:tcPr>
            <w:tcW w:w="0" w:type="auto"/>
            <w:tcBorders>
              <w:left w:val="nil"/>
              <w:bottom w:val="nil"/>
              <w:right w:val="nil"/>
            </w:tcBorders>
            <w:vAlign w:val="center"/>
          </w:tcPr>
          <w:p w:rsidR="00BD3025" w:rsidRPr="007A738A" w:rsidRDefault="00BD3025" w:rsidP="002639D7">
            <w:pPr>
              <w:pStyle w:val="Tablecenteredtext"/>
              <w:rPr>
                <w:sz w:val="18"/>
                <w:szCs w:val="18"/>
              </w:rPr>
            </w:pPr>
            <w:r w:rsidRPr="007A738A">
              <w:rPr>
                <w:sz w:val="18"/>
                <w:szCs w:val="18"/>
              </w:rPr>
              <w:t>0.1467</w:t>
            </w:r>
          </w:p>
        </w:tc>
        <w:tc>
          <w:tcPr>
            <w:tcW w:w="0" w:type="auto"/>
            <w:tcBorders>
              <w:left w:val="nil"/>
              <w:bottom w:val="nil"/>
              <w:right w:val="nil"/>
            </w:tcBorders>
            <w:vAlign w:val="center"/>
          </w:tcPr>
          <w:p w:rsidR="00BD3025" w:rsidRPr="007A738A" w:rsidRDefault="00BD3025" w:rsidP="002639D7">
            <w:pPr>
              <w:pStyle w:val="Tablecenteredtext"/>
              <w:rPr>
                <w:sz w:val="18"/>
                <w:szCs w:val="18"/>
              </w:rPr>
            </w:pPr>
            <w:r w:rsidRPr="007A738A">
              <w:rPr>
                <w:sz w:val="18"/>
                <w:szCs w:val="18"/>
              </w:rPr>
              <w:t>0.8168</w:t>
            </w:r>
          </w:p>
        </w:tc>
      </w:tr>
      <w:tr w:rsidR="00BD3025" w:rsidRPr="007A738A">
        <w:trPr>
          <w:trHeight w:val="280"/>
          <w:jc w:val="center"/>
        </w:trPr>
        <w:tc>
          <w:tcPr>
            <w:tcW w:w="0" w:type="auto"/>
            <w:tcBorders>
              <w:top w:val="nil"/>
              <w:left w:val="nil"/>
              <w:bottom w:val="nil"/>
              <w:right w:val="nil"/>
            </w:tcBorders>
            <w:vAlign w:val="center"/>
          </w:tcPr>
          <w:p w:rsidR="00BD3025" w:rsidRPr="007A738A" w:rsidRDefault="00BD3025" w:rsidP="002639D7">
            <w:pPr>
              <w:pStyle w:val="Tablecenteredtext"/>
              <w:rPr>
                <w:sz w:val="18"/>
                <w:szCs w:val="18"/>
              </w:rPr>
            </w:pPr>
            <w:r w:rsidRPr="007A738A">
              <w:rPr>
                <w:sz w:val="18"/>
                <w:szCs w:val="18"/>
              </w:rPr>
              <w:t>HUN</w:t>
            </w:r>
          </w:p>
        </w:tc>
        <w:tc>
          <w:tcPr>
            <w:tcW w:w="0" w:type="auto"/>
            <w:tcBorders>
              <w:top w:val="nil"/>
              <w:left w:val="nil"/>
              <w:bottom w:val="nil"/>
              <w:right w:val="nil"/>
            </w:tcBorders>
            <w:vAlign w:val="center"/>
          </w:tcPr>
          <w:p w:rsidR="00BD3025" w:rsidRPr="007A738A" w:rsidRDefault="00BD3025" w:rsidP="002639D7">
            <w:pPr>
              <w:jc w:val="center"/>
              <w:rPr>
                <w:sz w:val="18"/>
                <w:szCs w:val="18"/>
              </w:rPr>
            </w:pPr>
            <w:r w:rsidRPr="007A738A">
              <w:rPr>
                <w:sz w:val="18"/>
                <w:szCs w:val="18"/>
              </w:rPr>
              <w:t>0.0151</w:t>
            </w:r>
          </w:p>
        </w:tc>
        <w:tc>
          <w:tcPr>
            <w:tcW w:w="0" w:type="auto"/>
            <w:tcBorders>
              <w:top w:val="nil"/>
              <w:left w:val="nil"/>
              <w:bottom w:val="nil"/>
              <w:right w:val="nil"/>
            </w:tcBorders>
            <w:vAlign w:val="center"/>
          </w:tcPr>
          <w:p w:rsidR="00BD3025" w:rsidRPr="007A738A" w:rsidRDefault="00BD3025" w:rsidP="002639D7">
            <w:pPr>
              <w:jc w:val="center"/>
              <w:rPr>
                <w:sz w:val="18"/>
                <w:szCs w:val="18"/>
              </w:rPr>
            </w:pPr>
            <w:r w:rsidRPr="007A738A">
              <w:rPr>
                <w:sz w:val="18"/>
                <w:szCs w:val="18"/>
              </w:rPr>
              <w:t>0.0213</w:t>
            </w:r>
          </w:p>
        </w:tc>
        <w:tc>
          <w:tcPr>
            <w:tcW w:w="0" w:type="auto"/>
            <w:tcBorders>
              <w:top w:val="nil"/>
              <w:left w:val="nil"/>
              <w:bottom w:val="nil"/>
              <w:right w:val="nil"/>
            </w:tcBorders>
            <w:vAlign w:val="center"/>
          </w:tcPr>
          <w:p w:rsidR="00BD3025" w:rsidRPr="007A738A" w:rsidRDefault="00BD3025" w:rsidP="002639D7">
            <w:pPr>
              <w:jc w:val="center"/>
              <w:rPr>
                <w:sz w:val="18"/>
                <w:szCs w:val="18"/>
              </w:rPr>
            </w:pPr>
            <w:r w:rsidRPr="007A738A">
              <w:rPr>
                <w:sz w:val="18"/>
                <w:szCs w:val="18"/>
              </w:rPr>
              <w:t>0.0190</w:t>
            </w:r>
          </w:p>
        </w:tc>
        <w:tc>
          <w:tcPr>
            <w:tcW w:w="0" w:type="auto"/>
            <w:tcBorders>
              <w:top w:val="nil"/>
              <w:left w:val="nil"/>
              <w:bottom w:val="nil"/>
              <w:right w:val="nil"/>
            </w:tcBorders>
            <w:vAlign w:val="center"/>
          </w:tcPr>
          <w:p w:rsidR="00BD3025" w:rsidRPr="007A738A" w:rsidRDefault="00BD3025" w:rsidP="002639D7">
            <w:pPr>
              <w:jc w:val="center"/>
              <w:rPr>
                <w:sz w:val="18"/>
                <w:szCs w:val="18"/>
              </w:rPr>
            </w:pPr>
            <w:r w:rsidRPr="007A738A">
              <w:rPr>
                <w:sz w:val="18"/>
                <w:szCs w:val="18"/>
              </w:rPr>
              <w:t>0.1828</w:t>
            </w:r>
          </w:p>
        </w:tc>
        <w:tc>
          <w:tcPr>
            <w:tcW w:w="0" w:type="auto"/>
            <w:tcBorders>
              <w:top w:val="nil"/>
              <w:left w:val="nil"/>
              <w:bottom w:val="nil"/>
              <w:right w:val="nil"/>
            </w:tcBorders>
            <w:vAlign w:val="center"/>
          </w:tcPr>
          <w:p w:rsidR="00BD3025" w:rsidRPr="007A738A" w:rsidRDefault="00BD3025" w:rsidP="002639D7">
            <w:pPr>
              <w:jc w:val="center"/>
              <w:rPr>
                <w:sz w:val="18"/>
                <w:szCs w:val="18"/>
              </w:rPr>
            </w:pPr>
            <w:r w:rsidRPr="007A738A">
              <w:rPr>
                <w:sz w:val="18"/>
                <w:szCs w:val="18"/>
              </w:rPr>
              <w:t>0.7618</w:t>
            </w:r>
          </w:p>
        </w:tc>
      </w:tr>
      <w:tr w:rsidR="00BD3025" w:rsidRPr="007A738A">
        <w:trPr>
          <w:trHeight w:val="280"/>
          <w:jc w:val="center"/>
        </w:trPr>
        <w:tc>
          <w:tcPr>
            <w:tcW w:w="0" w:type="auto"/>
            <w:tcBorders>
              <w:top w:val="nil"/>
              <w:left w:val="nil"/>
              <w:bottom w:val="nil"/>
              <w:right w:val="nil"/>
            </w:tcBorders>
            <w:vAlign w:val="center"/>
          </w:tcPr>
          <w:p w:rsidR="00BD3025" w:rsidRPr="007A738A" w:rsidRDefault="00BD3025" w:rsidP="002639D7">
            <w:pPr>
              <w:pStyle w:val="Tablecenteredtext"/>
              <w:rPr>
                <w:sz w:val="18"/>
                <w:szCs w:val="18"/>
              </w:rPr>
            </w:pPr>
            <w:r w:rsidRPr="007A738A">
              <w:rPr>
                <w:sz w:val="18"/>
                <w:szCs w:val="18"/>
              </w:rPr>
              <w:t>POL</w:t>
            </w:r>
          </w:p>
        </w:tc>
        <w:tc>
          <w:tcPr>
            <w:tcW w:w="0" w:type="auto"/>
            <w:tcBorders>
              <w:top w:val="nil"/>
              <w:left w:val="nil"/>
              <w:bottom w:val="nil"/>
              <w:right w:val="nil"/>
            </w:tcBorders>
            <w:vAlign w:val="center"/>
          </w:tcPr>
          <w:p w:rsidR="00BD3025" w:rsidRPr="007A738A" w:rsidRDefault="00BD3025" w:rsidP="002639D7">
            <w:pPr>
              <w:jc w:val="center"/>
              <w:rPr>
                <w:sz w:val="18"/>
                <w:szCs w:val="18"/>
              </w:rPr>
            </w:pPr>
            <w:r w:rsidRPr="007A738A">
              <w:rPr>
                <w:sz w:val="18"/>
                <w:szCs w:val="18"/>
              </w:rPr>
              <w:t>0.0085</w:t>
            </w:r>
          </w:p>
        </w:tc>
        <w:tc>
          <w:tcPr>
            <w:tcW w:w="0" w:type="auto"/>
            <w:tcBorders>
              <w:top w:val="nil"/>
              <w:left w:val="nil"/>
              <w:bottom w:val="nil"/>
              <w:right w:val="nil"/>
            </w:tcBorders>
            <w:vAlign w:val="center"/>
          </w:tcPr>
          <w:p w:rsidR="00BD3025" w:rsidRPr="007A738A" w:rsidRDefault="00BD3025" w:rsidP="002639D7">
            <w:pPr>
              <w:jc w:val="center"/>
              <w:rPr>
                <w:sz w:val="18"/>
                <w:szCs w:val="18"/>
              </w:rPr>
            </w:pPr>
            <w:r w:rsidRPr="007A738A">
              <w:rPr>
                <w:sz w:val="18"/>
                <w:szCs w:val="18"/>
              </w:rPr>
              <w:t>0.0070</w:t>
            </w:r>
          </w:p>
        </w:tc>
        <w:tc>
          <w:tcPr>
            <w:tcW w:w="0" w:type="auto"/>
            <w:tcBorders>
              <w:top w:val="nil"/>
              <w:left w:val="nil"/>
              <w:bottom w:val="nil"/>
              <w:right w:val="nil"/>
            </w:tcBorders>
            <w:vAlign w:val="center"/>
          </w:tcPr>
          <w:p w:rsidR="00BD3025" w:rsidRPr="007A738A" w:rsidRDefault="00BD3025" w:rsidP="002639D7">
            <w:pPr>
              <w:jc w:val="center"/>
              <w:rPr>
                <w:sz w:val="18"/>
                <w:szCs w:val="18"/>
              </w:rPr>
            </w:pPr>
            <w:r w:rsidRPr="007A738A">
              <w:rPr>
                <w:sz w:val="18"/>
                <w:szCs w:val="18"/>
              </w:rPr>
              <w:t>0.0507</w:t>
            </w:r>
          </w:p>
        </w:tc>
        <w:tc>
          <w:tcPr>
            <w:tcW w:w="0" w:type="auto"/>
            <w:tcBorders>
              <w:top w:val="nil"/>
              <w:left w:val="nil"/>
              <w:bottom w:val="nil"/>
              <w:right w:val="nil"/>
            </w:tcBorders>
            <w:vAlign w:val="center"/>
          </w:tcPr>
          <w:p w:rsidR="00BD3025" w:rsidRPr="007A738A" w:rsidRDefault="00BD3025" w:rsidP="002639D7">
            <w:pPr>
              <w:jc w:val="center"/>
              <w:rPr>
                <w:sz w:val="18"/>
                <w:szCs w:val="18"/>
              </w:rPr>
            </w:pPr>
            <w:r w:rsidRPr="007A738A">
              <w:rPr>
                <w:sz w:val="18"/>
                <w:szCs w:val="18"/>
              </w:rPr>
              <w:t>0.0623</w:t>
            </w:r>
          </w:p>
        </w:tc>
        <w:tc>
          <w:tcPr>
            <w:tcW w:w="0" w:type="auto"/>
            <w:tcBorders>
              <w:top w:val="nil"/>
              <w:left w:val="nil"/>
              <w:bottom w:val="nil"/>
              <w:right w:val="nil"/>
            </w:tcBorders>
            <w:vAlign w:val="center"/>
          </w:tcPr>
          <w:p w:rsidR="00BD3025" w:rsidRPr="007A738A" w:rsidRDefault="00BD3025" w:rsidP="002639D7">
            <w:pPr>
              <w:jc w:val="center"/>
              <w:rPr>
                <w:sz w:val="18"/>
                <w:szCs w:val="18"/>
              </w:rPr>
            </w:pPr>
            <w:r w:rsidRPr="007A738A">
              <w:rPr>
                <w:sz w:val="18"/>
                <w:szCs w:val="18"/>
              </w:rPr>
              <w:t>0.8715</w:t>
            </w:r>
          </w:p>
        </w:tc>
      </w:tr>
      <w:tr w:rsidR="00BD3025" w:rsidRPr="007A738A">
        <w:trPr>
          <w:trHeight w:val="280"/>
          <w:jc w:val="center"/>
        </w:trPr>
        <w:tc>
          <w:tcPr>
            <w:tcW w:w="0" w:type="auto"/>
            <w:tcBorders>
              <w:top w:val="nil"/>
              <w:left w:val="nil"/>
              <w:right w:val="nil"/>
            </w:tcBorders>
            <w:vAlign w:val="center"/>
          </w:tcPr>
          <w:p w:rsidR="00BD3025" w:rsidRPr="007A738A" w:rsidRDefault="00BD3025" w:rsidP="002639D7">
            <w:pPr>
              <w:pStyle w:val="Tablecenteredtext"/>
              <w:rPr>
                <w:sz w:val="18"/>
                <w:szCs w:val="18"/>
              </w:rPr>
            </w:pPr>
            <w:r w:rsidRPr="007A738A">
              <w:rPr>
                <w:sz w:val="18"/>
                <w:szCs w:val="18"/>
              </w:rPr>
              <w:t>SVK</w:t>
            </w:r>
          </w:p>
        </w:tc>
        <w:tc>
          <w:tcPr>
            <w:tcW w:w="0" w:type="auto"/>
            <w:tcBorders>
              <w:top w:val="nil"/>
              <w:left w:val="nil"/>
              <w:right w:val="nil"/>
            </w:tcBorders>
            <w:vAlign w:val="center"/>
          </w:tcPr>
          <w:p w:rsidR="00BD3025" w:rsidRPr="007A738A" w:rsidRDefault="00BD3025" w:rsidP="002639D7">
            <w:pPr>
              <w:jc w:val="center"/>
              <w:rPr>
                <w:sz w:val="18"/>
                <w:szCs w:val="18"/>
              </w:rPr>
            </w:pPr>
            <w:r w:rsidRPr="007A738A">
              <w:rPr>
                <w:sz w:val="18"/>
                <w:szCs w:val="18"/>
              </w:rPr>
              <w:t>0.0441</w:t>
            </w:r>
          </w:p>
        </w:tc>
        <w:tc>
          <w:tcPr>
            <w:tcW w:w="0" w:type="auto"/>
            <w:tcBorders>
              <w:top w:val="nil"/>
              <w:left w:val="nil"/>
              <w:right w:val="nil"/>
            </w:tcBorders>
            <w:vAlign w:val="center"/>
          </w:tcPr>
          <w:p w:rsidR="00BD3025" w:rsidRPr="007A738A" w:rsidRDefault="00BD3025" w:rsidP="002639D7">
            <w:pPr>
              <w:jc w:val="center"/>
              <w:rPr>
                <w:sz w:val="18"/>
                <w:szCs w:val="18"/>
              </w:rPr>
            </w:pPr>
            <w:r w:rsidRPr="007A738A">
              <w:rPr>
                <w:sz w:val="18"/>
                <w:szCs w:val="18"/>
              </w:rPr>
              <w:t>0.0061</w:t>
            </w:r>
          </w:p>
        </w:tc>
        <w:tc>
          <w:tcPr>
            <w:tcW w:w="0" w:type="auto"/>
            <w:tcBorders>
              <w:top w:val="nil"/>
              <w:left w:val="nil"/>
              <w:right w:val="nil"/>
            </w:tcBorders>
            <w:vAlign w:val="center"/>
          </w:tcPr>
          <w:p w:rsidR="00BD3025" w:rsidRPr="007A738A" w:rsidRDefault="00BD3025" w:rsidP="002639D7">
            <w:pPr>
              <w:jc w:val="center"/>
              <w:rPr>
                <w:sz w:val="18"/>
                <w:szCs w:val="18"/>
              </w:rPr>
            </w:pPr>
            <w:r w:rsidRPr="007A738A">
              <w:rPr>
                <w:sz w:val="18"/>
                <w:szCs w:val="18"/>
              </w:rPr>
              <w:t>0.0186</w:t>
            </w:r>
          </w:p>
        </w:tc>
        <w:tc>
          <w:tcPr>
            <w:tcW w:w="0" w:type="auto"/>
            <w:tcBorders>
              <w:top w:val="nil"/>
              <w:left w:val="nil"/>
              <w:right w:val="nil"/>
            </w:tcBorders>
            <w:vAlign w:val="center"/>
          </w:tcPr>
          <w:p w:rsidR="00BD3025" w:rsidRPr="007A738A" w:rsidRDefault="00BD3025" w:rsidP="002639D7">
            <w:pPr>
              <w:jc w:val="center"/>
              <w:rPr>
                <w:sz w:val="18"/>
                <w:szCs w:val="18"/>
              </w:rPr>
            </w:pPr>
            <w:r w:rsidRPr="007A738A">
              <w:rPr>
                <w:sz w:val="18"/>
                <w:szCs w:val="18"/>
              </w:rPr>
              <w:t>0.0439</w:t>
            </w:r>
          </w:p>
        </w:tc>
        <w:tc>
          <w:tcPr>
            <w:tcW w:w="0" w:type="auto"/>
            <w:tcBorders>
              <w:top w:val="nil"/>
              <w:left w:val="nil"/>
              <w:right w:val="nil"/>
            </w:tcBorders>
            <w:vAlign w:val="center"/>
          </w:tcPr>
          <w:p w:rsidR="00BD3025" w:rsidRPr="007A738A" w:rsidRDefault="00BD3025" w:rsidP="002639D7">
            <w:pPr>
              <w:jc w:val="center"/>
              <w:rPr>
                <w:sz w:val="18"/>
                <w:szCs w:val="18"/>
              </w:rPr>
            </w:pPr>
            <w:r w:rsidRPr="007A738A">
              <w:rPr>
                <w:sz w:val="18"/>
                <w:szCs w:val="18"/>
              </w:rPr>
              <w:t>0.8874</w:t>
            </w:r>
          </w:p>
        </w:tc>
      </w:tr>
    </w:tbl>
    <w:p w:rsidR="00BD3025" w:rsidRPr="007A738A" w:rsidRDefault="00BD3025" w:rsidP="00872EBC">
      <w:pPr>
        <w:pStyle w:val="Zkladntext-prvnodsazen"/>
        <w:jc w:val="center"/>
      </w:pPr>
      <w:r w:rsidRPr="007A738A">
        <w:rPr>
          <w:rStyle w:val="CaptionHeader"/>
        </w:rPr>
        <w:t xml:space="preserve">Table </w:t>
      </w:r>
      <w:r w:rsidR="006637EA" w:rsidRPr="007A738A">
        <w:rPr>
          <w:rStyle w:val="CaptionHeader"/>
        </w:rPr>
        <w:fldChar w:fldCharType="begin"/>
      </w:r>
      <w:r w:rsidRPr="007A738A">
        <w:rPr>
          <w:rStyle w:val="CaptionHeader"/>
        </w:rPr>
        <w:instrText xml:space="preserve"> SEQ Table \* ARABIC </w:instrText>
      </w:r>
      <w:r w:rsidR="006637EA" w:rsidRPr="007A738A">
        <w:rPr>
          <w:rStyle w:val="CaptionHeader"/>
        </w:rPr>
        <w:fldChar w:fldCharType="separate"/>
      </w:r>
      <w:r w:rsidR="002C07CA" w:rsidRPr="007A738A">
        <w:rPr>
          <w:rStyle w:val="CaptionHeader"/>
          <w:noProof/>
        </w:rPr>
        <w:t>1</w:t>
      </w:r>
      <w:r w:rsidR="006637EA" w:rsidRPr="007A738A">
        <w:rPr>
          <w:rStyle w:val="CaptionHeader"/>
        </w:rPr>
        <w:fldChar w:fldCharType="end"/>
      </w:r>
      <w:r w:rsidRPr="007A738A">
        <w:t xml:space="preserve"> Forecast error variance decomposition of inflation</w:t>
      </w:r>
    </w:p>
    <w:p w:rsidR="00BD3025" w:rsidRPr="007A738A" w:rsidRDefault="00BD3025" w:rsidP="00396758">
      <w:pPr>
        <w:pStyle w:val="Zkladntext-prvnodsazen"/>
      </w:pPr>
      <w:r w:rsidRPr="007A738A">
        <w:t xml:space="preserve">Relative importance of structural shocks may be found in Table 2.  The presented numbers are outputs of the regressions where dependent variable is the standardized inflation and the explaining variables are standardized structural shocks. The resulting </w:t>
      </w:r>
      <w:r w:rsidRPr="007A738A">
        <w:rPr>
          <w:position w:val="-4"/>
        </w:rPr>
        <w:object w:dxaOrig="300" w:dyaOrig="279">
          <v:shape id="_x0000_i1059" type="#_x0000_t75" style="width:15.05pt;height:14.5pt" o:ole="">
            <v:imagedata r:id="rId81" o:title=""/>
          </v:shape>
          <o:OLEObject Type="Embed" ProgID="Equation.3" ShapeID="_x0000_i1059" DrawAspect="Content" ObjectID="_1438020034" r:id="rId82"/>
        </w:object>
      </w:r>
      <w:r w:rsidRPr="007A738A">
        <w:t>is decomposed into individual contribution using the formula</w:t>
      </w:r>
      <w:r w:rsidRPr="007A738A">
        <w:rPr>
          <w:position w:val="-26"/>
        </w:rPr>
        <w:object w:dxaOrig="1120" w:dyaOrig="499">
          <v:shape id="_x0000_i1060" type="#_x0000_t75" style="width:56.4pt;height:24.2pt" o:ole="">
            <v:imagedata r:id="rId83" o:title=""/>
          </v:shape>
          <o:OLEObject Type="Embed" ProgID="Equation.3" ShapeID="_x0000_i1060" DrawAspect="Content" ObjectID="_1438020035" r:id="rId84"/>
        </w:object>
      </w:r>
      <w:r w:rsidRPr="007A738A">
        <w:t xml:space="preserve"> where</w:t>
      </w:r>
      <w:r w:rsidRPr="007A738A">
        <w:rPr>
          <w:position w:val="-10"/>
        </w:rPr>
        <w:object w:dxaOrig="240" w:dyaOrig="300">
          <v:shape id="_x0000_i1061" type="#_x0000_t75" style="width:11.8pt;height:15.05pt" o:ole="">
            <v:imagedata r:id="rId85" o:title=""/>
          </v:shape>
          <o:OLEObject Type="Embed" ProgID="Equation.3" ShapeID="_x0000_i1061" DrawAspect="Content" ObjectID="_1438020036" r:id="rId86"/>
        </w:object>
      </w:r>
      <w:r w:rsidRPr="007A738A">
        <w:t xml:space="preserve">is the regression coefficient at the </w:t>
      </w:r>
      <w:r w:rsidRPr="007A738A">
        <w:rPr>
          <w:position w:val="-6"/>
        </w:rPr>
        <w:object w:dxaOrig="320" w:dyaOrig="300">
          <v:shape id="_x0000_i1062" type="#_x0000_t75" style="width:16.1pt;height:15.05pt" o:ole="">
            <v:imagedata r:id="rId87" o:title=""/>
          </v:shape>
          <o:OLEObject Type="Embed" ProgID="Equation.3" ShapeID="_x0000_i1062" DrawAspect="Content" ObjectID="_1438020037" r:id="rId88"/>
        </w:object>
      </w:r>
      <w:r w:rsidRPr="007A738A">
        <w:t xml:space="preserve">structural shock (i.e. standardized coefficient in the regression with original variables) and </w:t>
      </w:r>
      <w:r w:rsidR="000E7E28" w:rsidRPr="007A738A">
        <w:rPr>
          <w:position w:val="-14"/>
        </w:rPr>
        <w:object w:dxaOrig="300" w:dyaOrig="340">
          <v:shape id="_x0000_i1063" type="#_x0000_t75" style="width:15.05pt;height:16.65pt" o:ole="">
            <v:imagedata r:id="rId89" o:title=""/>
          </v:shape>
          <o:OLEObject Type="Embed" ProgID="Equation.3" ShapeID="_x0000_i1063" DrawAspect="Content" ObjectID="_1438020038" r:id="rId90"/>
        </w:object>
      </w:r>
      <w:r w:rsidRPr="007A738A">
        <w:t xml:space="preserve">is the correlation coefficient between the dependent variable (standardized inflation) and the </w:t>
      </w:r>
      <w:r w:rsidRPr="007A738A">
        <w:rPr>
          <w:position w:val="-6"/>
        </w:rPr>
        <w:object w:dxaOrig="320" w:dyaOrig="300">
          <v:shape id="_x0000_i1064" type="#_x0000_t75" style="width:16.1pt;height:15.05pt" o:ole="">
            <v:imagedata r:id="rId91" o:title=""/>
          </v:shape>
          <o:OLEObject Type="Embed" ProgID="Equation.3" ShapeID="_x0000_i1064" DrawAspect="Content" ObjectID="_1438020039" r:id="rId92"/>
        </w:object>
      </w:r>
      <w:r w:rsidRPr="007A738A">
        <w:t xml:space="preserve"> structural shock. All the computations were carried out for the periods of fixed exchange rate, floating exchange rate and the period of both regimes</w:t>
      </w:r>
      <w:r w:rsidRPr="007A738A">
        <w:rPr>
          <w:rStyle w:val="Znakapoznpodarou"/>
        </w:rPr>
        <w:footnoteReference w:id="7"/>
      </w:r>
      <w:r w:rsidRPr="007A738A">
        <w:t xml:space="preserve">. This approach allows us to distinguish the influence of exchange rate on inflation in periods mentioned previously. </w:t>
      </w:r>
    </w:p>
    <w:p w:rsidR="00BD3025" w:rsidRPr="007A738A" w:rsidRDefault="00BD3025" w:rsidP="00EA5CBC">
      <w:pPr>
        <w:pStyle w:val="Zkladntext-prvnodsazen"/>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7"/>
        <w:gridCol w:w="146"/>
        <w:gridCol w:w="634"/>
        <w:gridCol w:w="722"/>
        <w:gridCol w:w="730"/>
        <w:gridCol w:w="634"/>
        <w:gridCol w:w="146"/>
        <w:gridCol w:w="634"/>
        <w:gridCol w:w="849"/>
        <w:gridCol w:w="634"/>
        <w:gridCol w:w="634"/>
        <w:gridCol w:w="146"/>
        <w:gridCol w:w="674"/>
        <w:gridCol w:w="634"/>
        <w:gridCol w:w="634"/>
        <w:gridCol w:w="634"/>
      </w:tblGrid>
      <w:tr w:rsidR="00BD3025" w:rsidRPr="007A738A">
        <w:trPr>
          <w:trHeight w:val="280"/>
          <w:jc w:val="center"/>
        </w:trPr>
        <w:tc>
          <w:tcPr>
            <w:tcW w:w="395" w:type="pct"/>
            <w:tcBorders>
              <w:left w:val="nil"/>
              <w:bottom w:val="nil"/>
              <w:right w:val="nil"/>
            </w:tcBorders>
            <w:vAlign w:val="center"/>
          </w:tcPr>
          <w:p w:rsidR="00BD3025" w:rsidRPr="007A738A" w:rsidRDefault="00BD3025" w:rsidP="0007350C">
            <w:pPr>
              <w:pStyle w:val="Tablecenteredtext"/>
              <w:rPr>
                <w:rStyle w:val="Siln"/>
                <w:sz w:val="16"/>
                <w:szCs w:val="16"/>
              </w:rPr>
            </w:pPr>
          </w:p>
        </w:tc>
        <w:tc>
          <w:tcPr>
            <w:tcW w:w="79" w:type="pct"/>
            <w:tcBorders>
              <w:left w:val="nil"/>
              <w:bottom w:val="nil"/>
              <w:right w:val="nil"/>
            </w:tcBorders>
          </w:tcPr>
          <w:p w:rsidR="00BD3025" w:rsidRPr="007A738A" w:rsidRDefault="00BD3025" w:rsidP="0007350C">
            <w:pPr>
              <w:pStyle w:val="Tablecenteredtext"/>
              <w:rPr>
                <w:rStyle w:val="Siln"/>
                <w:sz w:val="16"/>
                <w:szCs w:val="16"/>
              </w:rPr>
            </w:pPr>
          </w:p>
        </w:tc>
        <w:tc>
          <w:tcPr>
            <w:tcW w:w="1476" w:type="pct"/>
            <w:gridSpan w:val="4"/>
            <w:tcBorders>
              <w:left w:val="nil"/>
              <w:bottom w:val="nil"/>
              <w:right w:val="nil"/>
            </w:tcBorders>
            <w:vAlign w:val="center"/>
          </w:tcPr>
          <w:p w:rsidR="00BD3025" w:rsidRPr="007A738A" w:rsidRDefault="00BD3025" w:rsidP="0007350C">
            <w:pPr>
              <w:pStyle w:val="Tablecenteredtext"/>
              <w:rPr>
                <w:rStyle w:val="Siln"/>
                <w:sz w:val="16"/>
                <w:szCs w:val="16"/>
              </w:rPr>
            </w:pPr>
            <w:r w:rsidRPr="007A738A">
              <w:rPr>
                <w:rStyle w:val="Siln"/>
                <w:sz w:val="16"/>
                <w:szCs w:val="16"/>
              </w:rPr>
              <w:t>“1990s”</w:t>
            </w:r>
          </w:p>
        </w:tc>
        <w:tc>
          <w:tcPr>
            <w:tcW w:w="79" w:type="pct"/>
            <w:tcBorders>
              <w:left w:val="nil"/>
              <w:bottom w:val="nil"/>
              <w:right w:val="nil"/>
            </w:tcBorders>
          </w:tcPr>
          <w:p w:rsidR="00BD3025" w:rsidRPr="007A738A" w:rsidRDefault="00BD3025" w:rsidP="0007350C">
            <w:pPr>
              <w:pStyle w:val="Tablecenteredtext"/>
              <w:rPr>
                <w:rStyle w:val="Siln"/>
                <w:sz w:val="16"/>
                <w:szCs w:val="16"/>
              </w:rPr>
            </w:pPr>
          </w:p>
        </w:tc>
        <w:tc>
          <w:tcPr>
            <w:tcW w:w="1493" w:type="pct"/>
            <w:gridSpan w:val="4"/>
            <w:tcBorders>
              <w:left w:val="nil"/>
              <w:bottom w:val="nil"/>
              <w:right w:val="nil"/>
            </w:tcBorders>
            <w:vAlign w:val="center"/>
          </w:tcPr>
          <w:p w:rsidR="00BD3025" w:rsidRPr="007A738A" w:rsidRDefault="00BD3025" w:rsidP="0007350C">
            <w:pPr>
              <w:pStyle w:val="Tablecenteredtext"/>
              <w:rPr>
                <w:rStyle w:val="Siln"/>
                <w:sz w:val="16"/>
                <w:szCs w:val="16"/>
              </w:rPr>
            </w:pPr>
            <w:r w:rsidRPr="007A738A">
              <w:rPr>
                <w:rStyle w:val="Siln"/>
                <w:sz w:val="16"/>
                <w:szCs w:val="16"/>
              </w:rPr>
              <w:t>“2000s”</w:t>
            </w:r>
          </w:p>
        </w:tc>
        <w:tc>
          <w:tcPr>
            <w:tcW w:w="79" w:type="pct"/>
            <w:tcBorders>
              <w:left w:val="nil"/>
              <w:bottom w:val="nil"/>
              <w:right w:val="nil"/>
            </w:tcBorders>
          </w:tcPr>
          <w:p w:rsidR="00BD3025" w:rsidRPr="007A738A" w:rsidRDefault="00BD3025" w:rsidP="0007350C">
            <w:pPr>
              <w:pStyle w:val="Tablecenteredtext"/>
              <w:rPr>
                <w:rStyle w:val="Siln"/>
                <w:sz w:val="16"/>
                <w:szCs w:val="16"/>
              </w:rPr>
            </w:pPr>
          </w:p>
        </w:tc>
        <w:tc>
          <w:tcPr>
            <w:tcW w:w="1398" w:type="pct"/>
            <w:gridSpan w:val="4"/>
            <w:tcBorders>
              <w:left w:val="nil"/>
              <w:bottom w:val="nil"/>
              <w:right w:val="nil"/>
            </w:tcBorders>
            <w:vAlign w:val="center"/>
          </w:tcPr>
          <w:p w:rsidR="00BD3025" w:rsidRPr="007A738A" w:rsidRDefault="00BD3025" w:rsidP="005665BF">
            <w:pPr>
              <w:pStyle w:val="Tablecenteredtext"/>
              <w:rPr>
                <w:rStyle w:val="Siln"/>
                <w:sz w:val="16"/>
                <w:szCs w:val="16"/>
              </w:rPr>
            </w:pPr>
            <w:r w:rsidRPr="007A738A">
              <w:rPr>
                <w:rStyle w:val="Siln"/>
                <w:sz w:val="16"/>
                <w:szCs w:val="16"/>
              </w:rPr>
              <w:t>“1990s” and “2000s”</w:t>
            </w:r>
          </w:p>
        </w:tc>
      </w:tr>
      <w:tr w:rsidR="00BD3025" w:rsidRPr="007A738A">
        <w:trPr>
          <w:trHeight w:val="280"/>
          <w:jc w:val="center"/>
        </w:trPr>
        <w:tc>
          <w:tcPr>
            <w:tcW w:w="395" w:type="pct"/>
            <w:tcBorders>
              <w:top w:val="nil"/>
              <w:left w:val="nil"/>
              <w:bottom w:val="nil"/>
              <w:right w:val="nil"/>
            </w:tcBorders>
            <w:vAlign w:val="center"/>
          </w:tcPr>
          <w:p w:rsidR="00BD3025" w:rsidRPr="007A738A" w:rsidRDefault="00BD3025" w:rsidP="0007350C">
            <w:pPr>
              <w:pStyle w:val="Tablecenteredtext"/>
              <w:rPr>
                <w:rStyle w:val="Siln"/>
                <w:sz w:val="16"/>
                <w:szCs w:val="16"/>
              </w:rPr>
            </w:pPr>
          </w:p>
        </w:tc>
        <w:tc>
          <w:tcPr>
            <w:tcW w:w="79" w:type="pct"/>
            <w:tcBorders>
              <w:top w:val="nil"/>
              <w:left w:val="nil"/>
              <w:bottom w:val="nil"/>
              <w:right w:val="nil"/>
            </w:tcBorders>
          </w:tcPr>
          <w:p w:rsidR="00BD3025" w:rsidRPr="007A738A" w:rsidRDefault="00BD3025" w:rsidP="0007350C">
            <w:pPr>
              <w:pStyle w:val="Tablecenteredtext"/>
              <w:rPr>
                <w:rStyle w:val="Siln"/>
                <w:sz w:val="16"/>
                <w:szCs w:val="16"/>
              </w:rPr>
            </w:pPr>
          </w:p>
        </w:tc>
        <w:tc>
          <w:tcPr>
            <w:tcW w:w="344" w:type="pct"/>
            <w:tcBorders>
              <w:top w:val="nil"/>
              <w:left w:val="nil"/>
              <w:bottom w:val="nil"/>
              <w:right w:val="nil"/>
            </w:tcBorders>
            <w:vAlign w:val="center"/>
          </w:tcPr>
          <w:p w:rsidR="00BD3025" w:rsidRPr="007A738A" w:rsidRDefault="00BD3025" w:rsidP="0007350C">
            <w:pPr>
              <w:pStyle w:val="Tablecenteredtext"/>
              <w:rPr>
                <w:rStyle w:val="Siln"/>
                <w:sz w:val="16"/>
                <w:szCs w:val="16"/>
              </w:rPr>
            </w:pPr>
            <w:r w:rsidRPr="007A738A">
              <w:rPr>
                <w:rStyle w:val="Siln"/>
                <w:sz w:val="16"/>
                <w:szCs w:val="16"/>
              </w:rPr>
              <w:t>CZE</w:t>
            </w:r>
          </w:p>
        </w:tc>
        <w:tc>
          <w:tcPr>
            <w:tcW w:w="392" w:type="pct"/>
            <w:tcBorders>
              <w:top w:val="nil"/>
              <w:left w:val="nil"/>
              <w:bottom w:val="nil"/>
              <w:right w:val="nil"/>
            </w:tcBorders>
            <w:vAlign w:val="center"/>
          </w:tcPr>
          <w:p w:rsidR="00BD3025" w:rsidRPr="007A738A" w:rsidRDefault="00BD3025" w:rsidP="0007350C">
            <w:pPr>
              <w:pStyle w:val="Tablecenteredtext"/>
              <w:rPr>
                <w:rStyle w:val="Siln"/>
                <w:sz w:val="16"/>
                <w:szCs w:val="16"/>
              </w:rPr>
            </w:pPr>
            <w:r w:rsidRPr="007A738A">
              <w:rPr>
                <w:rStyle w:val="Siln"/>
                <w:sz w:val="16"/>
                <w:szCs w:val="16"/>
              </w:rPr>
              <w:t>HUN</w:t>
            </w:r>
          </w:p>
        </w:tc>
        <w:tc>
          <w:tcPr>
            <w:tcW w:w="396" w:type="pct"/>
            <w:tcBorders>
              <w:top w:val="nil"/>
              <w:left w:val="nil"/>
              <w:bottom w:val="nil"/>
              <w:right w:val="nil"/>
            </w:tcBorders>
            <w:vAlign w:val="center"/>
          </w:tcPr>
          <w:p w:rsidR="00BD3025" w:rsidRPr="007A738A" w:rsidRDefault="00BD3025" w:rsidP="0007350C">
            <w:pPr>
              <w:pStyle w:val="Tablecenteredtext"/>
              <w:rPr>
                <w:rStyle w:val="Siln"/>
                <w:sz w:val="16"/>
                <w:szCs w:val="16"/>
              </w:rPr>
            </w:pPr>
            <w:r w:rsidRPr="007A738A">
              <w:rPr>
                <w:rStyle w:val="Siln"/>
                <w:sz w:val="16"/>
                <w:szCs w:val="16"/>
              </w:rPr>
              <w:t>POL</w:t>
            </w:r>
          </w:p>
        </w:tc>
        <w:tc>
          <w:tcPr>
            <w:tcW w:w="344" w:type="pct"/>
            <w:tcBorders>
              <w:top w:val="nil"/>
              <w:left w:val="nil"/>
              <w:bottom w:val="nil"/>
              <w:right w:val="nil"/>
            </w:tcBorders>
            <w:vAlign w:val="center"/>
          </w:tcPr>
          <w:p w:rsidR="00BD3025" w:rsidRPr="007A738A" w:rsidRDefault="00BD3025" w:rsidP="0007350C">
            <w:pPr>
              <w:pStyle w:val="Tablecenteredtext"/>
              <w:rPr>
                <w:rStyle w:val="Siln"/>
                <w:sz w:val="16"/>
                <w:szCs w:val="16"/>
              </w:rPr>
            </w:pPr>
            <w:r w:rsidRPr="007A738A">
              <w:rPr>
                <w:rStyle w:val="Siln"/>
                <w:sz w:val="16"/>
                <w:szCs w:val="16"/>
              </w:rPr>
              <w:t>SVK</w:t>
            </w:r>
          </w:p>
        </w:tc>
        <w:tc>
          <w:tcPr>
            <w:tcW w:w="79" w:type="pct"/>
            <w:tcBorders>
              <w:top w:val="nil"/>
              <w:left w:val="nil"/>
              <w:bottom w:val="nil"/>
              <w:right w:val="nil"/>
            </w:tcBorders>
          </w:tcPr>
          <w:p w:rsidR="00BD3025" w:rsidRPr="007A738A" w:rsidRDefault="00BD3025" w:rsidP="0007350C">
            <w:pPr>
              <w:pStyle w:val="Tablecenteredtext"/>
              <w:rPr>
                <w:rStyle w:val="Siln"/>
                <w:sz w:val="16"/>
                <w:szCs w:val="16"/>
              </w:rPr>
            </w:pPr>
          </w:p>
        </w:tc>
        <w:tc>
          <w:tcPr>
            <w:tcW w:w="344" w:type="pct"/>
            <w:tcBorders>
              <w:top w:val="nil"/>
              <w:left w:val="nil"/>
              <w:bottom w:val="nil"/>
              <w:right w:val="nil"/>
            </w:tcBorders>
            <w:vAlign w:val="center"/>
          </w:tcPr>
          <w:p w:rsidR="00BD3025" w:rsidRPr="007A738A" w:rsidRDefault="00BD3025" w:rsidP="0007350C">
            <w:pPr>
              <w:pStyle w:val="Tablecenteredtext"/>
              <w:rPr>
                <w:rStyle w:val="Siln"/>
                <w:sz w:val="16"/>
                <w:szCs w:val="16"/>
              </w:rPr>
            </w:pPr>
            <w:r w:rsidRPr="007A738A">
              <w:rPr>
                <w:rStyle w:val="Siln"/>
                <w:sz w:val="16"/>
                <w:szCs w:val="16"/>
              </w:rPr>
              <w:t>CZE</w:t>
            </w:r>
          </w:p>
        </w:tc>
        <w:tc>
          <w:tcPr>
            <w:tcW w:w="461" w:type="pct"/>
            <w:tcBorders>
              <w:top w:val="nil"/>
              <w:left w:val="nil"/>
              <w:bottom w:val="nil"/>
              <w:right w:val="nil"/>
            </w:tcBorders>
            <w:vAlign w:val="center"/>
          </w:tcPr>
          <w:p w:rsidR="00BD3025" w:rsidRPr="007A738A" w:rsidRDefault="00BD3025" w:rsidP="0007350C">
            <w:pPr>
              <w:pStyle w:val="Tablecenteredtext"/>
              <w:rPr>
                <w:rStyle w:val="Siln"/>
                <w:sz w:val="16"/>
                <w:szCs w:val="16"/>
              </w:rPr>
            </w:pPr>
            <w:r w:rsidRPr="007A738A">
              <w:rPr>
                <w:rStyle w:val="Siln"/>
                <w:sz w:val="16"/>
                <w:szCs w:val="16"/>
              </w:rPr>
              <w:t>HUN</w:t>
            </w:r>
          </w:p>
        </w:tc>
        <w:tc>
          <w:tcPr>
            <w:tcW w:w="344" w:type="pct"/>
            <w:tcBorders>
              <w:top w:val="nil"/>
              <w:left w:val="nil"/>
              <w:bottom w:val="nil"/>
              <w:right w:val="nil"/>
            </w:tcBorders>
            <w:vAlign w:val="center"/>
          </w:tcPr>
          <w:p w:rsidR="00BD3025" w:rsidRPr="007A738A" w:rsidRDefault="00BD3025" w:rsidP="0007350C">
            <w:pPr>
              <w:pStyle w:val="Tablecenteredtext"/>
              <w:rPr>
                <w:rStyle w:val="Siln"/>
                <w:sz w:val="16"/>
                <w:szCs w:val="16"/>
              </w:rPr>
            </w:pPr>
            <w:r w:rsidRPr="007A738A">
              <w:rPr>
                <w:rStyle w:val="Siln"/>
                <w:sz w:val="16"/>
                <w:szCs w:val="16"/>
              </w:rPr>
              <w:t>POL</w:t>
            </w:r>
          </w:p>
        </w:tc>
        <w:tc>
          <w:tcPr>
            <w:tcW w:w="344" w:type="pct"/>
            <w:tcBorders>
              <w:top w:val="nil"/>
              <w:left w:val="nil"/>
              <w:bottom w:val="nil"/>
              <w:right w:val="nil"/>
            </w:tcBorders>
            <w:vAlign w:val="center"/>
          </w:tcPr>
          <w:p w:rsidR="00BD3025" w:rsidRPr="007A738A" w:rsidRDefault="00BD3025" w:rsidP="0007350C">
            <w:pPr>
              <w:pStyle w:val="Tablecenteredtext"/>
              <w:rPr>
                <w:rStyle w:val="Siln"/>
                <w:sz w:val="16"/>
                <w:szCs w:val="16"/>
              </w:rPr>
            </w:pPr>
            <w:r w:rsidRPr="007A738A">
              <w:rPr>
                <w:rStyle w:val="Siln"/>
                <w:sz w:val="16"/>
                <w:szCs w:val="16"/>
              </w:rPr>
              <w:t>SVK</w:t>
            </w:r>
          </w:p>
        </w:tc>
        <w:tc>
          <w:tcPr>
            <w:tcW w:w="79" w:type="pct"/>
            <w:tcBorders>
              <w:top w:val="nil"/>
              <w:left w:val="nil"/>
              <w:bottom w:val="nil"/>
              <w:right w:val="nil"/>
            </w:tcBorders>
          </w:tcPr>
          <w:p w:rsidR="00BD3025" w:rsidRPr="007A738A" w:rsidRDefault="00BD3025" w:rsidP="0007350C">
            <w:pPr>
              <w:pStyle w:val="Tablecenteredtext"/>
              <w:rPr>
                <w:rStyle w:val="Siln"/>
                <w:sz w:val="16"/>
                <w:szCs w:val="16"/>
              </w:rPr>
            </w:pPr>
          </w:p>
        </w:tc>
        <w:tc>
          <w:tcPr>
            <w:tcW w:w="366" w:type="pct"/>
            <w:tcBorders>
              <w:top w:val="nil"/>
              <w:left w:val="nil"/>
              <w:bottom w:val="nil"/>
              <w:right w:val="nil"/>
            </w:tcBorders>
            <w:vAlign w:val="center"/>
          </w:tcPr>
          <w:p w:rsidR="00BD3025" w:rsidRPr="007A738A" w:rsidRDefault="00BD3025" w:rsidP="0007350C">
            <w:pPr>
              <w:pStyle w:val="Tablecenteredtext"/>
              <w:rPr>
                <w:rStyle w:val="Siln"/>
                <w:sz w:val="16"/>
                <w:szCs w:val="16"/>
              </w:rPr>
            </w:pPr>
            <w:r w:rsidRPr="007A738A">
              <w:rPr>
                <w:rStyle w:val="Siln"/>
                <w:sz w:val="16"/>
                <w:szCs w:val="16"/>
              </w:rPr>
              <w:t>CZE</w:t>
            </w:r>
          </w:p>
        </w:tc>
        <w:tc>
          <w:tcPr>
            <w:tcW w:w="344" w:type="pct"/>
            <w:tcBorders>
              <w:top w:val="nil"/>
              <w:left w:val="nil"/>
              <w:bottom w:val="nil"/>
              <w:right w:val="nil"/>
            </w:tcBorders>
            <w:vAlign w:val="center"/>
          </w:tcPr>
          <w:p w:rsidR="00BD3025" w:rsidRPr="007A738A" w:rsidRDefault="00BD3025" w:rsidP="0007350C">
            <w:pPr>
              <w:pStyle w:val="Tablecenteredtext"/>
              <w:rPr>
                <w:rStyle w:val="Siln"/>
                <w:sz w:val="16"/>
                <w:szCs w:val="16"/>
              </w:rPr>
            </w:pPr>
            <w:r w:rsidRPr="007A738A">
              <w:rPr>
                <w:rStyle w:val="Siln"/>
                <w:sz w:val="16"/>
                <w:szCs w:val="16"/>
              </w:rPr>
              <w:t>HUN</w:t>
            </w:r>
          </w:p>
        </w:tc>
        <w:tc>
          <w:tcPr>
            <w:tcW w:w="344" w:type="pct"/>
            <w:tcBorders>
              <w:top w:val="nil"/>
              <w:left w:val="nil"/>
              <w:bottom w:val="nil"/>
              <w:right w:val="nil"/>
            </w:tcBorders>
            <w:vAlign w:val="center"/>
          </w:tcPr>
          <w:p w:rsidR="00BD3025" w:rsidRPr="007A738A" w:rsidRDefault="00BD3025" w:rsidP="0007350C">
            <w:pPr>
              <w:pStyle w:val="Tablecenteredtext"/>
              <w:rPr>
                <w:rStyle w:val="Siln"/>
                <w:sz w:val="16"/>
                <w:szCs w:val="16"/>
              </w:rPr>
            </w:pPr>
            <w:r w:rsidRPr="007A738A">
              <w:rPr>
                <w:rStyle w:val="Siln"/>
                <w:sz w:val="16"/>
                <w:szCs w:val="16"/>
              </w:rPr>
              <w:t>POL</w:t>
            </w:r>
          </w:p>
        </w:tc>
        <w:tc>
          <w:tcPr>
            <w:tcW w:w="344" w:type="pct"/>
            <w:tcBorders>
              <w:top w:val="nil"/>
              <w:left w:val="nil"/>
              <w:bottom w:val="nil"/>
              <w:right w:val="nil"/>
            </w:tcBorders>
            <w:vAlign w:val="center"/>
          </w:tcPr>
          <w:p w:rsidR="00BD3025" w:rsidRPr="007A738A" w:rsidRDefault="00BD3025" w:rsidP="0007350C">
            <w:pPr>
              <w:pStyle w:val="Tablecenteredtext"/>
              <w:rPr>
                <w:rStyle w:val="Siln"/>
                <w:sz w:val="16"/>
                <w:szCs w:val="16"/>
              </w:rPr>
            </w:pPr>
            <w:r w:rsidRPr="007A738A">
              <w:rPr>
                <w:rStyle w:val="Siln"/>
                <w:sz w:val="16"/>
                <w:szCs w:val="16"/>
              </w:rPr>
              <w:t>SVK</w:t>
            </w:r>
          </w:p>
        </w:tc>
      </w:tr>
      <w:tr w:rsidR="00BD3025" w:rsidRPr="007A738A">
        <w:trPr>
          <w:trHeight w:val="280"/>
          <w:jc w:val="center"/>
        </w:trPr>
        <w:tc>
          <w:tcPr>
            <w:tcW w:w="395" w:type="pct"/>
            <w:tcBorders>
              <w:top w:val="nil"/>
              <w:left w:val="nil"/>
              <w:bottom w:val="nil"/>
              <w:right w:val="nil"/>
            </w:tcBorders>
            <w:vAlign w:val="center"/>
          </w:tcPr>
          <w:p w:rsidR="00BD3025" w:rsidRPr="007A738A" w:rsidRDefault="00BD3025" w:rsidP="0007350C">
            <w:pPr>
              <w:pStyle w:val="Tablecenteredtext"/>
              <w:rPr>
                <w:rStyle w:val="Siln"/>
                <w:sz w:val="16"/>
                <w:szCs w:val="16"/>
              </w:rPr>
            </w:pPr>
          </w:p>
        </w:tc>
        <w:tc>
          <w:tcPr>
            <w:tcW w:w="79" w:type="pct"/>
            <w:tcBorders>
              <w:top w:val="nil"/>
              <w:left w:val="nil"/>
              <w:bottom w:val="nil"/>
              <w:right w:val="nil"/>
            </w:tcBorders>
          </w:tcPr>
          <w:p w:rsidR="00BD3025" w:rsidRPr="007A738A" w:rsidRDefault="00BD3025" w:rsidP="0007350C">
            <w:pPr>
              <w:pStyle w:val="Tablecenteredtext"/>
              <w:rPr>
                <w:rStyle w:val="Siln"/>
                <w:sz w:val="16"/>
                <w:szCs w:val="16"/>
              </w:rPr>
            </w:pPr>
          </w:p>
        </w:tc>
        <w:tc>
          <w:tcPr>
            <w:tcW w:w="344" w:type="pct"/>
            <w:tcBorders>
              <w:top w:val="nil"/>
              <w:left w:val="nil"/>
              <w:bottom w:val="nil"/>
              <w:right w:val="nil"/>
            </w:tcBorders>
            <w:vAlign w:val="center"/>
          </w:tcPr>
          <w:p w:rsidR="00BD3025" w:rsidRPr="007A738A" w:rsidRDefault="00BD3025" w:rsidP="0007350C">
            <w:pPr>
              <w:pStyle w:val="Tablecenteredtext"/>
              <w:rPr>
                <w:rStyle w:val="Siln"/>
                <w:sz w:val="16"/>
                <w:szCs w:val="16"/>
              </w:rPr>
            </w:pPr>
            <w:r w:rsidRPr="007A738A">
              <w:rPr>
                <w:rStyle w:val="Siln"/>
                <w:sz w:val="16"/>
                <w:szCs w:val="16"/>
              </w:rPr>
              <w:t>Fix</w:t>
            </w:r>
          </w:p>
        </w:tc>
        <w:tc>
          <w:tcPr>
            <w:tcW w:w="392" w:type="pct"/>
            <w:tcBorders>
              <w:top w:val="nil"/>
              <w:left w:val="nil"/>
              <w:bottom w:val="nil"/>
              <w:right w:val="nil"/>
            </w:tcBorders>
            <w:vAlign w:val="center"/>
          </w:tcPr>
          <w:p w:rsidR="00BD3025" w:rsidRPr="007A738A" w:rsidRDefault="00BD3025" w:rsidP="0007350C">
            <w:pPr>
              <w:pStyle w:val="Tablecenteredtext"/>
              <w:rPr>
                <w:rStyle w:val="Siln"/>
                <w:sz w:val="16"/>
                <w:szCs w:val="16"/>
              </w:rPr>
            </w:pPr>
            <w:r w:rsidRPr="007A738A">
              <w:rPr>
                <w:rStyle w:val="Siln"/>
                <w:sz w:val="16"/>
                <w:szCs w:val="16"/>
              </w:rPr>
              <w:t>Crawl peg</w:t>
            </w:r>
          </w:p>
        </w:tc>
        <w:tc>
          <w:tcPr>
            <w:tcW w:w="396" w:type="pct"/>
            <w:tcBorders>
              <w:top w:val="nil"/>
              <w:left w:val="nil"/>
              <w:bottom w:val="nil"/>
              <w:right w:val="nil"/>
            </w:tcBorders>
            <w:vAlign w:val="center"/>
          </w:tcPr>
          <w:p w:rsidR="00BD3025" w:rsidRPr="007A738A" w:rsidRDefault="00BD3025" w:rsidP="0007350C">
            <w:pPr>
              <w:pStyle w:val="Tablecenteredtext"/>
              <w:rPr>
                <w:rStyle w:val="Siln"/>
                <w:sz w:val="16"/>
                <w:szCs w:val="16"/>
              </w:rPr>
            </w:pPr>
            <w:r w:rsidRPr="007A738A">
              <w:rPr>
                <w:b/>
                <w:bCs/>
                <w:sz w:val="16"/>
                <w:szCs w:val="16"/>
              </w:rPr>
              <w:t>Crawl peg</w:t>
            </w:r>
          </w:p>
        </w:tc>
        <w:tc>
          <w:tcPr>
            <w:tcW w:w="344" w:type="pct"/>
            <w:tcBorders>
              <w:top w:val="nil"/>
              <w:left w:val="nil"/>
              <w:bottom w:val="nil"/>
              <w:right w:val="nil"/>
            </w:tcBorders>
            <w:vAlign w:val="center"/>
          </w:tcPr>
          <w:p w:rsidR="00BD3025" w:rsidRPr="007A738A" w:rsidRDefault="00BD3025" w:rsidP="0007350C">
            <w:pPr>
              <w:pStyle w:val="Tablecenteredtext"/>
              <w:rPr>
                <w:rStyle w:val="Siln"/>
                <w:sz w:val="16"/>
                <w:szCs w:val="16"/>
              </w:rPr>
            </w:pPr>
            <w:r w:rsidRPr="007A738A">
              <w:rPr>
                <w:rStyle w:val="Siln"/>
                <w:sz w:val="16"/>
                <w:szCs w:val="16"/>
              </w:rPr>
              <w:t>Fix</w:t>
            </w:r>
          </w:p>
        </w:tc>
        <w:tc>
          <w:tcPr>
            <w:tcW w:w="79" w:type="pct"/>
            <w:tcBorders>
              <w:top w:val="nil"/>
              <w:left w:val="nil"/>
              <w:bottom w:val="nil"/>
              <w:right w:val="nil"/>
            </w:tcBorders>
          </w:tcPr>
          <w:p w:rsidR="00BD3025" w:rsidRPr="007A738A" w:rsidRDefault="00BD3025" w:rsidP="0007350C">
            <w:pPr>
              <w:pStyle w:val="Tablecenteredtext"/>
              <w:rPr>
                <w:rStyle w:val="Siln"/>
                <w:sz w:val="16"/>
                <w:szCs w:val="16"/>
              </w:rPr>
            </w:pPr>
          </w:p>
        </w:tc>
        <w:tc>
          <w:tcPr>
            <w:tcW w:w="344" w:type="pct"/>
            <w:tcBorders>
              <w:top w:val="nil"/>
              <w:left w:val="nil"/>
              <w:bottom w:val="nil"/>
              <w:right w:val="nil"/>
            </w:tcBorders>
            <w:vAlign w:val="center"/>
          </w:tcPr>
          <w:p w:rsidR="00BD3025" w:rsidRPr="007A738A" w:rsidRDefault="00BD3025" w:rsidP="0007350C">
            <w:pPr>
              <w:pStyle w:val="Tablecenteredtext"/>
              <w:rPr>
                <w:rStyle w:val="Siln"/>
                <w:sz w:val="16"/>
                <w:szCs w:val="16"/>
              </w:rPr>
            </w:pPr>
            <w:r w:rsidRPr="007A738A">
              <w:rPr>
                <w:rStyle w:val="Siln"/>
                <w:sz w:val="16"/>
                <w:szCs w:val="16"/>
              </w:rPr>
              <w:t>Float</w:t>
            </w:r>
          </w:p>
        </w:tc>
        <w:tc>
          <w:tcPr>
            <w:tcW w:w="461" w:type="pct"/>
            <w:tcBorders>
              <w:top w:val="nil"/>
              <w:left w:val="nil"/>
              <w:bottom w:val="nil"/>
              <w:right w:val="nil"/>
            </w:tcBorders>
            <w:vAlign w:val="center"/>
          </w:tcPr>
          <w:p w:rsidR="00BD3025" w:rsidRPr="007A738A" w:rsidRDefault="00BD3025" w:rsidP="0007350C">
            <w:pPr>
              <w:pStyle w:val="Tablecenteredtext"/>
              <w:rPr>
                <w:rStyle w:val="Siln"/>
                <w:sz w:val="16"/>
                <w:szCs w:val="16"/>
              </w:rPr>
            </w:pPr>
            <w:r w:rsidRPr="007A738A">
              <w:rPr>
                <w:rStyle w:val="Siln"/>
                <w:sz w:val="16"/>
                <w:szCs w:val="16"/>
              </w:rPr>
              <w:t>Fix with band</w:t>
            </w:r>
          </w:p>
        </w:tc>
        <w:tc>
          <w:tcPr>
            <w:tcW w:w="344" w:type="pct"/>
            <w:tcBorders>
              <w:top w:val="nil"/>
              <w:left w:val="nil"/>
              <w:bottom w:val="nil"/>
              <w:right w:val="nil"/>
            </w:tcBorders>
            <w:vAlign w:val="center"/>
          </w:tcPr>
          <w:p w:rsidR="00BD3025" w:rsidRPr="007A738A" w:rsidRDefault="00BD3025" w:rsidP="0007350C">
            <w:pPr>
              <w:pStyle w:val="Tablecenteredtext"/>
              <w:rPr>
                <w:rStyle w:val="Siln"/>
                <w:sz w:val="16"/>
                <w:szCs w:val="16"/>
              </w:rPr>
            </w:pPr>
            <w:r w:rsidRPr="007A738A">
              <w:rPr>
                <w:rStyle w:val="Siln"/>
                <w:sz w:val="16"/>
                <w:szCs w:val="16"/>
              </w:rPr>
              <w:t>Float</w:t>
            </w:r>
          </w:p>
        </w:tc>
        <w:tc>
          <w:tcPr>
            <w:tcW w:w="344" w:type="pct"/>
            <w:tcBorders>
              <w:top w:val="nil"/>
              <w:left w:val="nil"/>
              <w:bottom w:val="nil"/>
              <w:right w:val="nil"/>
            </w:tcBorders>
            <w:vAlign w:val="center"/>
          </w:tcPr>
          <w:p w:rsidR="00BD3025" w:rsidRPr="007A738A" w:rsidRDefault="00BD3025" w:rsidP="0007350C">
            <w:pPr>
              <w:pStyle w:val="Tablecenteredtext"/>
              <w:rPr>
                <w:rStyle w:val="Siln"/>
                <w:sz w:val="16"/>
                <w:szCs w:val="16"/>
              </w:rPr>
            </w:pPr>
            <w:r w:rsidRPr="007A738A">
              <w:rPr>
                <w:rStyle w:val="Siln"/>
                <w:sz w:val="16"/>
                <w:szCs w:val="16"/>
              </w:rPr>
              <w:t>Float</w:t>
            </w:r>
          </w:p>
        </w:tc>
        <w:tc>
          <w:tcPr>
            <w:tcW w:w="79" w:type="pct"/>
            <w:tcBorders>
              <w:top w:val="nil"/>
              <w:left w:val="nil"/>
              <w:bottom w:val="nil"/>
              <w:right w:val="nil"/>
            </w:tcBorders>
          </w:tcPr>
          <w:p w:rsidR="00BD3025" w:rsidRPr="007A738A" w:rsidRDefault="00BD3025" w:rsidP="0007350C">
            <w:pPr>
              <w:pStyle w:val="Tablecenteredtext"/>
              <w:rPr>
                <w:rStyle w:val="Siln"/>
                <w:sz w:val="16"/>
                <w:szCs w:val="16"/>
              </w:rPr>
            </w:pPr>
          </w:p>
        </w:tc>
        <w:tc>
          <w:tcPr>
            <w:tcW w:w="1398" w:type="pct"/>
            <w:gridSpan w:val="4"/>
            <w:tcBorders>
              <w:top w:val="nil"/>
              <w:left w:val="nil"/>
              <w:bottom w:val="nil"/>
              <w:right w:val="nil"/>
            </w:tcBorders>
            <w:vAlign w:val="center"/>
          </w:tcPr>
          <w:p w:rsidR="00BD3025" w:rsidRPr="007A738A" w:rsidRDefault="00BD3025" w:rsidP="0007350C">
            <w:pPr>
              <w:pStyle w:val="Tablecenteredtext"/>
              <w:rPr>
                <w:rStyle w:val="Siln"/>
                <w:sz w:val="16"/>
                <w:szCs w:val="16"/>
              </w:rPr>
            </w:pPr>
            <w:r w:rsidRPr="007A738A">
              <w:rPr>
                <w:rStyle w:val="Siln"/>
                <w:sz w:val="16"/>
                <w:szCs w:val="16"/>
              </w:rPr>
              <w:t>Both regimes</w:t>
            </w:r>
          </w:p>
        </w:tc>
      </w:tr>
      <w:tr w:rsidR="00BD3025" w:rsidRPr="007A738A">
        <w:trPr>
          <w:trHeight w:val="280"/>
          <w:jc w:val="center"/>
        </w:trPr>
        <w:tc>
          <w:tcPr>
            <w:tcW w:w="395" w:type="pct"/>
            <w:tcBorders>
              <w:top w:val="nil"/>
              <w:left w:val="nil"/>
              <w:right w:val="nil"/>
            </w:tcBorders>
            <w:vAlign w:val="center"/>
          </w:tcPr>
          <w:p w:rsidR="00BD3025" w:rsidRPr="007A738A" w:rsidRDefault="00BD3025" w:rsidP="0007350C">
            <w:pPr>
              <w:pStyle w:val="Tablecenteredtext"/>
              <w:rPr>
                <w:rStyle w:val="Siln"/>
                <w:b w:val="0"/>
                <w:bCs w:val="0"/>
                <w:sz w:val="16"/>
                <w:szCs w:val="16"/>
              </w:rPr>
            </w:pPr>
            <w:r w:rsidRPr="007A738A">
              <w:rPr>
                <w:rStyle w:val="Siln"/>
                <w:b w:val="0"/>
                <w:bCs w:val="0"/>
                <w:sz w:val="16"/>
                <w:szCs w:val="16"/>
              </w:rPr>
              <w:t>Till/from</w:t>
            </w:r>
          </w:p>
        </w:tc>
        <w:tc>
          <w:tcPr>
            <w:tcW w:w="79" w:type="pct"/>
            <w:tcBorders>
              <w:top w:val="nil"/>
              <w:left w:val="nil"/>
              <w:right w:val="nil"/>
            </w:tcBorders>
          </w:tcPr>
          <w:p w:rsidR="00BD3025" w:rsidRPr="007A738A" w:rsidRDefault="00BD3025" w:rsidP="0007350C">
            <w:pPr>
              <w:pStyle w:val="Tablecenteredtext"/>
              <w:rPr>
                <w:rStyle w:val="Siln"/>
                <w:b w:val="0"/>
                <w:bCs w:val="0"/>
                <w:sz w:val="16"/>
                <w:szCs w:val="16"/>
              </w:rPr>
            </w:pPr>
          </w:p>
        </w:tc>
        <w:tc>
          <w:tcPr>
            <w:tcW w:w="344" w:type="pct"/>
            <w:tcBorders>
              <w:top w:val="nil"/>
              <w:left w:val="nil"/>
              <w:right w:val="nil"/>
            </w:tcBorders>
            <w:vAlign w:val="center"/>
          </w:tcPr>
          <w:p w:rsidR="00BD3025" w:rsidRPr="007A738A" w:rsidRDefault="00BD3025" w:rsidP="0007350C">
            <w:pPr>
              <w:pStyle w:val="Tablecenteredtext"/>
              <w:rPr>
                <w:rStyle w:val="Siln"/>
                <w:b w:val="0"/>
                <w:bCs w:val="0"/>
                <w:sz w:val="16"/>
                <w:szCs w:val="16"/>
              </w:rPr>
            </w:pPr>
            <w:r w:rsidRPr="007A738A">
              <w:rPr>
                <w:rStyle w:val="Siln"/>
                <w:b w:val="0"/>
                <w:bCs w:val="0"/>
                <w:sz w:val="16"/>
                <w:szCs w:val="16"/>
              </w:rPr>
              <w:t>1997</w:t>
            </w:r>
          </w:p>
        </w:tc>
        <w:tc>
          <w:tcPr>
            <w:tcW w:w="392" w:type="pct"/>
            <w:tcBorders>
              <w:top w:val="nil"/>
              <w:left w:val="nil"/>
              <w:right w:val="nil"/>
            </w:tcBorders>
            <w:vAlign w:val="center"/>
          </w:tcPr>
          <w:p w:rsidR="00BD3025" w:rsidRPr="007A738A" w:rsidRDefault="00BD3025" w:rsidP="0007350C">
            <w:pPr>
              <w:pStyle w:val="Tablecenteredtext"/>
              <w:rPr>
                <w:rStyle w:val="Siln"/>
                <w:b w:val="0"/>
                <w:bCs w:val="0"/>
                <w:sz w:val="16"/>
                <w:szCs w:val="16"/>
              </w:rPr>
            </w:pPr>
            <w:r w:rsidRPr="007A738A">
              <w:rPr>
                <w:rStyle w:val="Siln"/>
                <w:b w:val="0"/>
                <w:bCs w:val="0"/>
                <w:sz w:val="16"/>
                <w:szCs w:val="16"/>
              </w:rPr>
              <w:t>2001</w:t>
            </w:r>
          </w:p>
        </w:tc>
        <w:tc>
          <w:tcPr>
            <w:tcW w:w="396" w:type="pct"/>
            <w:tcBorders>
              <w:top w:val="nil"/>
              <w:left w:val="nil"/>
              <w:right w:val="nil"/>
            </w:tcBorders>
            <w:vAlign w:val="center"/>
          </w:tcPr>
          <w:p w:rsidR="00BD3025" w:rsidRPr="007A738A" w:rsidRDefault="00BD3025" w:rsidP="0007350C">
            <w:pPr>
              <w:pStyle w:val="Tablecenteredtext"/>
              <w:rPr>
                <w:sz w:val="16"/>
                <w:szCs w:val="16"/>
              </w:rPr>
            </w:pPr>
            <w:r w:rsidRPr="007A738A">
              <w:rPr>
                <w:sz w:val="16"/>
                <w:szCs w:val="16"/>
              </w:rPr>
              <w:t>2000</w:t>
            </w:r>
          </w:p>
        </w:tc>
        <w:tc>
          <w:tcPr>
            <w:tcW w:w="344" w:type="pct"/>
            <w:tcBorders>
              <w:top w:val="nil"/>
              <w:left w:val="nil"/>
              <w:right w:val="nil"/>
            </w:tcBorders>
            <w:vAlign w:val="center"/>
          </w:tcPr>
          <w:p w:rsidR="00BD3025" w:rsidRPr="007A738A" w:rsidRDefault="00BD3025" w:rsidP="0007350C">
            <w:pPr>
              <w:pStyle w:val="Tablecenteredtext"/>
              <w:rPr>
                <w:rStyle w:val="Siln"/>
                <w:b w:val="0"/>
                <w:bCs w:val="0"/>
                <w:sz w:val="16"/>
                <w:szCs w:val="16"/>
              </w:rPr>
            </w:pPr>
            <w:r w:rsidRPr="007A738A">
              <w:rPr>
                <w:rStyle w:val="Siln"/>
                <w:b w:val="0"/>
                <w:bCs w:val="0"/>
                <w:sz w:val="16"/>
                <w:szCs w:val="16"/>
              </w:rPr>
              <w:t>1998</w:t>
            </w:r>
          </w:p>
        </w:tc>
        <w:tc>
          <w:tcPr>
            <w:tcW w:w="79" w:type="pct"/>
            <w:tcBorders>
              <w:top w:val="nil"/>
              <w:left w:val="nil"/>
              <w:right w:val="nil"/>
            </w:tcBorders>
          </w:tcPr>
          <w:p w:rsidR="00BD3025" w:rsidRPr="007A738A" w:rsidRDefault="00BD3025" w:rsidP="0007350C">
            <w:pPr>
              <w:pStyle w:val="Tablecenteredtext"/>
              <w:rPr>
                <w:rStyle w:val="Siln"/>
                <w:b w:val="0"/>
                <w:bCs w:val="0"/>
                <w:sz w:val="16"/>
                <w:szCs w:val="16"/>
              </w:rPr>
            </w:pPr>
          </w:p>
        </w:tc>
        <w:tc>
          <w:tcPr>
            <w:tcW w:w="344" w:type="pct"/>
            <w:tcBorders>
              <w:top w:val="nil"/>
              <w:left w:val="nil"/>
              <w:right w:val="nil"/>
            </w:tcBorders>
            <w:vAlign w:val="center"/>
          </w:tcPr>
          <w:p w:rsidR="00BD3025" w:rsidRPr="007A738A" w:rsidRDefault="00BD3025" w:rsidP="0007350C">
            <w:pPr>
              <w:pStyle w:val="Tablecenteredtext"/>
              <w:rPr>
                <w:rStyle w:val="Siln"/>
                <w:b w:val="0"/>
                <w:bCs w:val="0"/>
                <w:sz w:val="16"/>
                <w:szCs w:val="16"/>
              </w:rPr>
            </w:pPr>
            <w:r w:rsidRPr="007A738A">
              <w:rPr>
                <w:rStyle w:val="Siln"/>
                <w:b w:val="0"/>
                <w:bCs w:val="0"/>
                <w:sz w:val="16"/>
                <w:szCs w:val="16"/>
              </w:rPr>
              <w:t>1997</w:t>
            </w:r>
          </w:p>
        </w:tc>
        <w:tc>
          <w:tcPr>
            <w:tcW w:w="461" w:type="pct"/>
            <w:tcBorders>
              <w:top w:val="nil"/>
              <w:left w:val="nil"/>
              <w:right w:val="nil"/>
            </w:tcBorders>
            <w:vAlign w:val="center"/>
          </w:tcPr>
          <w:p w:rsidR="00BD3025" w:rsidRPr="007A738A" w:rsidRDefault="00BD3025" w:rsidP="0007350C">
            <w:pPr>
              <w:pStyle w:val="Tablecenteredtext"/>
              <w:rPr>
                <w:rStyle w:val="Siln"/>
                <w:b w:val="0"/>
                <w:bCs w:val="0"/>
                <w:sz w:val="16"/>
                <w:szCs w:val="16"/>
              </w:rPr>
            </w:pPr>
            <w:r w:rsidRPr="007A738A">
              <w:rPr>
                <w:rStyle w:val="Siln"/>
                <w:b w:val="0"/>
                <w:bCs w:val="0"/>
                <w:sz w:val="16"/>
                <w:szCs w:val="16"/>
              </w:rPr>
              <w:t>2001</w:t>
            </w:r>
          </w:p>
        </w:tc>
        <w:tc>
          <w:tcPr>
            <w:tcW w:w="344" w:type="pct"/>
            <w:tcBorders>
              <w:top w:val="nil"/>
              <w:left w:val="nil"/>
              <w:right w:val="nil"/>
            </w:tcBorders>
            <w:vAlign w:val="center"/>
          </w:tcPr>
          <w:p w:rsidR="00BD3025" w:rsidRPr="007A738A" w:rsidRDefault="00BD3025" w:rsidP="0007350C">
            <w:pPr>
              <w:pStyle w:val="Tablecenteredtext"/>
              <w:rPr>
                <w:rStyle w:val="Siln"/>
                <w:b w:val="0"/>
                <w:bCs w:val="0"/>
                <w:sz w:val="16"/>
                <w:szCs w:val="16"/>
              </w:rPr>
            </w:pPr>
            <w:r w:rsidRPr="007A738A">
              <w:rPr>
                <w:rStyle w:val="Siln"/>
                <w:b w:val="0"/>
                <w:bCs w:val="0"/>
                <w:sz w:val="16"/>
                <w:szCs w:val="16"/>
              </w:rPr>
              <w:t>2000</w:t>
            </w:r>
          </w:p>
        </w:tc>
        <w:tc>
          <w:tcPr>
            <w:tcW w:w="344" w:type="pct"/>
            <w:tcBorders>
              <w:top w:val="nil"/>
              <w:left w:val="nil"/>
              <w:right w:val="nil"/>
            </w:tcBorders>
            <w:vAlign w:val="center"/>
          </w:tcPr>
          <w:p w:rsidR="00BD3025" w:rsidRPr="007A738A" w:rsidRDefault="00BD3025" w:rsidP="0007350C">
            <w:pPr>
              <w:pStyle w:val="Tablecenteredtext"/>
              <w:rPr>
                <w:rStyle w:val="Siln"/>
                <w:b w:val="0"/>
                <w:bCs w:val="0"/>
                <w:sz w:val="16"/>
                <w:szCs w:val="16"/>
              </w:rPr>
            </w:pPr>
            <w:r w:rsidRPr="007A738A">
              <w:rPr>
                <w:rStyle w:val="Siln"/>
                <w:b w:val="0"/>
                <w:bCs w:val="0"/>
                <w:sz w:val="16"/>
                <w:szCs w:val="16"/>
              </w:rPr>
              <w:t>1998</w:t>
            </w:r>
          </w:p>
        </w:tc>
        <w:tc>
          <w:tcPr>
            <w:tcW w:w="79" w:type="pct"/>
            <w:tcBorders>
              <w:top w:val="nil"/>
              <w:left w:val="nil"/>
              <w:right w:val="nil"/>
            </w:tcBorders>
          </w:tcPr>
          <w:p w:rsidR="00BD3025" w:rsidRPr="007A738A" w:rsidRDefault="00BD3025" w:rsidP="0007350C">
            <w:pPr>
              <w:pStyle w:val="Tablecenteredtext"/>
              <w:rPr>
                <w:rStyle w:val="Siln"/>
                <w:b w:val="0"/>
                <w:bCs w:val="0"/>
                <w:sz w:val="16"/>
                <w:szCs w:val="16"/>
              </w:rPr>
            </w:pPr>
          </w:p>
        </w:tc>
        <w:tc>
          <w:tcPr>
            <w:tcW w:w="1398" w:type="pct"/>
            <w:gridSpan w:val="4"/>
            <w:tcBorders>
              <w:top w:val="nil"/>
              <w:left w:val="nil"/>
              <w:right w:val="nil"/>
            </w:tcBorders>
            <w:vAlign w:val="center"/>
          </w:tcPr>
          <w:p w:rsidR="00BD3025" w:rsidRPr="007A738A" w:rsidRDefault="00BD3025" w:rsidP="0007350C">
            <w:pPr>
              <w:pStyle w:val="Tablecenteredtext"/>
              <w:rPr>
                <w:rStyle w:val="Siln"/>
                <w:b w:val="0"/>
                <w:bCs w:val="0"/>
                <w:sz w:val="16"/>
                <w:szCs w:val="16"/>
              </w:rPr>
            </w:pPr>
            <w:r w:rsidRPr="007A738A">
              <w:rPr>
                <w:rStyle w:val="Siln"/>
                <w:b w:val="0"/>
                <w:bCs w:val="0"/>
                <w:sz w:val="16"/>
                <w:szCs w:val="16"/>
              </w:rPr>
              <w:t>1993 - 2007</w:t>
            </w:r>
          </w:p>
        </w:tc>
      </w:tr>
      <w:tr w:rsidR="00BD3025" w:rsidRPr="007A738A">
        <w:trPr>
          <w:trHeight w:val="280"/>
          <w:jc w:val="center"/>
        </w:trPr>
        <w:tc>
          <w:tcPr>
            <w:tcW w:w="395" w:type="pct"/>
            <w:tcBorders>
              <w:left w:val="nil"/>
              <w:bottom w:val="nil"/>
              <w:right w:val="nil"/>
            </w:tcBorders>
            <w:vAlign w:val="center"/>
          </w:tcPr>
          <w:p w:rsidR="00BD3025" w:rsidRPr="007A738A" w:rsidRDefault="00BD3025" w:rsidP="0007350C">
            <w:pPr>
              <w:pStyle w:val="Tablecenteredtext"/>
              <w:rPr>
                <w:sz w:val="16"/>
                <w:szCs w:val="16"/>
              </w:rPr>
            </w:pPr>
            <w:r w:rsidRPr="007A738A">
              <w:rPr>
                <w:rStyle w:val="Siln"/>
                <w:sz w:val="18"/>
                <w:szCs w:val="18"/>
              </w:rPr>
              <w:object w:dxaOrig="340" w:dyaOrig="300">
                <v:shape id="_x0000_i1065" type="#_x0000_t75" style="width:16.65pt;height:15.05pt" o:ole="">
                  <v:imagedata r:id="rId93" o:title=""/>
                </v:shape>
                <o:OLEObject Type="Embed" ProgID="Equation.3" ShapeID="_x0000_i1065" DrawAspect="Content" ObjectID="_1438020040" r:id="rId94"/>
              </w:object>
            </w:r>
          </w:p>
        </w:tc>
        <w:tc>
          <w:tcPr>
            <w:tcW w:w="79" w:type="pct"/>
            <w:tcBorders>
              <w:left w:val="nil"/>
              <w:bottom w:val="nil"/>
              <w:right w:val="nil"/>
            </w:tcBorders>
          </w:tcPr>
          <w:p w:rsidR="00BD3025" w:rsidRPr="007A738A" w:rsidRDefault="00BD3025" w:rsidP="0007350C">
            <w:pPr>
              <w:jc w:val="center"/>
              <w:rPr>
                <w:sz w:val="16"/>
                <w:szCs w:val="16"/>
              </w:rPr>
            </w:pPr>
          </w:p>
        </w:tc>
        <w:tc>
          <w:tcPr>
            <w:tcW w:w="344" w:type="pct"/>
            <w:tcBorders>
              <w:left w:val="nil"/>
              <w:bottom w:val="nil"/>
              <w:right w:val="nil"/>
            </w:tcBorders>
            <w:vAlign w:val="center"/>
          </w:tcPr>
          <w:p w:rsidR="00BD3025" w:rsidRPr="007A738A" w:rsidRDefault="00BD3025" w:rsidP="0007350C">
            <w:pPr>
              <w:jc w:val="center"/>
              <w:rPr>
                <w:sz w:val="16"/>
                <w:szCs w:val="16"/>
              </w:rPr>
            </w:pPr>
            <w:r w:rsidRPr="007A738A">
              <w:rPr>
                <w:sz w:val="16"/>
                <w:szCs w:val="16"/>
              </w:rPr>
              <w:t>-0.21%</w:t>
            </w:r>
          </w:p>
        </w:tc>
        <w:tc>
          <w:tcPr>
            <w:tcW w:w="392" w:type="pct"/>
            <w:tcBorders>
              <w:left w:val="nil"/>
              <w:bottom w:val="nil"/>
              <w:right w:val="nil"/>
            </w:tcBorders>
            <w:vAlign w:val="center"/>
          </w:tcPr>
          <w:p w:rsidR="00BD3025" w:rsidRPr="007A738A" w:rsidRDefault="00BD3025" w:rsidP="0007350C">
            <w:pPr>
              <w:jc w:val="center"/>
              <w:rPr>
                <w:sz w:val="16"/>
                <w:szCs w:val="16"/>
              </w:rPr>
            </w:pPr>
            <w:r w:rsidRPr="007A738A">
              <w:rPr>
                <w:sz w:val="16"/>
                <w:szCs w:val="16"/>
              </w:rPr>
              <w:t>4.14%</w:t>
            </w:r>
          </w:p>
        </w:tc>
        <w:tc>
          <w:tcPr>
            <w:tcW w:w="396" w:type="pct"/>
            <w:tcBorders>
              <w:left w:val="nil"/>
              <w:bottom w:val="nil"/>
              <w:right w:val="nil"/>
            </w:tcBorders>
            <w:vAlign w:val="center"/>
          </w:tcPr>
          <w:p w:rsidR="00BD3025" w:rsidRPr="007A738A" w:rsidRDefault="00BD3025" w:rsidP="0007350C">
            <w:pPr>
              <w:jc w:val="center"/>
              <w:rPr>
                <w:sz w:val="16"/>
                <w:szCs w:val="16"/>
              </w:rPr>
            </w:pPr>
            <w:r w:rsidRPr="007A738A">
              <w:rPr>
                <w:sz w:val="16"/>
                <w:szCs w:val="16"/>
              </w:rPr>
              <w:t>0.58%</w:t>
            </w:r>
          </w:p>
        </w:tc>
        <w:tc>
          <w:tcPr>
            <w:tcW w:w="344" w:type="pct"/>
            <w:tcBorders>
              <w:left w:val="nil"/>
              <w:bottom w:val="nil"/>
              <w:right w:val="nil"/>
            </w:tcBorders>
            <w:vAlign w:val="center"/>
          </w:tcPr>
          <w:p w:rsidR="00BD3025" w:rsidRPr="007A738A" w:rsidRDefault="00BD3025" w:rsidP="0007350C">
            <w:pPr>
              <w:jc w:val="center"/>
              <w:rPr>
                <w:sz w:val="16"/>
                <w:szCs w:val="16"/>
              </w:rPr>
            </w:pPr>
            <w:r w:rsidRPr="007A738A">
              <w:rPr>
                <w:sz w:val="16"/>
                <w:szCs w:val="16"/>
              </w:rPr>
              <w:t>-1.08%</w:t>
            </w:r>
          </w:p>
        </w:tc>
        <w:tc>
          <w:tcPr>
            <w:tcW w:w="79" w:type="pct"/>
            <w:tcBorders>
              <w:left w:val="nil"/>
              <w:bottom w:val="nil"/>
              <w:right w:val="nil"/>
            </w:tcBorders>
          </w:tcPr>
          <w:p w:rsidR="00BD3025" w:rsidRPr="007A738A" w:rsidRDefault="00BD3025" w:rsidP="0007350C">
            <w:pPr>
              <w:jc w:val="center"/>
              <w:rPr>
                <w:sz w:val="16"/>
                <w:szCs w:val="16"/>
              </w:rPr>
            </w:pPr>
          </w:p>
        </w:tc>
        <w:tc>
          <w:tcPr>
            <w:tcW w:w="344" w:type="pct"/>
            <w:tcBorders>
              <w:left w:val="nil"/>
              <w:bottom w:val="nil"/>
              <w:right w:val="nil"/>
            </w:tcBorders>
            <w:vAlign w:val="center"/>
          </w:tcPr>
          <w:p w:rsidR="00BD3025" w:rsidRPr="007A738A" w:rsidRDefault="00BD3025" w:rsidP="0007350C">
            <w:pPr>
              <w:jc w:val="center"/>
              <w:rPr>
                <w:sz w:val="16"/>
                <w:szCs w:val="16"/>
              </w:rPr>
            </w:pPr>
            <w:r w:rsidRPr="007A738A">
              <w:rPr>
                <w:sz w:val="16"/>
                <w:szCs w:val="16"/>
              </w:rPr>
              <w:t>1.37%</w:t>
            </w:r>
          </w:p>
        </w:tc>
        <w:tc>
          <w:tcPr>
            <w:tcW w:w="461" w:type="pct"/>
            <w:tcBorders>
              <w:left w:val="nil"/>
              <w:bottom w:val="nil"/>
              <w:right w:val="nil"/>
            </w:tcBorders>
            <w:vAlign w:val="center"/>
          </w:tcPr>
          <w:p w:rsidR="00BD3025" w:rsidRPr="007A738A" w:rsidRDefault="00BD3025" w:rsidP="0007350C">
            <w:pPr>
              <w:jc w:val="center"/>
              <w:rPr>
                <w:sz w:val="16"/>
                <w:szCs w:val="16"/>
              </w:rPr>
            </w:pPr>
            <w:r w:rsidRPr="007A738A">
              <w:rPr>
                <w:sz w:val="16"/>
                <w:szCs w:val="16"/>
              </w:rPr>
              <w:t>-0.23%</w:t>
            </w:r>
          </w:p>
        </w:tc>
        <w:tc>
          <w:tcPr>
            <w:tcW w:w="344" w:type="pct"/>
            <w:tcBorders>
              <w:left w:val="nil"/>
              <w:bottom w:val="nil"/>
              <w:right w:val="nil"/>
            </w:tcBorders>
            <w:vAlign w:val="center"/>
          </w:tcPr>
          <w:p w:rsidR="00BD3025" w:rsidRPr="007A738A" w:rsidRDefault="00BD3025" w:rsidP="0007350C">
            <w:pPr>
              <w:jc w:val="center"/>
              <w:rPr>
                <w:sz w:val="16"/>
                <w:szCs w:val="16"/>
              </w:rPr>
            </w:pPr>
            <w:r w:rsidRPr="007A738A">
              <w:rPr>
                <w:sz w:val="16"/>
                <w:szCs w:val="16"/>
              </w:rPr>
              <w:t>5.26%</w:t>
            </w:r>
          </w:p>
        </w:tc>
        <w:tc>
          <w:tcPr>
            <w:tcW w:w="344" w:type="pct"/>
            <w:tcBorders>
              <w:left w:val="nil"/>
              <w:bottom w:val="nil"/>
              <w:right w:val="nil"/>
            </w:tcBorders>
            <w:vAlign w:val="center"/>
          </w:tcPr>
          <w:p w:rsidR="00BD3025" w:rsidRPr="007A738A" w:rsidRDefault="00BD3025" w:rsidP="0007350C">
            <w:pPr>
              <w:jc w:val="center"/>
              <w:rPr>
                <w:sz w:val="16"/>
                <w:szCs w:val="16"/>
              </w:rPr>
            </w:pPr>
            <w:r w:rsidRPr="007A738A">
              <w:rPr>
                <w:sz w:val="16"/>
                <w:szCs w:val="16"/>
              </w:rPr>
              <w:t>6.07%</w:t>
            </w:r>
          </w:p>
        </w:tc>
        <w:tc>
          <w:tcPr>
            <w:tcW w:w="79" w:type="pct"/>
            <w:tcBorders>
              <w:left w:val="nil"/>
              <w:bottom w:val="nil"/>
              <w:right w:val="nil"/>
            </w:tcBorders>
          </w:tcPr>
          <w:p w:rsidR="00BD3025" w:rsidRPr="007A738A" w:rsidRDefault="00BD3025" w:rsidP="0007350C">
            <w:pPr>
              <w:jc w:val="center"/>
              <w:rPr>
                <w:sz w:val="16"/>
                <w:szCs w:val="16"/>
              </w:rPr>
            </w:pPr>
          </w:p>
        </w:tc>
        <w:tc>
          <w:tcPr>
            <w:tcW w:w="366" w:type="pct"/>
            <w:tcBorders>
              <w:left w:val="nil"/>
              <w:bottom w:val="nil"/>
              <w:right w:val="nil"/>
            </w:tcBorders>
            <w:vAlign w:val="center"/>
          </w:tcPr>
          <w:p w:rsidR="00BD3025" w:rsidRPr="007A738A" w:rsidRDefault="00BD3025" w:rsidP="0007350C">
            <w:pPr>
              <w:jc w:val="center"/>
              <w:rPr>
                <w:sz w:val="16"/>
                <w:szCs w:val="16"/>
              </w:rPr>
            </w:pPr>
            <w:r w:rsidRPr="007A738A">
              <w:rPr>
                <w:sz w:val="16"/>
                <w:szCs w:val="16"/>
              </w:rPr>
              <w:t>1.04%</w:t>
            </w:r>
          </w:p>
        </w:tc>
        <w:tc>
          <w:tcPr>
            <w:tcW w:w="344" w:type="pct"/>
            <w:tcBorders>
              <w:left w:val="nil"/>
              <w:bottom w:val="nil"/>
              <w:right w:val="nil"/>
            </w:tcBorders>
            <w:vAlign w:val="center"/>
          </w:tcPr>
          <w:p w:rsidR="00BD3025" w:rsidRPr="007A738A" w:rsidRDefault="00BD3025" w:rsidP="0007350C">
            <w:pPr>
              <w:jc w:val="center"/>
              <w:rPr>
                <w:sz w:val="16"/>
                <w:szCs w:val="16"/>
              </w:rPr>
            </w:pPr>
            <w:r w:rsidRPr="007A738A">
              <w:rPr>
                <w:sz w:val="16"/>
                <w:szCs w:val="16"/>
              </w:rPr>
              <w:t>1.99%</w:t>
            </w:r>
          </w:p>
        </w:tc>
        <w:tc>
          <w:tcPr>
            <w:tcW w:w="344" w:type="pct"/>
            <w:tcBorders>
              <w:left w:val="nil"/>
              <w:bottom w:val="nil"/>
              <w:right w:val="nil"/>
            </w:tcBorders>
            <w:vAlign w:val="center"/>
          </w:tcPr>
          <w:p w:rsidR="00BD3025" w:rsidRPr="007A738A" w:rsidRDefault="00BD3025" w:rsidP="0007350C">
            <w:pPr>
              <w:jc w:val="center"/>
              <w:rPr>
                <w:sz w:val="16"/>
                <w:szCs w:val="16"/>
              </w:rPr>
            </w:pPr>
            <w:r w:rsidRPr="007A738A">
              <w:rPr>
                <w:sz w:val="16"/>
                <w:szCs w:val="16"/>
              </w:rPr>
              <w:t>1.63%</w:t>
            </w:r>
          </w:p>
        </w:tc>
        <w:tc>
          <w:tcPr>
            <w:tcW w:w="344" w:type="pct"/>
            <w:tcBorders>
              <w:left w:val="nil"/>
              <w:bottom w:val="nil"/>
              <w:right w:val="nil"/>
            </w:tcBorders>
            <w:vAlign w:val="center"/>
          </w:tcPr>
          <w:p w:rsidR="00BD3025" w:rsidRPr="007A738A" w:rsidRDefault="00BD3025" w:rsidP="0007350C">
            <w:pPr>
              <w:jc w:val="center"/>
              <w:rPr>
                <w:sz w:val="16"/>
                <w:szCs w:val="16"/>
              </w:rPr>
            </w:pPr>
            <w:r w:rsidRPr="007A738A">
              <w:rPr>
                <w:sz w:val="16"/>
                <w:szCs w:val="16"/>
              </w:rPr>
              <w:t>5.31%</w:t>
            </w:r>
          </w:p>
        </w:tc>
      </w:tr>
      <w:tr w:rsidR="00BD3025" w:rsidRPr="007A738A">
        <w:trPr>
          <w:trHeight w:val="280"/>
          <w:jc w:val="center"/>
        </w:trPr>
        <w:tc>
          <w:tcPr>
            <w:tcW w:w="395" w:type="pct"/>
            <w:tcBorders>
              <w:top w:val="nil"/>
              <w:left w:val="nil"/>
              <w:bottom w:val="nil"/>
              <w:right w:val="nil"/>
            </w:tcBorders>
            <w:vAlign w:val="center"/>
          </w:tcPr>
          <w:p w:rsidR="00BD3025" w:rsidRPr="007A738A" w:rsidRDefault="00BD3025" w:rsidP="0007350C">
            <w:pPr>
              <w:pStyle w:val="Tablecenteredtext"/>
              <w:rPr>
                <w:sz w:val="16"/>
                <w:szCs w:val="16"/>
              </w:rPr>
            </w:pPr>
            <w:r w:rsidRPr="007A738A">
              <w:rPr>
                <w:rStyle w:val="Siln"/>
                <w:sz w:val="18"/>
                <w:szCs w:val="18"/>
              </w:rPr>
              <w:object w:dxaOrig="420" w:dyaOrig="300">
                <v:shape id="_x0000_i1066" type="#_x0000_t75" style="width:20.4pt;height:14.5pt" o:ole="">
                  <v:imagedata r:id="rId95" o:title=""/>
                </v:shape>
                <o:OLEObject Type="Embed" ProgID="Equation.3" ShapeID="_x0000_i1066" DrawAspect="Content" ObjectID="_1438020041" r:id="rId96"/>
              </w:object>
            </w:r>
          </w:p>
        </w:tc>
        <w:tc>
          <w:tcPr>
            <w:tcW w:w="79" w:type="pct"/>
            <w:tcBorders>
              <w:top w:val="nil"/>
              <w:left w:val="nil"/>
              <w:bottom w:val="nil"/>
              <w:right w:val="nil"/>
            </w:tcBorders>
          </w:tcPr>
          <w:p w:rsidR="00BD3025" w:rsidRPr="007A738A" w:rsidRDefault="00BD3025" w:rsidP="0007350C">
            <w:pPr>
              <w:jc w:val="center"/>
              <w:rPr>
                <w:sz w:val="16"/>
                <w:szCs w:val="16"/>
              </w:rPr>
            </w:pPr>
          </w:p>
        </w:tc>
        <w:tc>
          <w:tcPr>
            <w:tcW w:w="344" w:type="pct"/>
            <w:tcBorders>
              <w:top w:val="nil"/>
              <w:left w:val="nil"/>
              <w:bottom w:val="nil"/>
              <w:right w:val="nil"/>
            </w:tcBorders>
            <w:vAlign w:val="center"/>
          </w:tcPr>
          <w:p w:rsidR="00BD3025" w:rsidRPr="007A738A" w:rsidRDefault="00BD3025" w:rsidP="0007350C">
            <w:pPr>
              <w:jc w:val="center"/>
              <w:rPr>
                <w:sz w:val="16"/>
                <w:szCs w:val="16"/>
              </w:rPr>
            </w:pPr>
            <w:r w:rsidRPr="007A738A">
              <w:rPr>
                <w:sz w:val="16"/>
                <w:szCs w:val="16"/>
              </w:rPr>
              <w:t>7.68%</w:t>
            </w:r>
          </w:p>
        </w:tc>
        <w:tc>
          <w:tcPr>
            <w:tcW w:w="392" w:type="pct"/>
            <w:tcBorders>
              <w:top w:val="nil"/>
              <w:left w:val="nil"/>
              <w:bottom w:val="nil"/>
              <w:right w:val="nil"/>
            </w:tcBorders>
            <w:vAlign w:val="center"/>
          </w:tcPr>
          <w:p w:rsidR="00BD3025" w:rsidRPr="007A738A" w:rsidRDefault="00BD3025" w:rsidP="0007350C">
            <w:pPr>
              <w:jc w:val="center"/>
              <w:rPr>
                <w:sz w:val="16"/>
                <w:szCs w:val="16"/>
              </w:rPr>
            </w:pPr>
            <w:r w:rsidRPr="007A738A">
              <w:rPr>
                <w:sz w:val="16"/>
                <w:szCs w:val="16"/>
              </w:rPr>
              <w:t>1.72%</w:t>
            </w:r>
          </w:p>
        </w:tc>
        <w:tc>
          <w:tcPr>
            <w:tcW w:w="396" w:type="pct"/>
            <w:tcBorders>
              <w:top w:val="nil"/>
              <w:left w:val="nil"/>
              <w:bottom w:val="nil"/>
              <w:right w:val="nil"/>
            </w:tcBorders>
            <w:vAlign w:val="center"/>
          </w:tcPr>
          <w:p w:rsidR="00BD3025" w:rsidRPr="007A738A" w:rsidRDefault="00BD3025" w:rsidP="0007350C">
            <w:pPr>
              <w:jc w:val="center"/>
              <w:rPr>
                <w:sz w:val="16"/>
                <w:szCs w:val="16"/>
              </w:rPr>
            </w:pPr>
            <w:r w:rsidRPr="007A738A">
              <w:rPr>
                <w:sz w:val="16"/>
                <w:szCs w:val="16"/>
              </w:rPr>
              <w:t>3.55%</w:t>
            </w:r>
          </w:p>
        </w:tc>
        <w:tc>
          <w:tcPr>
            <w:tcW w:w="344" w:type="pct"/>
            <w:tcBorders>
              <w:top w:val="nil"/>
              <w:left w:val="nil"/>
              <w:bottom w:val="nil"/>
              <w:right w:val="nil"/>
            </w:tcBorders>
            <w:vAlign w:val="center"/>
          </w:tcPr>
          <w:p w:rsidR="00BD3025" w:rsidRPr="007A738A" w:rsidRDefault="00BD3025" w:rsidP="0007350C">
            <w:pPr>
              <w:jc w:val="center"/>
              <w:rPr>
                <w:sz w:val="16"/>
                <w:szCs w:val="16"/>
              </w:rPr>
            </w:pPr>
            <w:r w:rsidRPr="007A738A">
              <w:rPr>
                <w:sz w:val="16"/>
                <w:szCs w:val="16"/>
              </w:rPr>
              <w:t>6.24%</w:t>
            </w:r>
          </w:p>
        </w:tc>
        <w:tc>
          <w:tcPr>
            <w:tcW w:w="79" w:type="pct"/>
            <w:tcBorders>
              <w:top w:val="nil"/>
              <w:left w:val="nil"/>
              <w:bottom w:val="nil"/>
              <w:right w:val="nil"/>
            </w:tcBorders>
          </w:tcPr>
          <w:p w:rsidR="00BD3025" w:rsidRPr="007A738A" w:rsidRDefault="00BD3025" w:rsidP="0007350C">
            <w:pPr>
              <w:jc w:val="center"/>
              <w:rPr>
                <w:sz w:val="16"/>
                <w:szCs w:val="16"/>
              </w:rPr>
            </w:pPr>
          </w:p>
        </w:tc>
        <w:tc>
          <w:tcPr>
            <w:tcW w:w="344" w:type="pct"/>
            <w:tcBorders>
              <w:top w:val="nil"/>
              <w:left w:val="nil"/>
              <w:bottom w:val="nil"/>
              <w:right w:val="nil"/>
            </w:tcBorders>
            <w:vAlign w:val="center"/>
          </w:tcPr>
          <w:p w:rsidR="00BD3025" w:rsidRPr="007A738A" w:rsidRDefault="00BD3025" w:rsidP="0007350C">
            <w:pPr>
              <w:jc w:val="center"/>
              <w:rPr>
                <w:sz w:val="16"/>
                <w:szCs w:val="16"/>
              </w:rPr>
            </w:pPr>
            <w:r w:rsidRPr="007A738A">
              <w:rPr>
                <w:sz w:val="16"/>
                <w:szCs w:val="16"/>
              </w:rPr>
              <w:t>3.33%</w:t>
            </w:r>
          </w:p>
        </w:tc>
        <w:tc>
          <w:tcPr>
            <w:tcW w:w="461" w:type="pct"/>
            <w:tcBorders>
              <w:top w:val="nil"/>
              <w:left w:val="nil"/>
              <w:bottom w:val="nil"/>
              <w:right w:val="nil"/>
            </w:tcBorders>
            <w:vAlign w:val="center"/>
          </w:tcPr>
          <w:p w:rsidR="00BD3025" w:rsidRPr="007A738A" w:rsidRDefault="00BD3025" w:rsidP="0007350C">
            <w:pPr>
              <w:jc w:val="center"/>
              <w:rPr>
                <w:sz w:val="16"/>
                <w:szCs w:val="16"/>
              </w:rPr>
            </w:pPr>
            <w:r w:rsidRPr="007A738A">
              <w:rPr>
                <w:sz w:val="16"/>
                <w:szCs w:val="16"/>
              </w:rPr>
              <w:t>5.47%</w:t>
            </w:r>
          </w:p>
        </w:tc>
        <w:tc>
          <w:tcPr>
            <w:tcW w:w="344" w:type="pct"/>
            <w:tcBorders>
              <w:top w:val="nil"/>
              <w:left w:val="nil"/>
              <w:bottom w:val="nil"/>
              <w:right w:val="nil"/>
            </w:tcBorders>
            <w:vAlign w:val="center"/>
          </w:tcPr>
          <w:p w:rsidR="00BD3025" w:rsidRPr="007A738A" w:rsidRDefault="00BD3025" w:rsidP="0007350C">
            <w:pPr>
              <w:jc w:val="center"/>
              <w:rPr>
                <w:sz w:val="16"/>
                <w:szCs w:val="16"/>
              </w:rPr>
            </w:pPr>
            <w:r w:rsidRPr="007A738A">
              <w:rPr>
                <w:sz w:val="16"/>
                <w:szCs w:val="16"/>
              </w:rPr>
              <w:t>8.33%</w:t>
            </w:r>
          </w:p>
        </w:tc>
        <w:tc>
          <w:tcPr>
            <w:tcW w:w="344" w:type="pct"/>
            <w:tcBorders>
              <w:top w:val="nil"/>
              <w:left w:val="nil"/>
              <w:bottom w:val="nil"/>
              <w:right w:val="nil"/>
            </w:tcBorders>
            <w:vAlign w:val="center"/>
          </w:tcPr>
          <w:p w:rsidR="00BD3025" w:rsidRPr="007A738A" w:rsidRDefault="00BD3025" w:rsidP="0007350C">
            <w:pPr>
              <w:jc w:val="center"/>
              <w:rPr>
                <w:sz w:val="16"/>
                <w:szCs w:val="16"/>
              </w:rPr>
            </w:pPr>
            <w:r w:rsidRPr="007A738A">
              <w:rPr>
                <w:sz w:val="16"/>
                <w:szCs w:val="16"/>
              </w:rPr>
              <w:t>0.03%</w:t>
            </w:r>
          </w:p>
        </w:tc>
        <w:tc>
          <w:tcPr>
            <w:tcW w:w="79" w:type="pct"/>
            <w:tcBorders>
              <w:top w:val="nil"/>
              <w:left w:val="nil"/>
              <w:bottom w:val="nil"/>
              <w:right w:val="nil"/>
            </w:tcBorders>
          </w:tcPr>
          <w:p w:rsidR="00BD3025" w:rsidRPr="007A738A" w:rsidRDefault="00BD3025" w:rsidP="0007350C">
            <w:pPr>
              <w:jc w:val="center"/>
              <w:rPr>
                <w:sz w:val="16"/>
                <w:szCs w:val="16"/>
              </w:rPr>
            </w:pPr>
          </w:p>
        </w:tc>
        <w:tc>
          <w:tcPr>
            <w:tcW w:w="366" w:type="pct"/>
            <w:tcBorders>
              <w:top w:val="nil"/>
              <w:left w:val="nil"/>
              <w:bottom w:val="nil"/>
              <w:right w:val="nil"/>
            </w:tcBorders>
            <w:vAlign w:val="center"/>
          </w:tcPr>
          <w:p w:rsidR="00BD3025" w:rsidRPr="007A738A" w:rsidRDefault="00BD3025" w:rsidP="0007350C">
            <w:pPr>
              <w:jc w:val="center"/>
              <w:rPr>
                <w:sz w:val="16"/>
                <w:szCs w:val="16"/>
              </w:rPr>
            </w:pPr>
            <w:r w:rsidRPr="007A738A">
              <w:rPr>
                <w:sz w:val="16"/>
                <w:szCs w:val="16"/>
              </w:rPr>
              <w:t>2.82%</w:t>
            </w:r>
          </w:p>
        </w:tc>
        <w:tc>
          <w:tcPr>
            <w:tcW w:w="344" w:type="pct"/>
            <w:tcBorders>
              <w:top w:val="nil"/>
              <w:left w:val="nil"/>
              <w:bottom w:val="nil"/>
              <w:right w:val="nil"/>
            </w:tcBorders>
            <w:vAlign w:val="center"/>
          </w:tcPr>
          <w:p w:rsidR="00BD3025" w:rsidRPr="007A738A" w:rsidRDefault="00BD3025" w:rsidP="0007350C">
            <w:pPr>
              <w:jc w:val="center"/>
              <w:rPr>
                <w:sz w:val="16"/>
                <w:szCs w:val="16"/>
              </w:rPr>
            </w:pPr>
            <w:r w:rsidRPr="007A738A">
              <w:rPr>
                <w:sz w:val="16"/>
                <w:szCs w:val="16"/>
              </w:rPr>
              <w:t>1.42%</w:t>
            </w:r>
          </w:p>
        </w:tc>
        <w:tc>
          <w:tcPr>
            <w:tcW w:w="344" w:type="pct"/>
            <w:tcBorders>
              <w:top w:val="nil"/>
              <w:left w:val="nil"/>
              <w:bottom w:val="nil"/>
              <w:right w:val="nil"/>
            </w:tcBorders>
            <w:vAlign w:val="center"/>
          </w:tcPr>
          <w:p w:rsidR="00BD3025" w:rsidRPr="007A738A" w:rsidRDefault="00BD3025" w:rsidP="0007350C">
            <w:pPr>
              <w:jc w:val="center"/>
              <w:rPr>
                <w:sz w:val="16"/>
                <w:szCs w:val="16"/>
              </w:rPr>
            </w:pPr>
            <w:r w:rsidRPr="007A738A">
              <w:rPr>
                <w:sz w:val="16"/>
                <w:szCs w:val="16"/>
              </w:rPr>
              <w:t>1.92%</w:t>
            </w:r>
          </w:p>
        </w:tc>
        <w:tc>
          <w:tcPr>
            <w:tcW w:w="344" w:type="pct"/>
            <w:tcBorders>
              <w:top w:val="nil"/>
              <w:left w:val="nil"/>
              <w:bottom w:val="nil"/>
              <w:right w:val="nil"/>
            </w:tcBorders>
            <w:vAlign w:val="center"/>
          </w:tcPr>
          <w:p w:rsidR="00BD3025" w:rsidRPr="007A738A" w:rsidRDefault="00BD3025" w:rsidP="0007350C">
            <w:pPr>
              <w:jc w:val="center"/>
              <w:rPr>
                <w:sz w:val="16"/>
                <w:szCs w:val="16"/>
              </w:rPr>
            </w:pPr>
            <w:r w:rsidRPr="007A738A">
              <w:rPr>
                <w:sz w:val="16"/>
                <w:szCs w:val="16"/>
              </w:rPr>
              <w:t>0.55%</w:t>
            </w:r>
          </w:p>
        </w:tc>
      </w:tr>
      <w:tr w:rsidR="00BD3025" w:rsidRPr="007A738A">
        <w:trPr>
          <w:trHeight w:val="280"/>
          <w:jc w:val="center"/>
        </w:trPr>
        <w:tc>
          <w:tcPr>
            <w:tcW w:w="395" w:type="pct"/>
            <w:tcBorders>
              <w:top w:val="nil"/>
              <w:left w:val="nil"/>
              <w:bottom w:val="nil"/>
              <w:right w:val="nil"/>
            </w:tcBorders>
            <w:vAlign w:val="center"/>
          </w:tcPr>
          <w:p w:rsidR="00BD3025" w:rsidRPr="007A738A" w:rsidRDefault="00BD3025" w:rsidP="0007350C">
            <w:pPr>
              <w:pStyle w:val="Tablecenteredtext"/>
              <w:rPr>
                <w:sz w:val="16"/>
                <w:szCs w:val="16"/>
              </w:rPr>
            </w:pPr>
            <w:r w:rsidRPr="007A738A">
              <w:rPr>
                <w:rStyle w:val="Siln"/>
                <w:sz w:val="18"/>
                <w:szCs w:val="18"/>
              </w:rPr>
              <w:object w:dxaOrig="300" w:dyaOrig="300">
                <v:shape id="_x0000_i1067" type="#_x0000_t75" style="width:15.05pt;height:15.05pt" o:ole="">
                  <v:imagedata r:id="rId97" o:title=""/>
                </v:shape>
                <o:OLEObject Type="Embed" ProgID="Equation.3" ShapeID="_x0000_i1067" DrawAspect="Content" ObjectID="_1438020042" r:id="rId98"/>
              </w:object>
            </w:r>
          </w:p>
        </w:tc>
        <w:tc>
          <w:tcPr>
            <w:tcW w:w="79" w:type="pct"/>
            <w:tcBorders>
              <w:top w:val="nil"/>
              <w:left w:val="nil"/>
              <w:bottom w:val="nil"/>
              <w:right w:val="nil"/>
            </w:tcBorders>
          </w:tcPr>
          <w:p w:rsidR="00BD3025" w:rsidRPr="007A738A" w:rsidRDefault="00BD3025" w:rsidP="0007350C">
            <w:pPr>
              <w:jc w:val="center"/>
              <w:rPr>
                <w:sz w:val="16"/>
                <w:szCs w:val="16"/>
              </w:rPr>
            </w:pPr>
          </w:p>
        </w:tc>
        <w:tc>
          <w:tcPr>
            <w:tcW w:w="344" w:type="pct"/>
            <w:tcBorders>
              <w:top w:val="nil"/>
              <w:left w:val="nil"/>
              <w:bottom w:val="nil"/>
              <w:right w:val="nil"/>
            </w:tcBorders>
            <w:vAlign w:val="center"/>
          </w:tcPr>
          <w:p w:rsidR="00BD3025" w:rsidRPr="007A738A" w:rsidRDefault="00BD3025" w:rsidP="0007350C">
            <w:pPr>
              <w:jc w:val="center"/>
              <w:rPr>
                <w:sz w:val="16"/>
                <w:szCs w:val="16"/>
              </w:rPr>
            </w:pPr>
            <w:r w:rsidRPr="007A738A">
              <w:rPr>
                <w:sz w:val="16"/>
                <w:szCs w:val="16"/>
              </w:rPr>
              <w:t>0.27%</w:t>
            </w:r>
          </w:p>
        </w:tc>
        <w:tc>
          <w:tcPr>
            <w:tcW w:w="392" w:type="pct"/>
            <w:tcBorders>
              <w:top w:val="nil"/>
              <w:left w:val="nil"/>
              <w:bottom w:val="nil"/>
              <w:right w:val="nil"/>
            </w:tcBorders>
            <w:vAlign w:val="center"/>
          </w:tcPr>
          <w:p w:rsidR="00BD3025" w:rsidRPr="007A738A" w:rsidRDefault="00BD3025" w:rsidP="0007350C">
            <w:pPr>
              <w:jc w:val="center"/>
              <w:rPr>
                <w:sz w:val="16"/>
                <w:szCs w:val="16"/>
              </w:rPr>
            </w:pPr>
            <w:r w:rsidRPr="007A738A">
              <w:rPr>
                <w:sz w:val="16"/>
                <w:szCs w:val="16"/>
              </w:rPr>
              <w:t>-4.67%</w:t>
            </w:r>
          </w:p>
        </w:tc>
        <w:tc>
          <w:tcPr>
            <w:tcW w:w="396" w:type="pct"/>
            <w:tcBorders>
              <w:top w:val="nil"/>
              <w:left w:val="nil"/>
              <w:bottom w:val="nil"/>
              <w:right w:val="nil"/>
            </w:tcBorders>
            <w:vAlign w:val="center"/>
          </w:tcPr>
          <w:p w:rsidR="00BD3025" w:rsidRPr="007A738A" w:rsidRDefault="00BD3025" w:rsidP="0007350C">
            <w:pPr>
              <w:jc w:val="center"/>
              <w:rPr>
                <w:sz w:val="16"/>
                <w:szCs w:val="16"/>
              </w:rPr>
            </w:pPr>
            <w:r w:rsidRPr="007A738A">
              <w:rPr>
                <w:sz w:val="16"/>
                <w:szCs w:val="16"/>
              </w:rPr>
              <w:t>16.81%</w:t>
            </w:r>
          </w:p>
        </w:tc>
        <w:tc>
          <w:tcPr>
            <w:tcW w:w="344" w:type="pct"/>
            <w:tcBorders>
              <w:top w:val="nil"/>
              <w:left w:val="nil"/>
              <w:bottom w:val="nil"/>
              <w:right w:val="nil"/>
            </w:tcBorders>
            <w:vAlign w:val="center"/>
          </w:tcPr>
          <w:p w:rsidR="00BD3025" w:rsidRPr="007A738A" w:rsidRDefault="00BD3025" w:rsidP="0007350C">
            <w:pPr>
              <w:jc w:val="center"/>
              <w:rPr>
                <w:sz w:val="16"/>
                <w:szCs w:val="16"/>
              </w:rPr>
            </w:pPr>
            <w:r w:rsidRPr="007A738A">
              <w:rPr>
                <w:sz w:val="16"/>
                <w:szCs w:val="16"/>
              </w:rPr>
              <w:t>-1.36%</w:t>
            </w:r>
          </w:p>
        </w:tc>
        <w:tc>
          <w:tcPr>
            <w:tcW w:w="79" w:type="pct"/>
            <w:tcBorders>
              <w:top w:val="nil"/>
              <w:left w:val="nil"/>
              <w:bottom w:val="nil"/>
              <w:right w:val="nil"/>
            </w:tcBorders>
          </w:tcPr>
          <w:p w:rsidR="00BD3025" w:rsidRPr="007A738A" w:rsidRDefault="00BD3025" w:rsidP="0007350C">
            <w:pPr>
              <w:jc w:val="center"/>
              <w:rPr>
                <w:sz w:val="16"/>
                <w:szCs w:val="16"/>
              </w:rPr>
            </w:pPr>
          </w:p>
        </w:tc>
        <w:tc>
          <w:tcPr>
            <w:tcW w:w="344" w:type="pct"/>
            <w:tcBorders>
              <w:top w:val="nil"/>
              <w:left w:val="nil"/>
              <w:bottom w:val="nil"/>
              <w:right w:val="nil"/>
            </w:tcBorders>
            <w:vAlign w:val="center"/>
          </w:tcPr>
          <w:p w:rsidR="00BD3025" w:rsidRPr="007A738A" w:rsidRDefault="00BD3025" w:rsidP="0007350C">
            <w:pPr>
              <w:jc w:val="center"/>
              <w:rPr>
                <w:sz w:val="16"/>
                <w:szCs w:val="16"/>
              </w:rPr>
            </w:pPr>
            <w:r w:rsidRPr="007A738A">
              <w:rPr>
                <w:sz w:val="16"/>
                <w:szCs w:val="16"/>
              </w:rPr>
              <w:t>1.29%</w:t>
            </w:r>
          </w:p>
        </w:tc>
        <w:tc>
          <w:tcPr>
            <w:tcW w:w="461" w:type="pct"/>
            <w:tcBorders>
              <w:top w:val="nil"/>
              <w:left w:val="nil"/>
              <w:bottom w:val="nil"/>
              <w:right w:val="nil"/>
            </w:tcBorders>
            <w:vAlign w:val="center"/>
          </w:tcPr>
          <w:p w:rsidR="00BD3025" w:rsidRPr="007A738A" w:rsidRDefault="00BD3025" w:rsidP="0007350C">
            <w:pPr>
              <w:jc w:val="center"/>
              <w:rPr>
                <w:sz w:val="16"/>
                <w:szCs w:val="16"/>
              </w:rPr>
            </w:pPr>
            <w:r w:rsidRPr="007A738A">
              <w:rPr>
                <w:sz w:val="16"/>
                <w:szCs w:val="16"/>
              </w:rPr>
              <w:t>1.76%</w:t>
            </w:r>
          </w:p>
        </w:tc>
        <w:tc>
          <w:tcPr>
            <w:tcW w:w="344" w:type="pct"/>
            <w:tcBorders>
              <w:top w:val="nil"/>
              <w:left w:val="nil"/>
              <w:bottom w:val="nil"/>
              <w:right w:val="nil"/>
            </w:tcBorders>
            <w:vAlign w:val="center"/>
          </w:tcPr>
          <w:p w:rsidR="00BD3025" w:rsidRPr="007A738A" w:rsidRDefault="00BD3025" w:rsidP="0007350C">
            <w:pPr>
              <w:jc w:val="center"/>
              <w:rPr>
                <w:sz w:val="16"/>
                <w:szCs w:val="16"/>
              </w:rPr>
            </w:pPr>
            <w:r w:rsidRPr="007A738A">
              <w:rPr>
                <w:sz w:val="16"/>
                <w:szCs w:val="16"/>
              </w:rPr>
              <w:t>-5.52%</w:t>
            </w:r>
          </w:p>
        </w:tc>
        <w:tc>
          <w:tcPr>
            <w:tcW w:w="344" w:type="pct"/>
            <w:tcBorders>
              <w:top w:val="nil"/>
              <w:left w:val="nil"/>
              <w:bottom w:val="nil"/>
              <w:right w:val="nil"/>
            </w:tcBorders>
            <w:vAlign w:val="center"/>
          </w:tcPr>
          <w:p w:rsidR="00BD3025" w:rsidRPr="007A738A" w:rsidRDefault="00BD3025" w:rsidP="0007350C">
            <w:pPr>
              <w:jc w:val="center"/>
              <w:rPr>
                <w:sz w:val="16"/>
                <w:szCs w:val="16"/>
              </w:rPr>
            </w:pPr>
            <w:r w:rsidRPr="007A738A">
              <w:rPr>
                <w:sz w:val="16"/>
                <w:szCs w:val="16"/>
              </w:rPr>
              <w:t>2.13%</w:t>
            </w:r>
          </w:p>
        </w:tc>
        <w:tc>
          <w:tcPr>
            <w:tcW w:w="79" w:type="pct"/>
            <w:tcBorders>
              <w:top w:val="nil"/>
              <w:left w:val="nil"/>
              <w:bottom w:val="nil"/>
              <w:right w:val="nil"/>
            </w:tcBorders>
          </w:tcPr>
          <w:p w:rsidR="00BD3025" w:rsidRPr="007A738A" w:rsidRDefault="00BD3025" w:rsidP="0007350C">
            <w:pPr>
              <w:jc w:val="center"/>
              <w:rPr>
                <w:sz w:val="16"/>
                <w:szCs w:val="16"/>
              </w:rPr>
            </w:pPr>
          </w:p>
        </w:tc>
        <w:tc>
          <w:tcPr>
            <w:tcW w:w="366" w:type="pct"/>
            <w:tcBorders>
              <w:top w:val="nil"/>
              <w:left w:val="nil"/>
              <w:bottom w:val="nil"/>
              <w:right w:val="nil"/>
            </w:tcBorders>
            <w:vAlign w:val="center"/>
          </w:tcPr>
          <w:p w:rsidR="00BD3025" w:rsidRPr="007A738A" w:rsidRDefault="00BD3025" w:rsidP="0007350C">
            <w:pPr>
              <w:jc w:val="center"/>
              <w:rPr>
                <w:sz w:val="16"/>
                <w:szCs w:val="16"/>
              </w:rPr>
            </w:pPr>
            <w:r w:rsidRPr="007A738A">
              <w:rPr>
                <w:sz w:val="16"/>
                <w:szCs w:val="16"/>
              </w:rPr>
              <w:t>0.67%</w:t>
            </w:r>
          </w:p>
        </w:tc>
        <w:tc>
          <w:tcPr>
            <w:tcW w:w="344" w:type="pct"/>
            <w:tcBorders>
              <w:top w:val="nil"/>
              <w:left w:val="nil"/>
              <w:bottom w:val="nil"/>
              <w:right w:val="nil"/>
            </w:tcBorders>
            <w:vAlign w:val="center"/>
          </w:tcPr>
          <w:p w:rsidR="00BD3025" w:rsidRPr="007A738A" w:rsidRDefault="00BD3025" w:rsidP="0007350C">
            <w:pPr>
              <w:jc w:val="center"/>
              <w:rPr>
                <w:sz w:val="16"/>
                <w:szCs w:val="16"/>
              </w:rPr>
            </w:pPr>
            <w:r w:rsidRPr="007A738A">
              <w:rPr>
                <w:sz w:val="16"/>
                <w:szCs w:val="16"/>
              </w:rPr>
              <w:t>0.78%</w:t>
            </w:r>
          </w:p>
        </w:tc>
        <w:tc>
          <w:tcPr>
            <w:tcW w:w="344" w:type="pct"/>
            <w:tcBorders>
              <w:top w:val="nil"/>
              <w:left w:val="nil"/>
              <w:bottom w:val="nil"/>
              <w:right w:val="nil"/>
            </w:tcBorders>
            <w:vAlign w:val="center"/>
          </w:tcPr>
          <w:p w:rsidR="00BD3025" w:rsidRPr="007A738A" w:rsidRDefault="00BD3025" w:rsidP="0007350C">
            <w:pPr>
              <w:jc w:val="center"/>
              <w:rPr>
                <w:sz w:val="16"/>
                <w:szCs w:val="16"/>
              </w:rPr>
            </w:pPr>
            <w:r w:rsidRPr="007A738A">
              <w:rPr>
                <w:sz w:val="16"/>
                <w:szCs w:val="16"/>
              </w:rPr>
              <w:t>11.76%</w:t>
            </w:r>
          </w:p>
        </w:tc>
        <w:tc>
          <w:tcPr>
            <w:tcW w:w="344" w:type="pct"/>
            <w:tcBorders>
              <w:top w:val="nil"/>
              <w:left w:val="nil"/>
              <w:bottom w:val="nil"/>
              <w:right w:val="nil"/>
            </w:tcBorders>
            <w:vAlign w:val="center"/>
          </w:tcPr>
          <w:p w:rsidR="00BD3025" w:rsidRPr="007A738A" w:rsidRDefault="00BD3025" w:rsidP="0007350C">
            <w:pPr>
              <w:jc w:val="center"/>
              <w:rPr>
                <w:sz w:val="16"/>
                <w:szCs w:val="16"/>
              </w:rPr>
            </w:pPr>
            <w:r w:rsidRPr="007A738A">
              <w:rPr>
                <w:sz w:val="16"/>
                <w:szCs w:val="16"/>
              </w:rPr>
              <w:t>1.88%</w:t>
            </w:r>
          </w:p>
        </w:tc>
      </w:tr>
      <w:tr w:rsidR="00BD3025" w:rsidRPr="007A738A">
        <w:trPr>
          <w:trHeight w:val="280"/>
          <w:jc w:val="center"/>
        </w:trPr>
        <w:tc>
          <w:tcPr>
            <w:tcW w:w="395" w:type="pct"/>
            <w:tcBorders>
              <w:top w:val="nil"/>
              <w:left w:val="nil"/>
              <w:bottom w:val="nil"/>
              <w:right w:val="nil"/>
            </w:tcBorders>
            <w:shd w:val="clear" w:color="auto" w:fill="D9D9D9"/>
            <w:vAlign w:val="center"/>
          </w:tcPr>
          <w:p w:rsidR="00BD3025" w:rsidRPr="007A738A" w:rsidRDefault="00BD3025" w:rsidP="0007350C">
            <w:pPr>
              <w:pStyle w:val="Tablecenteredtext"/>
              <w:rPr>
                <w:sz w:val="16"/>
                <w:szCs w:val="16"/>
              </w:rPr>
            </w:pPr>
            <w:r w:rsidRPr="007A738A">
              <w:rPr>
                <w:rStyle w:val="Siln"/>
                <w:sz w:val="18"/>
                <w:szCs w:val="18"/>
              </w:rPr>
              <w:object w:dxaOrig="440" w:dyaOrig="300">
                <v:shape id="_x0000_i1068" type="#_x0000_t75" style="width:21.5pt;height:15.05pt" o:ole="">
                  <v:imagedata r:id="rId99" o:title=""/>
                </v:shape>
                <o:OLEObject Type="Embed" ProgID="Equation.3" ShapeID="_x0000_i1068" DrawAspect="Content" ObjectID="_1438020043" r:id="rId100"/>
              </w:object>
            </w:r>
          </w:p>
        </w:tc>
        <w:tc>
          <w:tcPr>
            <w:tcW w:w="79" w:type="pct"/>
            <w:tcBorders>
              <w:top w:val="nil"/>
              <w:left w:val="nil"/>
              <w:bottom w:val="nil"/>
              <w:right w:val="nil"/>
            </w:tcBorders>
            <w:shd w:val="clear" w:color="auto" w:fill="D9D9D9"/>
          </w:tcPr>
          <w:p w:rsidR="00BD3025" w:rsidRPr="007A738A" w:rsidRDefault="00BD3025" w:rsidP="0007350C">
            <w:pPr>
              <w:jc w:val="center"/>
              <w:rPr>
                <w:sz w:val="16"/>
                <w:szCs w:val="16"/>
              </w:rPr>
            </w:pPr>
          </w:p>
        </w:tc>
        <w:tc>
          <w:tcPr>
            <w:tcW w:w="344" w:type="pct"/>
            <w:tcBorders>
              <w:top w:val="nil"/>
              <w:left w:val="nil"/>
              <w:bottom w:val="nil"/>
              <w:right w:val="nil"/>
            </w:tcBorders>
            <w:shd w:val="clear" w:color="auto" w:fill="D9D9D9"/>
            <w:vAlign w:val="center"/>
          </w:tcPr>
          <w:p w:rsidR="00BD3025" w:rsidRPr="007A738A" w:rsidRDefault="00BD3025" w:rsidP="0007350C">
            <w:pPr>
              <w:jc w:val="center"/>
              <w:rPr>
                <w:sz w:val="16"/>
                <w:szCs w:val="16"/>
              </w:rPr>
            </w:pPr>
            <w:r w:rsidRPr="007A738A">
              <w:rPr>
                <w:sz w:val="16"/>
                <w:szCs w:val="16"/>
              </w:rPr>
              <w:t>11.46%</w:t>
            </w:r>
          </w:p>
        </w:tc>
        <w:tc>
          <w:tcPr>
            <w:tcW w:w="392" w:type="pct"/>
            <w:tcBorders>
              <w:top w:val="nil"/>
              <w:left w:val="nil"/>
              <w:bottom w:val="nil"/>
              <w:right w:val="nil"/>
            </w:tcBorders>
            <w:shd w:val="clear" w:color="auto" w:fill="D9D9D9"/>
            <w:vAlign w:val="center"/>
          </w:tcPr>
          <w:p w:rsidR="00BD3025" w:rsidRPr="007A738A" w:rsidRDefault="00BD3025" w:rsidP="0007350C">
            <w:pPr>
              <w:jc w:val="center"/>
              <w:rPr>
                <w:sz w:val="16"/>
                <w:szCs w:val="16"/>
              </w:rPr>
            </w:pPr>
            <w:r w:rsidRPr="007A738A">
              <w:rPr>
                <w:sz w:val="16"/>
                <w:szCs w:val="16"/>
              </w:rPr>
              <w:t>24.38%</w:t>
            </w:r>
          </w:p>
        </w:tc>
        <w:tc>
          <w:tcPr>
            <w:tcW w:w="396" w:type="pct"/>
            <w:tcBorders>
              <w:top w:val="nil"/>
              <w:left w:val="nil"/>
              <w:bottom w:val="nil"/>
              <w:right w:val="nil"/>
            </w:tcBorders>
            <w:shd w:val="clear" w:color="auto" w:fill="D9D9D9"/>
            <w:vAlign w:val="center"/>
          </w:tcPr>
          <w:p w:rsidR="00BD3025" w:rsidRPr="007A738A" w:rsidRDefault="00BD3025" w:rsidP="0007350C">
            <w:pPr>
              <w:jc w:val="center"/>
              <w:rPr>
                <w:sz w:val="16"/>
                <w:szCs w:val="16"/>
              </w:rPr>
            </w:pPr>
            <w:r w:rsidRPr="007A738A">
              <w:rPr>
                <w:sz w:val="16"/>
                <w:szCs w:val="16"/>
              </w:rPr>
              <w:t>-0.46%</w:t>
            </w:r>
          </w:p>
        </w:tc>
        <w:tc>
          <w:tcPr>
            <w:tcW w:w="344" w:type="pct"/>
            <w:tcBorders>
              <w:top w:val="nil"/>
              <w:left w:val="nil"/>
              <w:bottom w:val="nil"/>
              <w:right w:val="nil"/>
            </w:tcBorders>
            <w:shd w:val="clear" w:color="auto" w:fill="D9D9D9"/>
            <w:vAlign w:val="center"/>
          </w:tcPr>
          <w:p w:rsidR="00BD3025" w:rsidRPr="007A738A" w:rsidRDefault="00BD3025" w:rsidP="0007350C">
            <w:pPr>
              <w:jc w:val="center"/>
              <w:rPr>
                <w:sz w:val="16"/>
                <w:szCs w:val="16"/>
              </w:rPr>
            </w:pPr>
            <w:r w:rsidRPr="007A738A">
              <w:rPr>
                <w:sz w:val="16"/>
                <w:szCs w:val="16"/>
              </w:rPr>
              <w:t>1.31%</w:t>
            </w:r>
          </w:p>
        </w:tc>
        <w:tc>
          <w:tcPr>
            <w:tcW w:w="79" w:type="pct"/>
            <w:tcBorders>
              <w:top w:val="nil"/>
              <w:left w:val="nil"/>
              <w:bottom w:val="nil"/>
              <w:right w:val="nil"/>
            </w:tcBorders>
            <w:shd w:val="clear" w:color="auto" w:fill="D9D9D9"/>
          </w:tcPr>
          <w:p w:rsidR="00BD3025" w:rsidRPr="007A738A" w:rsidRDefault="00BD3025" w:rsidP="0007350C">
            <w:pPr>
              <w:jc w:val="center"/>
              <w:rPr>
                <w:sz w:val="16"/>
                <w:szCs w:val="16"/>
              </w:rPr>
            </w:pPr>
          </w:p>
        </w:tc>
        <w:tc>
          <w:tcPr>
            <w:tcW w:w="344" w:type="pct"/>
            <w:tcBorders>
              <w:top w:val="nil"/>
              <w:left w:val="nil"/>
              <w:bottom w:val="nil"/>
              <w:right w:val="nil"/>
            </w:tcBorders>
            <w:shd w:val="clear" w:color="auto" w:fill="D9D9D9"/>
            <w:vAlign w:val="center"/>
          </w:tcPr>
          <w:p w:rsidR="00BD3025" w:rsidRPr="007A738A" w:rsidRDefault="00BD3025" w:rsidP="0007350C">
            <w:pPr>
              <w:jc w:val="center"/>
              <w:rPr>
                <w:sz w:val="16"/>
                <w:szCs w:val="16"/>
              </w:rPr>
            </w:pPr>
            <w:r w:rsidRPr="007A738A">
              <w:rPr>
                <w:sz w:val="16"/>
                <w:szCs w:val="16"/>
              </w:rPr>
              <w:t>18.05%</w:t>
            </w:r>
          </w:p>
        </w:tc>
        <w:tc>
          <w:tcPr>
            <w:tcW w:w="461" w:type="pct"/>
            <w:tcBorders>
              <w:top w:val="nil"/>
              <w:left w:val="nil"/>
              <w:bottom w:val="nil"/>
              <w:right w:val="nil"/>
            </w:tcBorders>
            <w:shd w:val="clear" w:color="auto" w:fill="D9D9D9"/>
            <w:vAlign w:val="center"/>
          </w:tcPr>
          <w:p w:rsidR="00BD3025" w:rsidRPr="007A738A" w:rsidRDefault="00BD3025" w:rsidP="0007350C">
            <w:pPr>
              <w:jc w:val="center"/>
              <w:rPr>
                <w:sz w:val="16"/>
                <w:szCs w:val="16"/>
              </w:rPr>
            </w:pPr>
            <w:r w:rsidRPr="007A738A">
              <w:rPr>
                <w:sz w:val="16"/>
                <w:szCs w:val="16"/>
              </w:rPr>
              <w:t>15.51%</w:t>
            </w:r>
          </w:p>
        </w:tc>
        <w:tc>
          <w:tcPr>
            <w:tcW w:w="344" w:type="pct"/>
            <w:tcBorders>
              <w:top w:val="nil"/>
              <w:left w:val="nil"/>
              <w:bottom w:val="nil"/>
              <w:right w:val="nil"/>
            </w:tcBorders>
            <w:shd w:val="clear" w:color="auto" w:fill="D9D9D9"/>
            <w:vAlign w:val="center"/>
          </w:tcPr>
          <w:p w:rsidR="00BD3025" w:rsidRPr="007A738A" w:rsidRDefault="00BD3025" w:rsidP="0007350C">
            <w:pPr>
              <w:jc w:val="center"/>
              <w:rPr>
                <w:sz w:val="16"/>
                <w:szCs w:val="16"/>
              </w:rPr>
            </w:pPr>
            <w:r w:rsidRPr="007A738A">
              <w:rPr>
                <w:sz w:val="16"/>
                <w:szCs w:val="16"/>
              </w:rPr>
              <w:t>11.63%</w:t>
            </w:r>
          </w:p>
        </w:tc>
        <w:tc>
          <w:tcPr>
            <w:tcW w:w="344" w:type="pct"/>
            <w:tcBorders>
              <w:top w:val="nil"/>
              <w:left w:val="nil"/>
              <w:bottom w:val="nil"/>
              <w:right w:val="nil"/>
            </w:tcBorders>
            <w:shd w:val="clear" w:color="auto" w:fill="D9D9D9"/>
            <w:vAlign w:val="center"/>
          </w:tcPr>
          <w:p w:rsidR="00BD3025" w:rsidRPr="007A738A" w:rsidRDefault="00BD3025" w:rsidP="0007350C">
            <w:pPr>
              <w:jc w:val="center"/>
              <w:rPr>
                <w:sz w:val="16"/>
                <w:szCs w:val="16"/>
              </w:rPr>
            </w:pPr>
            <w:r w:rsidRPr="007A738A">
              <w:rPr>
                <w:sz w:val="16"/>
                <w:szCs w:val="16"/>
              </w:rPr>
              <w:t>3.10%</w:t>
            </w:r>
          </w:p>
        </w:tc>
        <w:tc>
          <w:tcPr>
            <w:tcW w:w="79" w:type="pct"/>
            <w:tcBorders>
              <w:top w:val="nil"/>
              <w:left w:val="nil"/>
              <w:bottom w:val="nil"/>
              <w:right w:val="nil"/>
            </w:tcBorders>
            <w:shd w:val="clear" w:color="auto" w:fill="D9D9D9"/>
          </w:tcPr>
          <w:p w:rsidR="00BD3025" w:rsidRPr="007A738A" w:rsidRDefault="00BD3025" w:rsidP="0007350C">
            <w:pPr>
              <w:jc w:val="center"/>
              <w:rPr>
                <w:sz w:val="16"/>
                <w:szCs w:val="16"/>
              </w:rPr>
            </w:pPr>
          </w:p>
        </w:tc>
        <w:tc>
          <w:tcPr>
            <w:tcW w:w="366" w:type="pct"/>
            <w:tcBorders>
              <w:top w:val="nil"/>
              <w:left w:val="nil"/>
              <w:bottom w:val="nil"/>
              <w:right w:val="nil"/>
            </w:tcBorders>
            <w:shd w:val="clear" w:color="auto" w:fill="D9D9D9"/>
            <w:vAlign w:val="center"/>
          </w:tcPr>
          <w:p w:rsidR="00BD3025" w:rsidRPr="007A738A" w:rsidRDefault="00BD3025" w:rsidP="0007350C">
            <w:pPr>
              <w:jc w:val="center"/>
              <w:rPr>
                <w:sz w:val="16"/>
                <w:szCs w:val="16"/>
              </w:rPr>
            </w:pPr>
            <w:r w:rsidRPr="007A738A">
              <w:rPr>
                <w:sz w:val="16"/>
                <w:szCs w:val="16"/>
              </w:rPr>
              <w:t>16.56%</w:t>
            </w:r>
          </w:p>
        </w:tc>
        <w:tc>
          <w:tcPr>
            <w:tcW w:w="344" w:type="pct"/>
            <w:tcBorders>
              <w:top w:val="nil"/>
              <w:left w:val="nil"/>
              <w:bottom w:val="nil"/>
              <w:right w:val="nil"/>
            </w:tcBorders>
            <w:shd w:val="clear" w:color="auto" w:fill="D9D9D9"/>
            <w:vAlign w:val="center"/>
          </w:tcPr>
          <w:p w:rsidR="00BD3025" w:rsidRPr="007A738A" w:rsidRDefault="00BD3025" w:rsidP="0007350C">
            <w:pPr>
              <w:jc w:val="center"/>
              <w:rPr>
                <w:sz w:val="16"/>
                <w:szCs w:val="16"/>
              </w:rPr>
            </w:pPr>
            <w:r w:rsidRPr="007A738A">
              <w:rPr>
                <w:sz w:val="16"/>
                <w:szCs w:val="16"/>
              </w:rPr>
              <w:t>23.83%</w:t>
            </w:r>
          </w:p>
        </w:tc>
        <w:tc>
          <w:tcPr>
            <w:tcW w:w="344" w:type="pct"/>
            <w:tcBorders>
              <w:top w:val="nil"/>
              <w:left w:val="nil"/>
              <w:bottom w:val="nil"/>
              <w:right w:val="nil"/>
            </w:tcBorders>
            <w:shd w:val="clear" w:color="auto" w:fill="D9D9D9"/>
            <w:vAlign w:val="center"/>
          </w:tcPr>
          <w:p w:rsidR="00BD3025" w:rsidRPr="007A738A" w:rsidRDefault="00BD3025" w:rsidP="0007350C">
            <w:pPr>
              <w:jc w:val="center"/>
              <w:rPr>
                <w:sz w:val="16"/>
                <w:szCs w:val="16"/>
              </w:rPr>
            </w:pPr>
            <w:r w:rsidRPr="007A738A">
              <w:rPr>
                <w:sz w:val="16"/>
                <w:szCs w:val="16"/>
              </w:rPr>
              <w:t>0.11%</w:t>
            </w:r>
          </w:p>
        </w:tc>
        <w:tc>
          <w:tcPr>
            <w:tcW w:w="344" w:type="pct"/>
            <w:tcBorders>
              <w:top w:val="nil"/>
              <w:left w:val="nil"/>
              <w:bottom w:val="nil"/>
              <w:right w:val="nil"/>
            </w:tcBorders>
            <w:shd w:val="clear" w:color="auto" w:fill="D9D9D9"/>
            <w:vAlign w:val="center"/>
          </w:tcPr>
          <w:p w:rsidR="00BD3025" w:rsidRPr="007A738A" w:rsidRDefault="00BD3025" w:rsidP="0007350C">
            <w:pPr>
              <w:jc w:val="center"/>
              <w:rPr>
                <w:sz w:val="16"/>
                <w:szCs w:val="16"/>
              </w:rPr>
            </w:pPr>
            <w:r w:rsidRPr="007A738A">
              <w:rPr>
                <w:sz w:val="16"/>
                <w:szCs w:val="16"/>
              </w:rPr>
              <w:t>3.09%</w:t>
            </w:r>
          </w:p>
        </w:tc>
      </w:tr>
      <w:tr w:rsidR="00BD3025" w:rsidRPr="007A738A">
        <w:trPr>
          <w:trHeight w:val="280"/>
          <w:jc w:val="center"/>
        </w:trPr>
        <w:tc>
          <w:tcPr>
            <w:tcW w:w="395" w:type="pct"/>
            <w:tcBorders>
              <w:top w:val="nil"/>
              <w:left w:val="nil"/>
              <w:right w:val="nil"/>
            </w:tcBorders>
            <w:vAlign w:val="center"/>
          </w:tcPr>
          <w:p w:rsidR="00BD3025" w:rsidRPr="007A738A" w:rsidRDefault="00BD3025" w:rsidP="0007350C">
            <w:pPr>
              <w:pStyle w:val="Tablecenteredtext"/>
              <w:rPr>
                <w:sz w:val="16"/>
                <w:szCs w:val="16"/>
              </w:rPr>
            </w:pPr>
            <w:r w:rsidRPr="007A738A">
              <w:rPr>
                <w:rStyle w:val="Siln"/>
                <w:sz w:val="18"/>
                <w:szCs w:val="18"/>
              </w:rPr>
              <w:object w:dxaOrig="360" w:dyaOrig="300">
                <v:shape id="_x0000_i1069" type="#_x0000_t75" style="width:18.25pt;height:14.5pt" o:ole="">
                  <v:imagedata r:id="rId79" o:title=""/>
                </v:shape>
                <o:OLEObject Type="Embed" ProgID="Equation.3" ShapeID="_x0000_i1069" DrawAspect="Content" ObjectID="_1438020044" r:id="rId101"/>
              </w:object>
            </w:r>
          </w:p>
        </w:tc>
        <w:tc>
          <w:tcPr>
            <w:tcW w:w="79" w:type="pct"/>
            <w:tcBorders>
              <w:top w:val="nil"/>
              <w:left w:val="nil"/>
              <w:right w:val="nil"/>
            </w:tcBorders>
          </w:tcPr>
          <w:p w:rsidR="00BD3025" w:rsidRPr="007A738A" w:rsidRDefault="00BD3025" w:rsidP="0007350C">
            <w:pPr>
              <w:jc w:val="center"/>
              <w:rPr>
                <w:sz w:val="16"/>
                <w:szCs w:val="16"/>
              </w:rPr>
            </w:pPr>
          </w:p>
        </w:tc>
        <w:tc>
          <w:tcPr>
            <w:tcW w:w="344" w:type="pct"/>
            <w:tcBorders>
              <w:top w:val="nil"/>
              <w:left w:val="nil"/>
              <w:right w:val="nil"/>
            </w:tcBorders>
            <w:vAlign w:val="center"/>
          </w:tcPr>
          <w:p w:rsidR="00BD3025" w:rsidRPr="007A738A" w:rsidRDefault="00BD3025" w:rsidP="0007350C">
            <w:pPr>
              <w:jc w:val="center"/>
              <w:rPr>
                <w:sz w:val="16"/>
                <w:szCs w:val="16"/>
              </w:rPr>
            </w:pPr>
            <w:r w:rsidRPr="007A738A">
              <w:rPr>
                <w:sz w:val="16"/>
                <w:szCs w:val="16"/>
              </w:rPr>
              <w:t>80.80%</w:t>
            </w:r>
          </w:p>
        </w:tc>
        <w:tc>
          <w:tcPr>
            <w:tcW w:w="392" w:type="pct"/>
            <w:tcBorders>
              <w:top w:val="nil"/>
              <w:left w:val="nil"/>
              <w:right w:val="nil"/>
            </w:tcBorders>
            <w:vAlign w:val="center"/>
          </w:tcPr>
          <w:p w:rsidR="00BD3025" w:rsidRPr="007A738A" w:rsidRDefault="00BD3025" w:rsidP="0007350C">
            <w:pPr>
              <w:jc w:val="center"/>
              <w:rPr>
                <w:sz w:val="16"/>
                <w:szCs w:val="16"/>
              </w:rPr>
            </w:pPr>
            <w:r w:rsidRPr="007A738A">
              <w:rPr>
                <w:sz w:val="16"/>
                <w:szCs w:val="16"/>
              </w:rPr>
              <w:t>74.31%</w:t>
            </w:r>
          </w:p>
        </w:tc>
        <w:tc>
          <w:tcPr>
            <w:tcW w:w="396" w:type="pct"/>
            <w:tcBorders>
              <w:top w:val="nil"/>
              <w:left w:val="nil"/>
              <w:right w:val="nil"/>
            </w:tcBorders>
            <w:vAlign w:val="center"/>
          </w:tcPr>
          <w:p w:rsidR="00BD3025" w:rsidRPr="007A738A" w:rsidRDefault="00BD3025" w:rsidP="0007350C">
            <w:pPr>
              <w:jc w:val="center"/>
              <w:rPr>
                <w:sz w:val="16"/>
                <w:szCs w:val="16"/>
              </w:rPr>
            </w:pPr>
            <w:r w:rsidRPr="007A738A">
              <w:rPr>
                <w:sz w:val="16"/>
                <w:szCs w:val="16"/>
              </w:rPr>
              <w:t>67.38%</w:t>
            </w:r>
          </w:p>
        </w:tc>
        <w:tc>
          <w:tcPr>
            <w:tcW w:w="344" w:type="pct"/>
            <w:tcBorders>
              <w:top w:val="nil"/>
              <w:left w:val="nil"/>
              <w:right w:val="nil"/>
            </w:tcBorders>
            <w:vAlign w:val="center"/>
          </w:tcPr>
          <w:p w:rsidR="00BD3025" w:rsidRPr="007A738A" w:rsidRDefault="00BD3025" w:rsidP="0007350C">
            <w:pPr>
              <w:jc w:val="center"/>
              <w:rPr>
                <w:sz w:val="16"/>
                <w:szCs w:val="16"/>
              </w:rPr>
            </w:pPr>
            <w:r w:rsidRPr="007A738A">
              <w:rPr>
                <w:sz w:val="16"/>
                <w:szCs w:val="16"/>
              </w:rPr>
              <w:t>94.89%</w:t>
            </w:r>
          </w:p>
        </w:tc>
        <w:tc>
          <w:tcPr>
            <w:tcW w:w="79" w:type="pct"/>
            <w:tcBorders>
              <w:top w:val="nil"/>
              <w:left w:val="nil"/>
              <w:right w:val="nil"/>
            </w:tcBorders>
          </w:tcPr>
          <w:p w:rsidR="00BD3025" w:rsidRPr="007A738A" w:rsidRDefault="00BD3025" w:rsidP="0007350C">
            <w:pPr>
              <w:jc w:val="center"/>
              <w:rPr>
                <w:sz w:val="16"/>
                <w:szCs w:val="16"/>
              </w:rPr>
            </w:pPr>
          </w:p>
        </w:tc>
        <w:tc>
          <w:tcPr>
            <w:tcW w:w="344" w:type="pct"/>
            <w:tcBorders>
              <w:top w:val="nil"/>
              <w:left w:val="nil"/>
              <w:right w:val="nil"/>
            </w:tcBorders>
            <w:vAlign w:val="center"/>
          </w:tcPr>
          <w:p w:rsidR="00BD3025" w:rsidRPr="007A738A" w:rsidRDefault="00BD3025" w:rsidP="0007350C">
            <w:pPr>
              <w:jc w:val="center"/>
              <w:rPr>
                <w:sz w:val="16"/>
                <w:szCs w:val="16"/>
              </w:rPr>
            </w:pPr>
            <w:r w:rsidRPr="007A738A">
              <w:rPr>
                <w:sz w:val="16"/>
                <w:szCs w:val="16"/>
              </w:rPr>
              <w:t>75.95%</w:t>
            </w:r>
          </w:p>
        </w:tc>
        <w:tc>
          <w:tcPr>
            <w:tcW w:w="461" w:type="pct"/>
            <w:tcBorders>
              <w:top w:val="nil"/>
              <w:left w:val="nil"/>
              <w:right w:val="nil"/>
            </w:tcBorders>
            <w:vAlign w:val="center"/>
          </w:tcPr>
          <w:p w:rsidR="00BD3025" w:rsidRPr="007A738A" w:rsidRDefault="00BD3025" w:rsidP="0007350C">
            <w:pPr>
              <w:jc w:val="center"/>
              <w:rPr>
                <w:sz w:val="16"/>
                <w:szCs w:val="16"/>
              </w:rPr>
            </w:pPr>
            <w:r w:rsidRPr="007A738A">
              <w:rPr>
                <w:sz w:val="16"/>
                <w:szCs w:val="16"/>
              </w:rPr>
              <w:t>77.50%</w:t>
            </w:r>
          </w:p>
        </w:tc>
        <w:tc>
          <w:tcPr>
            <w:tcW w:w="344" w:type="pct"/>
            <w:tcBorders>
              <w:top w:val="nil"/>
              <w:left w:val="nil"/>
              <w:right w:val="nil"/>
            </w:tcBorders>
            <w:vAlign w:val="center"/>
          </w:tcPr>
          <w:p w:rsidR="00BD3025" w:rsidRPr="007A738A" w:rsidRDefault="00BD3025" w:rsidP="0007350C">
            <w:pPr>
              <w:jc w:val="center"/>
              <w:rPr>
                <w:sz w:val="16"/>
                <w:szCs w:val="16"/>
              </w:rPr>
            </w:pPr>
            <w:r w:rsidRPr="007A738A">
              <w:rPr>
                <w:sz w:val="16"/>
                <w:szCs w:val="16"/>
              </w:rPr>
              <w:t>80.31%</w:t>
            </w:r>
          </w:p>
        </w:tc>
        <w:tc>
          <w:tcPr>
            <w:tcW w:w="344" w:type="pct"/>
            <w:tcBorders>
              <w:top w:val="nil"/>
              <w:left w:val="nil"/>
              <w:right w:val="nil"/>
            </w:tcBorders>
            <w:vAlign w:val="center"/>
          </w:tcPr>
          <w:p w:rsidR="00BD3025" w:rsidRPr="007A738A" w:rsidRDefault="00BD3025" w:rsidP="0007350C">
            <w:pPr>
              <w:jc w:val="center"/>
              <w:rPr>
                <w:sz w:val="16"/>
                <w:szCs w:val="16"/>
              </w:rPr>
            </w:pPr>
            <w:r w:rsidRPr="007A738A">
              <w:rPr>
                <w:sz w:val="16"/>
                <w:szCs w:val="16"/>
              </w:rPr>
              <w:t>88.67%</w:t>
            </w:r>
          </w:p>
        </w:tc>
        <w:tc>
          <w:tcPr>
            <w:tcW w:w="79" w:type="pct"/>
            <w:tcBorders>
              <w:top w:val="nil"/>
              <w:left w:val="nil"/>
              <w:right w:val="nil"/>
            </w:tcBorders>
          </w:tcPr>
          <w:p w:rsidR="00BD3025" w:rsidRPr="007A738A" w:rsidRDefault="00BD3025" w:rsidP="0007350C">
            <w:pPr>
              <w:jc w:val="center"/>
              <w:rPr>
                <w:sz w:val="16"/>
                <w:szCs w:val="16"/>
              </w:rPr>
            </w:pPr>
          </w:p>
        </w:tc>
        <w:tc>
          <w:tcPr>
            <w:tcW w:w="366" w:type="pct"/>
            <w:tcBorders>
              <w:top w:val="nil"/>
              <w:left w:val="nil"/>
              <w:right w:val="nil"/>
            </w:tcBorders>
            <w:vAlign w:val="center"/>
          </w:tcPr>
          <w:p w:rsidR="00BD3025" w:rsidRPr="007A738A" w:rsidRDefault="00BD3025" w:rsidP="0007350C">
            <w:pPr>
              <w:jc w:val="center"/>
              <w:rPr>
                <w:sz w:val="16"/>
                <w:szCs w:val="16"/>
              </w:rPr>
            </w:pPr>
            <w:r w:rsidRPr="007A738A">
              <w:rPr>
                <w:sz w:val="16"/>
                <w:szCs w:val="16"/>
              </w:rPr>
              <w:t>78.92%</w:t>
            </w:r>
          </w:p>
        </w:tc>
        <w:tc>
          <w:tcPr>
            <w:tcW w:w="344" w:type="pct"/>
            <w:tcBorders>
              <w:top w:val="nil"/>
              <w:left w:val="nil"/>
              <w:right w:val="nil"/>
            </w:tcBorders>
            <w:vAlign w:val="center"/>
          </w:tcPr>
          <w:p w:rsidR="00BD3025" w:rsidRPr="007A738A" w:rsidRDefault="00BD3025" w:rsidP="0007350C">
            <w:pPr>
              <w:jc w:val="center"/>
              <w:rPr>
                <w:sz w:val="16"/>
                <w:szCs w:val="16"/>
              </w:rPr>
            </w:pPr>
            <w:r w:rsidRPr="007A738A">
              <w:rPr>
                <w:sz w:val="16"/>
                <w:szCs w:val="16"/>
              </w:rPr>
              <w:t>71.88%</w:t>
            </w:r>
          </w:p>
        </w:tc>
        <w:tc>
          <w:tcPr>
            <w:tcW w:w="344" w:type="pct"/>
            <w:tcBorders>
              <w:top w:val="nil"/>
              <w:left w:val="nil"/>
              <w:right w:val="nil"/>
            </w:tcBorders>
            <w:vAlign w:val="center"/>
          </w:tcPr>
          <w:p w:rsidR="00BD3025" w:rsidRPr="007A738A" w:rsidRDefault="00BD3025" w:rsidP="0007350C">
            <w:pPr>
              <w:jc w:val="center"/>
              <w:rPr>
                <w:sz w:val="16"/>
                <w:szCs w:val="16"/>
              </w:rPr>
            </w:pPr>
            <w:r w:rsidRPr="007A738A">
              <w:rPr>
                <w:sz w:val="16"/>
                <w:szCs w:val="16"/>
              </w:rPr>
              <w:t>78.25%</w:t>
            </w:r>
          </w:p>
        </w:tc>
        <w:tc>
          <w:tcPr>
            <w:tcW w:w="344" w:type="pct"/>
            <w:tcBorders>
              <w:top w:val="nil"/>
              <w:left w:val="nil"/>
              <w:right w:val="nil"/>
            </w:tcBorders>
            <w:vAlign w:val="center"/>
          </w:tcPr>
          <w:p w:rsidR="00BD3025" w:rsidRPr="007A738A" w:rsidRDefault="00BD3025" w:rsidP="0007350C">
            <w:pPr>
              <w:jc w:val="center"/>
              <w:rPr>
                <w:sz w:val="16"/>
                <w:szCs w:val="16"/>
              </w:rPr>
            </w:pPr>
            <w:r w:rsidRPr="007A738A">
              <w:rPr>
                <w:sz w:val="16"/>
                <w:szCs w:val="16"/>
              </w:rPr>
              <w:t>89.18%</w:t>
            </w:r>
          </w:p>
        </w:tc>
      </w:tr>
    </w:tbl>
    <w:p w:rsidR="00BD3025" w:rsidRPr="007A738A" w:rsidRDefault="00BD3025" w:rsidP="006570BB">
      <w:pPr>
        <w:pStyle w:val="Titulek"/>
      </w:pPr>
      <w:r w:rsidRPr="007A738A">
        <w:rPr>
          <w:rStyle w:val="CaptionHeader"/>
        </w:rPr>
        <w:t xml:space="preserve">Table </w:t>
      </w:r>
      <w:r w:rsidR="006637EA" w:rsidRPr="007A738A">
        <w:rPr>
          <w:rStyle w:val="CaptionHeader"/>
        </w:rPr>
        <w:fldChar w:fldCharType="begin"/>
      </w:r>
      <w:r w:rsidRPr="007A738A">
        <w:rPr>
          <w:rStyle w:val="CaptionHeader"/>
        </w:rPr>
        <w:instrText xml:space="preserve"> SEQ Table \* ARABIC </w:instrText>
      </w:r>
      <w:r w:rsidR="006637EA" w:rsidRPr="007A738A">
        <w:rPr>
          <w:rStyle w:val="CaptionHeader"/>
        </w:rPr>
        <w:fldChar w:fldCharType="separate"/>
      </w:r>
      <w:r w:rsidR="002C07CA" w:rsidRPr="007A738A">
        <w:rPr>
          <w:rStyle w:val="CaptionHeader"/>
          <w:noProof/>
        </w:rPr>
        <w:t>2</w:t>
      </w:r>
      <w:r w:rsidR="006637EA" w:rsidRPr="007A738A">
        <w:rPr>
          <w:rStyle w:val="CaptionHeader"/>
        </w:rPr>
        <w:fldChar w:fldCharType="end"/>
      </w:r>
      <w:r w:rsidRPr="007A738A">
        <w:t xml:space="preserve"> Explained historical variability of inflation</w:t>
      </w:r>
    </w:p>
    <w:p w:rsidR="00BD3025" w:rsidRPr="007A738A" w:rsidRDefault="00BD3025" w:rsidP="00396758">
      <w:pPr>
        <w:pStyle w:val="Zkladntext-prvnodsazen"/>
      </w:pPr>
      <w:r w:rsidRPr="007A738A">
        <w:lastRenderedPageBreak/>
        <w:t>For the analysis of the results we divided our period as mentioned above. For easier recognition we roughly divided the period to the 1990s and the 2000s in Table 2. We can see the specific year of the switch of the system in the table. We consider periods of irregular devaluations in Poland and Hungary as part of the crawling peg system as well. Our conclusions are only to some extend in attune with our expectations. We generally supposed that the role of the exchange rate should be negative or limited in the periods of the fixed exchange rate regimes. But in the case of the Czech Republic, the model shows a rather strong impact of the exchange rate changes on the explanation of inflation. It can be caused by higher fluctuations when the Crown was moving in the bands. On the contrary, in Slovakia the impact was in accordance with our expectations. Secondly, we supposed that in the period of crawling pegs small devaluations should cause inflation and our conclusion for Hungary is fully in accordance with this expectation. On the contrary, in Poland general impact of the monetary aggregate was the main source of inflation and in our model, the exchange rate has even a negative impact.</w:t>
      </w:r>
    </w:p>
    <w:p w:rsidR="00BD3025" w:rsidRPr="007A738A" w:rsidRDefault="00BD3025" w:rsidP="00396758">
      <w:pPr>
        <w:pStyle w:val="Zkladntext-prvnodsazen"/>
        <w:rPr>
          <w:b/>
          <w:bCs/>
        </w:rPr>
      </w:pPr>
      <w:bookmarkStart w:id="1" w:name="_GoBack"/>
      <w:r w:rsidRPr="007A738A">
        <w:t>Roughly with the turn of the century the exchange rate regimes changed. The impact of the exchange rate was in our view surprisingly important especially in the floating regimes in Poland and the Czech Republic; and in the Hungarian fixed exchange rate regime with a large band. On the contrary, in Slovakia the impact of the exchange rate was relatively small but it was significant. To be more specific, we have computed contribution of the nominal effective exchange rates to the year-on-year inflation in V4 countries. These computations are presented in Table 3. The periods are similar to those from Table 2. The column “Model”</w:t>
      </w:r>
      <w:r w:rsidRPr="007A738A">
        <w:rPr>
          <w:rStyle w:val="Siln"/>
          <w:sz w:val="16"/>
          <w:szCs w:val="16"/>
        </w:rPr>
        <w:t xml:space="preserve"> </w:t>
      </w:r>
      <w:r w:rsidRPr="007A738A">
        <w:rPr>
          <w:rStyle w:val="Siln"/>
          <w:b w:val="0"/>
          <w:bCs w:val="0"/>
        </w:rPr>
        <w:t>contains est</w:t>
      </w:r>
      <w:r w:rsidRPr="007A738A">
        <w:t xml:space="preserve">imated intercept in the </w:t>
      </w:r>
      <w:r w:rsidR="00F93D5B" w:rsidRPr="00F93D5B">
        <w:rPr>
          <w:rStyle w:val="Siln"/>
          <w:position w:val="-6"/>
        </w:rPr>
        <w:object w:dxaOrig="540" w:dyaOrig="240">
          <v:shape id="_x0000_i1077" type="#_x0000_t75" style="width:26.85pt;height:11.8pt" o:ole="">
            <v:imagedata r:id="rId102" o:title=""/>
          </v:shape>
          <o:OLEObject Type="Embed" ProgID="Equation.3" ShapeID="_x0000_i1077" DrawAspect="Content" ObjectID="_1438020045" r:id="rId103"/>
        </w:object>
      </w:r>
      <w:r w:rsidRPr="007A738A">
        <w:rPr>
          <w:rStyle w:val="Siln"/>
          <w:b w:val="0"/>
          <w:bCs w:val="0"/>
        </w:rPr>
        <w:t xml:space="preserve">(i.e. inflation) equation of the SVAR model. This estimate corresponds to a part of the inflation which is not explained by the variability of the endogenous variables and may be this considered as the overall trend in price level development. We can see the inflationary impacts of the NEER changes in the 1990s and the mostly deflationary tendencies caused by the NEER changes in the 2000s. </w:t>
      </w:r>
    </w:p>
    <w:bookmarkEnd w:id="1"/>
    <w:p w:rsidR="00BD3025" w:rsidRPr="007A738A" w:rsidRDefault="00BD3025" w:rsidP="00396758">
      <w:pPr>
        <w:pStyle w:val="Zkladntext-prvnodsazen"/>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1"/>
        <w:gridCol w:w="1152"/>
        <w:gridCol w:w="1153"/>
        <w:gridCol w:w="1152"/>
        <w:gridCol w:w="1153"/>
        <w:gridCol w:w="1153"/>
        <w:gridCol w:w="1152"/>
        <w:gridCol w:w="1146"/>
      </w:tblGrid>
      <w:tr w:rsidR="00BD3025" w:rsidRPr="007A738A">
        <w:trPr>
          <w:trHeight w:val="280"/>
          <w:jc w:val="center"/>
        </w:trPr>
        <w:tc>
          <w:tcPr>
            <w:tcW w:w="625" w:type="pct"/>
            <w:tcBorders>
              <w:left w:val="nil"/>
              <w:bottom w:val="nil"/>
              <w:right w:val="nil"/>
            </w:tcBorders>
            <w:vAlign w:val="center"/>
          </w:tcPr>
          <w:p w:rsidR="00BD3025" w:rsidRPr="007A738A" w:rsidRDefault="00BD3025" w:rsidP="00E87C53">
            <w:pPr>
              <w:pStyle w:val="Tablecenteredtext"/>
              <w:rPr>
                <w:rStyle w:val="Siln"/>
                <w:sz w:val="18"/>
                <w:szCs w:val="18"/>
              </w:rPr>
            </w:pPr>
          </w:p>
        </w:tc>
        <w:tc>
          <w:tcPr>
            <w:tcW w:w="1251" w:type="pct"/>
            <w:gridSpan w:val="2"/>
            <w:tcBorders>
              <w:left w:val="nil"/>
              <w:bottom w:val="nil"/>
              <w:right w:val="nil"/>
            </w:tcBorders>
            <w:vAlign w:val="center"/>
          </w:tcPr>
          <w:p w:rsidR="00BD3025" w:rsidRPr="007A738A" w:rsidRDefault="00BD3025" w:rsidP="00E87C53">
            <w:pPr>
              <w:pStyle w:val="Tablecenteredtext"/>
              <w:rPr>
                <w:rStyle w:val="Siln"/>
                <w:sz w:val="18"/>
                <w:szCs w:val="18"/>
              </w:rPr>
            </w:pPr>
            <w:r w:rsidRPr="007A738A">
              <w:rPr>
                <w:rStyle w:val="Siln"/>
                <w:sz w:val="18"/>
                <w:szCs w:val="18"/>
              </w:rPr>
              <w:t>“1990s”</w:t>
            </w:r>
          </w:p>
        </w:tc>
        <w:tc>
          <w:tcPr>
            <w:tcW w:w="1251" w:type="pct"/>
            <w:gridSpan w:val="2"/>
            <w:tcBorders>
              <w:left w:val="nil"/>
              <w:bottom w:val="nil"/>
              <w:right w:val="nil"/>
            </w:tcBorders>
            <w:vAlign w:val="center"/>
          </w:tcPr>
          <w:p w:rsidR="00BD3025" w:rsidRPr="007A738A" w:rsidRDefault="00BD3025" w:rsidP="00E87C53">
            <w:pPr>
              <w:pStyle w:val="Tablecenteredtext"/>
              <w:rPr>
                <w:rStyle w:val="Siln"/>
                <w:sz w:val="18"/>
                <w:szCs w:val="18"/>
              </w:rPr>
            </w:pPr>
            <w:r w:rsidRPr="007A738A">
              <w:rPr>
                <w:rStyle w:val="Siln"/>
                <w:sz w:val="18"/>
                <w:szCs w:val="18"/>
              </w:rPr>
              <w:t>“2000s”</w:t>
            </w:r>
          </w:p>
        </w:tc>
        <w:tc>
          <w:tcPr>
            <w:tcW w:w="1251" w:type="pct"/>
            <w:gridSpan w:val="2"/>
            <w:tcBorders>
              <w:left w:val="nil"/>
              <w:bottom w:val="nil"/>
              <w:right w:val="nil"/>
            </w:tcBorders>
            <w:vAlign w:val="center"/>
          </w:tcPr>
          <w:p w:rsidR="00BD3025" w:rsidRPr="007A738A" w:rsidRDefault="00BD3025" w:rsidP="00E87C53">
            <w:pPr>
              <w:pStyle w:val="Tablecenteredtext"/>
              <w:rPr>
                <w:rStyle w:val="Siln"/>
                <w:sz w:val="18"/>
                <w:szCs w:val="18"/>
              </w:rPr>
            </w:pPr>
            <w:r w:rsidRPr="007A738A">
              <w:rPr>
                <w:rStyle w:val="Siln"/>
                <w:sz w:val="18"/>
                <w:szCs w:val="18"/>
              </w:rPr>
              <w:t>“1990s and 2000s”</w:t>
            </w:r>
          </w:p>
        </w:tc>
        <w:tc>
          <w:tcPr>
            <w:tcW w:w="622" w:type="pct"/>
            <w:tcBorders>
              <w:left w:val="nil"/>
              <w:bottom w:val="nil"/>
              <w:right w:val="nil"/>
            </w:tcBorders>
            <w:vAlign w:val="center"/>
          </w:tcPr>
          <w:p w:rsidR="00BD3025" w:rsidRPr="007A738A" w:rsidRDefault="00BD3025" w:rsidP="00E87C53">
            <w:pPr>
              <w:pStyle w:val="Tablecenteredtext"/>
              <w:rPr>
                <w:rStyle w:val="Siln"/>
                <w:sz w:val="18"/>
                <w:szCs w:val="18"/>
              </w:rPr>
            </w:pPr>
            <w:r w:rsidRPr="007A738A">
              <w:rPr>
                <w:rStyle w:val="Siln"/>
                <w:sz w:val="18"/>
                <w:szCs w:val="18"/>
              </w:rPr>
              <w:t>Model</w:t>
            </w:r>
          </w:p>
        </w:tc>
      </w:tr>
      <w:tr w:rsidR="00BD3025" w:rsidRPr="007A738A">
        <w:trPr>
          <w:trHeight w:val="280"/>
          <w:jc w:val="center"/>
        </w:trPr>
        <w:tc>
          <w:tcPr>
            <w:tcW w:w="625" w:type="pct"/>
            <w:tcBorders>
              <w:top w:val="nil"/>
              <w:left w:val="nil"/>
              <w:bottom w:val="nil"/>
              <w:right w:val="nil"/>
            </w:tcBorders>
            <w:vAlign w:val="center"/>
          </w:tcPr>
          <w:p w:rsidR="00BD3025" w:rsidRPr="007A738A" w:rsidRDefault="00BD3025" w:rsidP="00E87C53">
            <w:pPr>
              <w:pStyle w:val="Tablecenteredtext"/>
              <w:rPr>
                <w:rStyle w:val="Siln"/>
                <w:sz w:val="18"/>
                <w:szCs w:val="18"/>
              </w:rPr>
            </w:pPr>
          </w:p>
        </w:tc>
        <w:tc>
          <w:tcPr>
            <w:tcW w:w="625" w:type="pct"/>
            <w:tcBorders>
              <w:top w:val="nil"/>
              <w:left w:val="nil"/>
              <w:bottom w:val="nil"/>
              <w:right w:val="nil"/>
            </w:tcBorders>
            <w:vAlign w:val="center"/>
          </w:tcPr>
          <w:p w:rsidR="00BD3025" w:rsidRPr="007A738A" w:rsidRDefault="00BD3025" w:rsidP="00E87C53">
            <w:pPr>
              <w:pStyle w:val="Tablecenteredtext"/>
              <w:rPr>
                <w:rStyle w:val="Siln"/>
                <w:sz w:val="18"/>
                <w:szCs w:val="18"/>
              </w:rPr>
            </w:pPr>
            <w:r w:rsidRPr="007A738A">
              <w:rPr>
                <w:rStyle w:val="Siln"/>
                <w:sz w:val="18"/>
                <w:szCs w:val="18"/>
              </w:rPr>
              <w:object w:dxaOrig="440" w:dyaOrig="300">
                <v:shape id="_x0000_i1070" type="#_x0000_t75" style="width:21.5pt;height:15.05pt" o:ole="">
                  <v:imagedata r:id="rId99" o:title=""/>
                </v:shape>
                <o:OLEObject Type="Embed" ProgID="Equation.3" ShapeID="_x0000_i1070" DrawAspect="Content" ObjectID="_1438020046" r:id="rId104"/>
              </w:object>
            </w:r>
          </w:p>
        </w:tc>
        <w:tc>
          <w:tcPr>
            <w:tcW w:w="626" w:type="pct"/>
            <w:tcBorders>
              <w:top w:val="nil"/>
              <w:left w:val="nil"/>
              <w:bottom w:val="nil"/>
              <w:right w:val="nil"/>
            </w:tcBorders>
            <w:vAlign w:val="center"/>
          </w:tcPr>
          <w:p w:rsidR="00BD3025" w:rsidRPr="007A738A" w:rsidRDefault="00BD3025" w:rsidP="00E87C53">
            <w:pPr>
              <w:pStyle w:val="Tablecenteredtext"/>
              <w:rPr>
                <w:rStyle w:val="Siln"/>
                <w:sz w:val="18"/>
                <w:szCs w:val="18"/>
              </w:rPr>
            </w:pPr>
            <w:r w:rsidRPr="007A738A">
              <w:rPr>
                <w:rStyle w:val="Siln"/>
                <w:sz w:val="18"/>
                <w:szCs w:val="18"/>
              </w:rPr>
              <w:object w:dxaOrig="540" w:dyaOrig="240">
                <v:shape id="_x0000_i1071" type="#_x0000_t75" style="width:26.85pt;height:11.8pt" o:ole="">
                  <v:imagedata r:id="rId105" o:title=""/>
                </v:shape>
                <o:OLEObject Type="Embed" ProgID="Equation.3" ShapeID="_x0000_i1071" DrawAspect="Content" ObjectID="_1438020047" r:id="rId106"/>
              </w:object>
            </w:r>
          </w:p>
        </w:tc>
        <w:tc>
          <w:tcPr>
            <w:tcW w:w="625" w:type="pct"/>
            <w:tcBorders>
              <w:top w:val="nil"/>
              <w:left w:val="nil"/>
              <w:bottom w:val="nil"/>
              <w:right w:val="nil"/>
            </w:tcBorders>
            <w:vAlign w:val="center"/>
          </w:tcPr>
          <w:p w:rsidR="00BD3025" w:rsidRPr="007A738A" w:rsidRDefault="00BD3025" w:rsidP="00E87C53">
            <w:pPr>
              <w:pStyle w:val="Tablecenteredtext"/>
              <w:rPr>
                <w:rStyle w:val="Siln"/>
                <w:sz w:val="18"/>
                <w:szCs w:val="18"/>
              </w:rPr>
            </w:pPr>
            <w:r w:rsidRPr="007A738A">
              <w:rPr>
                <w:rStyle w:val="Siln"/>
                <w:sz w:val="18"/>
                <w:szCs w:val="18"/>
              </w:rPr>
              <w:object w:dxaOrig="440" w:dyaOrig="300">
                <v:shape id="_x0000_i1072" type="#_x0000_t75" style="width:21.5pt;height:15.05pt" o:ole="">
                  <v:imagedata r:id="rId99" o:title=""/>
                </v:shape>
                <o:OLEObject Type="Embed" ProgID="Equation.3" ShapeID="_x0000_i1072" DrawAspect="Content" ObjectID="_1438020048" r:id="rId107"/>
              </w:object>
            </w:r>
          </w:p>
        </w:tc>
        <w:tc>
          <w:tcPr>
            <w:tcW w:w="626" w:type="pct"/>
            <w:tcBorders>
              <w:top w:val="nil"/>
              <w:left w:val="nil"/>
              <w:bottom w:val="nil"/>
              <w:right w:val="nil"/>
            </w:tcBorders>
            <w:vAlign w:val="center"/>
          </w:tcPr>
          <w:p w:rsidR="00BD3025" w:rsidRPr="007A738A" w:rsidRDefault="00BD3025" w:rsidP="00E87C53">
            <w:pPr>
              <w:pStyle w:val="Tablecenteredtext"/>
              <w:rPr>
                <w:rStyle w:val="Siln"/>
                <w:sz w:val="18"/>
                <w:szCs w:val="18"/>
              </w:rPr>
            </w:pPr>
            <w:r w:rsidRPr="007A738A">
              <w:rPr>
                <w:rStyle w:val="Siln"/>
                <w:sz w:val="18"/>
                <w:szCs w:val="18"/>
              </w:rPr>
              <w:object w:dxaOrig="540" w:dyaOrig="240">
                <v:shape id="_x0000_i1073" type="#_x0000_t75" style="width:26.85pt;height:11.8pt" o:ole="">
                  <v:imagedata r:id="rId108" o:title=""/>
                </v:shape>
                <o:OLEObject Type="Embed" ProgID="Equation.3" ShapeID="_x0000_i1073" DrawAspect="Content" ObjectID="_1438020049" r:id="rId109"/>
              </w:object>
            </w:r>
          </w:p>
        </w:tc>
        <w:tc>
          <w:tcPr>
            <w:tcW w:w="626" w:type="pct"/>
            <w:tcBorders>
              <w:top w:val="nil"/>
              <w:left w:val="nil"/>
              <w:bottom w:val="nil"/>
              <w:right w:val="nil"/>
            </w:tcBorders>
            <w:vAlign w:val="center"/>
          </w:tcPr>
          <w:p w:rsidR="00BD3025" w:rsidRPr="007A738A" w:rsidRDefault="00BD3025" w:rsidP="00E87C53">
            <w:pPr>
              <w:pStyle w:val="Tablecenteredtext"/>
              <w:rPr>
                <w:rStyle w:val="Siln"/>
                <w:sz w:val="18"/>
                <w:szCs w:val="18"/>
              </w:rPr>
            </w:pPr>
            <w:r w:rsidRPr="007A738A">
              <w:rPr>
                <w:rStyle w:val="Siln"/>
                <w:sz w:val="18"/>
                <w:szCs w:val="18"/>
              </w:rPr>
              <w:object w:dxaOrig="440" w:dyaOrig="300">
                <v:shape id="_x0000_i1074" type="#_x0000_t75" style="width:21.5pt;height:15.05pt" o:ole="">
                  <v:imagedata r:id="rId99" o:title=""/>
                </v:shape>
                <o:OLEObject Type="Embed" ProgID="Equation.3" ShapeID="_x0000_i1074" DrawAspect="Content" ObjectID="_1438020050" r:id="rId110"/>
              </w:object>
            </w:r>
          </w:p>
        </w:tc>
        <w:tc>
          <w:tcPr>
            <w:tcW w:w="625" w:type="pct"/>
            <w:tcBorders>
              <w:top w:val="nil"/>
              <w:left w:val="nil"/>
              <w:bottom w:val="nil"/>
              <w:right w:val="nil"/>
            </w:tcBorders>
            <w:vAlign w:val="center"/>
          </w:tcPr>
          <w:p w:rsidR="00BD3025" w:rsidRPr="007A738A" w:rsidRDefault="00BD3025" w:rsidP="00E87C53">
            <w:pPr>
              <w:pStyle w:val="Tablecenteredtext"/>
              <w:rPr>
                <w:rStyle w:val="Siln"/>
                <w:sz w:val="18"/>
                <w:szCs w:val="18"/>
              </w:rPr>
            </w:pPr>
            <w:r w:rsidRPr="007A738A">
              <w:rPr>
                <w:rStyle w:val="Siln"/>
                <w:sz w:val="18"/>
                <w:szCs w:val="18"/>
              </w:rPr>
              <w:object w:dxaOrig="540" w:dyaOrig="240">
                <v:shape id="_x0000_i1075" type="#_x0000_t75" style="width:26.85pt;height:11.8pt" o:ole="">
                  <v:imagedata r:id="rId111" o:title=""/>
                </v:shape>
                <o:OLEObject Type="Embed" ProgID="Equation.3" ShapeID="_x0000_i1075" DrawAspect="Content" ObjectID="_1438020051" r:id="rId112"/>
              </w:object>
            </w:r>
          </w:p>
        </w:tc>
        <w:tc>
          <w:tcPr>
            <w:tcW w:w="622" w:type="pct"/>
            <w:tcBorders>
              <w:top w:val="nil"/>
              <w:left w:val="nil"/>
              <w:bottom w:val="nil"/>
              <w:right w:val="nil"/>
            </w:tcBorders>
            <w:vAlign w:val="center"/>
          </w:tcPr>
          <w:p w:rsidR="00BD3025" w:rsidRPr="007A738A" w:rsidRDefault="00BD3025" w:rsidP="00E87C53">
            <w:pPr>
              <w:pStyle w:val="Tablecenteredtext"/>
              <w:rPr>
                <w:rStyle w:val="Siln"/>
                <w:sz w:val="18"/>
                <w:szCs w:val="18"/>
              </w:rPr>
            </w:pPr>
            <w:r w:rsidRPr="007A738A">
              <w:rPr>
                <w:rStyle w:val="Siln"/>
                <w:sz w:val="18"/>
                <w:szCs w:val="18"/>
              </w:rPr>
              <w:object w:dxaOrig="540" w:dyaOrig="240">
                <v:shape id="_x0000_i1076" type="#_x0000_t75" style="width:26.85pt;height:11.8pt" o:ole="">
                  <v:imagedata r:id="rId113" o:title=""/>
                </v:shape>
                <o:OLEObject Type="Embed" ProgID="Equation.3" ShapeID="_x0000_i1076" DrawAspect="Content" ObjectID="_1438020052" r:id="rId114"/>
              </w:object>
            </w:r>
          </w:p>
        </w:tc>
      </w:tr>
      <w:tr w:rsidR="00BD3025" w:rsidRPr="007A738A">
        <w:trPr>
          <w:trHeight w:val="280"/>
          <w:jc w:val="center"/>
        </w:trPr>
        <w:tc>
          <w:tcPr>
            <w:tcW w:w="625" w:type="pct"/>
            <w:tcBorders>
              <w:left w:val="nil"/>
              <w:bottom w:val="nil"/>
              <w:right w:val="nil"/>
            </w:tcBorders>
            <w:vAlign w:val="center"/>
          </w:tcPr>
          <w:p w:rsidR="00BD3025" w:rsidRPr="007A738A" w:rsidRDefault="00BD3025" w:rsidP="00E87C53">
            <w:pPr>
              <w:pStyle w:val="Tablecenteredtext"/>
              <w:rPr>
                <w:b/>
                <w:bCs/>
                <w:sz w:val="18"/>
                <w:szCs w:val="18"/>
              </w:rPr>
            </w:pPr>
            <w:r w:rsidRPr="007A738A">
              <w:rPr>
                <w:rStyle w:val="Siln"/>
                <w:b w:val="0"/>
                <w:bCs w:val="0"/>
                <w:sz w:val="18"/>
                <w:szCs w:val="18"/>
              </w:rPr>
              <w:t>CZE</w:t>
            </w:r>
          </w:p>
        </w:tc>
        <w:tc>
          <w:tcPr>
            <w:tcW w:w="625" w:type="pct"/>
            <w:tcBorders>
              <w:left w:val="nil"/>
              <w:bottom w:val="nil"/>
              <w:right w:val="nil"/>
            </w:tcBorders>
            <w:vAlign w:val="center"/>
          </w:tcPr>
          <w:p w:rsidR="00BD3025" w:rsidRPr="007A738A" w:rsidRDefault="00BD3025" w:rsidP="00B33435">
            <w:pPr>
              <w:jc w:val="center"/>
              <w:rPr>
                <w:sz w:val="18"/>
                <w:szCs w:val="18"/>
              </w:rPr>
            </w:pPr>
            <w:r w:rsidRPr="007A738A">
              <w:rPr>
                <w:sz w:val="18"/>
                <w:szCs w:val="18"/>
              </w:rPr>
              <w:t>0</w:t>
            </w:r>
            <w:r w:rsidR="00B33435">
              <w:rPr>
                <w:sz w:val="18"/>
                <w:szCs w:val="18"/>
              </w:rPr>
              <w:t>.</w:t>
            </w:r>
            <w:r w:rsidRPr="007A738A">
              <w:rPr>
                <w:sz w:val="18"/>
                <w:szCs w:val="18"/>
              </w:rPr>
              <w:t>47%</w:t>
            </w:r>
          </w:p>
        </w:tc>
        <w:tc>
          <w:tcPr>
            <w:tcW w:w="626" w:type="pct"/>
            <w:tcBorders>
              <w:left w:val="nil"/>
              <w:bottom w:val="nil"/>
              <w:right w:val="nil"/>
            </w:tcBorders>
            <w:vAlign w:val="center"/>
          </w:tcPr>
          <w:p w:rsidR="00BD3025" w:rsidRPr="007A738A" w:rsidRDefault="00BD3025" w:rsidP="00B33435">
            <w:pPr>
              <w:jc w:val="center"/>
              <w:rPr>
                <w:sz w:val="18"/>
                <w:szCs w:val="18"/>
              </w:rPr>
            </w:pPr>
            <w:r w:rsidRPr="007A738A">
              <w:rPr>
                <w:sz w:val="18"/>
                <w:szCs w:val="18"/>
              </w:rPr>
              <w:t>8</w:t>
            </w:r>
            <w:r w:rsidR="00B33435">
              <w:rPr>
                <w:sz w:val="18"/>
                <w:szCs w:val="18"/>
              </w:rPr>
              <w:t>.</w:t>
            </w:r>
            <w:r w:rsidRPr="007A738A">
              <w:rPr>
                <w:sz w:val="18"/>
                <w:szCs w:val="18"/>
              </w:rPr>
              <w:t>49%</w:t>
            </w:r>
          </w:p>
        </w:tc>
        <w:tc>
          <w:tcPr>
            <w:tcW w:w="625" w:type="pct"/>
            <w:tcBorders>
              <w:left w:val="nil"/>
              <w:bottom w:val="nil"/>
              <w:right w:val="nil"/>
            </w:tcBorders>
            <w:vAlign w:val="center"/>
          </w:tcPr>
          <w:p w:rsidR="00BD3025" w:rsidRPr="007A738A" w:rsidRDefault="00BD3025" w:rsidP="00B33435">
            <w:pPr>
              <w:jc w:val="center"/>
              <w:rPr>
                <w:sz w:val="18"/>
                <w:szCs w:val="18"/>
              </w:rPr>
            </w:pPr>
            <w:r w:rsidRPr="007A738A">
              <w:rPr>
                <w:sz w:val="18"/>
                <w:szCs w:val="18"/>
              </w:rPr>
              <w:t>-0</w:t>
            </w:r>
            <w:r w:rsidR="00B33435">
              <w:rPr>
                <w:sz w:val="18"/>
                <w:szCs w:val="18"/>
              </w:rPr>
              <w:t>.</w:t>
            </w:r>
            <w:r w:rsidRPr="007A738A">
              <w:rPr>
                <w:sz w:val="18"/>
                <w:szCs w:val="18"/>
              </w:rPr>
              <w:t>07%</w:t>
            </w:r>
          </w:p>
        </w:tc>
        <w:tc>
          <w:tcPr>
            <w:tcW w:w="626" w:type="pct"/>
            <w:tcBorders>
              <w:left w:val="nil"/>
              <w:bottom w:val="nil"/>
              <w:right w:val="nil"/>
            </w:tcBorders>
            <w:vAlign w:val="center"/>
          </w:tcPr>
          <w:p w:rsidR="00BD3025" w:rsidRPr="007A738A" w:rsidRDefault="00BD3025" w:rsidP="00B33435">
            <w:pPr>
              <w:jc w:val="center"/>
              <w:rPr>
                <w:sz w:val="18"/>
                <w:szCs w:val="18"/>
              </w:rPr>
            </w:pPr>
            <w:r w:rsidRPr="007A738A">
              <w:rPr>
                <w:sz w:val="18"/>
                <w:szCs w:val="18"/>
              </w:rPr>
              <w:t>3</w:t>
            </w:r>
            <w:r w:rsidR="00B33435">
              <w:rPr>
                <w:sz w:val="18"/>
                <w:szCs w:val="18"/>
              </w:rPr>
              <w:t>.</w:t>
            </w:r>
            <w:r w:rsidRPr="007A738A">
              <w:rPr>
                <w:sz w:val="18"/>
                <w:szCs w:val="18"/>
              </w:rPr>
              <w:t>65%</w:t>
            </w:r>
          </w:p>
        </w:tc>
        <w:tc>
          <w:tcPr>
            <w:tcW w:w="626" w:type="pct"/>
            <w:tcBorders>
              <w:left w:val="nil"/>
              <w:bottom w:val="nil"/>
              <w:right w:val="nil"/>
            </w:tcBorders>
            <w:vAlign w:val="center"/>
          </w:tcPr>
          <w:p w:rsidR="00BD3025" w:rsidRPr="007A738A" w:rsidRDefault="00BD3025" w:rsidP="00B33435">
            <w:pPr>
              <w:jc w:val="center"/>
              <w:rPr>
                <w:sz w:val="18"/>
                <w:szCs w:val="18"/>
              </w:rPr>
            </w:pPr>
            <w:r w:rsidRPr="007A738A">
              <w:rPr>
                <w:sz w:val="18"/>
                <w:szCs w:val="18"/>
              </w:rPr>
              <w:t>0</w:t>
            </w:r>
            <w:r w:rsidR="00B33435">
              <w:rPr>
                <w:sz w:val="18"/>
                <w:szCs w:val="18"/>
              </w:rPr>
              <w:t>.</w:t>
            </w:r>
            <w:r w:rsidRPr="007A738A">
              <w:rPr>
                <w:sz w:val="18"/>
                <w:szCs w:val="18"/>
              </w:rPr>
              <w:t>06%</w:t>
            </w:r>
          </w:p>
        </w:tc>
        <w:tc>
          <w:tcPr>
            <w:tcW w:w="625" w:type="pct"/>
            <w:tcBorders>
              <w:left w:val="nil"/>
              <w:bottom w:val="nil"/>
              <w:right w:val="nil"/>
            </w:tcBorders>
            <w:vAlign w:val="center"/>
          </w:tcPr>
          <w:p w:rsidR="00BD3025" w:rsidRPr="007A738A" w:rsidRDefault="00BD3025" w:rsidP="00B33435">
            <w:pPr>
              <w:jc w:val="center"/>
              <w:rPr>
                <w:sz w:val="18"/>
                <w:szCs w:val="18"/>
              </w:rPr>
            </w:pPr>
            <w:r w:rsidRPr="007A738A">
              <w:rPr>
                <w:sz w:val="18"/>
                <w:szCs w:val="18"/>
              </w:rPr>
              <w:t>4</w:t>
            </w:r>
            <w:r w:rsidR="00B33435">
              <w:rPr>
                <w:sz w:val="18"/>
                <w:szCs w:val="18"/>
              </w:rPr>
              <w:t>.</w:t>
            </w:r>
            <w:r w:rsidRPr="007A738A">
              <w:rPr>
                <w:sz w:val="18"/>
                <w:szCs w:val="18"/>
              </w:rPr>
              <w:t>81%</w:t>
            </w:r>
          </w:p>
        </w:tc>
        <w:tc>
          <w:tcPr>
            <w:tcW w:w="622" w:type="pct"/>
            <w:tcBorders>
              <w:left w:val="nil"/>
              <w:bottom w:val="nil"/>
              <w:right w:val="nil"/>
            </w:tcBorders>
            <w:vAlign w:val="center"/>
          </w:tcPr>
          <w:p w:rsidR="00BD3025" w:rsidRPr="007A738A" w:rsidRDefault="00BD3025" w:rsidP="00B33435">
            <w:pPr>
              <w:jc w:val="center"/>
              <w:rPr>
                <w:sz w:val="18"/>
                <w:szCs w:val="18"/>
              </w:rPr>
            </w:pPr>
            <w:r w:rsidRPr="007A738A">
              <w:rPr>
                <w:sz w:val="18"/>
                <w:szCs w:val="18"/>
              </w:rPr>
              <w:t>4</w:t>
            </w:r>
            <w:r w:rsidR="00B33435">
              <w:rPr>
                <w:sz w:val="18"/>
                <w:szCs w:val="18"/>
              </w:rPr>
              <w:t>.</w:t>
            </w:r>
            <w:r w:rsidRPr="007A738A">
              <w:rPr>
                <w:sz w:val="18"/>
                <w:szCs w:val="18"/>
              </w:rPr>
              <w:t>98%</w:t>
            </w:r>
          </w:p>
        </w:tc>
      </w:tr>
      <w:tr w:rsidR="00BD3025" w:rsidRPr="007A738A">
        <w:trPr>
          <w:trHeight w:val="280"/>
          <w:jc w:val="center"/>
        </w:trPr>
        <w:tc>
          <w:tcPr>
            <w:tcW w:w="625" w:type="pct"/>
            <w:tcBorders>
              <w:top w:val="nil"/>
              <w:left w:val="nil"/>
              <w:bottom w:val="nil"/>
              <w:right w:val="nil"/>
            </w:tcBorders>
            <w:vAlign w:val="center"/>
          </w:tcPr>
          <w:p w:rsidR="00BD3025" w:rsidRPr="007A738A" w:rsidRDefault="00BD3025" w:rsidP="00E87C53">
            <w:pPr>
              <w:pStyle w:val="Tablecenteredtext"/>
              <w:rPr>
                <w:b/>
                <w:bCs/>
                <w:sz w:val="18"/>
                <w:szCs w:val="18"/>
              </w:rPr>
            </w:pPr>
            <w:r w:rsidRPr="007A738A">
              <w:rPr>
                <w:rStyle w:val="Siln"/>
                <w:b w:val="0"/>
                <w:bCs w:val="0"/>
                <w:sz w:val="18"/>
                <w:szCs w:val="18"/>
              </w:rPr>
              <w:t>HUN</w:t>
            </w:r>
          </w:p>
        </w:tc>
        <w:tc>
          <w:tcPr>
            <w:tcW w:w="625" w:type="pct"/>
            <w:tcBorders>
              <w:top w:val="nil"/>
              <w:left w:val="nil"/>
              <w:bottom w:val="nil"/>
              <w:right w:val="nil"/>
            </w:tcBorders>
            <w:vAlign w:val="center"/>
          </w:tcPr>
          <w:p w:rsidR="00BD3025" w:rsidRPr="007A738A" w:rsidRDefault="00BD3025" w:rsidP="00B33435">
            <w:pPr>
              <w:jc w:val="center"/>
              <w:rPr>
                <w:sz w:val="18"/>
                <w:szCs w:val="18"/>
              </w:rPr>
            </w:pPr>
            <w:r w:rsidRPr="007A738A">
              <w:rPr>
                <w:sz w:val="18"/>
                <w:szCs w:val="18"/>
              </w:rPr>
              <w:t>1</w:t>
            </w:r>
            <w:r w:rsidR="00B33435">
              <w:rPr>
                <w:sz w:val="18"/>
                <w:szCs w:val="18"/>
              </w:rPr>
              <w:t>.</w:t>
            </w:r>
            <w:r w:rsidRPr="007A738A">
              <w:rPr>
                <w:sz w:val="18"/>
                <w:szCs w:val="18"/>
              </w:rPr>
              <w:t>29%</w:t>
            </w:r>
          </w:p>
        </w:tc>
        <w:tc>
          <w:tcPr>
            <w:tcW w:w="626" w:type="pct"/>
            <w:tcBorders>
              <w:top w:val="nil"/>
              <w:left w:val="nil"/>
              <w:bottom w:val="nil"/>
              <w:right w:val="nil"/>
            </w:tcBorders>
            <w:vAlign w:val="center"/>
          </w:tcPr>
          <w:p w:rsidR="00BD3025" w:rsidRPr="007A738A" w:rsidRDefault="00BD3025" w:rsidP="00B33435">
            <w:pPr>
              <w:jc w:val="center"/>
              <w:rPr>
                <w:sz w:val="18"/>
                <w:szCs w:val="18"/>
              </w:rPr>
            </w:pPr>
            <w:r w:rsidRPr="007A738A">
              <w:rPr>
                <w:sz w:val="18"/>
                <w:szCs w:val="18"/>
              </w:rPr>
              <w:t>16</w:t>
            </w:r>
            <w:r w:rsidR="00B33435">
              <w:rPr>
                <w:sz w:val="18"/>
                <w:szCs w:val="18"/>
              </w:rPr>
              <w:t>.</w:t>
            </w:r>
            <w:r w:rsidRPr="007A738A">
              <w:rPr>
                <w:sz w:val="18"/>
                <w:szCs w:val="18"/>
              </w:rPr>
              <w:t>10%</w:t>
            </w:r>
          </w:p>
        </w:tc>
        <w:tc>
          <w:tcPr>
            <w:tcW w:w="625" w:type="pct"/>
            <w:tcBorders>
              <w:top w:val="nil"/>
              <w:left w:val="nil"/>
              <w:bottom w:val="nil"/>
              <w:right w:val="nil"/>
            </w:tcBorders>
            <w:vAlign w:val="center"/>
          </w:tcPr>
          <w:p w:rsidR="00BD3025" w:rsidRPr="007A738A" w:rsidRDefault="00BD3025" w:rsidP="00B33435">
            <w:pPr>
              <w:jc w:val="center"/>
              <w:rPr>
                <w:sz w:val="18"/>
                <w:szCs w:val="18"/>
              </w:rPr>
            </w:pPr>
            <w:r w:rsidRPr="007A738A">
              <w:rPr>
                <w:sz w:val="18"/>
                <w:szCs w:val="18"/>
              </w:rPr>
              <w:t>-1</w:t>
            </w:r>
            <w:r w:rsidR="00B33435">
              <w:rPr>
                <w:sz w:val="18"/>
                <w:szCs w:val="18"/>
              </w:rPr>
              <w:t>.</w:t>
            </w:r>
            <w:r w:rsidRPr="007A738A">
              <w:rPr>
                <w:sz w:val="18"/>
                <w:szCs w:val="18"/>
              </w:rPr>
              <w:t>10%</w:t>
            </w:r>
          </w:p>
        </w:tc>
        <w:tc>
          <w:tcPr>
            <w:tcW w:w="626" w:type="pct"/>
            <w:tcBorders>
              <w:top w:val="nil"/>
              <w:left w:val="nil"/>
              <w:bottom w:val="nil"/>
              <w:right w:val="nil"/>
            </w:tcBorders>
            <w:vAlign w:val="center"/>
          </w:tcPr>
          <w:p w:rsidR="00BD3025" w:rsidRPr="007A738A" w:rsidRDefault="00BD3025" w:rsidP="00B33435">
            <w:pPr>
              <w:jc w:val="center"/>
              <w:rPr>
                <w:sz w:val="18"/>
                <w:szCs w:val="18"/>
              </w:rPr>
            </w:pPr>
            <w:r w:rsidRPr="007A738A">
              <w:rPr>
                <w:sz w:val="18"/>
                <w:szCs w:val="18"/>
              </w:rPr>
              <w:t>5</w:t>
            </w:r>
            <w:r w:rsidR="00B33435">
              <w:rPr>
                <w:sz w:val="18"/>
                <w:szCs w:val="18"/>
              </w:rPr>
              <w:t>.</w:t>
            </w:r>
            <w:r w:rsidRPr="007A738A">
              <w:rPr>
                <w:sz w:val="18"/>
                <w:szCs w:val="18"/>
              </w:rPr>
              <w:t>46%</w:t>
            </w:r>
          </w:p>
        </w:tc>
        <w:tc>
          <w:tcPr>
            <w:tcW w:w="626" w:type="pct"/>
            <w:tcBorders>
              <w:top w:val="nil"/>
              <w:left w:val="nil"/>
              <w:bottom w:val="nil"/>
              <w:right w:val="nil"/>
            </w:tcBorders>
            <w:vAlign w:val="center"/>
          </w:tcPr>
          <w:p w:rsidR="00BD3025" w:rsidRPr="007A738A" w:rsidRDefault="00BD3025" w:rsidP="00B33435">
            <w:pPr>
              <w:jc w:val="center"/>
              <w:rPr>
                <w:sz w:val="18"/>
                <w:szCs w:val="18"/>
              </w:rPr>
            </w:pPr>
            <w:r w:rsidRPr="007A738A">
              <w:rPr>
                <w:sz w:val="18"/>
                <w:szCs w:val="18"/>
              </w:rPr>
              <w:t>0</w:t>
            </w:r>
            <w:r w:rsidR="00B33435">
              <w:rPr>
                <w:sz w:val="18"/>
                <w:szCs w:val="18"/>
              </w:rPr>
              <w:t>.</w:t>
            </w:r>
            <w:r w:rsidRPr="007A738A">
              <w:rPr>
                <w:sz w:val="18"/>
                <w:szCs w:val="18"/>
              </w:rPr>
              <w:t>16%</w:t>
            </w:r>
          </w:p>
        </w:tc>
        <w:tc>
          <w:tcPr>
            <w:tcW w:w="625" w:type="pct"/>
            <w:tcBorders>
              <w:top w:val="nil"/>
              <w:left w:val="nil"/>
              <w:bottom w:val="nil"/>
              <w:right w:val="nil"/>
            </w:tcBorders>
            <w:vAlign w:val="center"/>
          </w:tcPr>
          <w:p w:rsidR="00BD3025" w:rsidRPr="007A738A" w:rsidRDefault="00BD3025" w:rsidP="00B33435">
            <w:pPr>
              <w:jc w:val="center"/>
              <w:rPr>
                <w:sz w:val="18"/>
                <w:szCs w:val="18"/>
              </w:rPr>
            </w:pPr>
            <w:r w:rsidRPr="007A738A">
              <w:rPr>
                <w:sz w:val="18"/>
                <w:szCs w:val="18"/>
              </w:rPr>
              <w:t>10</w:t>
            </w:r>
            <w:r w:rsidR="00B33435">
              <w:rPr>
                <w:sz w:val="18"/>
                <w:szCs w:val="18"/>
              </w:rPr>
              <w:t>.</w:t>
            </w:r>
            <w:r w:rsidRPr="007A738A">
              <w:rPr>
                <w:sz w:val="18"/>
                <w:szCs w:val="18"/>
              </w:rPr>
              <w:t>97%</w:t>
            </w:r>
          </w:p>
        </w:tc>
        <w:tc>
          <w:tcPr>
            <w:tcW w:w="622" w:type="pct"/>
            <w:tcBorders>
              <w:top w:val="nil"/>
              <w:left w:val="nil"/>
              <w:bottom w:val="nil"/>
              <w:right w:val="nil"/>
            </w:tcBorders>
            <w:vAlign w:val="center"/>
          </w:tcPr>
          <w:p w:rsidR="00BD3025" w:rsidRPr="007A738A" w:rsidRDefault="00BD3025" w:rsidP="00B33435">
            <w:pPr>
              <w:jc w:val="center"/>
              <w:rPr>
                <w:sz w:val="18"/>
                <w:szCs w:val="18"/>
              </w:rPr>
            </w:pPr>
            <w:r w:rsidRPr="007A738A">
              <w:rPr>
                <w:sz w:val="18"/>
                <w:szCs w:val="18"/>
              </w:rPr>
              <w:t>11</w:t>
            </w:r>
            <w:r w:rsidR="00B33435">
              <w:rPr>
                <w:sz w:val="18"/>
                <w:szCs w:val="18"/>
              </w:rPr>
              <w:t>.</w:t>
            </w:r>
            <w:r w:rsidRPr="007A738A">
              <w:rPr>
                <w:sz w:val="18"/>
                <w:szCs w:val="18"/>
              </w:rPr>
              <w:t>20%</w:t>
            </w:r>
          </w:p>
        </w:tc>
      </w:tr>
      <w:tr w:rsidR="00BD3025" w:rsidRPr="007A738A">
        <w:trPr>
          <w:trHeight w:val="280"/>
          <w:jc w:val="center"/>
        </w:trPr>
        <w:tc>
          <w:tcPr>
            <w:tcW w:w="625" w:type="pct"/>
            <w:tcBorders>
              <w:top w:val="nil"/>
              <w:left w:val="nil"/>
              <w:bottom w:val="nil"/>
              <w:right w:val="nil"/>
            </w:tcBorders>
            <w:vAlign w:val="center"/>
          </w:tcPr>
          <w:p w:rsidR="00BD3025" w:rsidRPr="007A738A" w:rsidRDefault="00BD3025" w:rsidP="00E87C53">
            <w:pPr>
              <w:pStyle w:val="Tablecenteredtext"/>
              <w:rPr>
                <w:b/>
                <w:bCs/>
                <w:sz w:val="18"/>
                <w:szCs w:val="18"/>
              </w:rPr>
            </w:pPr>
            <w:r w:rsidRPr="007A738A">
              <w:rPr>
                <w:rStyle w:val="Siln"/>
                <w:b w:val="0"/>
                <w:bCs w:val="0"/>
                <w:sz w:val="18"/>
                <w:szCs w:val="18"/>
              </w:rPr>
              <w:t>POL</w:t>
            </w:r>
          </w:p>
        </w:tc>
        <w:tc>
          <w:tcPr>
            <w:tcW w:w="625" w:type="pct"/>
            <w:tcBorders>
              <w:top w:val="nil"/>
              <w:left w:val="nil"/>
              <w:bottom w:val="nil"/>
              <w:right w:val="nil"/>
            </w:tcBorders>
            <w:vAlign w:val="center"/>
          </w:tcPr>
          <w:p w:rsidR="00BD3025" w:rsidRPr="007A738A" w:rsidRDefault="00BD3025" w:rsidP="00B33435">
            <w:pPr>
              <w:jc w:val="center"/>
              <w:rPr>
                <w:sz w:val="18"/>
                <w:szCs w:val="18"/>
              </w:rPr>
            </w:pPr>
            <w:r w:rsidRPr="007A738A">
              <w:rPr>
                <w:sz w:val="18"/>
                <w:szCs w:val="18"/>
              </w:rPr>
              <w:t>0</w:t>
            </w:r>
            <w:r w:rsidR="00B33435">
              <w:rPr>
                <w:sz w:val="18"/>
                <w:szCs w:val="18"/>
              </w:rPr>
              <w:t>.</w:t>
            </w:r>
            <w:r w:rsidRPr="007A738A">
              <w:rPr>
                <w:sz w:val="18"/>
                <w:szCs w:val="18"/>
              </w:rPr>
              <w:t>05%</w:t>
            </w:r>
          </w:p>
        </w:tc>
        <w:tc>
          <w:tcPr>
            <w:tcW w:w="626" w:type="pct"/>
            <w:tcBorders>
              <w:top w:val="nil"/>
              <w:left w:val="nil"/>
              <w:bottom w:val="nil"/>
              <w:right w:val="nil"/>
            </w:tcBorders>
            <w:vAlign w:val="center"/>
          </w:tcPr>
          <w:p w:rsidR="00BD3025" w:rsidRPr="007A738A" w:rsidRDefault="00BD3025" w:rsidP="00B33435">
            <w:pPr>
              <w:jc w:val="center"/>
              <w:rPr>
                <w:sz w:val="18"/>
                <w:szCs w:val="18"/>
              </w:rPr>
            </w:pPr>
            <w:r w:rsidRPr="007A738A">
              <w:rPr>
                <w:sz w:val="18"/>
                <w:szCs w:val="18"/>
              </w:rPr>
              <w:t>16</w:t>
            </w:r>
            <w:r w:rsidR="00B33435">
              <w:rPr>
                <w:sz w:val="18"/>
                <w:szCs w:val="18"/>
              </w:rPr>
              <w:t>.</w:t>
            </w:r>
            <w:r w:rsidRPr="007A738A">
              <w:rPr>
                <w:sz w:val="18"/>
                <w:szCs w:val="18"/>
              </w:rPr>
              <w:t>09%</w:t>
            </w:r>
          </w:p>
        </w:tc>
        <w:tc>
          <w:tcPr>
            <w:tcW w:w="625" w:type="pct"/>
            <w:tcBorders>
              <w:top w:val="nil"/>
              <w:left w:val="nil"/>
              <w:bottom w:val="nil"/>
              <w:right w:val="nil"/>
            </w:tcBorders>
            <w:vAlign w:val="center"/>
          </w:tcPr>
          <w:p w:rsidR="00BD3025" w:rsidRPr="007A738A" w:rsidRDefault="00BD3025" w:rsidP="00B33435">
            <w:pPr>
              <w:jc w:val="center"/>
              <w:rPr>
                <w:sz w:val="18"/>
                <w:szCs w:val="18"/>
              </w:rPr>
            </w:pPr>
            <w:r w:rsidRPr="007A738A">
              <w:rPr>
                <w:sz w:val="18"/>
                <w:szCs w:val="18"/>
              </w:rPr>
              <w:t>0</w:t>
            </w:r>
            <w:r w:rsidR="00B33435">
              <w:rPr>
                <w:sz w:val="18"/>
                <w:szCs w:val="18"/>
              </w:rPr>
              <w:t>.</w:t>
            </w:r>
            <w:r w:rsidRPr="007A738A">
              <w:rPr>
                <w:sz w:val="18"/>
                <w:szCs w:val="18"/>
              </w:rPr>
              <w:t>25%</w:t>
            </w:r>
          </w:p>
        </w:tc>
        <w:tc>
          <w:tcPr>
            <w:tcW w:w="626" w:type="pct"/>
            <w:tcBorders>
              <w:top w:val="nil"/>
              <w:left w:val="nil"/>
              <w:bottom w:val="nil"/>
              <w:right w:val="nil"/>
            </w:tcBorders>
            <w:vAlign w:val="center"/>
          </w:tcPr>
          <w:p w:rsidR="00BD3025" w:rsidRPr="007A738A" w:rsidRDefault="00BD3025" w:rsidP="00B33435">
            <w:pPr>
              <w:jc w:val="center"/>
              <w:rPr>
                <w:sz w:val="18"/>
                <w:szCs w:val="18"/>
              </w:rPr>
            </w:pPr>
            <w:r w:rsidRPr="007A738A">
              <w:rPr>
                <w:sz w:val="18"/>
                <w:szCs w:val="18"/>
              </w:rPr>
              <w:t>2</w:t>
            </w:r>
            <w:r w:rsidR="00B33435">
              <w:rPr>
                <w:sz w:val="18"/>
                <w:szCs w:val="18"/>
              </w:rPr>
              <w:t>.</w:t>
            </w:r>
            <w:r w:rsidRPr="007A738A">
              <w:rPr>
                <w:sz w:val="18"/>
                <w:szCs w:val="18"/>
              </w:rPr>
              <w:t>81%</w:t>
            </w:r>
          </w:p>
        </w:tc>
        <w:tc>
          <w:tcPr>
            <w:tcW w:w="626" w:type="pct"/>
            <w:tcBorders>
              <w:top w:val="nil"/>
              <w:left w:val="nil"/>
              <w:bottom w:val="nil"/>
              <w:right w:val="nil"/>
            </w:tcBorders>
            <w:vAlign w:val="center"/>
          </w:tcPr>
          <w:p w:rsidR="00BD3025" w:rsidRPr="007A738A" w:rsidRDefault="00BD3025" w:rsidP="00B33435">
            <w:pPr>
              <w:jc w:val="center"/>
              <w:rPr>
                <w:sz w:val="18"/>
                <w:szCs w:val="18"/>
              </w:rPr>
            </w:pPr>
            <w:r w:rsidRPr="007A738A">
              <w:rPr>
                <w:sz w:val="18"/>
                <w:szCs w:val="18"/>
              </w:rPr>
              <w:t>0</w:t>
            </w:r>
            <w:r w:rsidR="00B33435">
              <w:rPr>
                <w:sz w:val="18"/>
                <w:szCs w:val="18"/>
              </w:rPr>
              <w:t>.</w:t>
            </w:r>
            <w:r w:rsidRPr="007A738A">
              <w:rPr>
                <w:sz w:val="18"/>
                <w:szCs w:val="18"/>
              </w:rPr>
              <w:t>16%</w:t>
            </w:r>
          </w:p>
        </w:tc>
        <w:tc>
          <w:tcPr>
            <w:tcW w:w="625" w:type="pct"/>
            <w:tcBorders>
              <w:top w:val="nil"/>
              <w:left w:val="nil"/>
              <w:bottom w:val="nil"/>
              <w:right w:val="nil"/>
            </w:tcBorders>
            <w:vAlign w:val="center"/>
          </w:tcPr>
          <w:p w:rsidR="00BD3025" w:rsidRPr="007A738A" w:rsidRDefault="00BD3025" w:rsidP="00B33435">
            <w:pPr>
              <w:jc w:val="center"/>
              <w:rPr>
                <w:sz w:val="18"/>
                <w:szCs w:val="18"/>
              </w:rPr>
            </w:pPr>
            <w:r w:rsidRPr="007A738A">
              <w:rPr>
                <w:sz w:val="18"/>
                <w:szCs w:val="18"/>
              </w:rPr>
              <w:t>8</w:t>
            </w:r>
            <w:r w:rsidR="00B33435">
              <w:rPr>
                <w:sz w:val="18"/>
                <w:szCs w:val="18"/>
              </w:rPr>
              <w:t>.</w:t>
            </w:r>
            <w:r w:rsidRPr="007A738A">
              <w:rPr>
                <w:sz w:val="18"/>
                <w:szCs w:val="18"/>
              </w:rPr>
              <w:t>62%</w:t>
            </w:r>
          </w:p>
        </w:tc>
        <w:tc>
          <w:tcPr>
            <w:tcW w:w="622" w:type="pct"/>
            <w:tcBorders>
              <w:top w:val="nil"/>
              <w:left w:val="nil"/>
              <w:bottom w:val="nil"/>
              <w:right w:val="nil"/>
            </w:tcBorders>
            <w:vAlign w:val="center"/>
          </w:tcPr>
          <w:p w:rsidR="00BD3025" w:rsidRPr="007A738A" w:rsidRDefault="00BD3025" w:rsidP="00B33435">
            <w:pPr>
              <w:jc w:val="center"/>
              <w:rPr>
                <w:sz w:val="18"/>
                <w:szCs w:val="18"/>
              </w:rPr>
            </w:pPr>
            <w:r w:rsidRPr="007A738A">
              <w:rPr>
                <w:sz w:val="18"/>
                <w:szCs w:val="18"/>
              </w:rPr>
              <w:t>7</w:t>
            </w:r>
            <w:r w:rsidR="00B33435">
              <w:rPr>
                <w:sz w:val="18"/>
                <w:szCs w:val="18"/>
              </w:rPr>
              <w:t>.</w:t>
            </w:r>
            <w:r w:rsidRPr="007A738A">
              <w:rPr>
                <w:sz w:val="18"/>
                <w:szCs w:val="18"/>
              </w:rPr>
              <w:t>48%</w:t>
            </w:r>
          </w:p>
        </w:tc>
      </w:tr>
      <w:tr w:rsidR="00BD3025" w:rsidRPr="007A738A">
        <w:trPr>
          <w:trHeight w:val="280"/>
          <w:jc w:val="center"/>
        </w:trPr>
        <w:tc>
          <w:tcPr>
            <w:tcW w:w="625" w:type="pct"/>
            <w:tcBorders>
              <w:top w:val="nil"/>
              <w:left w:val="nil"/>
              <w:right w:val="nil"/>
            </w:tcBorders>
            <w:vAlign w:val="center"/>
          </w:tcPr>
          <w:p w:rsidR="00BD3025" w:rsidRPr="007A738A" w:rsidRDefault="00BD3025" w:rsidP="00E87C53">
            <w:pPr>
              <w:pStyle w:val="Tablecenteredtext"/>
              <w:rPr>
                <w:b/>
                <w:bCs/>
                <w:sz w:val="18"/>
                <w:szCs w:val="18"/>
              </w:rPr>
            </w:pPr>
            <w:r w:rsidRPr="007A738A">
              <w:rPr>
                <w:rStyle w:val="Siln"/>
                <w:b w:val="0"/>
                <w:bCs w:val="0"/>
                <w:sz w:val="18"/>
                <w:szCs w:val="18"/>
              </w:rPr>
              <w:t>SVK</w:t>
            </w:r>
          </w:p>
        </w:tc>
        <w:tc>
          <w:tcPr>
            <w:tcW w:w="625" w:type="pct"/>
            <w:tcBorders>
              <w:top w:val="nil"/>
              <w:left w:val="nil"/>
              <w:right w:val="nil"/>
            </w:tcBorders>
            <w:vAlign w:val="center"/>
          </w:tcPr>
          <w:p w:rsidR="00BD3025" w:rsidRPr="007A738A" w:rsidRDefault="00BD3025" w:rsidP="00B33435">
            <w:pPr>
              <w:jc w:val="center"/>
              <w:rPr>
                <w:sz w:val="18"/>
                <w:szCs w:val="18"/>
              </w:rPr>
            </w:pPr>
            <w:r w:rsidRPr="007A738A">
              <w:rPr>
                <w:sz w:val="18"/>
                <w:szCs w:val="18"/>
              </w:rPr>
              <w:t>0</w:t>
            </w:r>
            <w:r w:rsidR="00B33435">
              <w:rPr>
                <w:sz w:val="18"/>
                <w:szCs w:val="18"/>
              </w:rPr>
              <w:t>.</w:t>
            </w:r>
            <w:r w:rsidRPr="007A738A">
              <w:rPr>
                <w:sz w:val="18"/>
                <w:szCs w:val="18"/>
              </w:rPr>
              <w:t>15%</w:t>
            </w:r>
          </w:p>
        </w:tc>
        <w:tc>
          <w:tcPr>
            <w:tcW w:w="626" w:type="pct"/>
            <w:tcBorders>
              <w:top w:val="nil"/>
              <w:left w:val="nil"/>
              <w:right w:val="nil"/>
            </w:tcBorders>
            <w:vAlign w:val="center"/>
          </w:tcPr>
          <w:p w:rsidR="00BD3025" w:rsidRPr="007A738A" w:rsidRDefault="00BD3025" w:rsidP="00B33435">
            <w:pPr>
              <w:jc w:val="center"/>
              <w:rPr>
                <w:sz w:val="18"/>
                <w:szCs w:val="18"/>
              </w:rPr>
            </w:pPr>
            <w:r w:rsidRPr="007A738A">
              <w:rPr>
                <w:sz w:val="18"/>
                <w:szCs w:val="18"/>
              </w:rPr>
              <w:t>7</w:t>
            </w:r>
            <w:r w:rsidR="00B33435">
              <w:rPr>
                <w:sz w:val="18"/>
                <w:szCs w:val="18"/>
              </w:rPr>
              <w:t>.</w:t>
            </w:r>
            <w:r w:rsidRPr="007A738A">
              <w:rPr>
                <w:sz w:val="18"/>
                <w:szCs w:val="18"/>
              </w:rPr>
              <w:t>44%</w:t>
            </w:r>
          </w:p>
        </w:tc>
        <w:tc>
          <w:tcPr>
            <w:tcW w:w="625" w:type="pct"/>
            <w:tcBorders>
              <w:top w:val="nil"/>
              <w:left w:val="nil"/>
              <w:right w:val="nil"/>
            </w:tcBorders>
            <w:vAlign w:val="center"/>
          </w:tcPr>
          <w:p w:rsidR="00BD3025" w:rsidRPr="007A738A" w:rsidRDefault="00BD3025" w:rsidP="00B33435">
            <w:pPr>
              <w:jc w:val="center"/>
              <w:rPr>
                <w:sz w:val="18"/>
                <w:szCs w:val="18"/>
              </w:rPr>
            </w:pPr>
            <w:r w:rsidRPr="007A738A">
              <w:rPr>
                <w:sz w:val="18"/>
                <w:szCs w:val="18"/>
              </w:rPr>
              <w:t>-0</w:t>
            </w:r>
            <w:r w:rsidR="00B33435">
              <w:rPr>
                <w:sz w:val="18"/>
                <w:szCs w:val="18"/>
              </w:rPr>
              <w:t>.</w:t>
            </w:r>
            <w:r w:rsidRPr="007A738A">
              <w:rPr>
                <w:sz w:val="18"/>
                <w:szCs w:val="18"/>
              </w:rPr>
              <w:t>26%</w:t>
            </w:r>
          </w:p>
        </w:tc>
        <w:tc>
          <w:tcPr>
            <w:tcW w:w="626" w:type="pct"/>
            <w:tcBorders>
              <w:top w:val="nil"/>
              <w:left w:val="nil"/>
              <w:right w:val="nil"/>
            </w:tcBorders>
            <w:vAlign w:val="center"/>
          </w:tcPr>
          <w:p w:rsidR="00BD3025" w:rsidRPr="007A738A" w:rsidRDefault="00BD3025" w:rsidP="00B33435">
            <w:pPr>
              <w:jc w:val="center"/>
              <w:rPr>
                <w:sz w:val="18"/>
                <w:szCs w:val="18"/>
              </w:rPr>
            </w:pPr>
            <w:r w:rsidRPr="007A738A">
              <w:rPr>
                <w:sz w:val="18"/>
                <w:szCs w:val="18"/>
              </w:rPr>
              <w:t>6</w:t>
            </w:r>
            <w:r w:rsidR="00B33435">
              <w:rPr>
                <w:sz w:val="18"/>
                <w:szCs w:val="18"/>
              </w:rPr>
              <w:t>.</w:t>
            </w:r>
            <w:r w:rsidRPr="007A738A">
              <w:rPr>
                <w:sz w:val="18"/>
                <w:szCs w:val="18"/>
              </w:rPr>
              <w:t>42%</w:t>
            </w:r>
          </w:p>
        </w:tc>
        <w:tc>
          <w:tcPr>
            <w:tcW w:w="626" w:type="pct"/>
            <w:tcBorders>
              <w:top w:val="nil"/>
              <w:left w:val="nil"/>
              <w:right w:val="nil"/>
            </w:tcBorders>
            <w:vAlign w:val="center"/>
          </w:tcPr>
          <w:p w:rsidR="00BD3025" w:rsidRPr="007A738A" w:rsidRDefault="00BD3025" w:rsidP="00B33435">
            <w:pPr>
              <w:jc w:val="center"/>
              <w:rPr>
                <w:sz w:val="18"/>
                <w:szCs w:val="18"/>
              </w:rPr>
            </w:pPr>
            <w:r w:rsidRPr="007A738A">
              <w:rPr>
                <w:sz w:val="18"/>
                <w:szCs w:val="18"/>
              </w:rPr>
              <w:t>-0</w:t>
            </w:r>
            <w:r w:rsidR="00B33435">
              <w:rPr>
                <w:sz w:val="18"/>
                <w:szCs w:val="18"/>
              </w:rPr>
              <w:t>.</w:t>
            </w:r>
            <w:r w:rsidRPr="007A738A">
              <w:rPr>
                <w:sz w:val="18"/>
                <w:szCs w:val="18"/>
              </w:rPr>
              <w:t>12%</w:t>
            </w:r>
          </w:p>
        </w:tc>
        <w:tc>
          <w:tcPr>
            <w:tcW w:w="625" w:type="pct"/>
            <w:tcBorders>
              <w:top w:val="nil"/>
              <w:left w:val="nil"/>
              <w:right w:val="nil"/>
            </w:tcBorders>
            <w:vAlign w:val="center"/>
          </w:tcPr>
          <w:p w:rsidR="00BD3025" w:rsidRPr="007A738A" w:rsidRDefault="00BD3025" w:rsidP="00B33435">
            <w:pPr>
              <w:jc w:val="center"/>
              <w:rPr>
                <w:sz w:val="18"/>
                <w:szCs w:val="18"/>
              </w:rPr>
            </w:pPr>
            <w:r w:rsidRPr="007A738A">
              <w:rPr>
                <w:sz w:val="18"/>
                <w:szCs w:val="18"/>
              </w:rPr>
              <w:t>6</w:t>
            </w:r>
            <w:r w:rsidR="00B33435">
              <w:rPr>
                <w:sz w:val="18"/>
                <w:szCs w:val="18"/>
              </w:rPr>
              <w:t>.</w:t>
            </w:r>
            <w:r w:rsidRPr="007A738A">
              <w:rPr>
                <w:sz w:val="18"/>
                <w:szCs w:val="18"/>
              </w:rPr>
              <w:t>77%</w:t>
            </w:r>
          </w:p>
        </w:tc>
        <w:tc>
          <w:tcPr>
            <w:tcW w:w="622" w:type="pct"/>
            <w:tcBorders>
              <w:top w:val="nil"/>
              <w:left w:val="nil"/>
              <w:right w:val="nil"/>
            </w:tcBorders>
            <w:vAlign w:val="center"/>
          </w:tcPr>
          <w:p w:rsidR="00BD3025" w:rsidRPr="007A738A" w:rsidRDefault="00BD3025" w:rsidP="00B33435">
            <w:pPr>
              <w:jc w:val="center"/>
              <w:rPr>
                <w:sz w:val="18"/>
                <w:szCs w:val="18"/>
              </w:rPr>
            </w:pPr>
            <w:r w:rsidRPr="007A738A">
              <w:rPr>
                <w:sz w:val="18"/>
                <w:szCs w:val="18"/>
              </w:rPr>
              <w:t>7</w:t>
            </w:r>
            <w:r w:rsidR="00B33435">
              <w:rPr>
                <w:sz w:val="18"/>
                <w:szCs w:val="18"/>
              </w:rPr>
              <w:t>.</w:t>
            </w:r>
            <w:r w:rsidRPr="007A738A">
              <w:rPr>
                <w:sz w:val="18"/>
                <w:szCs w:val="18"/>
              </w:rPr>
              <w:t>18%</w:t>
            </w:r>
          </w:p>
        </w:tc>
      </w:tr>
    </w:tbl>
    <w:p w:rsidR="00BD3025" w:rsidRPr="007A738A" w:rsidRDefault="00BD3025" w:rsidP="00396758">
      <w:pPr>
        <w:pStyle w:val="Titulek"/>
      </w:pPr>
      <w:r w:rsidRPr="007A738A">
        <w:rPr>
          <w:rStyle w:val="CaptionHeader"/>
        </w:rPr>
        <w:t xml:space="preserve">Table </w:t>
      </w:r>
      <w:r w:rsidR="006637EA" w:rsidRPr="007A738A">
        <w:rPr>
          <w:rStyle w:val="CaptionHeader"/>
        </w:rPr>
        <w:fldChar w:fldCharType="begin"/>
      </w:r>
      <w:r w:rsidRPr="007A738A">
        <w:rPr>
          <w:rStyle w:val="CaptionHeader"/>
        </w:rPr>
        <w:instrText xml:space="preserve"> SEQ Table \* ARABIC </w:instrText>
      </w:r>
      <w:r w:rsidR="006637EA" w:rsidRPr="007A738A">
        <w:rPr>
          <w:rStyle w:val="CaptionHeader"/>
        </w:rPr>
        <w:fldChar w:fldCharType="separate"/>
      </w:r>
      <w:r w:rsidR="002C07CA" w:rsidRPr="007A738A">
        <w:rPr>
          <w:rStyle w:val="CaptionHeader"/>
          <w:noProof/>
        </w:rPr>
        <w:t>3</w:t>
      </w:r>
      <w:r w:rsidR="006637EA" w:rsidRPr="007A738A">
        <w:rPr>
          <w:rStyle w:val="CaptionHeader"/>
        </w:rPr>
        <w:fldChar w:fldCharType="end"/>
      </w:r>
      <w:r w:rsidRPr="007A738A">
        <w:t xml:space="preserve"> Contribution of NEER changes to the </w:t>
      </w:r>
      <w:r w:rsidR="0019180F" w:rsidRPr="007A738A">
        <w:t xml:space="preserve">average year to year </w:t>
      </w:r>
      <w:r w:rsidRPr="007A738A">
        <w:t>CPI inflation</w:t>
      </w:r>
    </w:p>
    <w:p w:rsidR="00BD3025" w:rsidRPr="007A738A" w:rsidRDefault="00BD3025" w:rsidP="00925964">
      <w:pPr>
        <w:pStyle w:val="Nadpis1"/>
      </w:pPr>
      <w:r w:rsidRPr="007A738A">
        <w:t>Conclusion</w:t>
      </w:r>
    </w:p>
    <w:p w:rsidR="00BD3025" w:rsidRPr="007A738A" w:rsidRDefault="00BD3025" w:rsidP="00561E33">
      <w:pPr>
        <w:pStyle w:val="Zkladntext"/>
        <w:rPr>
          <w:szCs w:val="20"/>
        </w:rPr>
      </w:pPr>
      <w:r w:rsidRPr="007A738A">
        <w:rPr>
          <w:szCs w:val="20"/>
        </w:rPr>
        <w:t>In our contribution, we have analyzed the relationship between exchange rates and inflation in the Central European countries. These countries applied different exchange rate strategies during the transformation process. We have found out that changes in exchange rates were a significant cause of inflation in some periods – for example the period of crawling peg in Hungary. On the hand, the impact was smaller than expected in other periods – for example Poland during the application of the same exchange rate system. Our conclusion is that exchange rate can play an important role in the development of inflation but the specific impact is highly individual.</w:t>
      </w:r>
    </w:p>
    <w:p w:rsidR="00BD3025" w:rsidRPr="007A738A" w:rsidRDefault="00BD3025" w:rsidP="00925964">
      <w:pPr>
        <w:pStyle w:val="Acknowledgements"/>
      </w:pPr>
      <w:r w:rsidRPr="007A738A">
        <w:t>Acknowledgements</w:t>
      </w:r>
    </w:p>
    <w:p w:rsidR="00BD3025" w:rsidRPr="007A738A" w:rsidRDefault="00BD3025" w:rsidP="00925964">
      <w:pPr>
        <w:pStyle w:val="Zkladntext-prvnodsazen"/>
        <w:ind w:firstLine="0"/>
      </w:pPr>
      <w:r w:rsidRPr="007A738A">
        <w:t>This work is supported by funding of specific research at Masaryk University (project MUNI/A/0799/2012).</w:t>
      </w:r>
    </w:p>
    <w:p w:rsidR="00BD3025" w:rsidRPr="007A738A" w:rsidRDefault="00BD3025" w:rsidP="00925964">
      <w:pPr>
        <w:pStyle w:val="ReferencesHeader"/>
      </w:pPr>
      <w:r w:rsidRPr="007A738A">
        <w:t>References</w:t>
      </w:r>
    </w:p>
    <w:p w:rsidR="00BD3025" w:rsidRPr="007A738A" w:rsidRDefault="00BD3025" w:rsidP="00561E33">
      <w:pPr>
        <w:pStyle w:val="Seznamcitac"/>
      </w:pPr>
      <w:bookmarkStart w:id="2" w:name="_Ref325202335"/>
      <w:bookmarkStart w:id="3" w:name="_Ref355955782"/>
      <w:proofErr w:type="spellStart"/>
      <w:r w:rsidRPr="007A738A">
        <w:t>Frait</w:t>
      </w:r>
      <w:proofErr w:type="spellEnd"/>
      <w:r w:rsidRPr="007A738A">
        <w:t xml:space="preserve">, J., and </w:t>
      </w:r>
      <w:proofErr w:type="spellStart"/>
      <w:r w:rsidRPr="007A738A">
        <w:t>Komárek</w:t>
      </w:r>
      <w:proofErr w:type="spellEnd"/>
      <w:r w:rsidRPr="007A738A">
        <w:t>, L.: Real exchange rate trends in transitional countries. Warwick Economic Research Paper No. 596, 2001.</w:t>
      </w:r>
      <w:bookmarkEnd w:id="2"/>
    </w:p>
    <w:p w:rsidR="002C07CA" w:rsidRPr="007A738A" w:rsidRDefault="002C07CA" w:rsidP="002C07CA">
      <w:pPr>
        <w:pStyle w:val="Seznamcitac"/>
      </w:pPr>
      <w:bookmarkStart w:id="4" w:name="_Ref361476599"/>
      <w:r w:rsidRPr="007A738A">
        <w:rPr>
          <w:lang w:val="cs-CZ"/>
        </w:rPr>
        <w:t xml:space="preserve">International </w:t>
      </w:r>
      <w:proofErr w:type="spellStart"/>
      <w:r w:rsidRPr="007A738A">
        <w:rPr>
          <w:lang w:val="cs-CZ"/>
        </w:rPr>
        <w:t>Monetary</w:t>
      </w:r>
      <w:proofErr w:type="spellEnd"/>
      <w:r w:rsidRPr="007A738A">
        <w:rPr>
          <w:lang w:val="cs-CZ"/>
        </w:rPr>
        <w:t xml:space="preserve"> </w:t>
      </w:r>
      <w:proofErr w:type="spellStart"/>
      <w:r w:rsidRPr="007A738A">
        <w:rPr>
          <w:lang w:val="cs-CZ"/>
        </w:rPr>
        <w:t>Fund</w:t>
      </w:r>
      <w:proofErr w:type="spellEnd"/>
      <w:r w:rsidRPr="007A738A">
        <w:rPr>
          <w:lang w:val="cs-CZ"/>
        </w:rPr>
        <w:t xml:space="preserve"> (IMF): </w:t>
      </w:r>
      <w:r w:rsidRPr="007A738A">
        <w:rPr>
          <w:i/>
          <w:lang w:val="cs-CZ"/>
        </w:rPr>
        <w:t xml:space="preserve">De Facto </w:t>
      </w:r>
      <w:proofErr w:type="spellStart"/>
      <w:r w:rsidRPr="007A738A">
        <w:rPr>
          <w:i/>
          <w:lang w:val="cs-CZ"/>
        </w:rPr>
        <w:t>Classification</w:t>
      </w:r>
      <w:proofErr w:type="spellEnd"/>
      <w:r w:rsidRPr="007A738A">
        <w:rPr>
          <w:i/>
          <w:lang w:val="cs-CZ"/>
        </w:rPr>
        <w:t xml:space="preserve"> </w:t>
      </w:r>
      <w:proofErr w:type="spellStart"/>
      <w:r w:rsidRPr="007A738A">
        <w:rPr>
          <w:i/>
          <w:lang w:val="cs-CZ"/>
        </w:rPr>
        <w:t>of</w:t>
      </w:r>
      <w:proofErr w:type="spellEnd"/>
      <w:r w:rsidRPr="007A738A">
        <w:rPr>
          <w:i/>
          <w:lang w:val="cs-CZ"/>
        </w:rPr>
        <w:t xml:space="preserve"> Exchange </w:t>
      </w:r>
      <w:proofErr w:type="spellStart"/>
      <w:r w:rsidRPr="007A738A">
        <w:rPr>
          <w:i/>
          <w:lang w:val="cs-CZ"/>
        </w:rPr>
        <w:t>Rate</w:t>
      </w:r>
      <w:proofErr w:type="spellEnd"/>
      <w:r w:rsidRPr="007A738A">
        <w:rPr>
          <w:i/>
          <w:lang w:val="cs-CZ"/>
        </w:rPr>
        <w:t xml:space="preserve"> </w:t>
      </w:r>
      <w:proofErr w:type="spellStart"/>
      <w:r w:rsidRPr="007A738A">
        <w:rPr>
          <w:i/>
          <w:lang w:val="cs-CZ"/>
        </w:rPr>
        <w:t>Regimes</w:t>
      </w:r>
      <w:proofErr w:type="spellEnd"/>
      <w:r w:rsidRPr="007A738A">
        <w:rPr>
          <w:i/>
          <w:lang w:val="cs-CZ"/>
        </w:rPr>
        <w:t xml:space="preserve"> and </w:t>
      </w:r>
      <w:proofErr w:type="spellStart"/>
      <w:r w:rsidRPr="007A738A">
        <w:rPr>
          <w:i/>
          <w:lang w:val="cs-CZ"/>
        </w:rPr>
        <w:t>Monetary</w:t>
      </w:r>
      <w:proofErr w:type="spellEnd"/>
      <w:r w:rsidRPr="007A738A">
        <w:rPr>
          <w:i/>
          <w:lang w:val="cs-CZ"/>
        </w:rPr>
        <w:t xml:space="preserve"> </w:t>
      </w:r>
      <w:proofErr w:type="spellStart"/>
      <w:r w:rsidRPr="007A738A">
        <w:rPr>
          <w:i/>
          <w:lang w:val="cs-CZ"/>
        </w:rPr>
        <w:t>Policy</w:t>
      </w:r>
      <w:proofErr w:type="spellEnd"/>
      <w:r w:rsidRPr="007A738A">
        <w:rPr>
          <w:i/>
          <w:lang w:val="cs-CZ"/>
        </w:rPr>
        <w:t xml:space="preserve"> Framework</w:t>
      </w:r>
      <w:r w:rsidRPr="007A738A">
        <w:rPr>
          <w:lang w:val="cs-CZ"/>
        </w:rPr>
        <w:t>. http://www.imf.org/external/np/mfd/er/2006/eng/0706.htm (22. 2. 2007)</w:t>
      </w:r>
      <w:bookmarkEnd w:id="4"/>
    </w:p>
    <w:p w:rsidR="00BD3025" w:rsidRPr="007A738A" w:rsidRDefault="00BD3025" w:rsidP="00925964">
      <w:pPr>
        <w:pStyle w:val="Seznamcitac"/>
      </w:pPr>
      <w:bookmarkStart w:id="5" w:name="_Ref360368135"/>
      <w:r w:rsidRPr="007A738A">
        <w:t xml:space="preserve">Ito, T., and Sato, K.: Exchange Rate Changes and Inflation in Post-Crisis Asian Economies: Vector </w:t>
      </w:r>
      <w:proofErr w:type="spellStart"/>
      <w:r w:rsidRPr="007A738A">
        <w:t>Autoregression</w:t>
      </w:r>
      <w:proofErr w:type="spellEnd"/>
      <w:r w:rsidRPr="007A738A">
        <w:t xml:space="preserve"> Analysis of the Exchange Rate Pass-Through. </w:t>
      </w:r>
      <w:r w:rsidRPr="007A738A">
        <w:rPr>
          <w:rStyle w:val="Zdraznn"/>
        </w:rPr>
        <w:t xml:space="preserve">Journal of Money, Credit and Banking </w:t>
      </w:r>
      <w:r w:rsidRPr="007A738A">
        <w:rPr>
          <w:rStyle w:val="Siln"/>
        </w:rPr>
        <w:t>40</w:t>
      </w:r>
      <w:r w:rsidRPr="007A738A">
        <w:t xml:space="preserve"> (2008), 1407–1438.</w:t>
      </w:r>
      <w:bookmarkEnd w:id="3"/>
      <w:bookmarkEnd w:id="5"/>
    </w:p>
    <w:p w:rsidR="00BD3025" w:rsidRPr="007A738A" w:rsidRDefault="00BD3025" w:rsidP="00925964">
      <w:pPr>
        <w:pStyle w:val="Seznamcitac"/>
      </w:pPr>
      <w:bookmarkStart w:id="6" w:name="_Ref360377901"/>
      <w:proofErr w:type="spellStart"/>
      <w:r w:rsidRPr="007A738A">
        <w:t>Mirdala</w:t>
      </w:r>
      <w:proofErr w:type="spellEnd"/>
      <w:r w:rsidRPr="007A738A">
        <w:t xml:space="preserve">, R.: </w:t>
      </w:r>
      <w:proofErr w:type="spellStart"/>
      <w:r w:rsidRPr="007A738A">
        <w:rPr>
          <w:i/>
          <w:iCs/>
        </w:rPr>
        <w:t>Menové</w:t>
      </w:r>
      <w:proofErr w:type="spellEnd"/>
      <w:r w:rsidRPr="007A738A">
        <w:rPr>
          <w:i/>
          <w:iCs/>
        </w:rPr>
        <w:t xml:space="preserve"> </w:t>
      </w:r>
      <w:proofErr w:type="spellStart"/>
      <w:r w:rsidRPr="007A738A">
        <w:rPr>
          <w:i/>
          <w:iCs/>
        </w:rPr>
        <w:t>kurzy</w:t>
      </w:r>
      <w:proofErr w:type="spellEnd"/>
      <w:r w:rsidRPr="007A738A">
        <w:rPr>
          <w:i/>
          <w:iCs/>
        </w:rPr>
        <w:t xml:space="preserve"> v </w:t>
      </w:r>
      <w:proofErr w:type="spellStart"/>
      <w:r w:rsidRPr="007A738A">
        <w:rPr>
          <w:i/>
          <w:iCs/>
        </w:rPr>
        <w:t>krajinách</w:t>
      </w:r>
      <w:proofErr w:type="spellEnd"/>
      <w:r w:rsidRPr="007A738A">
        <w:rPr>
          <w:i/>
          <w:iCs/>
        </w:rPr>
        <w:t xml:space="preserve"> </w:t>
      </w:r>
      <w:proofErr w:type="spellStart"/>
      <w:r w:rsidRPr="007A738A">
        <w:rPr>
          <w:i/>
          <w:iCs/>
        </w:rPr>
        <w:t>strednej</w:t>
      </w:r>
      <w:proofErr w:type="spellEnd"/>
      <w:r w:rsidRPr="007A738A">
        <w:rPr>
          <w:i/>
          <w:iCs/>
        </w:rPr>
        <w:t xml:space="preserve"> </w:t>
      </w:r>
      <w:proofErr w:type="spellStart"/>
      <w:r w:rsidRPr="007A738A">
        <w:rPr>
          <w:i/>
          <w:iCs/>
        </w:rPr>
        <w:t>Europy</w:t>
      </w:r>
      <w:proofErr w:type="spellEnd"/>
      <w:r w:rsidRPr="007A738A">
        <w:t xml:space="preserve">. </w:t>
      </w:r>
      <w:proofErr w:type="spellStart"/>
      <w:r w:rsidRPr="007A738A">
        <w:t>Technická</w:t>
      </w:r>
      <w:proofErr w:type="spellEnd"/>
      <w:r w:rsidRPr="007A738A">
        <w:t xml:space="preserve"> </w:t>
      </w:r>
      <w:proofErr w:type="spellStart"/>
      <w:r w:rsidRPr="007A738A">
        <w:t>univerzita</w:t>
      </w:r>
      <w:proofErr w:type="spellEnd"/>
      <w:r w:rsidRPr="007A738A">
        <w:t xml:space="preserve"> v </w:t>
      </w:r>
      <w:proofErr w:type="spellStart"/>
      <w:r w:rsidRPr="007A738A">
        <w:t>Košiciach</w:t>
      </w:r>
      <w:proofErr w:type="spellEnd"/>
      <w:r w:rsidRPr="007A738A">
        <w:t xml:space="preserve">, </w:t>
      </w:r>
      <w:proofErr w:type="spellStart"/>
      <w:r w:rsidRPr="007A738A">
        <w:t>Košice</w:t>
      </w:r>
      <w:proofErr w:type="spellEnd"/>
      <w:r w:rsidRPr="007A738A">
        <w:t>, 2011.</w:t>
      </w:r>
      <w:bookmarkEnd w:id="6"/>
    </w:p>
    <w:p w:rsidR="00BD3025" w:rsidRPr="007A738A" w:rsidRDefault="00BD3025" w:rsidP="007851AC">
      <w:pPr>
        <w:pStyle w:val="Seznamcitac"/>
      </w:pPr>
      <w:bookmarkStart w:id="7" w:name="_Ref360377903"/>
      <w:proofErr w:type="spellStart"/>
      <w:r w:rsidRPr="007A738A">
        <w:t>Mirdala</w:t>
      </w:r>
      <w:proofErr w:type="spellEnd"/>
      <w:r w:rsidRPr="007A738A">
        <w:t xml:space="preserve">, R.: Exchange rate pass-through to domestic prices in the Central European countries. </w:t>
      </w:r>
      <w:r w:rsidRPr="007A738A">
        <w:rPr>
          <w:i/>
          <w:iCs/>
        </w:rPr>
        <w:t xml:space="preserve">Journal of Applied Economic Sciences </w:t>
      </w:r>
      <w:r w:rsidRPr="007A738A">
        <w:rPr>
          <w:b/>
          <w:bCs/>
        </w:rPr>
        <w:t>4</w:t>
      </w:r>
      <w:r w:rsidRPr="007A738A">
        <w:t xml:space="preserve"> (2009), 408–424.</w:t>
      </w:r>
      <w:bookmarkEnd w:id="7"/>
    </w:p>
    <w:p w:rsidR="002C07CA" w:rsidRPr="007A738A" w:rsidRDefault="002C07CA" w:rsidP="002C07CA">
      <w:pPr>
        <w:pStyle w:val="Seznamcitac"/>
      </w:pPr>
      <w:bookmarkStart w:id="8" w:name="_Ref361475862"/>
      <w:r w:rsidRPr="007A738A">
        <w:rPr>
          <w:lang w:val="cs-CZ"/>
        </w:rPr>
        <w:t xml:space="preserve">Singer, M.: Dohled a makroekonomické politiky – poučíme se z historie?. In: </w:t>
      </w:r>
      <w:r w:rsidRPr="007A738A">
        <w:rPr>
          <w:i/>
          <w:lang w:val="cs-CZ"/>
        </w:rPr>
        <w:t>20 let finančních a bankovních reforem v České Republice</w:t>
      </w:r>
      <w:r w:rsidRPr="007A738A">
        <w:rPr>
          <w:lang w:val="cs-CZ"/>
        </w:rPr>
        <w:t xml:space="preserve"> (VŠE </w:t>
      </w:r>
      <w:proofErr w:type="spellStart"/>
      <w:r w:rsidRPr="007A738A">
        <w:rPr>
          <w:lang w:val="cs-CZ"/>
        </w:rPr>
        <w:t>ed</w:t>
      </w:r>
      <w:proofErr w:type="spellEnd"/>
      <w:r w:rsidRPr="007A738A">
        <w:rPr>
          <w:lang w:val="cs-CZ"/>
        </w:rPr>
        <w:t xml:space="preserve">.). </w:t>
      </w:r>
      <w:proofErr w:type="spellStart"/>
      <w:r w:rsidRPr="007A738A">
        <w:rPr>
          <w:lang w:val="cs-CZ"/>
        </w:rPr>
        <w:t>Oeconomica</w:t>
      </w:r>
      <w:proofErr w:type="spellEnd"/>
      <w:r w:rsidRPr="007A738A">
        <w:rPr>
          <w:lang w:val="cs-CZ"/>
        </w:rPr>
        <w:t>. Prague. 2009.</w:t>
      </w:r>
      <w:bookmarkEnd w:id="8"/>
    </w:p>
    <w:p w:rsidR="00BD3025" w:rsidRPr="007A738A" w:rsidRDefault="00F65B81" w:rsidP="007851AC">
      <w:pPr>
        <w:pStyle w:val="Seznamcitac"/>
      </w:pPr>
      <w:bookmarkStart w:id="9" w:name="_Ref361649170"/>
      <w:r w:rsidRPr="007A738A">
        <w:t>Ží</w:t>
      </w:r>
      <w:r w:rsidR="00BD3025" w:rsidRPr="007A738A">
        <w:t xml:space="preserve">dek, L.: Transformation in Poland. </w:t>
      </w:r>
      <w:r w:rsidR="00BD3025" w:rsidRPr="007A738A">
        <w:rPr>
          <w:i/>
          <w:iCs/>
        </w:rPr>
        <w:t xml:space="preserve">Review of Economic Perspectives </w:t>
      </w:r>
      <w:r w:rsidR="00BD3025" w:rsidRPr="007A738A">
        <w:rPr>
          <w:b/>
          <w:bCs/>
        </w:rPr>
        <w:t xml:space="preserve">4 </w:t>
      </w:r>
      <w:r w:rsidR="00BD3025" w:rsidRPr="007A738A">
        <w:t>(2011), 236-270.</w:t>
      </w:r>
      <w:bookmarkEnd w:id="9"/>
    </w:p>
    <w:sectPr w:rsidR="00BD3025" w:rsidRPr="007A738A" w:rsidSect="000577E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44D" w:rsidRDefault="004F444D">
      <w:r>
        <w:separator/>
      </w:r>
    </w:p>
  </w:endnote>
  <w:endnote w:type="continuationSeparator" w:id="0">
    <w:p w:rsidR="004F444D" w:rsidRDefault="004F4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44D" w:rsidRDefault="004F444D">
      <w:r>
        <w:separator/>
      </w:r>
    </w:p>
  </w:footnote>
  <w:footnote w:type="continuationSeparator" w:id="0">
    <w:p w:rsidR="004F444D" w:rsidRDefault="004F444D">
      <w:r>
        <w:continuationSeparator/>
      </w:r>
    </w:p>
  </w:footnote>
  <w:footnote w:id="1">
    <w:p w:rsidR="00F93D5B" w:rsidRPr="007A738A" w:rsidRDefault="00F93D5B" w:rsidP="00695B66">
      <w:pPr>
        <w:pStyle w:val="Textpoznpodarou"/>
      </w:pPr>
      <w:r w:rsidRPr="007A738A">
        <w:rPr>
          <w:rStyle w:val="Znakapoznpodarou"/>
        </w:rPr>
        <w:footnoteRef/>
      </w:r>
      <w:r w:rsidRPr="007A738A">
        <w:t xml:space="preserve"> Masaryk University, Faculty of Economics and Administration, Department of Economics, </w:t>
      </w:r>
      <w:proofErr w:type="spellStart"/>
      <w:r w:rsidRPr="007A738A">
        <w:t>Lipová</w:t>
      </w:r>
      <w:proofErr w:type="spellEnd"/>
      <w:r w:rsidRPr="007A738A">
        <w:t xml:space="preserve"> 41a, 602 00 Brno, l_zidek@centrum.cz.</w:t>
      </w:r>
    </w:p>
  </w:footnote>
  <w:footnote w:id="2">
    <w:p w:rsidR="00F93D5B" w:rsidRPr="007A738A" w:rsidRDefault="00F93D5B" w:rsidP="00695B66">
      <w:pPr>
        <w:pStyle w:val="Textpoznpodarou"/>
      </w:pPr>
      <w:r w:rsidRPr="007A738A">
        <w:rPr>
          <w:rStyle w:val="Znakapoznpodarou"/>
        </w:rPr>
        <w:footnoteRef/>
      </w:r>
      <w:r w:rsidRPr="007A738A">
        <w:t xml:space="preserve"> Masaryk University, Faculty of Economics and Administration, Department of Economics, </w:t>
      </w:r>
      <w:proofErr w:type="spellStart"/>
      <w:r w:rsidRPr="007A738A">
        <w:t>Lipová</w:t>
      </w:r>
      <w:proofErr w:type="spellEnd"/>
      <w:r w:rsidRPr="007A738A">
        <w:t xml:space="preserve"> 41a, 602 00 Brno, nemecd@econ.muni.cz.</w:t>
      </w:r>
    </w:p>
  </w:footnote>
  <w:footnote w:id="3">
    <w:p w:rsidR="00F93D5B" w:rsidRPr="007A738A" w:rsidRDefault="00F93D5B" w:rsidP="002C07CA">
      <w:pPr>
        <w:pStyle w:val="Textpoznpodarou"/>
        <w:rPr>
          <w:lang w:val="en-GB"/>
        </w:rPr>
      </w:pPr>
      <w:r w:rsidRPr="007A738A">
        <w:rPr>
          <w:rStyle w:val="Znakapoznpodarou"/>
        </w:rPr>
        <w:footnoteRef/>
      </w:r>
      <w:r w:rsidRPr="007A738A">
        <w:t xml:space="preserve"> For instance </w:t>
      </w:r>
      <w:r w:rsidRPr="007A738A">
        <w:rPr>
          <w:lang w:val="en-GB"/>
        </w:rPr>
        <w:t xml:space="preserve">the term fixed exchange rate is in the Czech literature used even in situation of broad fluctuation zone +/- 7.5 % (for example Singer </w:t>
      </w:r>
      <w:r>
        <w:fldChar w:fldCharType="begin"/>
      </w:r>
      <w:r>
        <w:instrText xml:space="preserve"> REF _Ref361475862 \r \h  \* MERGEFORMAT </w:instrText>
      </w:r>
      <w:r>
        <w:fldChar w:fldCharType="separate"/>
      </w:r>
      <w:r w:rsidRPr="007A738A">
        <w:rPr>
          <w:lang w:val="en-GB"/>
        </w:rPr>
        <w:t>[6]</w:t>
      </w:r>
      <w:r>
        <w:fldChar w:fldCharType="end"/>
      </w:r>
      <w:r w:rsidRPr="007A738A">
        <w:rPr>
          <w:lang w:val="en-GB"/>
        </w:rPr>
        <w:t xml:space="preserve">). On the contrary the definition of the IMF says that fixed exchange rate is only within margins +/- 1 % (see for example </w:t>
      </w:r>
      <w:r>
        <w:fldChar w:fldCharType="begin"/>
      </w:r>
      <w:r>
        <w:instrText xml:space="preserve"> REF _Ref361476599 \r \h  \* MERGEFORMAT </w:instrText>
      </w:r>
      <w:r>
        <w:fldChar w:fldCharType="separate"/>
      </w:r>
      <w:r w:rsidRPr="007A738A">
        <w:rPr>
          <w:lang w:val="en-GB"/>
        </w:rPr>
        <w:t>[2]</w:t>
      </w:r>
      <w:r>
        <w:fldChar w:fldCharType="end"/>
      </w:r>
      <w:r w:rsidRPr="007A738A">
        <w:rPr>
          <w:lang w:val="en-GB"/>
        </w:rPr>
        <w:t>).</w:t>
      </w:r>
    </w:p>
  </w:footnote>
  <w:footnote w:id="4">
    <w:p w:rsidR="00F93D5B" w:rsidRPr="007A738A" w:rsidRDefault="00F93D5B" w:rsidP="00D513E6">
      <w:pPr>
        <w:pStyle w:val="Textpoznpodarou"/>
        <w:rPr>
          <w:lang w:val="cs-CZ"/>
        </w:rPr>
      </w:pPr>
      <w:r w:rsidRPr="007A738A">
        <w:rPr>
          <w:rStyle w:val="Znakapoznpodarou"/>
        </w:rPr>
        <w:footnoteRef/>
      </w:r>
      <w:r w:rsidRPr="007A738A">
        <w:t xml:space="preserve"> The data source is International Financial Statistics (IFS) provided by the International Monetary Fund. The observed variables for all V4 countries are real and nominal effective exchange rate (index).</w:t>
      </w:r>
    </w:p>
  </w:footnote>
  <w:footnote w:id="5">
    <w:p w:rsidR="00F93D5B" w:rsidRPr="007A738A" w:rsidRDefault="00F93D5B" w:rsidP="00442097">
      <w:pPr>
        <w:pStyle w:val="Textpoznpodarou"/>
        <w:jc w:val="both"/>
      </w:pPr>
      <w:r w:rsidRPr="007A738A">
        <w:rPr>
          <w:rStyle w:val="Znakapoznpodarou"/>
          <w:lang w:val="en-GB"/>
        </w:rPr>
        <w:footnoteRef/>
      </w:r>
      <w:r w:rsidRPr="007A738A">
        <w:rPr>
          <w:lang w:val="en-GB"/>
        </w:rPr>
        <w:t xml:space="preserve"> We have constructed other models which were extended by foreign gap variable (output gap of Germany) and by inclusion of consumer price index and producer prices index. The main results remained relatively stable. We will thus present the results for the basic model with consumer prices index only. Due to lack of historical import prices indices, we were unable to model a link of inflation transmission among various sectors of economy (i.e. importers, producers and consumers).</w:t>
      </w:r>
    </w:p>
  </w:footnote>
  <w:footnote w:id="6">
    <w:p w:rsidR="00F93D5B" w:rsidRPr="007A738A" w:rsidRDefault="00F93D5B">
      <w:pPr>
        <w:pStyle w:val="Textpoznpodarou"/>
      </w:pPr>
      <w:r w:rsidRPr="007A738A">
        <w:rPr>
          <w:rStyle w:val="Znakapoznpodarou"/>
        </w:rPr>
        <w:footnoteRef/>
      </w:r>
      <w:r w:rsidRPr="007A738A">
        <w:t xml:space="preserve"> The first observation in 1993M1 was lost due to differencing procedure.</w:t>
      </w:r>
    </w:p>
  </w:footnote>
  <w:footnote w:id="7">
    <w:p w:rsidR="00F93D5B" w:rsidRDefault="00F93D5B">
      <w:pPr>
        <w:pStyle w:val="Textpoznpodarou"/>
      </w:pPr>
      <w:r w:rsidRPr="007A738A">
        <w:rPr>
          <w:rStyle w:val="Znakapoznpodarou"/>
        </w:rPr>
        <w:footnoteRef/>
      </w:r>
      <w:r w:rsidRPr="007A738A">
        <w:t xml:space="preserve"> We have omitted the months in 1993 due to the influence of initial zero-shocks conditions in historical simulation. Moreover, the negative </w:t>
      </w:r>
      <w:r w:rsidRPr="007A738A">
        <w:rPr>
          <w:position w:val="-4"/>
        </w:rPr>
        <w:object w:dxaOrig="300" w:dyaOrig="279">
          <v:shape id="_x0000_i1078" type="#_x0000_t75" style="width:15.05pt;height:14.5pt" o:ole="">
            <v:imagedata r:id="rId1" o:title=""/>
          </v:shape>
          <o:OLEObject Type="Embed" ProgID="Equation.3" ShapeID="_x0000_i1078" DrawAspect="Content" ObjectID="_1438020053" r:id="rId2"/>
        </w:object>
      </w:r>
      <w:r w:rsidRPr="007A738A">
        <w:t xml:space="preserve"> are the results of insignificant influence of the shocks on inflation. It means that their explanatory power was simply negative due to the fact that the sum of individual</w:t>
      </w:r>
      <w:r w:rsidRPr="007A738A">
        <w:rPr>
          <w:position w:val="-4"/>
        </w:rPr>
        <w:object w:dxaOrig="300" w:dyaOrig="279">
          <v:shape id="_x0000_i1079" type="#_x0000_t75" style="width:15.05pt;height:14.5pt" o:ole="">
            <v:imagedata r:id="rId3" o:title=""/>
          </v:shape>
          <o:OLEObject Type="Embed" ProgID="Equation.3" ShapeID="_x0000_i1079" DrawAspect="Content" ObjectID="_1438020054" r:id="rId4"/>
        </w:object>
      </w:r>
      <w:r w:rsidRPr="007A738A">
        <w:t>has to be equal to the overall</w:t>
      </w:r>
      <w:r w:rsidRPr="007A738A">
        <w:rPr>
          <w:position w:val="-4"/>
        </w:rPr>
        <w:object w:dxaOrig="300" w:dyaOrig="279">
          <v:shape id="_x0000_i1080" type="#_x0000_t75" style="width:15.05pt;height:13.95pt" o:ole="">
            <v:imagedata r:id="rId5" o:title=""/>
          </v:shape>
          <o:OLEObject Type="Embed" ProgID="Equation.3" ShapeID="_x0000_i1080" DrawAspect="Content" ObjectID="_1438020055" r:id="rId6"/>
        </w:object>
      </w:r>
      <w:r w:rsidRPr="007A738A">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252CC54"/>
    <w:lvl w:ilvl="0">
      <w:start w:val="1"/>
      <w:numFmt w:val="decimal"/>
      <w:lvlText w:val="%1."/>
      <w:lvlJc w:val="left"/>
      <w:pPr>
        <w:tabs>
          <w:tab w:val="num" w:pos="1492"/>
        </w:tabs>
        <w:ind w:left="1492" w:hanging="360"/>
      </w:pPr>
    </w:lvl>
  </w:abstractNum>
  <w:abstractNum w:abstractNumId="1">
    <w:nsid w:val="FFFFFF7D"/>
    <w:multiLevelType w:val="singleLevel"/>
    <w:tmpl w:val="A3126D02"/>
    <w:lvl w:ilvl="0">
      <w:start w:val="1"/>
      <w:numFmt w:val="decimal"/>
      <w:pStyle w:val="Seznamsodrkami"/>
      <w:lvlText w:val="%1."/>
      <w:lvlJc w:val="left"/>
      <w:pPr>
        <w:tabs>
          <w:tab w:val="num" w:pos="1209"/>
        </w:tabs>
        <w:ind w:left="1209" w:hanging="360"/>
      </w:pPr>
    </w:lvl>
  </w:abstractNum>
  <w:abstractNum w:abstractNumId="2">
    <w:nsid w:val="FFFFFF7E"/>
    <w:multiLevelType w:val="singleLevel"/>
    <w:tmpl w:val="CD667D0A"/>
    <w:lvl w:ilvl="0">
      <w:start w:val="1"/>
      <w:numFmt w:val="decimal"/>
      <w:lvlText w:val="%1."/>
      <w:lvlJc w:val="left"/>
      <w:pPr>
        <w:tabs>
          <w:tab w:val="num" w:pos="926"/>
        </w:tabs>
        <w:ind w:left="926" w:hanging="360"/>
      </w:pPr>
    </w:lvl>
  </w:abstractNum>
  <w:abstractNum w:abstractNumId="3">
    <w:nsid w:val="FFFFFF7F"/>
    <w:multiLevelType w:val="singleLevel"/>
    <w:tmpl w:val="65B8DE90"/>
    <w:lvl w:ilvl="0">
      <w:start w:val="1"/>
      <w:numFmt w:val="decimal"/>
      <w:lvlText w:val="%1."/>
      <w:lvlJc w:val="left"/>
      <w:pPr>
        <w:tabs>
          <w:tab w:val="num" w:pos="643"/>
        </w:tabs>
        <w:ind w:left="643" w:hanging="360"/>
      </w:pPr>
    </w:lvl>
  </w:abstractNum>
  <w:abstractNum w:abstractNumId="4">
    <w:nsid w:val="FFFFFF80"/>
    <w:multiLevelType w:val="singleLevel"/>
    <w:tmpl w:val="99C20CC4"/>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6E067784"/>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3C20197E"/>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F1E6CC9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C87CB7C0"/>
    <w:lvl w:ilvl="0">
      <w:start w:val="1"/>
      <w:numFmt w:val="decimal"/>
      <w:lvlText w:val="%1."/>
      <w:lvlJc w:val="left"/>
      <w:pPr>
        <w:tabs>
          <w:tab w:val="num" w:pos="360"/>
        </w:tabs>
        <w:ind w:left="360" w:hanging="360"/>
      </w:pPr>
    </w:lvl>
  </w:abstractNum>
  <w:abstractNum w:abstractNumId="9">
    <w:nsid w:val="FFFFFF89"/>
    <w:multiLevelType w:val="singleLevel"/>
    <w:tmpl w:val="4E5CB852"/>
    <w:lvl w:ilvl="0">
      <w:start w:val="1"/>
      <w:numFmt w:val="bullet"/>
      <w:lvlText w:val=""/>
      <w:lvlJc w:val="left"/>
      <w:pPr>
        <w:tabs>
          <w:tab w:val="num" w:pos="300"/>
        </w:tabs>
        <w:ind w:left="300" w:hanging="300"/>
      </w:pPr>
      <w:rPr>
        <w:rFonts w:ascii="Symbol" w:hAnsi="Symbol" w:cs="Symbol" w:hint="default"/>
      </w:rPr>
    </w:lvl>
  </w:abstractNum>
  <w:abstractNum w:abstractNumId="10">
    <w:nsid w:val="05966DAE"/>
    <w:multiLevelType w:val="multilevel"/>
    <w:tmpl w:val="0B8E86F6"/>
    <w:lvl w:ilvl="0">
      <w:start w:val="1"/>
      <w:numFmt w:val="decimal"/>
      <w:lvlText w:val="%1."/>
      <w:lvlJc w:val="left"/>
      <w:pPr>
        <w:tabs>
          <w:tab w:val="num" w:pos="300"/>
        </w:tabs>
        <w:ind w:left="300" w:hanging="30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D4C5F6D"/>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194D4D8E"/>
    <w:multiLevelType w:val="multilevel"/>
    <w:tmpl w:val="0C30CF10"/>
    <w:styleLink w:val="HeadingNumbers"/>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20D67851"/>
    <w:multiLevelType w:val="multilevel"/>
    <w:tmpl w:val="E7927D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007424C"/>
    <w:multiLevelType w:val="hybridMultilevel"/>
    <w:tmpl w:val="4642E7AE"/>
    <w:lvl w:ilvl="0" w:tplc="5052C266">
      <w:start w:val="1"/>
      <w:numFmt w:val="decimal"/>
      <w:pStyle w:val="Seznamcitac"/>
      <w:lvlText w:val="[%1]"/>
      <w:lvlJc w:val="left"/>
      <w:pPr>
        <w:tabs>
          <w:tab w:val="num" w:pos="397"/>
        </w:tabs>
        <w:ind w:left="397" w:hanging="39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nsid w:val="330F7581"/>
    <w:multiLevelType w:val="multilevel"/>
    <w:tmpl w:val="E7927D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5E0653A6"/>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17">
    <w:nsid w:val="5EC87015"/>
    <w:multiLevelType w:val="multilevel"/>
    <w:tmpl w:val="E7927D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67FC7782"/>
    <w:multiLevelType w:val="multilevel"/>
    <w:tmpl w:val="F77E57D2"/>
    <w:lvl w:ilvl="0">
      <w:start w:val="1"/>
      <w:numFmt w:val="decimal"/>
      <w:pStyle w:val="slovanseznam"/>
      <w:lvlText w:val="%1."/>
      <w:lvlJc w:val="left"/>
      <w:pPr>
        <w:tabs>
          <w:tab w:val="num" w:pos="300"/>
        </w:tabs>
        <w:ind w:left="300" w:hanging="300"/>
      </w:pPr>
      <w:rPr>
        <w:rFonts w:hint="default"/>
      </w:rPr>
    </w:lvl>
    <w:lvl w:ilvl="1">
      <w:start w:val="1"/>
      <w:numFmt w:val="lowerLetter"/>
      <w:lvlText w:val="%2)"/>
      <w:lvlJc w:val="left"/>
      <w:pPr>
        <w:tabs>
          <w:tab w:val="num" w:pos="607"/>
        </w:tabs>
        <w:ind w:left="607" w:hanging="596"/>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76572D06"/>
    <w:multiLevelType w:val="multilevel"/>
    <w:tmpl w:val="47B8AB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9"/>
  </w:num>
  <w:num w:numId="2">
    <w:abstractNumId w:val="8"/>
  </w:num>
  <w:num w:numId="3">
    <w:abstractNumId w:val="9"/>
  </w:num>
  <w:num w:numId="4">
    <w:abstractNumId w:val="8"/>
  </w:num>
  <w:num w:numId="5">
    <w:abstractNumId w:val="1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16"/>
  </w:num>
  <w:num w:numId="16">
    <w:abstractNumId w:val="13"/>
  </w:num>
  <w:num w:numId="17">
    <w:abstractNumId w:val="15"/>
  </w:num>
  <w:num w:numId="18">
    <w:abstractNumId w:val="17"/>
  </w:num>
  <w:num w:numId="19">
    <w:abstractNumId w:val="12"/>
  </w:num>
  <w:num w:numId="20">
    <w:abstractNumId w:val="11"/>
  </w:num>
  <w:num w:numId="21">
    <w:abstractNumId w:val="14"/>
  </w:num>
  <w:num w:numId="22">
    <w:abstractNumId w:val="1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doNotTrackMoves/>
  <w:defaultTabStop w:val="708"/>
  <w:autoHyphenation/>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6FFF"/>
    <w:rsid w:val="00003685"/>
    <w:rsid w:val="00007A65"/>
    <w:rsid w:val="00047A22"/>
    <w:rsid w:val="000577EB"/>
    <w:rsid w:val="000653F8"/>
    <w:rsid w:val="000715DA"/>
    <w:rsid w:val="0007350C"/>
    <w:rsid w:val="000941DC"/>
    <w:rsid w:val="000B0AB8"/>
    <w:rsid w:val="000B31ED"/>
    <w:rsid w:val="000B5252"/>
    <w:rsid w:val="000B64A3"/>
    <w:rsid w:val="000D6C86"/>
    <w:rsid w:val="000D7302"/>
    <w:rsid w:val="000E7B6D"/>
    <w:rsid w:val="000E7E28"/>
    <w:rsid w:val="000F1234"/>
    <w:rsid w:val="000F5E5F"/>
    <w:rsid w:val="000F6633"/>
    <w:rsid w:val="00106FFF"/>
    <w:rsid w:val="001100A2"/>
    <w:rsid w:val="00111355"/>
    <w:rsid w:val="00114A59"/>
    <w:rsid w:val="00125467"/>
    <w:rsid w:val="001415FD"/>
    <w:rsid w:val="001443FC"/>
    <w:rsid w:val="0019180F"/>
    <w:rsid w:val="001A009A"/>
    <w:rsid w:val="001C30EF"/>
    <w:rsid w:val="001E6BE7"/>
    <w:rsid w:val="002044F3"/>
    <w:rsid w:val="002127FB"/>
    <w:rsid w:val="00216FD2"/>
    <w:rsid w:val="00244385"/>
    <w:rsid w:val="002639D7"/>
    <w:rsid w:val="0026423F"/>
    <w:rsid w:val="00267ED5"/>
    <w:rsid w:val="0027440B"/>
    <w:rsid w:val="002A7CE4"/>
    <w:rsid w:val="002C07CA"/>
    <w:rsid w:val="002D1152"/>
    <w:rsid w:val="002E07A4"/>
    <w:rsid w:val="002F3185"/>
    <w:rsid w:val="003054EA"/>
    <w:rsid w:val="00330FE7"/>
    <w:rsid w:val="003404CF"/>
    <w:rsid w:val="00346932"/>
    <w:rsid w:val="00346DBB"/>
    <w:rsid w:val="003470F2"/>
    <w:rsid w:val="00353B2C"/>
    <w:rsid w:val="0035548D"/>
    <w:rsid w:val="00356CB5"/>
    <w:rsid w:val="00363B76"/>
    <w:rsid w:val="00364833"/>
    <w:rsid w:val="00392372"/>
    <w:rsid w:val="00396758"/>
    <w:rsid w:val="003A1CD4"/>
    <w:rsid w:val="003A26A7"/>
    <w:rsid w:val="003B691C"/>
    <w:rsid w:val="003C7589"/>
    <w:rsid w:val="003D01DD"/>
    <w:rsid w:val="0041474F"/>
    <w:rsid w:val="00430A87"/>
    <w:rsid w:val="00430FF6"/>
    <w:rsid w:val="00434171"/>
    <w:rsid w:val="00440E34"/>
    <w:rsid w:val="00442097"/>
    <w:rsid w:val="00447A92"/>
    <w:rsid w:val="00451CE2"/>
    <w:rsid w:val="0046239C"/>
    <w:rsid w:val="00462BBB"/>
    <w:rsid w:val="00463A74"/>
    <w:rsid w:val="0048193A"/>
    <w:rsid w:val="00493190"/>
    <w:rsid w:val="004942AC"/>
    <w:rsid w:val="004A133D"/>
    <w:rsid w:val="004C197D"/>
    <w:rsid w:val="004D2715"/>
    <w:rsid w:val="004D76B1"/>
    <w:rsid w:val="004E2F6C"/>
    <w:rsid w:val="004F444D"/>
    <w:rsid w:val="004F4ABA"/>
    <w:rsid w:val="00503DA5"/>
    <w:rsid w:val="00515287"/>
    <w:rsid w:val="00517A0B"/>
    <w:rsid w:val="0052403C"/>
    <w:rsid w:val="00530B58"/>
    <w:rsid w:val="0054315C"/>
    <w:rsid w:val="00550F4C"/>
    <w:rsid w:val="00561E33"/>
    <w:rsid w:val="005665BF"/>
    <w:rsid w:val="00582BAE"/>
    <w:rsid w:val="005A18A2"/>
    <w:rsid w:val="005A196D"/>
    <w:rsid w:val="005A428E"/>
    <w:rsid w:val="005B2FD3"/>
    <w:rsid w:val="005B4213"/>
    <w:rsid w:val="005C1EE5"/>
    <w:rsid w:val="005D2742"/>
    <w:rsid w:val="005E1F51"/>
    <w:rsid w:val="005F68D5"/>
    <w:rsid w:val="00603813"/>
    <w:rsid w:val="00623842"/>
    <w:rsid w:val="00630CDB"/>
    <w:rsid w:val="0064321C"/>
    <w:rsid w:val="006570BB"/>
    <w:rsid w:val="006637EA"/>
    <w:rsid w:val="00695B66"/>
    <w:rsid w:val="006C79AE"/>
    <w:rsid w:val="006D67D4"/>
    <w:rsid w:val="006F2A2D"/>
    <w:rsid w:val="00714F2A"/>
    <w:rsid w:val="00724CCD"/>
    <w:rsid w:val="00746224"/>
    <w:rsid w:val="00762E04"/>
    <w:rsid w:val="007645DF"/>
    <w:rsid w:val="0076742D"/>
    <w:rsid w:val="007851AC"/>
    <w:rsid w:val="00791CE2"/>
    <w:rsid w:val="007A2EA8"/>
    <w:rsid w:val="007A5B44"/>
    <w:rsid w:val="007A738A"/>
    <w:rsid w:val="007B7407"/>
    <w:rsid w:val="007F2613"/>
    <w:rsid w:val="008045BB"/>
    <w:rsid w:val="0081465F"/>
    <w:rsid w:val="00836099"/>
    <w:rsid w:val="0084258A"/>
    <w:rsid w:val="00844CA5"/>
    <w:rsid w:val="00852A42"/>
    <w:rsid w:val="008729D9"/>
    <w:rsid w:val="00872EBC"/>
    <w:rsid w:val="00876FA5"/>
    <w:rsid w:val="008C794A"/>
    <w:rsid w:val="008D1AA6"/>
    <w:rsid w:val="008D70B3"/>
    <w:rsid w:val="008D712E"/>
    <w:rsid w:val="008F6416"/>
    <w:rsid w:val="009056E5"/>
    <w:rsid w:val="00925964"/>
    <w:rsid w:val="0093439A"/>
    <w:rsid w:val="00935FDF"/>
    <w:rsid w:val="00980C28"/>
    <w:rsid w:val="009B5B63"/>
    <w:rsid w:val="009C2DE3"/>
    <w:rsid w:val="009D7F07"/>
    <w:rsid w:val="00A33379"/>
    <w:rsid w:val="00A43659"/>
    <w:rsid w:val="00A47444"/>
    <w:rsid w:val="00A65134"/>
    <w:rsid w:val="00A72CD5"/>
    <w:rsid w:val="00A73F8D"/>
    <w:rsid w:val="00A758D5"/>
    <w:rsid w:val="00A82A32"/>
    <w:rsid w:val="00A831C6"/>
    <w:rsid w:val="00AB33EB"/>
    <w:rsid w:val="00AD6FC6"/>
    <w:rsid w:val="00AE63FF"/>
    <w:rsid w:val="00B00D39"/>
    <w:rsid w:val="00B07B5E"/>
    <w:rsid w:val="00B33435"/>
    <w:rsid w:val="00B33CD0"/>
    <w:rsid w:val="00B5584D"/>
    <w:rsid w:val="00B679B1"/>
    <w:rsid w:val="00B70928"/>
    <w:rsid w:val="00B74D4F"/>
    <w:rsid w:val="00BA4AE9"/>
    <w:rsid w:val="00BB0E75"/>
    <w:rsid w:val="00BD3025"/>
    <w:rsid w:val="00BD4EE7"/>
    <w:rsid w:val="00BD5614"/>
    <w:rsid w:val="00BD598F"/>
    <w:rsid w:val="00BD7859"/>
    <w:rsid w:val="00BE0C1A"/>
    <w:rsid w:val="00BE38F4"/>
    <w:rsid w:val="00BE6CE2"/>
    <w:rsid w:val="00C222F8"/>
    <w:rsid w:val="00C3064E"/>
    <w:rsid w:val="00C65AA8"/>
    <w:rsid w:val="00C66F40"/>
    <w:rsid w:val="00C671F9"/>
    <w:rsid w:val="00C719E5"/>
    <w:rsid w:val="00C74CD3"/>
    <w:rsid w:val="00C81021"/>
    <w:rsid w:val="00C82F5F"/>
    <w:rsid w:val="00CB3C56"/>
    <w:rsid w:val="00CC3A1D"/>
    <w:rsid w:val="00CD5611"/>
    <w:rsid w:val="00CE2493"/>
    <w:rsid w:val="00CF3189"/>
    <w:rsid w:val="00D05012"/>
    <w:rsid w:val="00D17E81"/>
    <w:rsid w:val="00D24D23"/>
    <w:rsid w:val="00D43AC4"/>
    <w:rsid w:val="00D513E6"/>
    <w:rsid w:val="00D5321A"/>
    <w:rsid w:val="00D536D6"/>
    <w:rsid w:val="00DB2471"/>
    <w:rsid w:val="00DF05D2"/>
    <w:rsid w:val="00DF43D6"/>
    <w:rsid w:val="00DF6591"/>
    <w:rsid w:val="00E01DCB"/>
    <w:rsid w:val="00E14953"/>
    <w:rsid w:val="00E65AA9"/>
    <w:rsid w:val="00E7606A"/>
    <w:rsid w:val="00E87C53"/>
    <w:rsid w:val="00EA34AB"/>
    <w:rsid w:val="00EA3C84"/>
    <w:rsid w:val="00EA5CBC"/>
    <w:rsid w:val="00EB1B9F"/>
    <w:rsid w:val="00EB1BDE"/>
    <w:rsid w:val="00EB5C5F"/>
    <w:rsid w:val="00EB7AFD"/>
    <w:rsid w:val="00EC0457"/>
    <w:rsid w:val="00EC1CED"/>
    <w:rsid w:val="00F04AC6"/>
    <w:rsid w:val="00F129AA"/>
    <w:rsid w:val="00F367EA"/>
    <w:rsid w:val="00F46B67"/>
    <w:rsid w:val="00F4796A"/>
    <w:rsid w:val="00F55F5B"/>
    <w:rsid w:val="00F65B81"/>
    <w:rsid w:val="00F93D5B"/>
    <w:rsid w:val="00F9412C"/>
    <w:rsid w:val="00FA3F5E"/>
    <w:rsid w:val="00FB182A"/>
    <w:rsid w:val="00FB4457"/>
    <w:rsid w:val="00FC70A0"/>
    <w:rsid w:val="00FC764C"/>
    <w:rsid w:val="00FE2C84"/>
    <w:rsid w:val="00FE30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5:docId w15:val="{439A1EA5-2EAE-49F0-9042-225CA1849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82BAE"/>
    <w:rPr>
      <w:lang w:val="en-US"/>
    </w:rPr>
  </w:style>
  <w:style w:type="paragraph" w:styleId="Nadpis1">
    <w:name w:val="heading 1"/>
    <w:basedOn w:val="Normln"/>
    <w:next w:val="Zkladntext"/>
    <w:link w:val="Nadpis1Char"/>
    <w:uiPriority w:val="99"/>
    <w:qFormat/>
    <w:rsid w:val="00EB1BDE"/>
    <w:pPr>
      <w:keepNext/>
      <w:numPr>
        <w:numId w:val="19"/>
      </w:numPr>
      <w:spacing w:before="240" w:after="60"/>
      <w:outlineLvl w:val="0"/>
    </w:pPr>
    <w:rPr>
      <w:b/>
      <w:bCs/>
      <w:kern w:val="32"/>
      <w:sz w:val="28"/>
      <w:szCs w:val="28"/>
    </w:rPr>
  </w:style>
  <w:style w:type="paragraph" w:styleId="Nadpis2">
    <w:name w:val="heading 2"/>
    <w:basedOn w:val="Normln"/>
    <w:next w:val="Zkladntext"/>
    <w:link w:val="Nadpis2Char"/>
    <w:uiPriority w:val="99"/>
    <w:qFormat/>
    <w:rsid w:val="00EB1BDE"/>
    <w:pPr>
      <w:keepNext/>
      <w:numPr>
        <w:ilvl w:val="1"/>
        <w:numId w:val="19"/>
      </w:numPr>
      <w:spacing w:before="240" w:after="60"/>
      <w:outlineLvl w:val="1"/>
    </w:pPr>
    <w:rPr>
      <w:b/>
      <w:bCs/>
      <w:sz w:val="24"/>
      <w:szCs w:val="24"/>
    </w:rPr>
  </w:style>
  <w:style w:type="paragraph" w:styleId="Nadpis3">
    <w:name w:val="heading 3"/>
    <w:basedOn w:val="Normln"/>
    <w:next w:val="Zkladntext"/>
    <w:link w:val="Nadpis3Char"/>
    <w:uiPriority w:val="9"/>
    <w:qFormat/>
    <w:rsid w:val="00EB1BDE"/>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AB2BA1"/>
    <w:rPr>
      <w:b/>
      <w:bCs/>
      <w:kern w:val="32"/>
      <w:sz w:val="28"/>
      <w:szCs w:val="28"/>
      <w:lang w:val="en-US"/>
    </w:rPr>
  </w:style>
  <w:style w:type="character" w:customStyle="1" w:styleId="Nadpis2Char">
    <w:name w:val="Nadpis 2 Char"/>
    <w:link w:val="Nadpis2"/>
    <w:uiPriority w:val="99"/>
    <w:rsid w:val="00AB2BA1"/>
    <w:rPr>
      <w:b/>
      <w:bCs/>
      <w:sz w:val="24"/>
      <w:szCs w:val="24"/>
      <w:lang w:val="en-US"/>
    </w:rPr>
  </w:style>
  <w:style w:type="character" w:customStyle="1" w:styleId="Nadpis3Char">
    <w:name w:val="Nadpis 3 Char"/>
    <w:link w:val="Nadpis3"/>
    <w:uiPriority w:val="9"/>
    <w:semiHidden/>
    <w:rsid w:val="00AB2BA1"/>
    <w:rPr>
      <w:rFonts w:ascii="Cambria" w:eastAsia="Times New Roman" w:hAnsi="Cambria" w:cs="Times New Roman"/>
      <w:b/>
      <w:bCs/>
      <w:sz w:val="26"/>
      <w:szCs w:val="26"/>
      <w:lang w:val="en-US"/>
    </w:rPr>
  </w:style>
  <w:style w:type="paragraph" w:styleId="Nzev">
    <w:name w:val="Title"/>
    <w:basedOn w:val="Normln"/>
    <w:next w:val="Author"/>
    <w:link w:val="NzevChar"/>
    <w:uiPriority w:val="10"/>
    <w:qFormat/>
    <w:rsid w:val="007A738A"/>
    <w:pPr>
      <w:spacing w:before="240" w:after="60"/>
      <w:jc w:val="center"/>
      <w:outlineLvl w:val="0"/>
    </w:pPr>
    <w:rPr>
      <w:b/>
      <w:bCs/>
      <w:kern w:val="28"/>
      <w:sz w:val="34"/>
      <w:szCs w:val="32"/>
    </w:rPr>
  </w:style>
  <w:style w:type="character" w:customStyle="1" w:styleId="NzevChar">
    <w:name w:val="Název Char"/>
    <w:link w:val="Nzev"/>
    <w:uiPriority w:val="10"/>
    <w:rsid w:val="007A738A"/>
    <w:rPr>
      <w:b/>
      <w:bCs/>
      <w:kern w:val="28"/>
      <w:sz w:val="34"/>
      <w:szCs w:val="32"/>
      <w:lang w:val="en-US"/>
    </w:rPr>
  </w:style>
  <w:style w:type="paragraph" w:customStyle="1" w:styleId="Author">
    <w:name w:val="Author"/>
    <w:basedOn w:val="Articlehead"/>
    <w:uiPriority w:val="99"/>
    <w:rsid w:val="00B74D4F"/>
    <w:pPr>
      <w:jc w:val="center"/>
    </w:pPr>
    <w:rPr>
      <w:sz w:val="24"/>
      <w:szCs w:val="24"/>
    </w:rPr>
  </w:style>
  <w:style w:type="paragraph" w:customStyle="1" w:styleId="Articlehead">
    <w:name w:val="Article head"/>
    <w:basedOn w:val="Normln"/>
    <w:uiPriority w:val="99"/>
    <w:rsid w:val="00D5321A"/>
    <w:pPr>
      <w:ind w:left="1134" w:right="1134"/>
      <w:jc w:val="both"/>
    </w:pPr>
  </w:style>
  <w:style w:type="character" w:customStyle="1" w:styleId="AbstractHeader">
    <w:name w:val="Abstract Header"/>
    <w:uiPriority w:val="99"/>
    <w:rsid w:val="00216FD2"/>
    <w:rPr>
      <w:b/>
      <w:bCs/>
    </w:rPr>
  </w:style>
  <w:style w:type="paragraph" w:customStyle="1" w:styleId="Abstract">
    <w:name w:val="Abstract"/>
    <w:basedOn w:val="Articlehead"/>
    <w:uiPriority w:val="99"/>
    <w:rsid w:val="00216FD2"/>
    <w:pPr>
      <w:spacing w:before="120"/>
    </w:pPr>
  </w:style>
  <w:style w:type="paragraph" w:customStyle="1" w:styleId="Keywords">
    <w:name w:val="Keywords"/>
    <w:basedOn w:val="Articlehead"/>
    <w:uiPriority w:val="99"/>
    <w:rsid w:val="00363B76"/>
    <w:pPr>
      <w:spacing w:before="120" w:after="120"/>
    </w:pPr>
  </w:style>
  <w:style w:type="character" w:customStyle="1" w:styleId="KeywordsHeader">
    <w:name w:val="Keywords Header"/>
    <w:uiPriority w:val="99"/>
    <w:rsid w:val="00E01DCB"/>
    <w:rPr>
      <w:b/>
      <w:bCs/>
    </w:rPr>
  </w:style>
  <w:style w:type="paragraph" w:styleId="Zkladntext">
    <w:name w:val="Body Text"/>
    <w:basedOn w:val="Normln"/>
    <w:next w:val="Zkladntext-prvnodsazen"/>
    <w:link w:val="ZkladntextChar"/>
    <w:uiPriority w:val="99"/>
    <w:rsid w:val="00392372"/>
    <w:pPr>
      <w:spacing w:before="120"/>
      <w:jc w:val="both"/>
    </w:pPr>
    <w:rPr>
      <w:szCs w:val="24"/>
    </w:rPr>
  </w:style>
  <w:style w:type="character" w:customStyle="1" w:styleId="ZkladntextChar">
    <w:name w:val="Základní text Char"/>
    <w:link w:val="Zkladntext"/>
    <w:uiPriority w:val="99"/>
    <w:locked/>
    <w:rsid w:val="00392372"/>
    <w:rPr>
      <w:szCs w:val="24"/>
      <w:lang w:val="en-US"/>
    </w:rPr>
  </w:style>
  <w:style w:type="paragraph" w:styleId="Zkladntext-prvnodsazen">
    <w:name w:val="Body Text First Indent"/>
    <w:basedOn w:val="Zkladntext"/>
    <w:link w:val="Zkladntext-prvnodsazenChar"/>
    <w:uiPriority w:val="99"/>
    <w:rsid w:val="00D05012"/>
    <w:pPr>
      <w:ind w:firstLine="300"/>
    </w:pPr>
    <w:rPr>
      <w:szCs w:val="20"/>
    </w:rPr>
  </w:style>
  <w:style w:type="character" w:customStyle="1" w:styleId="Zkladntext-prvnodsazenChar">
    <w:name w:val="Základní text - první odsazený Char"/>
    <w:link w:val="Zkladntext-prvnodsazen"/>
    <w:uiPriority w:val="99"/>
    <w:semiHidden/>
    <w:rsid w:val="00AB2BA1"/>
    <w:rPr>
      <w:sz w:val="20"/>
      <w:szCs w:val="20"/>
      <w:lang w:val="en-US" w:eastAsia="cs-CZ"/>
    </w:rPr>
  </w:style>
  <w:style w:type="character" w:styleId="Zdraznn">
    <w:name w:val="Emphasis"/>
    <w:uiPriority w:val="99"/>
    <w:qFormat/>
    <w:rsid w:val="00EB1BDE"/>
    <w:rPr>
      <w:i/>
      <w:iCs/>
    </w:rPr>
  </w:style>
  <w:style w:type="character" w:styleId="Siln">
    <w:name w:val="Strong"/>
    <w:uiPriority w:val="99"/>
    <w:qFormat/>
    <w:rsid w:val="00EB1BDE"/>
    <w:rPr>
      <w:b/>
      <w:bCs/>
    </w:rPr>
  </w:style>
  <w:style w:type="paragraph" w:styleId="Seznamsodrkami">
    <w:name w:val="List Bullet"/>
    <w:basedOn w:val="Normln"/>
    <w:uiPriority w:val="99"/>
    <w:rsid w:val="00BE38F4"/>
    <w:pPr>
      <w:numPr>
        <w:numId w:val="8"/>
      </w:numPr>
      <w:tabs>
        <w:tab w:val="clear" w:pos="1209"/>
        <w:tab w:val="num" w:pos="300"/>
      </w:tabs>
      <w:ind w:left="300" w:hanging="300"/>
    </w:pPr>
  </w:style>
  <w:style w:type="paragraph" w:styleId="slovanseznam">
    <w:name w:val="List Number"/>
    <w:basedOn w:val="Normln"/>
    <w:uiPriority w:val="99"/>
    <w:rsid w:val="00BE38F4"/>
    <w:pPr>
      <w:numPr>
        <w:numId w:val="5"/>
      </w:numPr>
    </w:pPr>
  </w:style>
  <w:style w:type="paragraph" w:customStyle="1" w:styleId="CenteredObject">
    <w:name w:val="Centered Object"/>
    <w:basedOn w:val="Normln"/>
    <w:uiPriority w:val="99"/>
    <w:rsid w:val="00791CE2"/>
    <w:pPr>
      <w:spacing w:before="120" w:after="120"/>
      <w:jc w:val="center"/>
    </w:pPr>
  </w:style>
  <w:style w:type="paragraph" w:styleId="Titulek">
    <w:name w:val="caption"/>
    <w:basedOn w:val="CenteredObject"/>
    <w:next w:val="Zkladntext-prvnodsazen"/>
    <w:uiPriority w:val="99"/>
    <w:qFormat/>
    <w:rsid w:val="00791CE2"/>
  </w:style>
  <w:style w:type="character" w:customStyle="1" w:styleId="CaptionHeader">
    <w:name w:val="Caption Header"/>
    <w:uiPriority w:val="99"/>
    <w:rsid w:val="00791CE2"/>
    <w:rPr>
      <w:b/>
      <w:bCs/>
    </w:rPr>
  </w:style>
  <w:style w:type="paragraph" w:customStyle="1" w:styleId="EquationNumber">
    <w:name w:val="Equation Number"/>
    <w:basedOn w:val="CenteredObject"/>
    <w:uiPriority w:val="99"/>
    <w:rsid w:val="00EB1B9F"/>
    <w:pPr>
      <w:jc w:val="right"/>
    </w:pPr>
  </w:style>
  <w:style w:type="paragraph" w:customStyle="1" w:styleId="Tablecenteredtext">
    <w:name w:val="Table centered text"/>
    <w:basedOn w:val="Normln"/>
    <w:uiPriority w:val="99"/>
    <w:rsid w:val="008045BB"/>
    <w:pPr>
      <w:jc w:val="center"/>
    </w:pPr>
  </w:style>
  <w:style w:type="character" w:customStyle="1" w:styleId="TheoremHeader">
    <w:name w:val="Theorem Header"/>
    <w:uiPriority w:val="99"/>
    <w:rsid w:val="005E1F51"/>
    <w:rPr>
      <w:b/>
      <w:bCs/>
      <w:i/>
      <w:iCs/>
    </w:rPr>
  </w:style>
  <w:style w:type="paragraph" w:customStyle="1" w:styleId="Proof">
    <w:name w:val="Proof"/>
    <w:basedOn w:val="Zkladntext"/>
    <w:link w:val="ProofChar"/>
    <w:uiPriority w:val="99"/>
    <w:rsid w:val="005E1F51"/>
    <w:rPr>
      <w:sz w:val="24"/>
    </w:rPr>
  </w:style>
  <w:style w:type="character" w:customStyle="1" w:styleId="ProofChar">
    <w:name w:val="Proof Char"/>
    <w:link w:val="Proof"/>
    <w:uiPriority w:val="99"/>
    <w:locked/>
    <w:rsid w:val="005E1F51"/>
    <w:rPr>
      <w:sz w:val="24"/>
      <w:szCs w:val="24"/>
      <w:lang w:val="en-US" w:eastAsia="cs-CZ"/>
    </w:rPr>
  </w:style>
  <w:style w:type="character" w:customStyle="1" w:styleId="ProofHeader">
    <w:name w:val="Proof Header"/>
    <w:uiPriority w:val="99"/>
    <w:rsid w:val="005E1F51"/>
    <w:rPr>
      <w:i/>
      <w:iCs/>
      <w:sz w:val="24"/>
      <w:szCs w:val="24"/>
      <w:lang w:val="en-US" w:eastAsia="cs-CZ"/>
    </w:rPr>
  </w:style>
  <w:style w:type="paragraph" w:customStyle="1" w:styleId="Theorem">
    <w:name w:val="Theorem"/>
    <w:basedOn w:val="Zkladntext"/>
    <w:uiPriority w:val="99"/>
    <w:rsid w:val="00A82A32"/>
    <w:rPr>
      <w:i/>
      <w:iCs/>
    </w:rPr>
  </w:style>
  <w:style w:type="character" w:customStyle="1" w:styleId="TheoremName">
    <w:name w:val="Theorem Name"/>
    <w:uiPriority w:val="99"/>
    <w:rsid w:val="004E2F6C"/>
    <w:rPr>
      <w:i/>
      <w:iCs/>
    </w:rPr>
  </w:style>
  <w:style w:type="paragraph" w:customStyle="1" w:styleId="Example">
    <w:name w:val="Example"/>
    <w:basedOn w:val="Zkladntext"/>
    <w:uiPriority w:val="99"/>
    <w:rsid w:val="004E2F6C"/>
  </w:style>
  <w:style w:type="character" w:customStyle="1" w:styleId="ExampleHeader">
    <w:name w:val="Example Header"/>
    <w:uiPriority w:val="99"/>
    <w:rsid w:val="004E2F6C"/>
    <w:rPr>
      <w:b/>
      <w:bCs/>
    </w:rPr>
  </w:style>
  <w:style w:type="paragraph" w:customStyle="1" w:styleId="Remark">
    <w:name w:val="Remark"/>
    <w:basedOn w:val="Zkladntext"/>
    <w:uiPriority w:val="99"/>
    <w:rsid w:val="004E2F6C"/>
  </w:style>
  <w:style w:type="character" w:customStyle="1" w:styleId="RemarkHeader">
    <w:name w:val="Remark Header"/>
    <w:uiPriority w:val="99"/>
    <w:rsid w:val="004E2F6C"/>
    <w:rPr>
      <w:b/>
      <w:bCs/>
    </w:rPr>
  </w:style>
  <w:style w:type="paragraph" w:customStyle="1" w:styleId="Acknowledgements">
    <w:name w:val="Acknowledgements"/>
    <w:basedOn w:val="Nadpis2"/>
    <w:next w:val="Zkladntext"/>
    <w:uiPriority w:val="99"/>
    <w:rsid w:val="0052403C"/>
    <w:pPr>
      <w:numPr>
        <w:ilvl w:val="0"/>
        <w:numId w:val="0"/>
      </w:numPr>
    </w:pPr>
  </w:style>
  <w:style w:type="paragraph" w:customStyle="1" w:styleId="ReferencesHeader">
    <w:name w:val="References Header"/>
    <w:basedOn w:val="Nadpis2"/>
    <w:next w:val="Seznamcitac"/>
    <w:uiPriority w:val="99"/>
    <w:rsid w:val="0052403C"/>
    <w:pPr>
      <w:numPr>
        <w:ilvl w:val="0"/>
        <w:numId w:val="0"/>
      </w:numPr>
    </w:pPr>
  </w:style>
  <w:style w:type="paragraph" w:styleId="Textpoznpodarou">
    <w:name w:val="footnote text"/>
    <w:basedOn w:val="Normln"/>
    <w:link w:val="TextpoznpodarouChar"/>
    <w:uiPriority w:val="99"/>
    <w:semiHidden/>
    <w:rsid w:val="00363B76"/>
  </w:style>
  <w:style w:type="character" w:customStyle="1" w:styleId="TextpoznpodarouChar">
    <w:name w:val="Text pozn. pod čarou Char"/>
    <w:link w:val="Textpoznpodarou"/>
    <w:uiPriority w:val="99"/>
    <w:semiHidden/>
    <w:rsid w:val="00AB2BA1"/>
    <w:rPr>
      <w:sz w:val="20"/>
      <w:szCs w:val="20"/>
      <w:lang w:val="en-US"/>
    </w:rPr>
  </w:style>
  <w:style w:type="paragraph" w:styleId="Seznamcitac">
    <w:name w:val="table of authorities"/>
    <w:basedOn w:val="Normln"/>
    <w:uiPriority w:val="99"/>
    <w:semiHidden/>
    <w:rsid w:val="0052403C"/>
    <w:pPr>
      <w:numPr>
        <w:numId w:val="21"/>
      </w:numPr>
    </w:pPr>
  </w:style>
  <w:style w:type="character" w:styleId="Znakapoznpodarou">
    <w:name w:val="footnote reference"/>
    <w:uiPriority w:val="99"/>
    <w:semiHidden/>
    <w:rsid w:val="00363B76"/>
    <w:rPr>
      <w:vertAlign w:val="superscript"/>
    </w:rPr>
  </w:style>
  <w:style w:type="paragraph" w:customStyle="1" w:styleId="Classifications">
    <w:name w:val="Classifications"/>
    <w:basedOn w:val="Keywords"/>
    <w:uiPriority w:val="99"/>
    <w:rsid w:val="00363B76"/>
  </w:style>
  <w:style w:type="character" w:styleId="Odkaznakoment">
    <w:name w:val="annotation reference"/>
    <w:uiPriority w:val="99"/>
    <w:semiHidden/>
    <w:rsid w:val="00A65134"/>
    <w:rPr>
      <w:sz w:val="16"/>
      <w:szCs w:val="16"/>
    </w:rPr>
  </w:style>
  <w:style w:type="paragraph" w:styleId="Textkomente">
    <w:name w:val="annotation text"/>
    <w:basedOn w:val="Normln"/>
    <w:link w:val="TextkomenteChar"/>
    <w:uiPriority w:val="99"/>
    <w:semiHidden/>
    <w:rsid w:val="00A65134"/>
  </w:style>
  <w:style w:type="character" w:customStyle="1" w:styleId="TextkomenteChar">
    <w:name w:val="Text komentáře Char"/>
    <w:link w:val="Textkomente"/>
    <w:uiPriority w:val="99"/>
    <w:locked/>
    <w:rsid w:val="00A65134"/>
    <w:rPr>
      <w:lang w:val="en-US"/>
    </w:rPr>
  </w:style>
  <w:style w:type="paragraph" w:styleId="Pedmtkomente">
    <w:name w:val="annotation subject"/>
    <w:basedOn w:val="Textkomente"/>
    <w:next w:val="Textkomente"/>
    <w:link w:val="PedmtkomenteChar"/>
    <w:uiPriority w:val="99"/>
    <w:semiHidden/>
    <w:rsid w:val="00A65134"/>
    <w:rPr>
      <w:b/>
      <w:bCs/>
    </w:rPr>
  </w:style>
  <w:style w:type="character" w:customStyle="1" w:styleId="PedmtkomenteChar">
    <w:name w:val="Předmět komentáře Char"/>
    <w:link w:val="Pedmtkomente"/>
    <w:uiPriority w:val="99"/>
    <w:locked/>
    <w:rsid w:val="00A65134"/>
    <w:rPr>
      <w:b/>
      <w:bCs/>
      <w:lang w:val="en-US"/>
    </w:rPr>
  </w:style>
  <w:style w:type="paragraph" w:styleId="Textbubliny">
    <w:name w:val="Balloon Text"/>
    <w:basedOn w:val="Normln"/>
    <w:link w:val="TextbublinyChar"/>
    <w:uiPriority w:val="99"/>
    <w:semiHidden/>
    <w:rsid w:val="00A65134"/>
    <w:rPr>
      <w:rFonts w:ascii="Tahoma" w:hAnsi="Tahoma"/>
      <w:sz w:val="16"/>
      <w:szCs w:val="16"/>
    </w:rPr>
  </w:style>
  <w:style w:type="character" w:customStyle="1" w:styleId="TextbublinyChar">
    <w:name w:val="Text bubliny Char"/>
    <w:link w:val="Textbubliny"/>
    <w:uiPriority w:val="99"/>
    <w:locked/>
    <w:rsid w:val="00A65134"/>
    <w:rPr>
      <w:rFonts w:ascii="Tahoma" w:hAnsi="Tahoma" w:cs="Tahoma"/>
      <w:sz w:val="16"/>
      <w:szCs w:val="16"/>
      <w:lang w:val="en-US"/>
    </w:rPr>
  </w:style>
  <w:style w:type="numbering" w:customStyle="1" w:styleId="HeadingNumbers">
    <w:name w:val="Heading Numbers"/>
    <w:rsid w:val="00AB2BA1"/>
    <w:pPr>
      <w:numPr>
        <w:numId w:val="19"/>
      </w:numPr>
    </w:pPr>
  </w:style>
  <w:style w:type="paragraph" w:customStyle="1" w:styleId="Styl1">
    <w:name w:val="Styl1"/>
    <w:basedOn w:val="Zkladntext"/>
    <w:qFormat/>
    <w:rsid w:val="003B691C"/>
  </w:style>
  <w:style w:type="paragraph" w:customStyle="1" w:styleId="Styl2">
    <w:name w:val="Styl2"/>
    <w:basedOn w:val="Zkladntext"/>
    <w:qFormat/>
    <w:rsid w:val="00392372"/>
  </w:style>
  <w:style w:type="paragraph" w:customStyle="1" w:styleId="Styl3">
    <w:name w:val="Styl3"/>
    <w:basedOn w:val="Zkladntext"/>
    <w:qFormat/>
    <w:rsid w:val="00392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2686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oleObject" Target="embeddings/oleObject6.bin"/><Relationship Id="rId42" Type="http://schemas.openxmlformats.org/officeDocument/2006/relationships/oleObject" Target="embeddings/oleObject16.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image" Target="media/image33.emf"/><Relationship Id="rId84" Type="http://schemas.openxmlformats.org/officeDocument/2006/relationships/oleObject" Target="embeddings/oleObject35.bin"/><Relationship Id="rId89" Type="http://schemas.openxmlformats.org/officeDocument/2006/relationships/image" Target="media/image45.wmf"/><Relationship Id="rId112" Type="http://schemas.openxmlformats.org/officeDocument/2006/relationships/oleObject" Target="embeddings/oleObject54.bin"/><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1.bin"/><Relationship Id="rId24" Type="http://schemas.openxmlformats.org/officeDocument/2006/relationships/image" Target="media/image10.png"/><Relationship Id="rId32" Type="http://schemas.openxmlformats.org/officeDocument/2006/relationships/oleObject" Target="embeddings/oleObject11.bin"/><Relationship Id="rId37" Type="http://schemas.openxmlformats.org/officeDocument/2006/relationships/image" Target="media/image17.wmf"/><Relationship Id="rId40" Type="http://schemas.openxmlformats.org/officeDocument/2006/relationships/oleObject" Target="embeddings/oleObject15.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oleObject" Target="embeddings/oleObject30.bin"/><Relationship Id="rId79" Type="http://schemas.openxmlformats.org/officeDocument/2006/relationships/image" Target="media/image40.wmf"/><Relationship Id="rId87" Type="http://schemas.openxmlformats.org/officeDocument/2006/relationships/image" Target="media/image44.wmf"/><Relationship Id="rId102" Type="http://schemas.openxmlformats.org/officeDocument/2006/relationships/image" Target="media/image54.wmf"/><Relationship Id="rId110" Type="http://schemas.openxmlformats.org/officeDocument/2006/relationships/oleObject" Target="embeddings/oleObject53.bin"/><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9.wmf"/><Relationship Id="rId82" Type="http://schemas.openxmlformats.org/officeDocument/2006/relationships/oleObject" Target="embeddings/oleObject34.bin"/><Relationship Id="rId90" Type="http://schemas.openxmlformats.org/officeDocument/2006/relationships/oleObject" Target="embeddings/oleObject38.bin"/><Relationship Id="rId95" Type="http://schemas.openxmlformats.org/officeDocument/2006/relationships/image" Target="media/image51.wmf"/><Relationship Id="rId19" Type="http://schemas.openxmlformats.org/officeDocument/2006/relationships/oleObject" Target="embeddings/oleObject5.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4.emf"/><Relationship Id="rId77" Type="http://schemas.openxmlformats.org/officeDocument/2006/relationships/image" Target="media/image39.wmf"/><Relationship Id="rId100" Type="http://schemas.openxmlformats.org/officeDocument/2006/relationships/oleObject" Target="embeddings/oleObject46.bin"/><Relationship Id="rId105" Type="http://schemas.openxmlformats.org/officeDocument/2006/relationships/image" Target="media/image55.wmf"/><Relationship Id="rId113" Type="http://schemas.openxmlformats.org/officeDocument/2006/relationships/image" Target="media/image58.wmf"/><Relationship Id="rId8" Type="http://schemas.openxmlformats.org/officeDocument/2006/relationships/image" Target="media/image1.png"/><Relationship Id="rId51" Type="http://schemas.openxmlformats.org/officeDocument/2006/relationships/image" Target="media/image24.wmf"/><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image" Target="media/image43.wmf"/><Relationship Id="rId93" Type="http://schemas.openxmlformats.org/officeDocument/2006/relationships/image" Target="media/image50.wmf"/><Relationship Id="rId98" Type="http://schemas.openxmlformats.org/officeDocument/2006/relationships/oleObject" Target="embeddings/oleObject45.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8.wmf"/><Relationship Id="rId67" Type="http://schemas.openxmlformats.org/officeDocument/2006/relationships/image" Target="media/image32.emf"/><Relationship Id="rId103" Type="http://schemas.openxmlformats.org/officeDocument/2006/relationships/oleObject" Target="embeddings/oleObject48.bin"/><Relationship Id="rId108" Type="http://schemas.openxmlformats.org/officeDocument/2006/relationships/image" Target="media/image56.wmf"/><Relationship Id="rId116"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image" Target="media/image35.emf"/><Relationship Id="rId75" Type="http://schemas.openxmlformats.org/officeDocument/2006/relationships/image" Target="media/image38.wmf"/><Relationship Id="rId83" Type="http://schemas.openxmlformats.org/officeDocument/2006/relationships/image" Target="media/image42.wmf"/><Relationship Id="rId88" Type="http://schemas.openxmlformats.org/officeDocument/2006/relationships/oleObject" Target="embeddings/oleObject37.bin"/><Relationship Id="rId91" Type="http://schemas.openxmlformats.org/officeDocument/2006/relationships/image" Target="media/image46.wmf"/><Relationship Id="rId96" Type="http://schemas.openxmlformats.org/officeDocument/2006/relationships/oleObject" Target="embeddings/oleObject44.bin"/><Relationship Id="rId111" Type="http://schemas.openxmlformats.org/officeDocument/2006/relationships/image" Target="media/image57.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50.bin"/><Relationship Id="rId114" Type="http://schemas.openxmlformats.org/officeDocument/2006/relationships/oleObject" Target="embeddings/oleObject55.bin"/><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1.wmf"/><Relationship Id="rId73" Type="http://schemas.openxmlformats.org/officeDocument/2006/relationships/image" Target="media/image37.wmf"/><Relationship Id="rId78" Type="http://schemas.openxmlformats.org/officeDocument/2006/relationships/oleObject" Target="embeddings/oleObject32.bin"/><Relationship Id="rId81" Type="http://schemas.openxmlformats.org/officeDocument/2006/relationships/image" Target="media/image41.wmf"/><Relationship Id="rId86" Type="http://schemas.openxmlformats.org/officeDocument/2006/relationships/oleObject" Target="embeddings/oleObject36.bin"/><Relationship Id="rId94" Type="http://schemas.openxmlformats.org/officeDocument/2006/relationships/oleObject" Target="embeddings/oleObject43.bin"/><Relationship Id="rId99" Type="http://schemas.openxmlformats.org/officeDocument/2006/relationships/image" Target="media/image53.wmf"/><Relationship Id="rId101" Type="http://schemas.openxmlformats.org/officeDocument/2006/relationships/oleObject" Target="embeddings/oleObject47.bin"/><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oleObject" Target="embeddings/oleObject52.bin"/><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6.wmf"/><Relationship Id="rId76" Type="http://schemas.openxmlformats.org/officeDocument/2006/relationships/oleObject" Target="embeddings/oleObject31.bin"/><Relationship Id="rId97" Type="http://schemas.openxmlformats.org/officeDocument/2006/relationships/image" Target="media/image52.wmf"/><Relationship Id="rId104" Type="http://schemas.openxmlformats.org/officeDocument/2006/relationships/oleObject" Target="embeddings/oleObject49.bin"/><Relationship Id="rId7" Type="http://schemas.openxmlformats.org/officeDocument/2006/relationships/endnotes" Target="endnotes.xml"/><Relationship Id="rId71" Type="http://schemas.openxmlformats.org/officeDocument/2006/relationships/image" Target="media/image36.wmf"/><Relationship Id="rId92" Type="http://schemas.openxmlformats.org/officeDocument/2006/relationships/oleObject" Target="embeddings/oleObject39.bin"/><Relationship Id="rId2" Type="http://schemas.openxmlformats.org/officeDocument/2006/relationships/numbering" Target="numbering.xml"/><Relationship Id="rId29" Type="http://schemas.openxmlformats.org/officeDocument/2006/relationships/image" Target="media/image13.wmf"/></Relationships>
</file>

<file path=word/_rels/footnotes.xml.rels><?xml version="1.0" encoding="UTF-8" standalone="yes"?>
<Relationships xmlns="http://schemas.openxmlformats.org/package/2006/relationships"><Relationship Id="rId3" Type="http://schemas.openxmlformats.org/officeDocument/2006/relationships/image" Target="media/image48.wmf"/><Relationship Id="rId2" Type="http://schemas.openxmlformats.org/officeDocument/2006/relationships/oleObject" Target="embeddings/oleObject40.bin"/><Relationship Id="rId1" Type="http://schemas.openxmlformats.org/officeDocument/2006/relationships/image" Target="media/image47.wmf"/><Relationship Id="rId6" Type="http://schemas.openxmlformats.org/officeDocument/2006/relationships/oleObject" Target="embeddings/oleObject42.bin"/><Relationship Id="rId5" Type="http://schemas.openxmlformats.org/officeDocument/2006/relationships/image" Target="media/image49.wmf"/><Relationship Id="rId4" Type="http://schemas.openxmlformats.org/officeDocument/2006/relationships/oleObject" Target="embeddings/oleObject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404C5-2579-4238-BDBA-B61F78E84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3326</Words>
  <Characters>19629</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The impact of exchange rate changes on inflation in the V4 countries in the process of economic transition </vt:lpstr>
    </vt:vector>
  </TitlesOfParts>
  <Company>HT Consulting, s.r.o.</Company>
  <LinksUpToDate>false</LinksUpToDate>
  <CharactersWithSpaces>22910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exchange rate changes on inflation in the V4 countries in the process of economic transition </dc:title>
  <dc:subject/>
  <dc:creator>Libor</dc:creator>
  <cp:keywords/>
  <dc:description/>
  <cp:lastModifiedBy>Daniel Němec</cp:lastModifiedBy>
  <cp:revision>19</cp:revision>
  <cp:lastPrinted>2010-03-29T13:28:00Z</cp:lastPrinted>
  <dcterms:created xsi:type="dcterms:W3CDTF">2013-05-31T05:21:00Z</dcterms:created>
  <dcterms:modified xsi:type="dcterms:W3CDTF">2013-08-14T19:11:00Z</dcterms:modified>
</cp:coreProperties>
</file>