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BC0" w:rsidRPr="00FF6009" w:rsidRDefault="007E2FDE" w:rsidP="00FF6009">
      <w:pPr>
        <w:spacing w:after="240"/>
        <w:jc w:val="center"/>
        <w:rPr>
          <w:rFonts w:ascii="Verdana" w:hAnsi="Verdana"/>
          <w:b/>
          <w:szCs w:val="24"/>
        </w:rPr>
      </w:pPr>
      <w:r>
        <w:rPr>
          <w:rFonts w:ascii="Verdana" w:hAnsi="Verdana"/>
          <w:b/>
          <w:szCs w:val="24"/>
        </w:rPr>
        <w:t>Cash Management in Practice</w:t>
      </w:r>
    </w:p>
    <w:p w:rsidR="0021018A" w:rsidRPr="00FF6009" w:rsidRDefault="00701A89" w:rsidP="00FF6009">
      <w:pPr>
        <w:spacing w:after="120"/>
        <w:jc w:val="center"/>
        <w:rPr>
          <w:rFonts w:ascii="Verdana" w:hAnsi="Verdana"/>
          <w:b/>
          <w:sz w:val="20"/>
          <w:szCs w:val="20"/>
        </w:rPr>
      </w:pPr>
      <w:r>
        <w:rPr>
          <w:rFonts w:ascii="Verdana" w:hAnsi="Verdana"/>
          <w:b/>
          <w:sz w:val="20"/>
          <w:szCs w:val="20"/>
        </w:rPr>
        <w:t>Krajíček Jan</w:t>
      </w:r>
    </w:p>
    <w:p w:rsidR="00BF1E4F" w:rsidRPr="00FF6009" w:rsidRDefault="00701A89" w:rsidP="00BF1E4F">
      <w:pPr>
        <w:jc w:val="center"/>
        <w:rPr>
          <w:rFonts w:ascii="Verdana" w:hAnsi="Verdana"/>
          <w:sz w:val="18"/>
          <w:szCs w:val="18"/>
        </w:rPr>
      </w:pPr>
      <w:r>
        <w:rPr>
          <w:rFonts w:ascii="Verdana" w:hAnsi="Verdana"/>
          <w:sz w:val="18"/>
          <w:szCs w:val="18"/>
        </w:rPr>
        <w:t xml:space="preserve">Masaryk </w:t>
      </w:r>
      <w:r w:rsidR="00873BC0" w:rsidRPr="00FF6009">
        <w:rPr>
          <w:rFonts w:ascii="Verdana" w:hAnsi="Verdana"/>
          <w:sz w:val="18"/>
          <w:szCs w:val="18"/>
        </w:rPr>
        <w:t xml:space="preserve">University </w:t>
      </w:r>
    </w:p>
    <w:p w:rsidR="00701A89" w:rsidRPr="00701A89" w:rsidRDefault="00701A89" w:rsidP="00701A89">
      <w:pPr>
        <w:jc w:val="center"/>
        <w:rPr>
          <w:rFonts w:ascii="Verdana" w:hAnsi="Verdana"/>
          <w:sz w:val="18"/>
          <w:szCs w:val="18"/>
        </w:rPr>
      </w:pPr>
      <w:r w:rsidRPr="00701A89">
        <w:rPr>
          <w:rFonts w:ascii="Verdana" w:hAnsi="Verdana"/>
          <w:sz w:val="18"/>
          <w:szCs w:val="18"/>
        </w:rPr>
        <w:t>Faculty Economics and Administration, Department of Finance</w:t>
      </w:r>
    </w:p>
    <w:p w:rsidR="00701A89" w:rsidRPr="00701A89" w:rsidRDefault="00701A89" w:rsidP="00701A89">
      <w:pPr>
        <w:jc w:val="center"/>
        <w:rPr>
          <w:rFonts w:ascii="Verdana" w:hAnsi="Verdana"/>
          <w:sz w:val="18"/>
          <w:szCs w:val="18"/>
        </w:rPr>
      </w:pPr>
      <w:proofErr w:type="spellStart"/>
      <w:r w:rsidRPr="00701A89">
        <w:rPr>
          <w:rFonts w:ascii="Verdana" w:hAnsi="Verdana"/>
          <w:sz w:val="18"/>
          <w:szCs w:val="18"/>
        </w:rPr>
        <w:t>Lipová</w:t>
      </w:r>
      <w:proofErr w:type="spellEnd"/>
      <w:r w:rsidRPr="00701A89">
        <w:rPr>
          <w:rFonts w:ascii="Verdana" w:hAnsi="Verdana"/>
          <w:sz w:val="18"/>
          <w:szCs w:val="18"/>
        </w:rPr>
        <w:t xml:space="preserve"> </w:t>
      </w:r>
      <w:smartTag w:uri="urn:schemas-microsoft-com:office:smarttags" w:element="metricconverter">
        <w:smartTagPr>
          <w:attr w:name="ProductID" w:val="41 a"/>
        </w:smartTagPr>
        <w:r w:rsidRPr="00701A89">
          <w:rPr>
            <w:rFonts w:ascii="Verdana" w:hAnsi="Verdana"/>
            <w:sz w:val="18"/>
            <w:szCs w:val="18"/>
          </w:rPr>
          <w:t xml:space="preserve">41 a, </w:t>
        </w:r>
      </w:smartTag>
      <w:r w:rsidRPr="00701A89">
        <w:rPr>
          <w:rFonts w:ascii="Verdana" w:hAnsi="Verdana"/>
          <w:sz w:val="18"/>
          <w:szCs w:val="18"/>
        </w:rPr>
        <w:t>602 00 Brno, Czech Republic</w:t>
      </w:r>
    </w:p>
    <w:p w:rsidR="00701A89" w:rsidRPr="00D2477C" w:rsidRDefault="007D6AE9" w:rsidP="00701A89">
      <w:pPr>
        <w:jc w:val="center"/>
      </w:pPr>
      <w:hyperlink r:id="rId9" w:history="1">
        <w:r w:rsidR="00701A89" w:rsidRPr="00701A89">
          <w:rPr>
            <w:rStyle w:val="Hypertextovodkaz"/>
            <w:rFonts w:ascii="Verdana" w:hAnsi="Verdana"/>
            <w:sz w:val="18"/>
            <w:szCs w:val="18"/>
          </w:rPr>
          <w:t>krajicek@econ.muni.cz</w:t>
        </w:r>
      </w:hyperlink>
    </w:p>
    <w:p w:rsidR="00701A89" w:rsidRPr="00D2477C" w:rsidRDefault="00701A89" w:rsidP="00701A89"/>
    <w:p w:rsidR="00873BC0" w:rsidRPr="00FF6009" w:rsidRDefault="00873BC0" w:rsidP="00873BC0">
      <w:pPr>
        <w:rPr>
          <w:rFonts w:ascii="Verdana" w:hAnsi="Verdana"/>
          <w:sz w:val="22"/>
        </w:rPr>
      </w:pPr>
    </w:p>
    <w:p w:rsidR="00873BC0" w:rsidRPr="00FF6009" w:rsidRDefault="00873BC0" w:rsidP="00FF6009">
      <w:pPr>
        <w:spacing w:after="120"/>
        <w:rPr>
          <w:rFonts w:ascii="Verdana" w:hAnsi="Verdana"/>
          <w:i/>
          <w:sz w:val="20"/>
          <w:szCs w:val="20"/>
        </w:rPr>
      </w:pPr>
      <w:r w:rsidRPr="00FF6009">
        <w:rPr>
          <w:rFonts w:ascii="Verdana" w:hAnsi="Verdana"/>
          <w:b/>
          <w:i/>
          <w:sz w:val="20"/>
          <w:szCs w:val="20"/>
        </w:rPr>
        <w:t>Abstract</w:t>
      </w:r>
      <w:r w:rsidR="00BF1E4F" w:rsidRPr="00FF6009">
        <w:rPr>
          <w:rFonts w:ascii="Verdana" w:hAnsi="Verdana"/>
          <w:b/>
          <w:i/>
          <w:sz w:val="20"/>
          <w:szCs w:val="20"/>
        </w:rPr>
        <w:t xml:space="preserve">: </w:t>
      </w:r>
      <w:r w:rsidR="007E2FDE" w:rsidRPr="007E2FDE">
        <w:rPr>
          <w:rFonts w:ascii="Verdana" w:hAnsi="Verdana"/>
          <w:i/>
          <w:sz w:val="20"/>
          <w:szCs w:val="20"/>
        </w:rPr>
        <w:t>One of the major components of banking is commercial banking and innovation of its products. Banks in an effort to retain significant clients create new, sophisticated banking products that safeguard the bank even at the cost of lower profits, if these clients remain with her, it will make a profit through the economies of scale and creating competition to other banks. Cash Management and Cash Pooling are considered as innovative banking products. These products have been in important position in recent years. Paper is devoted to Cash Management from the sight of its provision in banking practice and the motivation of involved subjects in Cash Management in its use.</w:t>
      </w:r>
    </w:p>
    <w:p w:rsidR="007E2FDE" w:rsidRPr="00D20B03" w:rsidRDefault="00BF1E4F" w:rsidP="007E2FDE">
      <w:pPr>
        <w:pStyle w:val="KeyWords"/>
        <w:spacing w:before="0" w:after="120"/>
        <w:rPr>
          <w:lang w:val="en-GB"/>
        </w:rPr>
      </w:pPr>
      <w:r w:rsidRPr="00FF6009">
        <w:rPr>
          <w:rFonts w:ascii="Verdana" w:hAnsi="Verdana"/>
          <w:sz w:val="20"/>
          <w:szCs w:val="20"/>
        </w:rPr>
        <w:t>Keywords:</w:t>
      </w:r>
      <w:r w:rsidR="007E2FDE">
        <w:rPr>
          <w:rFonts w:ascii="Verdana" w:hAnsi="Verdana"/>
          <w:i w:val="0"/>
          <w:sz w:val="20"/>
          <w:szCs w:val="20"/>
        </w:rPr>
        <w:t xml:space="preserve"> </w:t>
      </w:r>
      <w:r w:rsidR="007E2FDE" w:rsidRPr="00D20B03">
        <w:rPr>
          <w:lang w:val="en-GB"/>
        </w:rPr>
        <w:t>Bank, Client, Cash Management, Cash Pooling, Profit.</w:t>
      </w:r>
    </w:p>
    <w:p w:rsidR="00591DC3" w:rsidRDefault="00873BC0" w:rsidP="00FF6009">
      <w:pPr>
        <w:pStyle w:val="04-Anotacijostekstas"/>
        <w:spacing w:before="0" w:after="120"/>
        <w:ind w:left="0" w:right="-284"/>
        <w:jc w:val="left"/>
        <w:rPr>
          <w:rFonts w:ascii="Verdana" w:hAnsi="Verdana"/>
          <w:i/>
        </w:rPr>
      </w:pPr>
      <w:r w:rsidRPr="00FF6009">
        <w:rPr>
          <w:rFonts w:ascii="Verdana" w:hAnsi="Verdana"/>
          <w:i/>
        </w:rPr>
        <w:t>JEL codes: five JEL codes</w:t>
      </w:r>
      <w:r w:rsidR="00883B63">
        <w:rPr>
          <w:rFonts w:ascii="Verdana" w:hAnsi="Verdana"/>
          <w:i/>
        </w:rPr>
        <w:t xml:space="preserve"> at most</w:t>
      </w:r>
      <w:r w:rsidR="00FF6009">
        <w:rPr>
          <w:rFonts w:ascii="Verdana" w:hAnsi="Verdana"/>
          <w:i/>
        </w:rPr>
        <w:t xml:space="preserve"> (see </w:t>
      </w:r>
      <w:hyperlink r:id="rId10" w:history="1">
        <w:r w:rsidR="00BF1E4F" w:rsidRPr="00FF6009">
          <w:rPr>
            <w:rStyle w:val="Hypertextovodkaz"/>
            <w:rFonts w:ascii="Verdana" w:hAnsi="Verdana"/>
            <w:i/>
          </w:rPr>
          <w:t>http://www.aeaweb.org/jel/jel_class_system.php</w:t>
        </w:r>
      </w:hyperlink>
      <w:r w:rsidR="00BF1E4F" w:rsidRPr="00FF6009">
        <w:rPr>
          <w:rFonts w:ascii="Verdana" w:hAnsi="Verdana"/>
          <w:i/>
        </w:rPr>
        <w:t>)</w:t>
      </w:r>
    </w:p>
    <w:p w:rsidR="007E2FDE" w:rsidRPr="007E2FDE" w:rsidRDefault="007E2FDE" w:rsidP="007E2FDE">
      <w:pPr>
        <w:pStyle w:val="Default"/>
        <w:rPr>
          <w:rFonts w:ascii="Verdana" w:hAnsi="Verdana" w:cs="Times New Roman"/>
          <w:i/>
          <w:sz w:val="20"/>
          <w:szCs w:val="20"/>
          <w:lang w:val="en-GB"/>
        </w:rPr>
      </w:pPr>
      <w:r w:rsidRPr="007E2FDE">
        <w:rPr>
          <w:rFonts w:ascii="Verdana" w:hAnsi="Verdana" w:cs="Times New Roman"/>
          <w:i/>
          <w:sz w:val="20"/>
          <w:szCs w:val="20"/>
          <w:lang w:val="en-GB"/>
        </w:rPr>
        <w:t>G210 - Banks; Depository Institutions; Micro Finance Institutions; Mortgages</w:t>
      </w:r>
    </w:p>
    <w:p w:rsidR="007E2FDE" w:rsidRPr="007E2FDE" w:rsidRDefault="007E2FDE" w:rsidP="007E2FDE">
      <w:pPr>
        <w:pStyle w:val="Default"/>
        <w:rPr>
          <w:rFonts w:ascii="Verdana" w:hAnsi="Verdana" w:cs="Times New Roman"/>
          <w:i/>
          <w:color w:val="auto"/>
          <w:sz w:val="20"/>
          <w:szCs w:val="20"/>
          <w:lang w:val="en-GB"/>
        </w:rPr>
      </w:pPr>
      <w:r w:rsidRPr="007E2FDE">
        <w:rPr>
          <w:rFonts w:ascii="Verdana" w:hAnsi="Verdana" w:cs="Times New Roman"/>
          <w:i/>
          <w:sz w:val="20"/>
          <w:szCs w:val="20"/>
          <w:lang w:val="en-GB"/>
        </w:rPr>
        <w:t>G290 - Financial Institutions and Services: Other</w:t>
      </w:r>
    </w:p>
    <w:p w:rsidR="007E2FDE" w:rsidRPr="007E2FDE" w:rsidRDefault="007E2FDE" w:rsidP="007E2FDE">
      <w:pPr>
        <w:rPr>
          <w:rFonts w:ascii="Verdana" w:hAnsi="Verdana"/>
          <w:i/>
          <w:sz w:val="20"/>
          <w:szCs w:val="20"/>
          <w:lang w:val="en-GB"/>
        </w:rPr>
      </w:pPr>
      <w:r w:rsidRPr="007E2FDE">
        <w:rPr>
          <w:rFonts w:ascii="Verdana" w:hAnsi="Verdana"/>
          <w:i/>
          <w:sz w:val="20"/>
          <w:szCs w:val="20"/>
          <w:lang w:val="en-GB"/>
        </w:rPr>
        <w:t>G390 - Corporate Finance and Governance: Other</w:t>
      </w:r>
    </w:p>
    <w:p w:rsidR="007E2FDE" w:rsidRPr="007E2FDE" w:rsidRDefault="007E2FDE" w:rsidP="007E2FDE">
      <w:pPr>
        <w:rPr>
          <w:rFonts w:ascii="Verdana" w:hAnsi="Verdana"/>
          <w:i/>
          <w:sz w:val="20"/>
          <w:szCs w:val="20"/>
          <w:lang w:val="en-GB"/>
        </w:rPr>
      </w:pPr>
      <w:r w:rsidRPr="007E2FDE">
        <w:rPr>
          <w:rFonts w:ascii="Verdana" w:hAnsi="Verdana"/>
          <w:i/>
          <w:sz w:val="20"/>
          <w:szCs w:val="20"/>
          <w:lang w:val="en-GB"/>
        </w:rPr>
        <w:t>M14 - Corporate Culture; Social Responsibility</w:t>
      </w:r>
    </w:p>
    <w:p w:rsidR="007E2FDE" w:rsidRPr="007E2FDE" w:rsidRDefault="007E2FDE" w:rsidP="007E2FDE">
      <w:pPr>
        <w:rPr>
          <w:rFonts w:ascii="Verdana" w:hAnsi="Verdana"/>
          <w:i/>
          <w:sz w:val="20"/>
          <w:szCs w:val="20"/>
          <w:lang w:val="en-GB"/>
        </w:rPr>
      </w:pPr>
      <w:r w:rsidRPr="007E2FDE">
        <w:rPr>
          <w:rFonts w:ascii="Verdana" w:hAnsi="Verdana"/>
          <w:i/>
          <w:sz w:val="20"/>
          <w:szCs w:val="20"/>
          <w:lang w:val="en-GB"/>
        </w:rPr>
        <w:t>M21 - Business Economics</w:t>
      </w:r>
    </w:p>
    <w:p w:rsidR="007E2FDE" w:rsidRPr="00FF6009" w:rsidRDefault="007E2FDE" w:rsidP="00FF6009">
      <w:pPr>
        <w:pStyle w:val="04-Anotacijostekstas"/>
        <w:spacing w:before="0" w:after="120"/>
        <w:ind w:left="0" w:right="-284"/>
        <w:jc w:val="left"/>
        <w:rPr>
          <w:rFonts w:ascii="Verdana" w:hAnsi="Verdana"/>
          <w:i/>
          <w:lang w:val="en-GB"/>
        </w:rPr>
      </w:pPr>
    </w:p>
    <w:p w:rsidR="00873BC0" w:rsidRPr="00FF6009" w:rsidRDefault="00873BC0" w:rsidP="00FF6009">
      <w:pPr>
        <w:pStyle w:val="Nadpis1"/>
        <w:numPr>
          <w:ilvl w:val="0"/>
          <w:numId w:val="0"/>
        </w:numPr>
        <w:spacing w:before="360" w:after="120"/>
        <w:rPr>
          <w:rFonts w:ascii="Verdana" w:hAnsi="Verdana"/>
          <w:sz w:val="22"/>
          <w:szCs w:val="22"/>
        </w:rPr>
      </w:pPr>
      <w:r w:rsidRPr="00FF6009">
        <w:rPr>
          <w:rFonts w:ascii="Verdana" w:hAnsi="Verdana"/>
          <w:sz w:val="22"/>
          <w:szCs w:val="22"/>
        </w:rPr>
        <w:t xml:space="preserve">1 Introduction </w:t>
      </w:r>
    </w:p>
    <w:p w:rsidR="00771928" w:rsidRPr="00451CFB" w:rsidRDefault="00771928" w:rsidP="00771928">
      <w:pPr>
        <w:spacing w:after="120"/>
        <w:rPr>
          <w:rFonts w:ascii="Verdana" w:hAnsi="Verdana"/>
          <w:sz w:val="20"/>
          <w:szCs w:val="20"/>
          <w:lang w:val="en-GB"/>
        </w:rPr>
      </w:pPr>
      <w:r w:rsidRPr="00451CFB">
        <w:rPr>
          <w:rFonts w:ascii="Verdana" w:hAnsi="Verdana"/>
          <w:sz w:val="20"/>
          <w:szCs w:val="20"/>
          <w:lang w:val="en-GB"/>
        </w:rPr>
        <w:t>Cash Management is one of the determining tasks each entrepreneurial entity has to deal with to optimize its management.</w:t>
      </w:r>
    </w:p>
    <w:p w:rsidR="00771928" w:rsidRPr="00451CFB" w:rsidRDefault="00771928" w:rsidP="00771928">
      <w:pPr>
        <w:spacing w:after="120"/>
        <w:rPr>
          <w:rFonts w:ascii="Verdana" w:hAnsi="Verdana"/>
          <w:sz w:val="20"/>
          <w:szCs w:val="20"/>
          <w:lang w:val="en-GB"/>
        </w:rPr>
      </w:pPr>
      <w:r w:rsidRPr="00451CFB">
        <w:rPr>
          <w:rFonts w:ascii="Verdana" w:hAnsi="Verdana"/>
          <w:sz w:val="20"/>
          <w:szCs w:val="20"/>
          <w:lang w:val="en-GB"/>
        </w:rPr>
        <w:t>The fundamental types of participants in Cash Management relations are banks and companies. These are both connected and divided by their interest in achieving higher profits, which can only be reached at the expense of another entity, either from a different category or from the same category.</w:t>
      </w:r>
    </w:p>
    <w:p w:rsidR="00771928" w:rsidRPr="00451CFB" w:rsidRDefault="00771928" w:rsidP="00771928">
      <w:pPr>
        <w:spacing w:after="120"/>
        <w:rPr>
          <w:rFonts w:ascii="Verdana" w:hAnsi="Verdana"/>
          <w:sz w:val="20"/>
          <w:szCs w:val="20"/>
          <w:lang w:val="en-GB"/>
        </w:rPr>
      </w:pPr>
      <w:r w:rsidRPr="00451CFB">
        <w:rPr>
          <w:rFonts w:ascii="Verdana" w:hAnsi="Verdana"/>
          <w:sz w:val="20"/>
          <w:szCs w:val="20"/>
          <w:lang w:val="en-GB"/>
        </w:rPr>
        <w:t>A change in the amount of profit (an increase or a decrease) needs to be evaluated at the level of individual entities and not at the level of all entities within a category.</w:t>
      </w:r>
    </w:p>
    <w:p w:rsidR="00771928" w:rsidRPr="00451CFB" w:rsidRDefault="00771928" w:rsidP="00771928">
      <w:pPr>
        <w:spacing w:after="120"/>
        <w:rPr>
          <w:rFonts w:ascii="Verdana" w:hAnsi="Verdana"/>
          <w:sz w:val="20"/>
          <w:szCs w:val="20"/>
          <w:lang w:val="en-GB"/>
        </w:rPr>
      </w:pPr>
      <w:r w:rsidRPr="00451CFB">
        <w:rPr>
          <w:rFonts w:ascii="Verdana" w:hAnsi="Verdana"/>
          <w:sz w:val="20"/>
          <w:szCs w:val="20"/>
          <w:lang w:val="en-GB"/>
        </w:rPr>
        <w:t xml:space="preserve">Non-banking entrepreneurial entities achieve a higher profit by cost saving with a better use of financial flows, which is reflected in a reduction of used borrowed (bank’s) financial means, a better use and appreciation of their own financial means. </w:t>
      </w:r>
    </w:p>
    <w:p w:rsidR="00771928" w:rsidRPr="00451CFB" w:rsidRDefault="00771928" w:rsidP="00771928">
      <w:pPr>
        <w:spacing w:after="120"/>
        <w:rPr>
          <w:rFonts w:ascii="Verdana" w:hAnsi="Verdana"/>
          <w:sz w:val="20"/>
          <w:szCs w:val="20"/>
          <w:lang w:val="en-GB"/>
        </w:rPr>
      </w:pPr>
      <w:r w:rsidRPr="00451CFB">
        <w:rPr>
          <w:rFonts w:ascii="Verdana" w:hAnsi="Verdana"/>
          <w:sz w:val="20"/>
          <w:szCs w:val="20"/>
          <w:lang w:val="en-GB"/>
        </w:rPr>
        <w:t xml:space="preserve">As regards banks, there is a decrease in incomes within the entire banking sector; but individual banks increase their profits at the expense of other banks that do not offer Cash Management. </w:t>
      </w:r>
    </w:p>
    <w:p w:rsidR="00771928" w:rsidRPr="00451CFB" w:rsidRDefault="00771928" w:rsidP="00771928">
      <w:pPr>
        <w:spacing w:after="120"/>
        <w:rPr>
          <w:rFonts w:ascii="Verdana" w:hAnsi="Verdana"/>
          <w:sz w:val="20"/>
          <w:szCs w:val="20"/>
          <w:lang w:val="en-GB"/>
        </w:rPr>
      </w:pPr>
      <w:r w:rsidRPr="00451CFB">
        <w:rPr>
          <w:rFonts w:ascii="Verdana" w:hAnsi="Verdana"/>
          <w:sz w:val="20"/>
          <w:szCs w:val="20"/>
          <w:lang w:val="en-GB"/>
        </w:rPr>
        <w:t>Cash Management can be defined as:</w:t>
      </w:r>
    </w:p>
    <w:p w:rsidR="00771928" w:rsidRPr="00451CFB" w:rsidRDefault="00771928" w:rsidP="00771928">
      <w:pPr>
        <w:numPr>
          <w:ilvl w:val="0"/>
          <w:numId w:val="15"/>
        </w:numPr>
        <w:tabs>
          <w:tab w:val="clear" w:pos="340"/>
        </w:tabs>
        <w:spacing w:after="120"/>
        <w:ind w:left="284" w:hanging="284"/>
        <w:textAlignment w:val="top"/>
        <w:rPr>
          <w:rStyle w:val="hps"/>
          <w:rFonts w:ascii="Verdana" w:hAnsi="Verdana"/>
          <w:color w:val="000000"/>
          <w:sz w:val="20"/>
          <w:szCs w:val="20"/>
          <w:lang w:val="en-GB"/>
        </w:rPr>
      </w:pPr>
      <w:r w:rsidRPr="00451CFB">
        <w:rPr>
          <w:rStyle w:val="hps"/>
          <w:rFonts w:ascii="Verdana" w:hAnsi="Verdana"/>
          <w:color w:val="000000"/>
          <w:sz w:val="20"/>
          <w:szCs w:val="20"/>
          <w:lang w:val="en-GB"/>
        </w:rPr>
        <w:t>management of the available amount of money in the right place and at the right time in the necessary volume;</w:t>
      </w:r>
    </w:p>
    <w:p w:rsidR="00771928" w:rsidRPr="00451CFB" w:rsidRDefault="00771928" w:rsidP="00771928">
      <w:pPr>
        <w:numPr>
          <w:ilvl w:val="0"/>
          <w:numId w:val="15"/>
        </w:numPr>
        <w:tabs>
          <w:tab w:val="clear" w:pos="340"/>
        </w:tabs>
        <w:spacing w:after="120"/>
        <w:ind w:left="284" w:hanging="284"/>
        <w:rPr>
          <w:rFonts w:ascii="Verdana" w:hAnsi="Verdana"/>
          <w:sz w:val="20"/>
          <w:szCs w:val="20"/>
          <w:lang w:val="en-GB"/>
        </w:rPr>
      </w:pPr>
      <w:r w:rsidRPr="00451CFB">
        <w:rPr>
          <w:rStyle w:val="hps"/>
          <w:rFonts w:ascii="Verdana" w:hAnsi="Verdana"/>
          <w:sz w:val="20"/>
          <w:szCs w:val="20"/>
          <w:lang w:val="en-GB"/>
        </w:rPr>
        <w:t>cash management is related to the organization’s liquidity and includes decisions on the management of cash flows in the field of its planning and monitoring;</w:t>
      </w:r>
    </w:p>
    <w:p w:rsidR="00771928" w:rsidRPr="00451CFB" w:rsidRDefault="00771928" w:rsidP="00771928">
      <w:pPr>
        <w:numPr>
          <w:ilvl w:val="0"/>
          <w:numId w:val="15"/>
        </w:numPr>
        <w:tabs>
          <w:tab w:val="clear" w:pos="340"/>
        </w:tabs>
        <w:spacing w:after="120"/>
        <w:ind w:left="284" w:hanging="284"/>
        <w:textAlignment w:val="top"/>
        <w:rPr>
          <w:rFonts w:ascii="Verdana" w:hAnsi="Verdana"/>
          <w:color w:val="888888"/>
          <w:sz w:val="20"/>
          <w:szCs w:val="20"/>
          <w:lang w:val="en-GB"/>
        </w:rPr>
      </w:pPr>
      <w:r w:rsidRPr="00451CFB">
        <w:rPr>
          <w:rFonts w:ascii="Verdana" w:hAnsi="Verdana"/>
          <w:sz w:val="20"/>
          <w:szCs w:val="20"/>
          <w:lang w:val="en-GB"/>
        </w:rPr>
        <w:t>activities that are directly or indirectly harmonized with the organization’s financial potential</w:t>
      </w:r>
      <w:r w:rsidRPr="00451CFB">
        <w:rPr>
          <w:rFonts w:ascii="Verdana" w:hAnsi="Verdana"/>
          <w:color w:val="000000"/>
          <w:sz w:val="20"/>
          <w:szCs w:val="20"/>
          <w:lang w:val="en-GB"/>
        </w:rPr>
        <w:t>;</w:t>
      </w:r>
    </w:p>
    <w:p w:rsidR="00771928" w:rsidRPr="00451CFB" w:rsidRDefault="00771928" w:rsidP="00771928">
      <w:pPr>
        <w:numPr>
          <w:ilvl w:val="0"/>
          <w:numId w:val="15"/>
        </w:numPr>
        <w:tabs>
          <w:tab w:val="clear" w:pos="340"/>
        </w:tabs>
        <w:spacing w:after="120"/>
        <w:ind w:left="284" w:hanging="284"/>
        <w:textAlignment w:val="top"/>
        <w:rPr>
          <w:rFonts w:ascii="Verdana" w:hAnsi="Verdana"/>
          <w:color w:val="888888"/>
          <w:sz w:val="20"/>
          <w:szCs w:val="20"/>
          <w:lang w:val="en-GB"/>
        </w:rPr>
      </w:pPr>
      <w:proofErr w:type="gramStart"/>
      <w:r w:rsidRPr="00451CFB">
        <w:rPr>
          <w:rFonts w:ascii="Verdana" w:hAnsi="Verdana"/>
          <w:color w:val="000000"/>
          <w:sz w:val="20"/>
          <w:szCs w:val="20"/>
          <w:lang w:val="en-GB"/>
        </w:rPr>
        <w:lastRenderedPageBreak/>
        <w:t>a</w:t>
      </w:r>
      <w:proofErr w:type="gramEnd"/>
      <w:r w:rsidRPr="00451CFB">
        <w:rPr>
          <w:rFonts w:ascii="Verdana" w:hAnsi="Verdana"/>
          <w:color w:val="000000"/>
          <w:sz w:val="20"/>
          <w:szCs w:val="20"/>
          <w:lang w:val="en-GB"/>
        </w:rPr>
        <w:t xml:space="preserve"> complex of measures and solutions following from a short-term prognosis of surplus and deficit</w:t>
      </w:r>
      <w:r w:rsidRPr="00451CFB">
        <w:rPr>
          <w:rStyle w:val="hps"/>
          <w:rFonts w:ascii="Verdana" w:hAnsi="Verdana"/>
          <w:color w:val="000000"/>
          <w:sz w:val="20"/>
          <w:szCs w:val="20"/>
          <w:lang w:val="en-GB"/>
        </w:rPr>
        <w:t>.</w:t>
      </w:r>
    </w:p>
    <w:p w:rsidR="00771928" w:rsidRPr="00451CFB" w:rsidRDefault="00771928" w:rsidP="00B826C5">
      <w:pPr>
        <w:spacing w:after="240"/>
        <w:rPr>
          <w:rFonts w:ascii="Verdana" w:hAnsi="Verdana"/>
          <w:sz w:val="20"/>
          <w:szCs w:val="20"/>
          <w:lang w:val="en-GB"/>
        </w:rPr>
      </w:pPr>
      <w:r w:rsidRPr="00451CFB">
        <w:rPr>
          <w:rFonts w:ascii="Verdana" w:hAnsi="Verdana"/>
          <w:sz w:val="20"/>
          <w:szCs w:val="20"/>
          <w:lang w:val="en-GB"/>
        </w:rPr>
        <w:t>There are two opposing tendencies within the relations of banks to Cash Management. On the one hand, banks are aware that they need to offer their top clients from the “blue chips” category most interesting and innovated banking products and services. On the other hand, they are aware that these offers reduce the profit made from these clients. These are also marketing strategies aimed at gaining and keeping a client – especially a client who is strategically significant. Banks perceive these costs as costs of keeping clients in the environment of growing competition and with the purpose of achieving economies of scale.</w:t>
      </w:r>
    </w:p>
    <w:p w:rsidR="00873BC0" w:rsidRPr="00FF6009" w:rsidRDefault="00341F97" w:rsidP="00FF6009">
      <w:pPr>
        <w:spacing w:after="120"/>
        <w:rPr>
          <w:rFonts w:ascii="Verdana" w:hAnsi="Verdana"/>
          <w:b/>
          <w:sz w:val="22"/>
        </w:rPr>
      </w:pPr>
      <w:r w:rsidRPr="00FF6009">
        <w:rPr>
          <w:rFonts w:ascii="Verdana" w:hAnsi="Verdana"/>
          <w:b/>
          <w:sz w:val="22"/>
        </w:rPr>
        <w:t xml:space="preserve">1.1 </w:t>
      </w:r>
      <w:r w:rsidR="004D53FA" w:rsidRPr="00FF6009">
        <w:rPr>
          <w:rFonts w:ascii="Verdana" w:hAnsi="Verdana"/>
          <w:b/>
          <w:sz w:val="22"/>
        </w:rPr>
        <w:t>Methodology</w:t>
      </w:r>
      <w:r w:rsidRPr="00FF6009">
        <w:rPr>
          <w:rFonts w:ascii="Verdana" w:hAnsi="Verdana"/>
          <w:b/>
          <w:sz w:val="22"/>
        </w:rPr>
        <w:t xml:space="preserve"> </w:t>
      </w:r>
    </w:p>
    <w:p w:rsidR="00771928" w:rsidRPr="00771928" w:rsidRDefault="00771928" w:rsidP="00B826C5">
      <w:pPr>
        <w:spacing w:after="240"/>
        <w:rPr>
          <w:rFonts w:ascii="Verdana" w:hAnsi="Verdana"/>
          <w:sz w:val="20"/>
          <w:szCs w:val="20"/>
          <w:lang w:val="cs-CZ"/>
        </w:rPr>
      </w:pPr>
      <w:r w:rsidRPr="00771928">
        <w:rPr>
          <w:rStyle w:val="hps"/>
          <w:rFonts w:ascii="Verdana" w:hAnsi="Verdana" w:cs="Arial"/>
          <w:color w:val="333333"/>
          <w:sz w:val="20"/>
          <w:szCs w:val="20"/>
          <w:lang w:val="en"/>
        </w:rPr>
        <w:t>In this paper</w:t>
      </w:r>
      <w:r w:rsidRPr="00771928">
        <w:rPr>
          <w:rFonts w:ascii="Verdana" w:hAnsi="Verdana" w:cs="Arial"/>
          <w:color w:val="333333"/>
          <w:sz w:val="20"/>
          <w:szCs w:val="20"/>
          <w:lang w:val="en"/>
        </w:rPr>
        <w:t xml:space="preserve"> </w:t>
      </w:r>
      <w:r w:rsidRPr="00771928">
        <w:rPr>
          <w:rStyle w:val="hps"/>
          <w:rFonts w:ascii="Verdana" w:hAnsi="Verdana" w:cs="Arial"/>
          <w:color w:val="333333"/>
          <w:sz w:val="20"/>
          <w:szCs w:val="20"/>
          <w:lang w:val="en"/>
        </w:rPr>
        <w:t>we draw mainly</w:t>
      </w:r>
      <w:r w:rsidRPr="00771928">
        <w:rPr>
          <w:rFonts w:ascii="Verdana" w:hAnsi="Verdana" w:cs="Arial"/>
          <w:color w:val="333333"/>
          <w:sz w:val="20"/>
          <w:szCs w:val="20"/>
          <w:lang w:val="en"/>
        </w:rPr>
        <w:t xml:space="preserve"> </w:t>
      </w:r>
      <w:r w:rsidRPr="00771928">
        <w:rPr>
          <w:rStyle w:val="hps"/>
          <w:rFonts w:ascii="Verdana" w:hAnsi="Verdana" w:cs="Arial"/>
          <w:color w:val="333333"/>
          <w:sz w:val="20"/>
          <w:szCs w:val="20"/>
          <w:lang w:val="en"/>
        </w:rPr>
        <w:t>of the following</w:t>
      </w:r>
      <w:r w:rsidRPr="00771928">
        <w:rPr>
          <w:rFonts w:ascii="Verdana" w:hAnsi="Verdana" w:cs="Arial"/>
          <w:color w:val="333333"/>
          <w:sz w:val="20"/>
          <w:szCs w:val="20"/>
          <w:lang w:val="en"/>
        </w:rPr>
        <w:t xml:space="preserve"> </w:t>
      </w:r>
      <w:r w:rsidRPr="00771928">
        <w:rPr>
          <w:rStyle w:val="hps"/>
          <w:rFonts w:ascii="Verdana" w:hAnsi="Verdana" w:cs="Arial"/>
          <w:color w:val="333333"/>
          <w:sz w:val="20"/>
          <w:szCs w:val="20"/>
          <w:lang w:val="en"/>
        </w:rPr>
        <w:t>methods.</w:t>
      </w:r>
      <w:r w:rsidRPr="00771928">
        <w:rPr>
          <w:rFonts w:ascii="Verdana" w:hAnsi="Verdana" w:cs="Arial"/>
          <w:color w:val="333333"/>
          <w:sz w:val="20"/>
          <w:szCs w:val="20"/>
          <w:lang w:val="en"/>
        </w:rPr>
        <w:t xml:space="preserve"> </w:t>
      </w:r>
      <w:r w:rsidRPr="00771928">
        <w:rPr>
          <w:rStyle w:val="hps"/>
          <w:rFonts w:ascii="Verdana" w:hAnsi="Verdana" w:cs="Arial"/>
          <w:color w:val="333333"/>
          <w:sz w:val="20"/>
          <w:szCs w:val="20"/>
          <w:lang w:val="en"/>
        </w:rPr>
        <w:t>Positivist</w:t>
      </w:r>
      <w:r w:rsidRPr="00771928">
        <w:rPr>
          <w:rFonts w:ascii="Verdana" w:hAnsi="Verdana" w:cs="Arial"/>
          <w:color w:val="333333"/>
          <w:sz w:val="20"/>
          <w:szCs w:val="20"/>
          <w:lang w:val="en"/>
        </w:rPr>
        <w:t xml:space="preserve"> </w:t>
      </w:r>
      <w:r w:rsidRPr="00771928">
        <w:rPr>
          <w:rStyle w:val="hps"/>
          <w:rFonts w:ascii="Verdana" w:hAnsi="Verdana" w:cs="Arial"/>
          <w:color w:val="333333"/>
          <w:sz w:val="20"/>
          <w:szCs w:val="20"/>
          <w:lang w:val="en"/>
        </w:rPr>
        <w:t>research</w:t>
      </w:r>
      <w:r w:rsidRPr="00771928">
        <w:rPr>
          <w:rFonts w:ascii="Verdana" w:hAnsi="Verdana" w:cs="Arial"/>
          <w:color w:val="333333"/>
          <w:sz w:val="20"/>
          <w:szCs w:val="20"/>
          <w:lang w:val="en"/>
        </w:rPr>
        <w:t xml:space="preserve"> </w:t>
      </w:r>
      <w:r w:rsidRPr="00771928">
        <w:rPr>
          <w:rStyle w:val="hps"/>
          <w:rFonts w:ascii="Verdana" w:hAnsi="Verdana" w:cs="Arial"/>
          <w:color w:val="333333"/>
          <w:sz w:val="20"/>
          <w:szCs w:val="20"/>
          <w:lang w:val="en"/>
        </w:rPr>
        <w:t>methodology</w:t>
      </w:r>
      <w:r w:rsidRPr="00771928">
        <w:rPr>
          <w:rFonts w:ascii="Verdana" w:hAnsi="Verdana" w:cs="Arial"/>
          <w:color w:val="333333"/>
          <w:sz w:val="20"/>
          <w:szCs w:val="20"/>
          <w:lang w:val="en"/>
        </w:rPr>
        <w:t xml:space="preserve">, followed by the </w:t>
      </w:r>
      <w:r w:rsidRPr="00771928">
        <w:rPr>
          <w:rStyle w:val="hps"/>
          <w:rFonts w:ascii="Verdana" w:hAnsi="Verdana" w:cs="Arial"/>
          <w:color w:val="333333"/>
          <w:sz w:val="20"/>
          <w:szCs w:val="20"/>
          <w:lang w:val="en"/>
        </w:rPr>
        <w:t>methodology</w:t>
      </w:r>
      <w:r w:rsidRPr="00771928">
        <w:rPr>
          <w:rFonts w:ascii="Verdana" w:hAnsi="Verdana" w:cs="Arial"/>
          <w:color w:val="333333"/>
          <w:sz w:val="20"/>
          <w:szCs w:val="20"/>
          <w:lang w:val="en"/>
        </w:rPr>
        <w:t xml:space="preserve"> </w:t>
      </w:r>
      <w:r w:rsidRPr="00771928">
        <w:rPr>
          <w:rStyle w:val="hps"/>
          <w:rFonts w:ascii="Verdana" w:hAnsi="Verdana" w:cs="Arial"/>
          <w:color w:val="333333"/>
          <w:sz w:val="20"/>
          <w:szCs w:val="20"/>
          <w:lang w:val="en"/>
        </w:rPr>
        <w:t>of pragmatism</w:t>
      </w:r>
      <w:r w:rsidRPr="00771928">
        <w:rPr>
          <w:rFonts w:ascii="Verdana" w:hAnsi="Verdana" w:cs="Arial"/>
          <w:color w:val="333333"/>
          <w:sz w:val="20"/>
          <w:szCs w:val="20"/>
          <w:lang w:val="en"/>
        </w:rPr>
        <w:t xml:space="preserve">. </w:t>
      </w:r>
      <w:proofErr w:type="gramStart"/>
      <w:r w:rsidRPr="00771928">
        <w:rPr>
          <w:rStyle w:val="hps"/>
          <w:rFonts w:ascii="Verdana" w:hAnsi="Verdana" w:cs="Arial"/>
          <w:color w:val="333333"/>
          <w:sz w:val="20"/>
          <w:szCs w:val="20"/>
          <w:lang w:val="en"/>
        </w:rPr>
        <w:t>On the</w:t>
      </w:r>
      <w:r w:rsidRPr="00771928">
        <w:rPr>
          <w:rFonts w:ascii="Verdana" w:hAnsi="Verdana" w:cs="Arial"/>
          <w:color w:val="333333"/>
          <w:sz w:val="20"/>
          <w:szCs w:val="20"/>
          <w:lang w:val="en"/>
        </w:rPr>
        <w:t xml:space="preserve"> </w:t>
      </w:r>
      <w:r w:rsidRPr="00771928">
        <w:rPr>
          <w:rStyle w:val="hps"/>
          <w:rFonts w:ascii="Verdana" w:hAnsi="Verdana" w:cs="Arial"/>
          <w:color w:val="333333"/>
          <w:sz w:val="20"/>
          <w:szCs w:val="20"/>
          <w:lang w:val="en"/>
        </w:rPr>
        <w:t>methodology</w:t>
      </w:r>
      <w:r w:rsidRPr="00771928">
        <w:rPr>
          <w:rFonts w:ascii="Verdana" w:hAnsi="Verdana" w:cs="Arial"/>
          <w:color w:val="333333"/>
          <w:sz w:val="20"/>
          <w:szCs w:val="20"/>
          <w:lang w:val="en"/>
        </w:rPr>
        <w:t xml:space="preserve"> </w:t>
      </w:r>
      <w:r w:rsidRPr="00771928">
        <w:rPr>
          <w:rStyle w:val="hps"/>
          <w:rFonts w:ascii="Verdana" w:hAnsi="Verdana" w:cs="Arial"/>
          <w:color w:val="333333"/>
          <w:sz w:val="20"/>
          <w:szCs w:val="20"/>
          <w:lang w:val="en"/>
        </w:rPr>
        <w:t>of critical rationalism</w:t>
      </w:r>
      <w:r w:rsidRPr="00771928">
        <w:rPr>
          <w:rFonts w:ascii="Verdana" w:hAnsi="Verdana" w:cs="Arial"/>
          <w:color w:val="333333"/>
          <w:sz w:val="20"/>
          <w:szCs w:val="20"/>
          <w:lang w:val="en"/>
        </w:rPr>
        <w:t xml:space="preserve">, </w:t>
      </w:r>
      <w:r w:rsidRPr="00771928">
        <w:rPr>
          <w:rStyle w:val="hps"/>
          <w:rFonts w:ascii="Verdana" w:hAnsi="Verdana" w:cs="Arial"/>
          <w:color w:val="333333"/>
          <w:sz w:val="20"/>
          <w:szCs w:val="20"/>
          <w:lang w:val="en"/>
        </w:rPr>
        <w:t>followed by</w:t>
      </w:r>
      <w:r w:rsidRPr="00771928">
        <w:rPr>
          <w:rFonts w:ascii="Verdana" w:hAnsi="Verdana" w:cs="Arial"/>
          <w:color w:val="333333"/>
          <w:sz w:val="20"/>
          <w:szCs w:val="20"/>
          <w:lang w:val="en"/>
        </w:rPr>
        <w:t xml:space="preserve"> </w:t>
      </w:r>
      <w:r w:rsidRPr="00771928">
        <w:rPr>
          <w:rStyle w:val="hps"/>
          <w:rFonts w:ascii="Verdana" w:hAnsi="Verdana" w:cs="Arial"/>
          <w:color w:val="333333"/>
          <w:sz w:val="20"/>
          <w:szCs w:val="20"/>
          <w:lang w:val="en"/>
        </w:rPr>
        <w:t>economic and statistical</w:t>
      </w:r>
      <w:r w:rsidRPr="00771928">
        <w:rPr>
          <w:rFonts w:ascii="Verdana" w:hAnsi="Verdana" w:cs="Arial"/>
          <w:color w:val="333333"/>
          <w:sz w:val="20"/>
          <w:szCs w:val="20"/>
          <w:lang w:val="en"/>
        </w:rPr>
        <w:t xml:space="preserve"> </w:t>
      </w:r>
      <w:r w:rsidRPr="00771928">
        <w:rPr>
          <w:rStyle w:val="hps"/>
          <w:rFonts w:ascii="Verdana" w:hAnsi="Verdana" w:cs="Arial"/>
          <w:color w:val="333333"/>
          <w:sz w:val="20"/>
          <w:szCs w:val="20"/>
          <w:lang w:val="en"/>
        </w:rPr>
        <w:t>methods</w:t>
      </w:r>
      <w:r w:rsidRPr="00771928">
        <w:rPr>
          <w:rFonts w:ascii="Verdana" w:hAnsi="Verdana" w:cs="Arial"/>
          <w:color w:val="333333"/>
          <w:sz w:val="20"/>
          <w:szCs w:val="20"/>
          <w:lang w:val="en"/>
        </w:rPr>
        <w:t xml:space="preserve"> </w:t>
      </w:r>
      <w:r w:rsidRPr="00771928">
        <w:rPr>
          <w:rStyle w:val="hps"/>
          <w:rFonts w:ascii="Verdana" w:hAnsi="Verdana" w:cs="Arial"/>
          <w:color w:val="333333"/>
          <w:sz w:val="20"/>
          <w:szCs w:val="20"/>
          <w:lang w:val="en"/>
        </w:rPr>
        <w:t>to evaluate</w:t>
      </w:r>
      <w:r w:rsidRPr="00771928">
        <w:rPr>
          <w:rFonts w:ascii="Verdana" w:hAnsi="Verdana" w:cs="Arial"/>
          <w:color w:val="333333"/>
          <w:sz w:val="20"/>
          <w:szCs w:val="20"/>
          <w:lang w:val="en"/>
        </w:rPr>
        <w:t xml:space="preserve"> </w:t>
      </w:r>
      <w:r w:rsidRPr="00771928">
        <w:rPr>
          <w:rStyle w:val="hps"/>
          <w:rFonts w:ascii="Verdana" w:hAnsi="Verdana" w:cs="Arial"/>
          <w:color w:val="333333"/>
          <w:sz w:val="20"/>
          <w:szCs w:val="20"/>
          <w:lang w:val="en"/>
        </w:rPr>
        <w:t>lessons learned.</w:t>
      </w:r>
      <w:proofErr w:type="gramEnd"/>
      <w:r w:rsidR="00B826C5">
        <w:rPr>
          <w:rStyle w:val="hps"/>
          <w:rFonts w:ascii="Verdana" w:hAnsi="Verdana" w:cs="Arial"/>
          <w:color w:val="333333"/>
          <w:sz w:val="20"/>
          <w:szCs w:val="20"/>
          <w:lang w:val="en"/>
        </w:rPr>
        <w:t xml:space="preserve"> </w:t>
      </w:r>
    </w:p>
    <w:p w:rsidR="00873BC0" w:rsidRPr="00FF6009" w:rsidRDefault="00341F97" w:rsidP="00FF6009">
      <w:pPr>
        <w:spacing w:after="120"/>
        <w:rPr>
          <w:rFonts w:ascii="Verdana" w:hAnsi="Verdana"/>
          <w:b/>
          <w:sz w:val="20"/>
          <w:szCs w:val="20"/>
        </w:rPr>
      </w:pPr>
      <w:r w:rsidRPr="00FF6009">
        <w:rPr>
          <w:rFonts w:ascii="Verdana" w:hAnsi="Verdana"/>
          <w:b/>
          <w:sz w:val="20"/>
          <w:szCs w:val="20"/>
        </w:rPr>
        <w:t xml:space="preserve">Model </w:t>
      </w:r>
      <w:r w:rsidR="004D53FA" w:rsidRPr="00FF6009">
        <w:rPr>
          <w:rFonts w:ascii="Verdana" w:hAnsi="Verdana"/>
          <w:b/>
          <w:sz w:val="20"/>
          <w:szCs w:val="20"/>
        </w:rPr>
        <w:t>Specification</w:t>
      </w:r>
      <w:r w:rsidR="00873BC0" w:rsidRPr="00FF6009">
        <w:rPr>
          <w:rFonts w:ascii="Verdana" w:hAnsi="Verdana"/>
          <w:b/>
          <w:sz w:val="20"/>
          <w:szCs w:val="20"/>
        </w:rPr>
        <w:t xml:space="preserve"> (</w:t>
      </w:r>
      <w:r w:rsidR="00591DC3" w:rsidRPr="00FF6009">
        <w:rPr>
          <w:rFonts w:ascii="Verdana" w:hAnsi="Verdana"/>
          <w:b/>
          <w:sz w:val="20"/>
          <w:szCs w:val="20"/>
        </w:rPr>
        <w:t>Other</w:t>
      </w:r>
      <w:r w:rsidR="00873BC0" w:rsidRPr="00FF6009">
        <w:rPr>
          <w:rFonts w:ascii="Verdana" w:hAnsi="Verdana"/>
          <w:b/>
          <w:sz w:val="20"/>
          <w:szCs w:val="20"/>
        </w:rPr>
        <w:t xml:space="preserve"> heading</w:t>
      </w:r>
      <w:r w:rsidR="00591DC3" w:rsidRPr="00FF6009">
        <w:rPr>
          <w:rFonts w:ascii="Verdana" w:hAnsi="Verdana"/>
          <w:b/>
          <w:sz w:val="20"/>
          <w:szCs w:val="20"/>
        </w:rPr>
        <w:t xml:space="preserve"> – not numbered</w:t>
      </w:r>
      <w:r w:rsidR="00873BC0" w:rsidRPr="00FF6009">
        <w:rPr>
          <w:rFonts w:ascii="Verdana" w:hAnsi="Verdana"/>
          <w:b/>
          <w:sz w:val="20"/>
          <w:szCs w:val="20"/>
        </w:rPr>
        <w:t xml:space="preserve">, </w:t>
      </w:r>
      <w:r w:rsidR="00FF6009">
        <w:rPr>
          <w:rFonts w:ascii="Verdana" w:hAnsi="Verdana"/>
          <w:b/>
          <w:sz w:val="20"/>
          <w:szCs w:val="20"/>
        </w:rPr>
        <w:t>Verdana</w:t>
      </w:r>
      <w:r w:rsidR="00873BC0" w:rsidRPr="00FF6009">
        <w:rPr>
          <w:rFonts w:ascii="Verdana" w:hAnsi="Verdana"/>
          <w:b/>
          <w:sz w:val="20"/>
          <w:szCs w:val="20"/>
        </w:rPr>
        <w:t xml:space="preserve"> 1</w:t>
      </w:r>
      <w:r w:rsidR="00FF6009">
        <w:rPr>
          <w:rFonts w:ascii="Verdana" w:hAnsi="Verdana"/>
          <w:b/>
          <w:sz w:val="20"/>
          <w:szCs w:val="20"/>
        </w:rPr>
        <w:t>0</w:t>
      </w:r>
      <w:r w:rsidR="00873BC0" w:rsidRPr="00FF6009">
        <w:rPr>
          <w:rFonts w:ascii="Verdana" w:hAnsi="Verdana"/>
          <w:b/>
          <w:sz w:val="20"/>
          <w:szCs w:val="20"/>
        </w:rPr>
        <w:t xml:space="preserve">, </w:t>
      </w:r>
      <w:r w:rsidR="00720A9D" w:rsidRPr="00FF6009">
        <w:rPr>
          <w:rFonts w:ascii="Verdana" w:hAnsi="Verdana"/>
          <w:b/>
          <w:sz w:val="20"/>
          <w:szCs w:val="20"/>
        </w:rPr>
        <w:t>bold</w:t>
      </w:r>
      <w:r w:rsidR="00FF6009">
        <w:rPr>
          <w:rFonts w:ascii="Verdana" w:hAnsi="Verdana"/>
          <w:b/>
          <w:sz w:val="20"/>
          <w:szCs w:val="20"/>
        </w:rPr>
        <w:t>)</w:t>
      </w:r>
      <w:r w:rsidR="00873BC0" w:rsidRPr="00FF6009">
        <w:rPr>
          <w:rFonts w:ascii="Verdana" w:hAnsi="Verdana"/>
          <w:sz w:val="22"/>
        </w:rPr>
        <w:tab/>
      </w:r>
    </w:p>
    <w:p w:rsidR="00873BC0" w:rsidRPr="00FF6009" w:rsidRDefault="004D53FA" w:rsidP="005A33A4">
      <w:pPr>
        <w:spacing w:after="240"/>
        <w:rPr>
          <w:rFonts w:ascii="Verdana" w:hAnsi="Verdana"/>
          <w:sz w:val="20"/>
          <w:szCs w:val="20"/>
        </w:rPr>
      </w:pPr>
      <w:r w:rsidRPr="00FF6009">
        <w:rPr>
          <w:rFonts w:ascii="Verdana" w:hAnsi="Verdana"/>
          <w:sz w:val="20"/>
          <w:szCs w:val="20"/>
        </w:rPr>
        <w:t>Text (</w:t>
      </w:r>
      <w:r w:rsidR="00FF6009">
        <w:rPr>
          <w:rFonts w:ascii="Verdana" w:hAnsi="Verdana"/>
          <w:sz w:val="20"/>
          <w:szCs w:val="20"/>
        </w:rPr>
        <w:t>Verdana</w:t>
      </w:r>
      <w:r w:rsidRPr="00FF6009">
        <w:rPr>
          <w:rFonts w:ascii="Verdana" w:hAnsi="Verdana"/>
          <w:sz w:val="20"/>
          <w:szCs w:val="20"/>
        </w:rPr>
        <w:t xml:space="preserve"> </w:t>
      </w:r>
      <w:r w:rsidR="00FF6009">
        <w:rPr>
          <w:rFonts w:ascii="Verdana" w:hAnsi="Verdana"/>
          <w:sz w:val="20"/>
          <w:szCs w:val="20"/>
        </w:rPr>
        <w:t>10</w:t>
      </w:r>
      <w:r w:rsidRPr="00FF6009">
        <w:rPr>
          <w:rFonts w:ascii="Verdana" w:hAnsi="Verdana"/>
          <w:sz w:val="20"/>
          <w:szCs w:val="20"/>
        </w:rPr>
        <w:t>, block-aligned), text (</w:t>
      </w:r>
      <w:r w:rsidR="00FF6009">
        <w:rPr>
          <w:rFonts w:ascii="Verdana" w:hAnsi="Verdana"/>
          <w:sz w:val="20"/>
          <w:szCs w:val="20"/>
        </w:rPr>
        <w:t>Verdana</w:t>
      </w:r>
      <w:r w:rsidRPr="00FF6009">
        <w:rPr>
          <w:rFonts w:ascii="Verdana" w:hAnsi="Verdana"/>
          <w:sz w:val="20"/>
          <w:szCs w:val="20"/>
        </w:rPr>
        <w:t xml:space="preserve"> </w:t>
      </w:r>
      <w:r w:rsidR="00FF6009">
        <w:rPr>
          <w:rFonts w:ascii="Verdana" w:hAnsi="Verdana"/>
          <w:sz w:val="20"/>
          <w:szCs w:val="20"/>
        </w:rPr>
        <w:t>10</w:t>
      </w:r>
      <w:r w:rsidRPr="00FF6009">
        <w:rPr>
          <w:rFonts w:ascii="Verdana" w:hAnsi="Verdana"/>
          <w:sz w:val="20"/>
          <w:szCs w:val="20"/>
        </w:rPr>
        <w:t>, block-aligned), text (</w:t>
      </w:r>
      <w:r w:rsidR="00FF6009">
        <w:rPr>
          <w:rFonts w:ascii="Verdana" w:hAnsi="Verdana"/>
          <w:sz w:val="20"/>
          <w:szCs w:val="20"/>
        </w:rPr>
        <w:t>Verdana</w:t>
      </w:r>
      <w:r w:rsidRPr="00FF6009">
        <w:rPr>
          <w:rFonts w:ascii="Verdana" w:hAnsi="Verdana"/>
          <w:sz w:val="20"/>
          <w:szCs w:val="20"/>
        </w:rPr>
        <w:t xml:space="preserve"> </w:t>
      </w:r>
      <w:r w:rsidR="00FF6009">
        <w:rPr>
          <w:rFonts w:ascii="Verdana" w:hAnsi="Verdana"/>
          <w:sz w:val="20"/>
          <w:szCs w:val="20"/>
        </w:rPr>
        <w:t>10</w:t>
      </w:r>
      <w:r w:rsidRPr="00FF6009">
        <w:rPr>
          <w:rFonts w:ascii="Verdana" w:hAnsi="Verdana"/>
          <w:sz w:val="20"/>
          <w:szCs w:val="20"/>
        </w:rPr>
        <w:t>, block-aligned), text (</w:t>
      </w:r>
      <w:r w:rsidR="00FF6009">
        <w:rPr>
          <w:rFonts w:ascii="Verdana" w:hAnsi="Verdana"/>
          <w:sz w:val="20"/>
          <w:szCs w:val="20"/>
        </w:rPr>
        <w:t>Verdana</w:t>
      </w:r>
      <w:r w:rsidRPr="00FF6009">
        <w:rPr>
          <w:rFonts w:ascii="Verdana" w:hAnsi="Verdana"/>
          <w:sz w:val="20"/>
          <w:szCs w:val="20"/>
        </w:rPr>
        <w:t xml:space="preserve"> </w:t>
      </w:r>
      <w:r w:rsidR="00FF6009">
        <w:rPr>
          <w:rFonts w:ascii="Verdana" w:hAnsi="Verdana"/>
          <w:sz w:val="20"/>
          <w:szCs w:val="20"/>
        </w:rPr>
        <w:t>10</w:t>
      </w:r>
      <w:r w:rsidRPr="00FF6009">
        <w:rPr>
          <w:rFonts w:ascii="Verdana" w:hAnsi="Verdana"/>
          <w:sz w:val="20"/>
          <w:szCs w:val="20"/>
        </w:rPr>
        <w:t>, block-aligned), text (</w:t>
      </w:r>
      <w:r w:rsidR="00FF6009">
        <w:rPr>
          <w:rFonts w:ascii="Verdana" w:hAnsi="Verdana"/>
          <w:sz w:val="20"/>
          <w:szCs w:val="20"/>
        </w:rPr>
        <w:t>Verdana</w:t>
      </w:r>
      <w:r w:rsidRPr="00FF6009">
        <w:rPr>
          <w:rFonts w:ascii="Verdana" w:hAnsi="Verdana"/>
          <w:sz w:val="20"/>
          <w:szCs w:val="20"/>
        </w:rPr>
        <w:t xml:space="preserve"> </w:t>
      </w:r>
      <w:r w:rsidR="00FF6009">
        <w:rPr>
          <w:rFonts w:ascii="Verdana" w:hAnsi="Verdana"/>
          <w:sz w:val="20"/>
          <w:szCs w:val="20"/>
        </w:rPr>
        <w:t>10</w:t>
      </w:r>
      <w:r w:rsidRPr="00FF6009">
        <w:rPr>
          <w:rFonts w:ascii="Verdana" w:hAnsi="Verdana"/>
          <w:sz w:val="20"/>
          <w:szCs w:val="20"/>
        </w:rPr>
        <w:t>, block-aligned), text (</w:t>
      </w:r>
      <w:r w:rsidR="00FF6009">
        <w:rPr>
          <w:rFonts w:ascii="Verdana" w:hAnsi="Verdana"/>
          <w:sz w:val="20"/>
          <w:szCs w:val="20"/>
        </w:rPr>
        <w:t>Verdana</w:t>
      </w:r>
      <w:r w:rsidRPr="00FF6009">
        <w:rPr>
          <w:rFonts w:ascii="Verdana" w:hAnsi="Verdana"/>
          <w:sz w:val="20"/>
          <w:szCs w:val="20"/>
        </w:rPr>
        <w:t xml:space="preserve"> </w:t>
      </w:r>
      <w:r w:rsidR="00FF6009">
        <w:rPr>
          <w:rFonts w:ascii="Verdana" w:hAnsi="Verdana"/>
          <w:sz w:val="20"/>
          <w:szCs w:val="20"/>
        </w:rPr>
        <w:t>10</w:t>
      </w:r>
      <w:r w:rsidRPr="00FF6009">
        <w:rPr>
          <w:rFonts w:ascii="Verdana" w:hAnsi="Verdana"/>
          <w:sz w:val="20"/>
          <w:szCs w:val="20"/>
        </w:rPr>
        <w:t>, block-aligned), text (</w:t>
      </w:r>
      <w:r w:rsidR="00FF6009">
        <w:rPr>
          <w:rFonts w:ascii="Verdana" w:hAnsi="Verdana"/>
          <w:sz w:val="20"/>
          <w:szCs w:val="20"/>
        </w:rPr>
        <w:t>Verdana</w:t>
      </w:r>
      <w:r w:rsidRPr="00FF6009">
        <w:rPr>
          <w:rFonts w:ascii="Verdana" w:hAnsi="Verdana"/>
          <w:sz w:val="20"/>
          <w:szCs w:val="20"/>
        </w:rPr>
        <w:t xml:space="preserve"> </w:t>
      </w:r>
      <w:r w:rsidR="00FF6009">
        <w:rPr>
          <w:rFonts w:ascii="Verdana" w:hAnsi="Verdana"/>
          <w:sz w:val="20"/>
          <w:szCs w:val="20"/>
        </w:rPr>
        <w:t>10</w:t>
      </w:r>
      <w:r w:rsidRPr="00FF6009">
        <w:rPr>
          <w:rFonts w:ascii="Verdana" w:hAnsi="Verdana"/>
          <w:sz w:val="20"/>
          <w:szCs w:val="20"/>
        </w:rPr>
        <w:t>, block-aligned), text (</w:t>
      </w:r>
      <w:r w:rsidR="00FF6009">
        <w:rPr>
          <w:rFonts w:ascii="Verdana" w:hAnsi="Verdana"/>
          <w:sz w:val="20"/>
          <w:szCs w:val="20"/>
        </w:rPr>
        <w:t>Verdana</w:t>
      </w:r>
      <w:r w:rsidRPr="00FF6009">
        <w:rPr>
          <w:rFonts w:ascii="Verdana" w:hAnsi="Verdana"/>
          <w:sz w:val="20"/>
          <w:szCs w:val="20"/>
        </w:rPr>
        <w:t xml:space="preserve"> </w:t>
      </w:r>
      <w:r w:rsidR="00FF6009">
        <w:rPr>
          <w:rFonts w:ascii="Verdana" w:hAnsi="Verdana"/>
          <w:sz w:val="20"/>
          <w:szCs w:val="20"/>
        </w:rPr>
        <w:t>10</w:t>
      </w:r>
      <w:r w:rsidRPr="00FF6009">
        <w:rPr>
          <w:rFonts w:ascii="Verdana" w:hAnsi="Verdana"/>
          <w:sz w:val="20"/>
          <w:szCs w:val="20"/>
        </w:rPr>
        <w:t>, block-aligned), text (</w:t>
      </w:r>
      <w:r w:rsidR="00FF6009">
        <w:rPr>
          <w:rFonts w:ascii="Verdana" w:hAnsi="Verdana"/>
          <w:sz w:val="20"/>
          <w:szCs w:val="20"/>
        </w:rPr>
        <w:t>Verdana</w:t>
      </w:r>
      <w:r w:rsidRPr="00FF6009">
        <w:rPr>
          <w:rFonts w:ascii="Verdana" w:hAnsi="Verdana"/>
          <w:sz w:val="20"/>
          <w:szCs w:val="20"/>
        </w:rPr>
        <w:t xml:space="preserve"> </w:t>
      </w:r>
      <w:r w:rsidR="00FF6009">
        <w:rPr>
          <w:rFonts w:ascii="Verdana" w:hAnsi="Verdana"/>
          <w:sz w:val="20"/>
          <w:szCs w:val="20"/>
        </w:rPr>
        <w:t>10</w:t>
      </w:r>
      <w:r w:rsidRPr="00FF6009">
        <w:rPr>
          <w:rFonts w:ascii="Verdana" w:hAnsi="Verdana"/>
          <w:sz w:val="20"/>
          <w:szCs w:val="20"/>
        </w:rPr>
        <w:t>, block-aligned).</w:t>
      </w:r>
    </w:p>
    <w:p w:rsidR="00341F97" w:rsidRDefault="00341F97" w:rsidP="00FF6009">
      <w:pPr>
        <w:pStyle w:val="Nadpis1"/>
        <w:numPr>
          <w:ilvl w:val="0"/>
          <w:numId w:val="0"/>
        </w:numPr>
        <w:spacing w:before="0" w:after="120"/>
        <w:rPr>
          <w:rFonts w:ascii="Verdana" w:hAnsi="Verdana"/>
          <w:sz w:val="22"/>
          <w:szCs w:val="22"/>
        </w:rPr>
      </w:pPr>
      <w:r w:rsidRPr="00FF6009">
        <w:rPr>
          <w:rFonts w:ascii="Verdana" w:hAnsi="Verdana"/>
          <w:sz w:val="22"/>
          <w:szCs w:val="22"/>
        </w:rPr>
        <w:t xml:space="preserve">2 </w:t>
      </w:r>
      <w:r w:rsidR="00346225">
        <w:rPr>
          <w:rFonts w:ascii="Verdana" w:hAnsi="Verdana"/>
          <w:sz w:val="22"/>
          <w:szCs w:val="22"/>
        </w:rPr>
        <w:t>Current situation</w:t>
      </w:r>
    </w:p>
    <w:p w:rsidR="00346225" w:rsidRPr="00451CFB" w:rsidRDefault="00346225" w:rsidP="00346225">
      <w:pPr>
        <w:spacing w:after="120"/>
        <w:rPr>
          <w:rFonts w:ascii="Verdana" w:hAnsi="Verdana"/>
          <w:sz w:val="20"/>
          <w:szCs w:val="20"/>
          <w:lang w:val="en-GB"/>
        </w:rPr>
      </w:pPr>
      <w:r w:rsidRPr="00451CFB">
        <w:rPr>
          <w:rFonts w:ascii="Verdana" w:hAnsi="Verdana"/>
          <w:sz w:val="20"/>
          <w:szCs w:val="20"/>
          <w:lang w:val="en-GB"/>
        </w:rPr>
        <w:t>For an application of Cash Management, it is necessary to know basics of banking and particular banking products and services which are interconnected within Cash Management so that they form a complex banking product. This is necessary to understand the position and function of Cash Management.</w:t>
      </w:r>
    </w:p>
    <w:p w:rsidR="00346225" w:rsidRPr="00451CFB" w:rsidRDefault="00346225" w:rsidP="00346225">
      <w:pPr>
        <w:autoSpaceDE w:val="0"/>
        <w:autoSpaceDN w:val="0"/>
        <w:adjustRightInd w:val="0"/>
        <w:spacing w:after="120"/>
        <w:rPr>
          <w:rFonts w:ascii="Verdana" w:hAnsi="Verdana"/>
          <w:bCs/>
          <w:color w:val="000000"/>
          <w:sz w:val="20"/>
          <w:szCs w:val="20"/>
          <w:lang w:val="en-GB"/>
        </w:rPr>
      </w:pPr>
      <w:r w:rsidRPr="00451CFB">
        <w:rPr>
          <w:rFonts w:ascii="Verdana" w:hAnsi="Verdana"/>
          <w:color w:val="000000"/>
          <w:sz w:val="20"/>
          <w:szCs w:val="20"/>
          <w:lang w:val="en-GB"/>
        </w:rPr>
        <w:t>The most often stated aim of banking is achievement of profits, which is also a prerequisite for a stable position of a bank at the market. A bank should not aim at profit maximization at the moment (in the short term). The amount of the achieved profit should respect a long-term perspective of the bank (long-term achievement of profit) and its permanent competitiveness.</w:t>
      </w:r>
    </w:p>
    <w:p w:rsidR="00346225" w:rsidRPr="00451CFB" w:rsidRDefault="00346225" w:rsidP="00346225">
      <w:pPr>
        <w:autoSpaceDE w:val="0"/>
        <w:autoSpaceDN w:val="0"/>
        <w:adjustRightInd w:val="0"/>
        <w:spacing w:after="120"/>
        <w:rPr>
          <w:rFonts w:ascii="Verdana" w:hAnsi="Verdana"/>
          <w:bCs/>
          <w:color w:val="000000"/>
          <w:sz w:val="20"/>
          <w:szCs w:val="20"/>
          <w:lang w:val="en-GB"/>
        </w:rPr>
      </w:pPr>
      <w:r w:rsidRPr="00451CFB">
        <w:rPr>
          <w:rFonts w:ascii="Verdana" w:hAnsi="Verdana"/>
          <w:bCs/>
          <w:color w:val="000000"/>
          <w:sz w:val="20"/>
          <w:szCs w:val="20"/>
          <w:lang w:val="en-GB"/>
        </w:rPr>
        <w:t>Besides the direct achievement of profit, we can define the aims of banking as follows:</w:t>
      </w:r>
    </w:p>
    <w:p w:rsidR="00346225" w:rsidRPr="00451CFB" w:rsidRDefault="00346225" w:rsidP="00346225">
      <w:pPr>
        <w:numPr>
          <w:ilvl w:val="0"/>
          <w:numId w:val="17"/>
        </w:numPr>
        <w:tabs>
          <w:tab w:val="clear" w:pos="340"/>
          <w:tab w:val="num" w:pos="284"/>
        </w:tabs>
        <w:autoSpaceDE w:val="0"/>
        <w:autoSpaceDN w:val="0"/>
        <w:adjustRightInd w:val="0"/>
        <w:spacing w:after="120"/>
        <w:ind w:left="284" w:hanging="284"/>
        <w:rPr>
          <w:rFonts w:ascii="Verdana" w:hAnsi="Verdana"/>
          <w:color w:val="000000"/>
          <w:sz w:val="20"/>
          <w:szCs w:val="20"/>
          <w:lang w:val="en-GB"/>
        </w:rPr>
      </w:pPr>
      <w:r w:rsidRPr="00451CFB">
        <w:rPr>
          <w:rFonts w:ascii="Verdana" w:hAnsi="Verdana"/>
          <w:color w:val="000000"/>
          <w:sz w:val="20"/>
          <w:szCs w:val="20"/>
          <w:lang w:val="en-GB"/>
        </w:rPr>
        <w:t>achievement of the maximum market price of the bank or achievement and maintenance of a significant position at the banking market; these aims are closely related to the achievement of the maximum profit;</w:t>
      </w:r>
    </w:p>
    <w:p w:rsidR="00346225" w:rsidRPr="00451CFB" w:rsidRDefault="00346225" w:rsidP="00346225">
      <w:pPr>
        <w:numPr>
          <w:ilvl w:val="0"/>
          <w:numId w:val="17"/>
        </w:numPr>
        <w:tabs>
          <w:tab w:val="clear" w:pos="340"/>
          <w:tab w:val="num" w:pos="284"/>
        </w:tabs>
        <w:autoSpaceDE w:val="0"/>
        <w:autoSpaceDN w:val="0"/>
        <w:adjustRightInd w:val="0"/>
        <w:spacing w:after="120"/>
        <w:ind w:left="284" w:hanging="284"/>
        <w:rPr>
          <w:rFonts w:ascii="Verdana" w:hAnsi="Verdana"/>
          <w:color w:val="000000"/>
          <w:sz w:val="20"/>
          <w:szCs w:val="20"/>
          <w:lang w:val="en-GB"/>
        </w:rPr>
      </w:pPr>
      <w:proofErr w:type="gramStart"/>
      <w:r w:rsidRPr="00451CFB">
        <w:rPr>
          <w:rFonts w:ascii="Verdana" w:hAnsi="Verdana"/>
          <w:color w:val="000000"/>
          <w:sz w:val="20"/>
          <w:szCs w:val="20"/>
          <w:lang w:val="en-GB"/>
        </w:rPr>
        <w:t>other</w:t>
      </w:r>
      <w:proofErr w:type="gramEnd"/>
      <w:r w:rsidRPr="00451CFB">
        <w:rPr>
          <w:rFonts w:ascii="Verdana" w:hAnsi="Verdana"/>
          <w:color w:val="000000"/>
          <w:sz w:val="20"/>
          <w:szCs w:val="20"/>
          <w:lang w:val="en-GB"/>
        </w:rPr>
        <w:t xml:space="preserve"> possible aims are banking stability, security for the client and the bank’s owner, but also here the original aim of banking – profit achievement – is reflected.</w:t>
      </w:r>
    </w:p>
    <w:p w:rsidR="00346225" w:rsidRPr="00451CFB" w:rsidRDefault="00346225" w:rsidP="00346225">
      <w:pPr>
        <w:autoSpaceDE w:val="0"/>
        <w:autoSpaceDN w:val="0"/>
        <w:adjustRightInd w:val="0"/>
        <w:spacing w:after="120"/>
        <w:rPr>
          <w:rFonts w:ascii="Verdana" w:hAnsi="Verdana"/>
          <w:color w:val="000000"/>
          <w:sz w:val="20"/>
          <w:szCs w:val="20"/>
          <w:lang w:val="en-GB"/>
        </w:rPr>
      </w:pPr>
      <w:r w:rsidRPr="00451CFB">
        <w:rPr>
          <w:rFonts w:ascii="Verdana" w:hAnsi="Verdana"/>
          <w:color w:val="000000"/>
          <w:sz w:val="20"/>
          <w:szCs w:val="20"/>
          <w:lang w:val="en-GB"/>
        </w:rPr>
        <w:t>The primary aim (profit achievement) has to be put in harmony with secondary aims (profitability, bank growth and goodwill). Prerequisites necessary to achieve these aims are security and liquidity of the bank. The bank has to search for a compromise between the aim of profit and security (stability).</w:t>
      </w:r>
    </w:p>
    <w:p w:rsidR="00346225" w:rsidRPr="00451CFB" w:rsidRDefault="00346225" w:rsidP="00346225">
      <w:pPr>
        <w:pStyle w:val="Diplomka-textodstavce"/>
        <w:spacing w:before="0" w:line="240" w:lineRule="auto"/>
        <w:rPr>
          <w:rFonts w:ascii="Verdana" w:hAnsi="Verdana"/>
          <w:sz w:val="20"/>
          <w:lang w:val="en-GB"/>
        </w:rPr>
      </w:pPr>
      <w:r w:rsidRPr="00451CFB">
        <w:rPr>
          <w:rFonts w:ascii="Verdana" w:hAnsi="Verdana"/>
          <w:sz w:val="20"/>
          <w:lang w:val="en-GB"/>
        </w:rPr>
        <w:t xml:space="preserve">The formation of the Eurozone enabled organizations to centralize a huge part of their cash and liquidity, not only within a state, but also on an international level. This allows for a better control of treasury operations in banks as well as businesses. At the international level, it is necessary to take into account the different currencies, legal environments, regulatory frameworks, payment systems and tax regulations in particular countries. Especially tax regulations are highly autonomous in each member state as the tax harmonization is not one of the European Union’s priorities at the moment. This means that it is necessary to know all the above mentioned legal conditions and their application. Companies (also the big international ones) often have no capacity to deal </w:t>
      </w:r>
      <w:r w:rsidRPr="00451CFB">
        <w:rPr>
          <w:rFonts w:ascii="Verdana" w:hAnsi="Verdana"/>
          <w:sz w:val="20"/>
          <w:lang w:val="en-GB"/>
        </w:rPr>
        <w:lastRenderedPageBreak/>
        <w:t xml:space="preserve">with them themselves. As a consequence, they need to use sophisticated banking systems and products. </w:t>
      </w:r>
    </w:p>
    <w:p w:rsidR="00346225" w:rsidRPr="00451CFB" w:rsidRDefault="00346225" w:rsidP="00346225">
      <w:pPr>
        <w:pStyle w:val="Diplomka-textodstavce"/>
        <w:spacing w:before="0" w:line="240" w:lineRule="auto"/>
        <w:rPr>
          <w:rFonts w:ascii="Verdana" w:hAnsi="Verdana"/>
          <w:sz w:val="20"/>
          <w:lang w:val="en-GB"/>
        </w:rPr>
      </w:pPr>
      <w:r w:rsidRPr="00451CFB">
        <w:rPr>
          <w:rFonts w:ascii="Verdana" w:hAnsi="Verdana"/>
          <w:sz w:val="20"/>
          <w:lang w:val="en-GB"/>
        </w:rPr>
        <w:t xml:space="preserve">In spite of all this, the current situation within the field of banking services does not fully reflect the needs of entrepreneurial non-banking entities for sophisticated banking services and everything that is related. This is not a problem of the Czech Republic only; we can see similar tendencies in the surrounding countries. The current Czech literature deals with Cash Management only to such an extent that it states that such a phenomenon exists. Mainly the clarification of Cash Pooling and its significance and impact on economies of banks and organizations is insufficient. </w:t>
      </w:r>
    </w:p>
    <w:p w:rsidR="00346225" w:rsidRPr="00451CFB" w:rsidRDefault="00346225" w:rsidP="00346225">
      <w:pPr>
        <w:pStyle w:val="Zkladntext3"/>
        <w:rPr>
          <w:rFonts w:ascii="Verdana" w:hAnsi="Verdana"/>
          <w:iCs/>
          <w:sz w:val="20"/>
          <w:szCs w:val="20"/>
          <w:lang w:val="en-GB"/>
        </w:rPr>
      </w:pPr>
      <w:r w:rsidRPr="00451CFB">
        <w:rPr>
          <w:rFonts w:ascii="Verdana" w:hAnsi="Verdana"/>
          <w:iCs/>
          <w:sz w:val="20"/>
          <w:szCs w:val="20"/>
          <w:lang w:val="en-GB"/>
        </w:rPr>
        <w:t>Multinational holdings that operate in several countries cannot coordinate financial flows in all their subsidiaries at the same time. And these are the entities that banks’ offers of Cash Management are designed for as in large volumes one can reach the necessary savings that follow from its application. Naturally, banks are also interested in non-profit organizations, organizations of the state administration and mainly self-government for which they have offers of Cash Management as well.</w:t>
      </w:r>
    </w:p>
    <w:p w:rsidR="00346225" w:rsidRPr="00451CFB" w:rsidRDefault="00346225" w:rsidP="00346225">
      <w:pPr>
        <w:pStyle w:val="Diplomka-textodstavce"/>
        <w:spacing w:before="0" w:line="240" w:lineRule="auto"/>
        <w:rPr>
          <w:rFonts w:ascii="Verdana" w:hAnsi="Verdana"/>
          <w:sz w:val="20"/>
          <w:lang w:val="en-GB"/>
        </w:rPr>
      </w:pPr>
      <w:r w:rsidRPr="00451CFB">
        <w:rPr>
          <w:rFonts w:ascii="Verdana" w:hAnsi="Verdana"/>
          <w:sz w:val="20"/>
          <w:lang w:val="en-GB"/>
        </w:rPr>
        <w:t>However, this issue does not relate to multinational organizations only. This also relates to all medium-sized and mainly large companies that have their accounts in more currencies or are divided into several independent entities with their own accounts and differing financial consumptions.</w:t>
      </w:r>
    </w:p>
    <w:p w:rsidR="00346225" w:rsidRPr="00451CFB" w:rsidRDefault="00346225" w:rsidP="00346225">
      <w:pPr>
        <w:pStyle w:val="Diplomka-textodstavce"/>
        <w:spacing w:before="0" w:line="240" w:lineRule="auto"/>
        <w:rPr>
          <w:rFonts w:ascii="Verdana" w:hAnsi="Verdana"/>
          <w:sz w:val="20"/>
          <w:lang w:val="en-GB"/>
        </w:rPr>
      </w:pPr>
      <w:r w:rsidRPr="00451CFB">
        <w:rPr>
          <w:rFonts w:ascii="Verdana" w:hAnsi="Verdana"/>
          <w:sz w:val="20"/>
          <w:lang w:val="en-GB"/>
        </w:rPr>
        <w:t>The requirement concerning the information systems securing Cash Management are huge and they follow from the need to process large volumes of financial data. Banks especially have mechanisms for their monitoring and liquidity management and it is better to use these within the business sector.</w:t>
      </w:r>
    </w:p>
    <w:p w:rsidR="00346225" w:rsidRPr="00451CFB" w:rsidRDefault="00346225" w:rsidP="00346225">
      <w:pPr>
        <w:pStyle w:val="Diplomka-textodstavce"/>
        <w:spacing w:before="0" w:line="240" w:lineRule="auto"/>
        <w:rPr>
          <w:rFonts w:ascii="Verdana" w:hAnsi="Verdana"/>
          <w:sz w:val="20"/>
          <w:lang w:val="en-GB"/>
        </w:rPr>
      </w:pPr>
      <w:r w:rsidRPr="00451CFB">
        <w:rPr>
          <w:rFonts w:ascii="Verdana" w:hAnsi="Verdana"/>
          <w:sz w:val="20"/>
          <w:lang w:val="en-GB"/>
        </w:rPr>
        <w:t>The determining factors for further development of banking services, especially Cash Management, are:</w:t>
      </w:r>
    </w:p>
    <w:p w:rsidR="00346225" w:rsidRPr="00451CFB" w:rsidRDefault="00346225" w:rsidP="00346225">
      <w:pPr>
        <w:numPr>
          <w:ilvl w:val="0"/>
          <w:numId w:val="18"/>
        </w:numPr>
        <w:tabs>
          <w:tab w:val="clear" w:pos="340"/>
          <w:tab w:val="num" w:pos="284"/>
        </w:tabs>
        <w:spacing w:after="120"/>
        <w:ind w:left="284" w:hanging="284"/>
        <w:rPr>
          <w:rFonts w:ascii="Verdana" w:hAnsi="Verdana"/>
          <w:sz w:val="20"/>
          <w:szCs w:val="20"/>
          <w:lang w:val="en-GB"/>
        </w:rPr>
      </w:pPr>
      <w:r w:rsidRPr="00451CFB">
        <w:rPr>
          <w:rFonts w:ascii="Verdana" w:hAnsi="Verdana"/>
          <w:sz w:val="20"/>
          <w:szCs w:val="20"/>
          <w:lang w:val="en-GB"/>
        </w:rPr>
        <w:t>Development of information technologies. Their development and new opportunities they have brought in the last 30 years (since the mid-1980s) have enabled banks to use them fully within their offers to clients. The development of information technologies enabled the creation and development of sophisticated banking services as well as the possibility to offer banking services to a higher number of clients, mainly the development of banking for a wider range of small clients. Retail banking is directly related to a growing capacity of bank computers that are able to process a huge amount of data. This is then reflected in an increase in profits of the banking sector.</w:t>
      </w:r>
    </w:p>
    <w:p w:rsidR="00346225" w:rsidRPr="00451CFB" w:rsidRDefault="00346225" w:rsidP="00346225">
      <w:pPr>
        <w:numPr>
          <w:ilvl w:val="0"/>
          <w:numId w:val="18"/>
        </w:numPr>
        <w:tabs>
          <w:tab w:val="clear" w:pos="340"/>
          <w:tab w:val="num" w:pos="284"/>
        </w:tabs>
        <w:spacing w:after="120"/>
        <w:ind w:left="284" w:hanging="284"/>
        <w:rPr>
          <w:rFonts w:ascii="Verdana" w:hAnsi="Verdana"/>
          <w:sz w:val="20"/>
          <w:szCs w:val="20"/>
          <w:lang w:val="en-GB"/>
        </w:rPr>
      </w:pPr>
      <w:r w:rsidRPr="00451CFB">
        <w:rPr>
          <w:rFonts w:ascii="Verdana" w:hAnsi="Verdana"/>
          <w:sz w:val="20"/>
          <w:szCs w:val="20"/>
          <w:lang w:val="en-GB"/>
        </w:rPr>
        <w:t>Pressure of large clients and clients who are significant for the banks, and mainly their consultants, to use and create new and more sophisticated products that bring cost savings.</w:t>
      </w:r>
    </w:p>
    <w:p w:rsidR="00346225" w:rsidRPr="00451CFB" w:rsidRDefault="00346225" w:rsidP="00346225">
      <w:pPr>
        <w:numPr>
          <w:ilvl w:val="0"/>
          <w:numId w:val="18"/>
        </w:numPr>
        <w:tabs>
          <w:tab w:val="clear" w:pos="340"/>
          <w:tab w:val="num" w:pos="284"/>
        </w:tabs>
        <w:spacing w:after="120"/>
        <w:ind w:left="284" w:hanging="284"/>
        <w:rPr>
          <w:rFonts w:ascii="Verdana" w:hAnsi="Verdana"/>
          <w:sz w:val="20"/>
          <w:szCs w:val="20"/>
          <w:lang w:val="en-GB"/>
        </w:rPr>
      </w:pPr>
      <w:r w:rsidRPr="00451CFB">
        <w:rPr>
          <w:rFonts w:ascii="Verdana" w:hAnsi="Verdana"/>
          <w:sz w:val="20"/>
          <w:szCs w:val="20"/>
          <w:lang w:val="en-GB"/>
        </w:rPr>
        <w:t>Marketing strategies of banks that focus on gaining the market and needs of large and multinational clients who are able to bring huge profits even with the low margins, due to the low costs of services (much fewer bank employees are needed for them than for a comparable volumes and profits in the case of smaller clients). This indicates the need to offer these clients services that are attractive for them.</w:t>
      </w:r>
    </w:p>
    <w:p w:rsidR="00346225" w:rsidRPr="00451CFB" w:rsidRDefault="00346225" w:rsidP="00346225">
      <w:pPr>
        <w:spacing w:after="120"/>
        <w:rPr>
          <w:rFonts w:ascii="Verdana" w:hAnsi="Verdana"/>
          <w:sz w:val="20"/>
          <w:szCs w:val="20"/>
          <w:lang w:val="en-GB"/>
        </w:rPr>
      </w:pPr>
      <w:r w:rsidRPr="00451CFB">
        <w:rPr>
          <w:rFonts w:ascii="Verdana" w:hAnsi="Verdana"/>
          <w:sz w:val="20"/>
          <w:szCs w:val="20"/>
          <w:lang w:val="en-GB"/>
        </w:rPr>
        <w:t>There are two opposing tendencies in the relations of banks to Cash Management. On the one hand, banks are aware that they need to offer their top clients from the “blue chips” category most interesting and innovated banking products and services. On the other hand, they are aware that these offers reduce the profit made from these clients. These are also marketing strategies aimed at gaining and keeping a client – especially a client who is strategically significant. Banks perceive these costs as costs of keeping clients in the environment of growing competition and with the purpose of achieving economies of scale.</w:t>
      </w:r>
    </w:p>
    <w:p w:rsidR="00346225" w:rsidRPr="00451CFB" w:rsidRDefault="00346225" w:rsidP="00346225">
      <w:pPr>
        <w:spacing w:after="120"/>
        <w:rPr>
          <w:rFonts w:ascii="Verdana" w:hAnsi="Verdana"/>
          <w:sz w:val="20"/>
          <w:szCs w:val="20"/>
          <w:lang w:val="en-GB"/>
        </w:rPr>
      </w:pPr>
      <w:r w:rsidRPr="00451CFB">
        <w:rPr>
          <w:rFonts w:ascii="Verdana" w:hAnsi="Verdana"/>
          <w:sz w:val="20"/>
          <w:szCs w:val="20"/>
          <w:lang w:val="en-GB"/>
        </w:rPr>
        <w:lastRenderedPageBreak/>
        <w:t>These strategies are applied to gaining and keeping clients that are significantly interesting for banks. These are the clients that are related to other bank’s clients or its potential clients.</w:t>
      </w:r>
    </w:p>
    <w:p w:rsidR="00346225" w:rsidRPr="00451CFB" w:rsidRDefault="00346225" w:rsidP="00346225">
      <w:pPr>
        <w:spacing w:after="120"/>
        <w:rPr>
          <w:rFonts w:ascii="Verdana" w:hAnsi="Verdana"/>
          <w:sz w:val="20"/>
          <w:szCs w:val="20"/>
          <w:lang w:val="en-GB"/>
        </w:rPr>
      </w:pPr>
      <w:r w:rsidRPr="00451CFB">
        <w:rPr>
          <w:rFonts w:ascii="Verdana" w:hAnsi="Verdana"/>
          <w:sz w:val="20"/>
          <w:szCs w:val="20"/>
          <w:lang w:val="en-GB"/>
        </w:rPr>
        <w:t>This all increases the significance of Cash Management as a highly innovative product of modern banking in the conditions of growing competition at the banking market.</w:t>
      </w:r>
    </w:p>
    <w:p w:rsidR="00346225" w:rsidRPr="00451CFB" w:rsidRDefault="00346225" w:rsidP="00346225">
      <w:pPr>
        <w:spacing w:after="120"/>
        <w:rPr>
          <w:rFonts w:ascii="Verdana" w:hAnsi="Verdana"/>
          <w:sz w:val="20"/>
          <w:szCs w:val="20"/>
          <w:lang w:val="en-GB"/>
        </w:rPr>
      </w:pPr>
      <w:r w:rsidRPr="00451CFB">
        <w:rPr>
          <w:rFonts w:ascii="Verdana" w:hAnsi="Verdana"/>
          <w:sz w:val="20"/>
          <w:szCs w:val="20"/>
          <w:lang w:val="en-GB"/>
        </w:rPr>
        <w:t>Cash Management is in its basis formed by a combination of classical banking products. An important innovation is its part – Cash Pooling. A significant role is also played by Shared Services Centres whose use is offered by banks within Cash Management. Thanks to the interconnection and compilation of classical banking products into the resulting product offered to clients, Cash Management is considered a sophisticated banking product.</w:t>
      </w:r>
    </w:p>
    <w:p w:rsidR="00346225" w:rsidRPr="00451CFB" w:rsidRDefault="00346225" w:rsidP="00346225">
      <w:pPr>
        <w:spacing w:after="120"/>
        <w:rPr>
          <w:rFonts w:ascii="Verdana" w:hAnsi="Verdana"/>
          <w:sz w:val="20"/>
          <w:szCs w:val="20"/>
          <w:lang w:val="en-GB"/>
        </w:rPr>
      </w:pPr>
      <w:r w:rsidRPr="00451CFB">
        <w:rPr>
          <w:rFonts w:ascii="Verdana" w:hAnsi="Verdana"/>
          <w:sz w:val="20"/>
          <w:szCs w:val="20"/>
          <w:lang w:val="en-GB"/>
        </w:rPr>
        <w:t>The centralized management of liquidity performed by banks for their clients (Cash Management) was created in the 1980s and the 1990s as a result of:</w:t>
      </w:r>
    </w:p>
    <w:p w:rsidR="00346225" w:rsidRPr="00451CFB" w:rsidRDefault="00346225" w:rsidP="00346225">
      <w:pPr>
        <w:numPr>
          <w:ilvl w:val="0"/>
          <w:numId w:val="19"/>
        </w:numPr>
        <w:tabs>
          <w:tab w:val="clear" w:pos="340"/>
          <w:tab w:val="num" w:pos="284"/>
        </w:tabs>
        <w:spacing w:after="120"/>
        <w:ind w:left="284" w:hanging="284"/>
        <w:rPr>
          <w:rFonts w:ascii="Verdana" w:hAnsi="Verdana"/>
          <w:sz w:val="20"/>
          <w:szCs w:val="20"/>
          <w:lang w:val="en-GB"/>
        </w:rPr>
      </w:pPr>
      <w:r w:rsidRPr="00451CFB">
        <w:rPr>
          <w:rFonts w:ascii="Verdana" w:hAnsi="Verdana"/>
          <w:sz w:val="20"/>
          <w:szCs w:val="20"/>
          <w:lang w:val="en-GB"/>
        </w:rPr>
        <w:t>pressure of top bank clients;</w:t>
      </w:r>
    </w:p>
    <w:p w:rsidR="00346225" w:rsidRPr="00451CFB" w:rsidRDefault="00346225" w:rsidP="00346225">
      <w:pPr>
        <w:numPr>
          <w:ilvl w:val="0"/>
          <w:numId w:val="19"/>
        </w:numPr>
        <w:tabs>
          <w:tab w:val="clear" w:pos="340"/>
          <w:tab w:val="num" w:pos="284"/>
        </w:tabs>
        <w:spacing w:after="120"/>
        <w:ind w:left="284" w:hanging="284"/>
        <w:rPr>
          <w:rFonts w:ascii="Verdana" w:hAnsi="Verdana"/>
          <w:sz w:val="20"/>
          <w:szCs w:val="20"/>
          <w:lang w:val="en-GB"/>
        </w:rPr>
      </w:pPr>
      <w:r w:rsidRPr="00451CFB">
        <w:rPr>
          <w:rFonts w:ascii="Verdana" w:hAnsi="Verdana"/>
          <w:sz w:val="20"/>
          <w:szCs w:val="20"/>
          <w:lang w:val="en-GB"/>
        </w:rPr>
        <w:t>demand for new, more sophisticated banking services;</w:t>
      </w:r>
    </w:p>
    <w:p w:rsidR="00346225" w:rsidRPr="00451CFB" w:rsidRDefault="00346225" w:rsidP="00346225">
      <w:pPr>
        <w:numPr>
          <w:ilvl w:val="0"/>
          <w:numId w:val="20"/>
        </w:numPr>
        <w:tabs>
          <w:tab w:val="clear" w:pos="340"/>
          <w:tab w:val="num" w:pos="284"/>
        </w:tabs>
        <w:spacing w:after="120"/>
        <w:ind w:left="284" w:hanging="284"/>
        <w:rPr>
          <w:rFonts w:ascii="Verdana" w:hAnsi="Verdana"/>
          <w:sz w:val="20"/>
          <w:szCs w:val="20"/>
          <w:lang w:val="en-GB"/>
        </w:rPr>
      </w:pPr>
      <w:r w:rsidRPr="00451CFB">
        <w:rPr>
          <w:rFonts w:ascii="Verdana" w:hAnsi="Verdana"/>
          <w:sz w:val="20"/>
          <w:szCs w:val="20"/>
          <w:lang w:val="en-GB"/>
        </w:rPr>
        <w:t xml:space="preserve">development of information technologies, fast and trouble-free connection that allows banks to offer new products; </w:t>
      </w:r>
    </w:p>
    <w:p w:rsidR="00346225" w:rsidRPr="00451CFB" w:rsidRDefault="00346225" w:rsidP="00346225">
      <w:pPr>
        <w:numPr>
          <w:ilvl w:val="0"/>
          <w:numId w:val="20"/>
        </w:numPr>
        <w:tabs>
          <w:tab w:val="clear" w:pos="340"/>
          <w:tab w:val="num" w:pos="284"/>
        </w:tabs>
        <w:spacing w:after="120"/>
        <w:ind w:left="284" w:hanging="284"/>
        <w:rPr>
          <w:rFonts w:ascii="Verdana" w:hAnsi="Verdana"/>
          <w:sz w:val="20"/>
          <w:szCs w:val="20"/>
          <w:lang w:val="en-GB"/>
        </w:rPr>
      </w:pPr>
      <w:r w:rsidRPr="00451CFB">
        <w:rPr>
          <w:rFonts w:ascii="Verdana" w:hAnsi="Verdana"/>
          <w:sz w:val="20"/>
          <w:szCs w:val="20"/>
          <w:lang w:val="en-GB"/>
        </w:rPr>
        <w:t>expansion of the clearing interbank payment system, which is considerably cheaper and faster than correspondence payments;</w:t>
      </w:r>
    </w:p>
    <w:p w:rsidR="00346225" w:rsidRPr="00451CFB" w:rsidRDefault="00346225" w:rsidP="00346225">
      <w:pPr>
        <w:numPr>
          <w:ilvl w:val="0"/>
          <w:numId w:val="20"/>
        </w:numPr>
        <w:tabs>
          <w:tab w:val="clear" w:pos="340"/>
          <w:tab w:val="num" w:pos="284"/>
        </w:tabs>
        <w:spacing w:after="120"/>
        <w:ind w:left="284" w:hanging="284"/>
        <w:rPr>
          <w:rFonts w:ascii="Verdana" w:hAnsi="Verdana"/>
          <w:sz w:val="20"/>
          <w:szCs w:val="20"/>
          <w:lang w:val="en-GB"/>
        </w:rPr>
      </w:pPr>
      <w:r w:rsidRPr="00451CFB">
        <w:rPr>
          <w:rFonts w:ascii="Verdana" w:hAnsi="Verdana"/>
          <w:sz w:val="20"/>
          <w:szCs w:val="20"/>
          <w:lang w:val="en-GB"/>
        </w:rPr>
        <w:t>implementation of “clearing centres” within bank holdings;</w:t>
      </w:r>
    </w:p>
    <w:p w:rsidR="00346225" w:rsidRPr="00451CFB" w:rsidRDefault="00346225" w:rsidP="00346225">
      <w:pPr>
        <w:numPr>
          <w:ilvl w:val="0"/>
          <w:numId w:val="20"/>
        </w:numPr>
        <w:tabs>
          <w:tab w:val="clear" w:pos="340"/>
          <w:tab w:val="num" w:pos="284"/>
        </w:tabs>
        <w:spacing w:after="120"/>
        <w:ind w:left="284" w:hanging="284"/>
        <w:rPr>
          <w:rFonts w:ascii="Verdana" w:hAnsi="Verdana"/>
          <w:sz w:val="20"/>
          <w:szCs w:val="20"/>
          <w:lang w:val="en-GB"/>
        </w:rPr>
      </w:pPr>
      <w:r w:rsidRPr="00451CFB">
        <w:rPr>
          <w:rFonts w:ascii="Verdana" w:hAnsi="Verdana"/>
          <w:sz w:val="20"/>
          <w:szCs w:val="20"/>
          <w:lang w:val="en-GB"/>
        </w:rPr>
        <w:t>initiatives of the European Commission, which in 2004 cancelled the tax on cross-border interest payment in most EU member states and thus made the real Cash Pooling more attractive; in January 2006 charges for cross-border transactions up to 50,000 EUR were reduced as they cannot be higher than charges for inter-state transactions (in both cases this concerns interbank transactions and is valid for the states of the Eurozone).</w:t>
      </w:r>
    </w:p>
    <w:p w:rsidR="00346225" w:rsidRPr="00451CFB" w:rsidRDefault="00346225" w:rsidP="00346225">
      <w:pPr>
        <w:spacing w:after="120"/>
        <w:rPr>
          <w:rFonts w:ascii="Verdana" w:hAnsi="Verdana"/>
          <w:sz w:val="20"/>
          <w:szCs w:val="20"/>
          <w:lang w:val="en-GB"/>
        </w:rPr>
      </w:pPr>
      <w:r w:rsidRPr="00451CFB">
        <w:rPr>
          <w:rFonts w:ascii="Verdana" w:hAnsi="Verdana"/>
          <w:sz w:val="20"/>
          <w:szCs w:val="20"/>
          <w:lang w:val="en-GB"/>
        </w:rPr>
        <w:t xml:space="preserve">These factors made banks able to expand the range of Cash Management products (especially its determining part – Cash Pooling) for organizations. Cash Management and Cash Pooling are offered to banks’ best clients, especially: </w:t>
      </w:r>
    </w:p>
    <w:p w:rsidR="00346225" w:rsidRPr="00451CFB" w:rsidRDefault="00346225" w:rsidP="00346225">
      <w:pPr>
        <w:numPr>
          <w:ilvl w:val="0"/>
          <w:numId w:val="16"/>
        </w:numPr>
        <w:tabs>
          <w:tab w:val="clear" w:pos="340"/>
          <w:tab w:val="num" w:pos="284"/>
        </w:tabs>
        <w:spacing w:after="120"/>
        <w:ind w:left="284" w:hanging="284"/>
        <w:rPr>
          <w:rFonts w:ascii="Verdana" w:hAnsi="Verdana"/>
          <w:sz w:val="20"/>
          <w:szCs w:val="20"/>
          <w:lang w:val="en-GB"/>
        </w:rPr>
      </w:pPr>
      <w:r w:rsidRPr="00451CFB">
        <w:rPr>
          <w:rFonts w:ascii="Verdana" w:hAnsi="Verdana"/>
          <w:sz w:val="20"/>
          <w:szCs w:val="20"/>
          <w:lang w:val="en-GB"/>
        </w:rPr>
        <w:t>clients who actively show interest in these products;</w:t>
      </w:r>
    </w:p>
    <w:p w:rsidR="00346225" w:rsidRPr="00451CFB" w:rsidRDefault="00346225" w:rsidP="00346225">
      <w:pPr>
        <w:numPr>
          <w:ilvl w:val="0"/>
          <w:numId w:val="16"/>
        </w:numPr>
        <w:tabs>
          <w:tab w:val="clear" w:pos="340"/>
          <w:tab w:val="num" w:pos="284"/>
        </w:tabs>
        <w:spacing w:after="120"/>
        <w:ind w:left="284" w:hanging="284"/>
        <w:rPr>
          <w:rFonts w:ascii="Verdana" w:hAnsi="Verdana"/>
          <w:sz w:val="20"/>
          <w:szCs w:val="20"/>
          <w:lang w:val="en-GB"/>
        </w:rPr>
      </w:pPr>
      <w:r w:rsidRPr="00451CFB">
        <w:rPr>
          <w:rFonts w:ascii="Verdana" w:hAnsi="Verdana"/>
          <w:sz w:val="20"/>
          <w:szCs w:val="20"/>
          <w:lang w:val="en-GB"/>
        </w:rPr>
        <w:t>as an offer during acquisitions of the clients banks are interested in;</w:t>
      </w:r>
    </w:p>
    <w:p w:rsidR="00346225" w:rsidRPr="00451CFB" w:rsidRDefault="00346225" w:rsidP="00516A2E">
      <w:pPr>
        <w:numPr>
          <w:ilvl w:val="0"/>
          <w:numId w:val="16"/>
        </w:numPr>
        <w:tabs>
          <w:tab w:val="clear" w:pos="340"/>
          <w:tab w:val="num" w:pos="284"/>
        </w:tabs>
        <w:spacing w:after="240"/>
        <w:ind w:left="284" w:hanging="284"/>
        <w:rPr>
          <w:rFonts w:ascii="Verdana" w:hAnsi="Verdana"/>
          <w:sz w:val="20"/>
          <w:szCs w:val="20"/>
          <w:lang w:val="en-GB"/>
        </w:rPr>
      </w:pPr>
      <w:proofErr w:type="gramStart"/>
      <w:r w:rsidRPr="00451CFB">
        <w:rPr>
          <w:rFonts w:ascii="Verdana" w:hAnsi="Verdana"/>
          <w:sz w:val="20"/>
          <w:szCs w:val="20"/>
          <w:lang w:val="en-GB"/>
        </w:rPr>
        <w:t>to</w:t>
      </w:r>
      <w:proofErr w:type="gramEnd"/>
      <w:r w:rsidRPr="00451CFB">
        <w:rPr>
          <w:rFonts w:ascii="Verdana" w:hAnsi="Verdana"/>
          <w:sz w:val="20"/>
          <w:szCs w:val="20"/>
          <w:lang w:val="en-GB"/>
        </w:rPr>
        <w:t xml:space="preserve"> keep significant clients other banks are interested in.</w:t>
      </w:r>
    </w:p>
    <w:p w:rsidR="00516A2E" w:rsidRDefault="00516A2E" w:rsidP="00516A2E">
      <w:pPr>
        <w:pStyle w:val="Nadpis1"/>
        <w:numPr>
          <w:ilvl w:val="0"/>
          <w:numId w:val="0"/>
        </w:numPr>
        <w:spacing w:before="0" w:after="120"/>
        <w:rPr>
          <w:rFonts w:ascii="Verdana" w:hAnsi="Verdana"/>
          <w:sz w:val="22"/>
          <w:szCs w:val="22"/>
        </w:rPr>
      </w:pPr>
      <w:r w:rsidRPr="00FF6009">
        <w:rPr>
          <w:rFonts w:ascii="Verdana" w:hAnsi="Verdana"/>
          <w:sz w:val="22"/>
          <w:szCs w:val="22"/>
        </w:rPr>
        <w:t xml:space="preserve">2 </w:t>
      </w:r>
      <w:r>
        <w:rPr>
          <w:rFonts w:ascii="Verdana" w:hAnsi="Verdana"/>
          <w:sz w:val="22"/>
          <w:szCs w:val="22"/>
        </w:rPr>
        <w:t>Model of Cash Management and Cash Pooling application suitability</w:t>
      </w:r>
    </w:p>
    <w:p w:rsidR="00D737C2" w:rsidRPr="00B76C0C" w:rsidRDefault="00D737C2" w:rsidP="00D737C2">
      <w:pPr>
        <w:spacing w:after="120"/>
        <w:rPr>
          <w:rFonts w:ascii="Verdana" w:hAnsi="Verdana"/>
          <w:sz w:val="20"/>
          <w:szCs w:val="20"/>
          <w:lang w:val="en-GB"/>
        </w:rPr>
      </w:pPr>
      <w:r w:rsidRPr="00B76C0C">
        <w:rPr>
          <w:rFonts w:ascii="Verdana" w:hAnsi="Verdana"/>
          <w:sz w:val="20"/>
          <w:szCs w:val="20"/>
          <w:lang w:val="en-GB"/>
        </w:rPr>
        <w:t xml:space="preserve">Based on the analysis and the conducted survey, discussions with experts in banks, authors’ own experience, and SWOT analysis of Cash Management and Cash Pooling, a model was designed that allows for evaluation of Cash Management and Cash Pooling suitability for a client. </w:t>
      </w:r>
    </w:p>
    <w:p w:rsidR="00D737C2" w:rsidRPr="00B76C0C" w:rsidRDefault="00D737C2" w:rsidP="00D737C2">
      <w:pPr>
        <w:spacing w:after="120"/>
        <w:rPr>
          <w:rFonts w:ascii="Verdana" w:hAnsi="Verdana"/>
          <w:sz w:val="20"/>
          <w:szCs w:val="20"/>
          <w:highlight w:val="yellow"/>
          <w:lang w:val="en-GB"/>
        </w:rPr>
      </w:pPr>
      <w:r w:rsidRPr="00B76C0C">
        <w:rPr>
          <w:rFonts w:ascii="Verdana" w:hAnsi="Verdana"/>
          <w:sz w:val="20"/>
          <w:szCs w:val="20"/>
          <w:lang w:val="en-GB"/>
        </w:rPr>
        <w:t>The model is not to establish exactly to what extent of the client’s final ranking it is suitable to apply Cash Management or Cash Pooling, but to demonstrate a bank’s expected interest in the client. Each bank has its own conditions for acquisition of clients and this model aims to make their work easier.</w:t>
      </w:r>
    </w:p>
    <w:p w:rsidR="00D737C2" w:rsidRPr="00B76C0C" w:rsidRDefault="00D737C2" w:rsidP="00D737C2">
      <w:pPr>
        <w:spacing w:after="120"/>
        <w:rPr>
          <w:rFonts w:ascii="Verdana" w:hAnsi="Verdana"/>
          <w:sz w:val="20"/>
          <w:szCs w:val="20"/>
          <w:lang w:val="en-GB"/>
        </w:rPr>
      </w:pPr>
      <w:r w:rsidRPr="00B76C0C">
        <w:rPr>
          <w:rFonts w:ascii="Verdana" w:hAnsi="Verdana"/>
          <w:sz w:val="20"/>
          <w:szCs w:val="20"/>
          <w:lang w:val="en-GB"/>
        </w:rPr>
        <w:t xml:space="preserve">The model design will include its testing and establishment of approximate values for the suitability of Cash Management and Cash Pooling offer and application. </w:t>
      </w:r>
    </w:p>
    <w:p w:rsidR="00D737C2" w:rsidRPr="00B76C0C" w:rsidRDefault="00D737C2" w:rsidP="00D737C2">
      <w:pPr>
        <w:spacing w:after="120"/>
        <w:rPr>
          <w:rFonts w:ascii="Verdana" w:hAnsi="Verdana"/>
          <w:sz w:val="20"/>
          <w:szCs w:val="20"/>
          <w:lang w:val="en-GB"/>
        </w:rPr>
      </w:pPr>
      <w:r w:rsidRPr="00B76C0C">
        <w:rPr>
          <w:rFonts w:ascii="Verdana" w:hAnsi="Verdana"/>
          <w:sz w:val="20"/>
          <w:szCs w:val="20"/>
          <w:lang w:val="en-GB"/>
        </w:rPr>
        <w:t>The model results can be used as a marketing tool for acquisition of clients; the bank can demonstrate the suitability of these applications for its clients using the mathematical model.</w:t>
      </w:r>
    </w:p>
    <w:p w:rsidR="00D737C2" w:rsidRPr="00B76C0C" w:rsidRDefault="00D737C2" w:rsidP="00D737C2">
      <w:pPr>
        <w:spacing w:after="120"/>
        <w:rPr>
          <w:rFonts w:ascii="Verdana" w:hAnsi="Verdana"/>
          <w:sz w:val="20"/>
          <w:szCs w:val="20"/>
          <w:lang w:val="en-GB"/>
        </w:rPr>
      </w:pPr>
      <w:r w:rsidRPr="00B76C0C">
        <w:rPr>
          <w:rFonts w:ascii="Verdana" w:hAnsi="Verdana"/>
          <w:sz w:val="20"/>
          <w:szCs w:val="20"/>
          <w:lang w:val="en-GB"/>
        </w:rPr>
        <w:lastRenderedPageBreak/>
        <w:t>Further, they can be used by banks’ clients as a tool that declares their attractiveness for banks and also from the perspective of their clients’ interests. Due to the parameters of the correlation analysis, where individual factors are put in relation to clients’ savings, the model also presents the client’s suitability for application of Cash Management and Cash Pooling from their own point of view, related to cost savings.</w:t>
      </w:r>
    </w:p>
    <w:p w:rsidR="00D737C2" w:rsidRPr="00B76C0C" w:rsidRDefault="00D737C2" w:rsidP="00D737C2">
      <w:pPr>
        <w:spacing w:after="120"/>
        <w:rPr>
          <w:rFonts w:ascii="Verdana" w:hAnsi="Verdana"/>
          <w:sz w:val="20"/>
          <w:szCs w:val="20"/>
          <w:lang w:val="en-GB"/>
        </w:rPr>
      </w:pPr>
      <w:r w:rsidRPr="00B76C0C">
        <w:rPr>
          <w:rFonts w:ascii="Verdana" w:hAnsi="Verdana"/>
          <w:sz w:val="20"/>
          <w:szCs w:val="20"/>
          <w:lang w:val="en-GB"/>
        </w:rPr>
        <w:t>If the conditions for Cash Management to be offered are met, conditions for Cash Pooling are tested. Some conditions are repeated, they need to be evaluated separately for Cash Pooling, where the risk of active banking trades is partially included. These can be not only operating loans and investment credits but also off-balance sheet trades on the asset side and credit cards. A complex modular method was used for the evaluation itself. The method allows us to create an evaluation model for Cash Management and Cash Pooling application suited to the current needs, while keeping the needed input parameters.</w:t>
      </w:r>
    </w:p>
    <w:p w:rsidR="00D737C2" w:rsidRPr="00B76C0C" w:rsidRDefault="00D737C2" w:rsidP="00D737C2">
      <w:pPr>
        <w:spacing w:after="120"/>
        <w:rPr>
          <w:rFonts w:ascii="Verdana" w:hAnsi="Verdana"/>
          <w:sz w:val="20"/>
          <w:szCs w:val="20"/>
          <w:lang w:val="en-GB"/>
        </w:rPr>
      </w:pPr>
      <w:r w:rsidRPr="00B76C0C">
        <w:rPr>
          <w:rFonts w:ascii="Verdana" w:hAnsi="Verdana"/>
          <w:sz w:val="20"/>
          <w:szCs w:val="20"/>
          <w:lang w:val="en-GB"/>
        </w:rPr>
        <w:t xml:space="preserve">After we had studied the options modular methods provide, we chose </w:t>
      </w:r>
      <w:proofErr w:type="spellStart"/>
      <w:r w:rsidRPr="00B76C0C">
        <w:rPr>
          <w:rFonts w:ascii="Verdana" w:hAnsi="Verdana"/>
          <w:sz w:val="20"/>
          <w:szCs w:val="20"/>
          <w:lang w:val="en-GB"/>
        </w:rPr>
        <w:t>Mařík’s</w:t>
      </w:r>
      <w:proofErr w:type="spellEnd"/>
      <w:r w:rsidRPr="00B76C0C">
        <w:rPr>
          <w:rFonts w:ascii="Verdana" w:hAnsi="Verdana"/>
          <w:sz w:val="20"/>
          <w:szCs w:val="20"/>
          <w:lang w:val="en-GB"/>
        </w:rPr>
        <w:t xml:space="preserve"> “Complex Modular Model”, which provides the best conditions thanks to its variability. The model enables the user to change individual criteria if necessary. The significance weights within the model were established based on the results of the correlation analysis. The results of the correlation analysis reached values of correlation coefficients from 0.08975 (negligible correlation) to 0.94654 (very high degree of correlations). Correlation coefficients were used for the establishment of significance weights of individual criteria within the “Complex Modular Model”.</w:t>
      </w:r>
    </w:p>
    <w:p w:rsidR="00D737C2" w:rsidRPr="00B76C0C" w:rsidRDefault="00D737C2" w:rsidP="00D737C2">
      <w:pPr>
        <w:spacing w:after="120"/>
        <w:rPr>
          <w:rFonts w:ascii="Verdana" w:hAnsi="Verdana"/>
          <w:sz w:val="20"/>
          <w:szCs w:val="20"/>
          <w:lang w:val="en-GB"/>
        </w:rPr>
      </w:pPr>
      <w:r w:rsidRPr="00B76C0C">
        <w:rPr>
          <w:rFonts w:ascii="Verdana" w:hAnsi="Verdana"/>
          <w:sz w:val="20"/>
          <w:szCs w:val="20"/>
          <w:lang w:val="en-GB"/>
        </w:rPr>
        <w:t>For the evaluation of Cash Management and Cash Pooling, the following factors and criteria enter the model and are specified closer if necessary based on the division between Cash Management and Cash Pooling:</w:t>
      </w:r>
    </w:p>
    <w:p w:rsidR="00D737C2" w:rsidRPr="00B76C0C" w:rsidRDefault="00D737C2" w:rsidP="00D737C2">
      <w:pPr>
        <w:pStyle w:val="Odstavecseseznamem"/>
        <w:numPr>
          <w:ilvl w:val="0"/>
          <w:numId w:val="21"/>
        </w:numPr>
        <w:spacing w:after="120"/>
        <w:ind w:left="284" w:hanging="284"/>
        <w:contextualSpacing w:val="0"/>
        <w:rPr>
          <w:rFonts w:ascii="Verdana" w:hAnsi="Verdana"/>
          <w:sz w:val="20"/>
          <w:szCs w:val="20"/>
          <w:lang w:val="en-GB"/>
        </w:rPr>
      </w:pPr>
      <w:r w:rsidRPr="00B76C0C">
        <w:rPr>
          <w:rFonts w:ascii="Verdana" w:hAnsi="Verdana"/>
          <w:b/>
          <w:sz w:val="20"/>
          <w:szCs w:val="20"/>
          <w:lang w:val="en-GB"/>
        </w:rPr>
        <w:t>Factors</w:t>
      </w:r>
      <w:r w:rsidRPr="00B76C0C">
        <w:rPr>
          <w:rFonts w:ascii="Verdana" w:hAnsi="Verdana"/>
          <w:sz w:val="20"/>
          <w:szCs w:val="20"/>
          <w:lang w:val="en-GB"/>
        </w:rPr>
        <w:t xml:space="preserve"> – basic factors that are established so that they express the suitability of a client for the application, e.g. external factors, internal factors, etc.</w:t>
      </w:r>
    </w:p>
    <w:p w:rsidR="00D737C2" w:rsidRPr="00B76C0C" w:rsidRDefault="00D737C2" w:rsidP="00D737C2">
      <w:pPr>
        <w:pStyle w:val="Odstavecseseznamem"/>
        <w:numPr>
          <w:ilvl w:val="0"/>
          <w:numId w:val="21"/>
        </w:numPr>
        <w:spacing w:after="120"/>
        <w:ind w:left="284" w:hanging="284"/>
        <w:contextualSpacing w:val="0"/>
        <w:rPr>
          <w:rFonts w:ascii="Verdana" w:hAnsi="Verdana"/>
          <w:sz w:val="20"/>
          <w:szCs w:val="20"/>
          <w:lang w:val="en-GB"/>
        </w:rPr>
      </w:pPr>
      <w:r w:rsidRPr="00B76C0C">
        <w:rPr>
          <w:rFonts w:ascii="Verdana" w:hAnsi="Verdana"/>
          <w:b/>
          <w:sz w:val="20"/>
          <w:szCs w:val="20"/>
          <w:lang w:val="en-GB"/>
        </w:rPr>
        <w:t xml:space="preserve">Criteria </w:t>
      </w:r>
      <w:r w:rsidRPr="00B76C0C">
        <w:rPr>
          <w:rFonts w:ascii="Verdana" w:hAnsi="Verdana"/>
          <w:sz w:val="20"/>
          <w:szCs w:val="20"/>
          <w:lang w:val="en-GB"/>
        </w:rPr>
        <w:t>– divide the factors; the criteria that express the necessary extent of the factor are chosen: e.g. external factors include criteria such as local interest rates, inflation, client’s solvency and the sector where the client is active.</w:t>
      </w:r>
    </w:p>
    <w:p w:rsidR="00D737C2" w:rsidRPr="00B76C0C" w:rsidRDefault="00D737C2" w:rsidP="00D737C2">
      <w:pPr>
        <w:pStyle w:val="Odstavecseseznamem"/>
        <w:numPr>
          <w:ilvl w:val="0"/>
          <w:numId w:val="21"/>
        </w:numPr>
        <w:spacing w:after="120"/>
        <w:ind w:left="284" w:hanging="284"/>
        <w:contextualSpacing w:val="0"/>
        <w:rPr>
          <w:rFonts w:ascii="Verdana" w:hAnsi="Verdana"/>
          <w:sz w:val="20"/>
          <w:szCs w:val="20"/>
          <w:lang w:val="en-GB"/>
        </w:rPr>
      </w:pPr>
      <w:proofErr w:type="gramStart"/>
      <w:r w:rsidRPr="00B76C0C">
        <w:rPr>
          <w:rFonts w:ascii="Verdana" w:hAnsi="Verdana"/>
          <w:b/>
          <w:sz w:val="20"/>
          <w:szCs w:val="20"/>
          <w:lang w:val="en-GB"/>
        </w:rPr>
        <w:t>Value of criterion</w:t>
      </w:r>
      <w:r w:rsidRPr="00B76C0C">
        <w:rPr>
          <w:rFonts w:ascii="Verdana" w:hAnsi="Verdana"/>
          <w:sz w:val="20"/>
          <w:szCs w:val="20"/>
          <w:lang w:val="en-GB"/>
        </w:rPr>
        <w:t xml:space="preserve"> – four values of criteria are</w:t>
      </w:r>
      <w:proofErr w:type="gramEnd"/>
      <w:r w:rsidRPr="00B76C0C">
        <w:rPr>
          <w:rFonts w:ascii="Verdana" w:hAnsi="Verdana"/>
          <w:sz w:val="20"/>
          <w:szCs w:val="20"/>
          <w:lang w:val="en-GB"/>
        </w:rPr>
        <w:t xml:space="preserve"> used.</w:t>
      </w:r>
    </w:p>
    <w:p w:rsidR="00D737C2" w:rsidRPr="00B76C0C" w:rsidRDefault="00D737C2" w:rsidP="00D737C2">
      <w:pPr>
        <w:pStyle w:val="Odstavecseseznamem"/>
        <w:numPr>
          <w:ilvl w:val="0"/>
          <w:numId w:val="21"/>
        </w:numPr>
        <w:spacing w:after="120"/>
        <w:ind w:left="284" w:hanging="284"/>
        <w:contextualSpacing w:val="0"/>
        <w:rPr>
          <w:rFonts w:ascii="Verdana" w:hAnsi="Verdana"/>
          <w:sz w:val="20"/>
          <w:szCs w:val="20"/>
          <w:lang w:val="en-GB"/>
        </w:rPr>
      </w:pPr>
      <w:r w:rsidRPr="00B76C0C">
        <w:rPr>
          <w:rFonts w:ascii="Verdana" w:hAnsi="Verdana"/>
          <w:b/>
          <w:sz w:val="20"/>
          <w:szCs w:val="20"/>
          <w:lang w:val="en-GB"/>
        </w:rPr>
        <w:t xml:space="preserve">n </w:t>
      </w:r>
      <w:r w:rsidRPr="00B76C0C">
        <w:rPr>
          <w:rFonts w:ascii="Verdana" w:hAnsi="Verdana"/>
          <w:sz w:val="20"/>
          <w:szCs w:val="20"/>
          <w:lang w:val="en-GB"/>
        </w:rPr>
        <w:t xml:space="preserve">– </w:t>
      </w:r>
      <w:proofErr w:type="gramStart"/>
      <w:r w:rsidRPr="00B76C0C">
        <w:rPr>
          <w:rFonts w:ascii="Verdana" w:hAnsi="Verdana"/>
          <w:sz w:val="20"/>
          <w:szCs w:val="20"/>
          <w:lang w:val="en-GB"/>
        </w:rPr>
        <w:t>total</w:t>
      </w:r>
      <w:proofErr w:type="gramEnd"/>
      <w:r w:rsidRPr="00B76C0C">
        <w:rPr>
          <w:rFonts w:ascii="Verdana" w:hAnsi="Verdana"/>
          <w:sz w:val="20"/>
          <w:szCs w:val="20"/>
          <w:lang w:val="en-GB"/>
        </w:rPr>
        <w:t xml:space="preserve"> number of criteria within the model for Cash Management or Cash Pooling.</w:t>
      </w:r>
    </w:p>
    <w:p w:rsidR="00401448" w:rsidRDefault="00D737C2" w:rsidP="00D737C2">
      <w:pPr>
        <w:pStyle w:val="Odstavecseseznamem"/>
        <w:numPr>
          <w:ilvl w:val="0"/>
          <w:numId w:val="21"/>
        </w:numPr>
        <w:spacing w:after="120"/>
        <w:ind w:left="284" w:hanging="284"/>
        <w:contextualSpacing w:val="0"/>
        <w:rPr>
          <w:rFonts w:ascii="Verdana" w:hAnsi="Verdana"/>
          <w:sz w:val="20"/>
          <w:szCs w:val="20"/>
          <w:lang w:val="en-GB"/>
        </w:rPr>
      </w:pPr>
      <w:r w:rsidRPr="00B76C0C">
        <w:rPr>
          <w:rFonts w:ascii="Verdana" w:hAnsi="Verdana"/>
          <w:b/>
          <w:sz w:val="20"/>
          <w:szCs w:val="20"/>
          <w:lang w:val="en-GB"/>
        </w:rPr>
        <w:t xml:space="preserve">RP </w:t>
      </w:r>
      <w:r w:rsidRPr="00B76C0C">
        <w:rPr>
          <w:rFonts w:ascii="Verdana" w:hAnsi="Verdana"/>
          <w:sz w:val="20"/>
          <w:szCs w:val="20"/>
          <w:lang w:val="en-GB"/>
        </w:rPr>
        <w:t xml:space="preserve">– increment per one degree of significance, </w:t>
      </w:r>
    </w:p>
    <w:p w:rsidR="00401448" w:rsidRDefault="00D737C2" w:rsidP="00401448">
      <w:pPr>
        <w:pStyle w:val="Odstavecseseznamem"/>
        <w:numPr>
          <w:ilvl w:val="0"/>
          <w:numId w:val="21"/>
        </w:numPr>
        <w:spacing w:after="120"/>
        <w:ind w:left="567" w:hanging="283"/>
        <w:contextualSpacing w:val="0"/>
        <w:rPr>
          <w:rFonts w:ascii="Verdana" w:hAnsi="Verdana"/>
          <w:sz w:val="20"/>
          <w:szCs w:val="20"/>
          <w:lang w:val="en-GB"/>
        </w:rPr>
      </w:pPr>
      <w:r w:rsidRPr="00B76C0C">
        <w:rPr>
          <w:rFonts w:ascii="Verdana" w:hAnsi="Verdana"/>
          <w:sz w:val="20"/>
          <w:szCs w:val="20"/>
          <w:lang w:val="en-GB"/>
        </w:rPr>
        <w:t>RP = c * r</w:t>
      </w:r>
      <w:r w:rsidRPr="00B76C0C">
        <w:rPr>
          <w:rFonts w:ascii="Verdana" w:hAnsi="Verdana"/>
          <w:sz w:val="20"/>
          <w:szCs w:val="20"/>
          <w:vertAlign w:val="subscript"/>
          <w:lang w:val="en-GB"/>
        </w:rPr>
        <w:t>1</w:t>
      </w:r>
      <w:r w:rsidRPr="00B76C0C">
        <w:rPr>
          <w:rFonts w:ascii="Verdana" w:hAnsi="Verdana"/>
          <w:sz w:val="20"/>
          <w:szCs w:val="20"/>
          <w:lang w:val="en-GB"/>
        </w:rPr>
        <w:t xml:space="preserve">, </w:t>
      </w:r>
      <w:r w:rsidR="00401448">
        <w:rPr>
          <w:rFonts w:ascii="Verdana" w:hAnsi="Verdana"/>
          <w:sz w:val="20"/>
          <w:szCs w:val="20"/>
          <w:lang w:val="en-GB"/>
        </w:rPr>
        <w:tab/>
      </w:r>
      <w:r w:rsidR="00401448">
        <w:rPr>
          <w:rFonts w:ascii="Verdana" w:hAnsi="Verdana"/>
          <w:sz w:val="20"/>
          <w:szCs w:val="20"/>
          <w:lang w:val="en-GB"/>
        </w:rPr>
        <w:tab/>
      </w:r>
      <w:r w:rsidR="00401448">
        <w:rPr>
          <w:rFonts w:ascii="Verdana" w:hAnsi="Verdana"/>
          <w:sz w:val="20"/>
          <w:szCs w:val="20"/>
          <w:lang w:val="en-GB"/>
        </w:rPr>
        <w:tab/>
      </w:r>
      <w:r w:rsidR="00401448">
        <w:rPr>
          <w:rFonts w:ascii="Verdana" w:hAnsi="Verdana"/>
          <w:sz w:val="20"/>
          <w:szCs w:val="20"/>
          <w:lang w:val="en-GB"/>
        </w:rPr>
        <w:tab/>
      </w:r>
      <w:r w:rsidR="00401448">
        <w:rPr>
          <w:rFonts w:ascii="Verdana" w:hAnsi="Verdana"/>
          <w:sz w:val="20"/>
          <w:szCs w:val="20"/>
          <w:lang w:val="en-GB"/>
        </w:rPr>
        <w:tab/>
      </w:r>
      <w:r w:rsidR="00401448">
        <w:rPr>
          <w:rFonts w:ascii="Verdana" w:hAnsi="Verdana"/>
          <w:sz w:val="20"/>
          <w:szCs w:val="20"/>
          <w:lang w:val="en-GB"/>
        </w:rPr>
        <w:tab/>
      </w:r>
      <w:r w:rsidR="00401448">
        <w:rPr>
          <w:rFonts w:ascii="Verdana" w:hAnsi="Verdana"/>
          <w:sz w:val="20"/>
          <w:szCs w:val="20"/>
          <w:lang w:val="en-GB"/>
        </w:rPr>
        <w:tab/>
      </w:r>
      <w:r w:rsidR="00401448">
        <w:rPr>
          <w:rFonts w:ascii="Verdana" w:hAnsi="Verdana"/>
          <w:sz w:val="20"/>
          <w:szCs w:val="20"/>
          <w:lang w:val="en-GB"/>
        </w:rPr>
        <w:tab/>
      </w:r>
      <w:r w:rsidR="00401448">
        <w:rPr>
          <w:rFonts w:ascii="Verdana" w:hAnsi="Verdana"/>
          <w:sz w:val="20"/>
          <w:szCs w:val="20"/>
          <w:lang w:val="en-GB"/>
        </w:rPr>
        <w:tab/>
      </w:r>
      <w:r w:rsidR="00401448">
        <w:rPr>
          <w:rFonts w:ascii="Verdana" w:hAnsi="Verdana"/>
          <w:sz w:val="20"/>
          <w:szCs w:val="20"/>
          <w:lang w:val="en-GB"/>
        </w:rPr>
        <w:tab/>
      </w:r>
      <w:r w:rsidR="00401448" w:rsidRPr="00401448">
        <w:rPr>
          <w:rFonts w:ascii="Verdana" w:hAnsi="Verdana"/>
          <w:b/>
          <w:sz w:val="20"/>
          <w:szCs w:val="20"/>
          <w:lang w:val="en-GB"/>
        </w:rPr>
        <w:t>(1)</w:t>
      </w:r>
    </w:p>
    <w:p w:rsidR="00D737C2" w:rsidRPr="00B76C0C" w:rsidRDefault="00D737C2" w:rsidP="00401448">
      <w:pPr>
        <w:pStyle w:val="Odstavecseseznamem"/>
        <w:numPr>
          <w:ilvl w:val="0"/>
          <w:numId w:val="21"/>
        </w:numPr>
        <w:spacing w:after="120"/>
        <w:ind w:left="567" w:hanging="283"/>
        <w:contextualSpacing w:val="0"/>
        <w:rPr>
          <w:rFonts w:ascii="Verdana" w:hAnsi="Verdana"/>
          <w:sz w:val="20"/>
          <w:szCs w:val="20"/>
          <w:lang w:val="en-GB"/>
        </w:rPr>
      </w:pPr>
      <w:r w:rsidRPr="00B76C0C">
        <w:rPr>
          <w:rFonts w:ascii="Verdana" w:hAnsi="Verdana"/>
          <w:sz w:val="20"/>
          <w:szCs w:val="20"/>
          <w:lang w:val="en-GB"/>
        </w:rPr>
        <w:t>where:</w:t>
      </w:r>
    </w:p>
    <w:p w:rsidR="00D737C2" w:rsidRPr="00B76C0C" w:rsidRDefault="00D737C2" w:rsidP="00D737C2">
      <w:pPr>
        <w:pStyle w:val="Odstavecseseznamem"/>
        <w:numPr>
          <w:ilvl w:val="0"/>
          <w:numId w:val="21"/>
        </w:numPr>
        <w:spacing w:after="120"/>
        <w:ind w:left="567" w:hanging="283"/>
        <w:contextualSpacing w:val="0"/>
        <w:rPr>
          <w:rFonts w:ascii="Verdana" w:hAnsi="Verdana"/>
          <w:sz w:val="20"/>
          <w:szCs w:val="20"/>
          <w:lang w:val="en-GB"/>
        </w:rPr>
      </w:pPr>
      <w:r w:rsidRPr="00B76C0C">
        <w:rPr>
          <w:rFonts w:ascii="Verdana" w:hAnsi="Verdana"/>
          <w:b/>
          <w:sz w:val="20"/>
          <w:szCs w:val="20"/>
          <w:lang w:val="en-GB"/>
        </w:rPr>
        <w:t>c</w:t>
      </w:r>
      <w:r w:rsidRPr="00B76C0C">
        <w:rPr>
          <w:rFonts w:ascii="Verdana" w:hAnsi="Verdana"/>
          <w:sz w:val="20"/>
          <w:szCs w:val="20"/>
          <w:lang w:val="en-GB"/>
        </w:rPr>
        <w:t xml:space="preserve"> = </w:t>
      </w:r>
      <w:proofErr w:type="spellStart"/>
      <w:r w:rsidRPr="00B76C0C">
        <w:rPr>
          <w:rFonts w:ascii="Verdana" w:hAnsi="Verdana"/>
          <w:sz w:val="20"/>
          <w:szCs w:val="20"/>
          <w:lang w:val="en-GB"/>
        </w:rPr>
        <w:t>a</w:t>
      </w:r>
      <w:r w:rsidRPr="00B76C0C">
        <w:rPr>
          <w:rFonts w:ascii="Verdana" w:hAnsi="Verdana"/>
          <w:sz w:val="20"/>
          <w:szCs w:val="20"/>
          <w:vertAlign w:val="superscript"/>
          <w:lang w:val="en-GB"/>
        </w:rPr>
        <w:t>x</w:t>
      </w:r>
      <w:proofErr w:type="spellEnd"/>
      <w:r w:rsidRPr="00B76C0C">
        <w:rPr>
          <w:rFonts w:ascii="Verdana" w:hAnsi="Verdana"/>
          <w:sz w:val="20"/>
          <w:szCs w:val="20"/>
          <w:lang w:val="en-GB"/>
        </w:rPr>
        <w:t xml:space="preserve"> – 1.</w:t>
      </w:r>
      <w:r w:rsidR="00401448">
        <w:rPr>
          <w:rFonts w:ascii="Verdana" w:hAnsi="Verdana"/>
          <w:sz w:val="20"/>
          <w:szCs w:val="20"/>
          <w:lang w:val="en-GB"/>
        </w:rPr>
        <w:t xml:space="preserve"> </w:t>
      </w:r>
      <w:r w:rsidR="00401448">
        <w:rPr>
          <w:rFonts w:ascii="Verdana" w:hAnsi="Verdana"/>
          <w:sz w:val="20"/>
          <w:szCs w:val="20"/>
          <w:lang w:val="en-GB"/>
        </w:rPr>
        <w:tab/>
      </w:r>
      <w:r w:rsidR="00401448">
        <w:rPr>
          <w:rFonts w:ascii="Verdana" w:hAnsi="Verdana"/>
          <w:sz w:val="20"/>
          <w:szCs w:val="20"/>
          <w:lang w:val="en-GB"/>
        </w:rPr>
        <w:tab/>
      </w:r>
      <w:r w:rsidR="00401448">
        <w:rPr>
          <w:rFonts w:ascii="Verdana" w:hAnsi="Verdana"/>
          <w:sz w:val="20"/>
          <w:szCs w:val="20"/>
          <w:lang w:val="en-GB"/>
        </w:rPr>
        <w:tab/>
      </w:r>
      <w:r w:rsidR="00401448">
        <w:rPr>
          <w:rFonts w:ascii="Verdana" w:hAnsi="Verdana"/>
          <w:sz w:val="20"/>
          <w:szCs w:val="20"/>
          <w:lang w:val="en-GB"/>
        </w:rPr>
        <w:tab/>
      </w:r>
      <w:r w:rsidR="00401448">
        <w:rPr>
          <w:rFonts w:ascii="Verdana" w:hAnsi="Verdana"/>
          <w:sz w:val="20"/>
          <w:szCs w:val="20"/>
          <w:lang w:val="en-GB"/>
        </w:rPr>
        <w:tab/>
      </w:r>
      <w:r w:rsidR="00401448">
        <w:rPr>
          <w:rFonts w:ascii="Verdana" w:hAnsi="Verdana"/>
          <w:sz w:val="20"/>
          <w:szCs w:val="20"/>
          <w:lang w:val="en-GB"/>
        </w:rPr>
        <w:tab/>
      </w:r>
      <w:r w:rsidR="00401448">
        <w:rPr>
          <w:rFonts w:ascii="Verdana" w:hAnsi="Verdana"/>
          <w:sz w:val="20"/>
          <w:szCs w:val="20"/>
          <w:lang w:val="en-GB"/>
        </w:rPr>
        <w:tab/>
      </w:r>
      <w:r w:rsidR="00401448">
        <w:rPr>
          <w:rFonts w:ascii="Verdana" w:hAnsi="Verdana"/>
          <w:sz w:val="20"/>
          <w:szCs w:val="20"/>
          <w:lang w:val="en-GB"/>
        </w:rPr>
        <w:tab/>
      </w:r>
      <w:r w:rsidR="00401448">
        <w:rPr>
          <w:rFonts w:ascii="Verdana" w:hAnsi="Verdana"/>
          <w:sz w:val="20"/>
          <w:szCs w:val="20"/>
          <w:lang w:val="en-GB"/>
        </w:rPr>
        <w:tab/>
      </w:r>
      <w:r w:rsidR="00401448">
        <w:rPr>
          <w:rFonts w:ascii="Verdana" w:hAnsi="Verdana"/>
          <w:sz w:val="20"/>
          <w:szCs w:val="20"/>
          <w:lang w:val="en-GB"/>
        </w:rPr>
        <w:tab/>
      </w:r>
      <w:r w:rsidR="00401448" w:rsidRPr="00401448">
        <w:rPr>
          <w:rFonts w:ascii="Verdana" w:hAnsi="Verdana"/>
          <w:b/>
          <w:sz w:val="20"/>
          <w:szCs w:val="20"/>
          <w:lang w:val="en-GB"/>
        </w:rPr>
        <w:t>(</w:t>
      </w:r>
      <w:r w:rsidR="00401448">
        <w:rPr>
          <w:rFonts w:ascii="Verdana" w:hAnsi="Verdana"/>
          <w:b/>
          <w:sz w:val="20"/>
          <w:szCs w:val="20"/>
          <w:lang w:val="en-GB"/>
        </w:rPr>
        <w:t>2</w:t>
      </w:r>
      <w:r w:rsidR="00401448" w:rsidRPr="00401448">
        <w:rPr>
          <w:rFonts w:ascii="Verdana" w:hAnsi="Verdana"/>
          <w:b/>
          <w:sz w:val="20"/>
          <w:szCs w:val="20"/>
          <w:lang w:val="en-GB"/>
        </w:rPr>
        <w:t>)</w:t>
      </w:r>
    </w:p>
    <w:p w:rsidR="00D737C2" w:rsidRPr="00B76C0C" w:rsidRDefault="00D737C2" w:rsidP="00D737C2">
      <w:pPr>
        <w:pStyle w:val="Odstavecseseznamem"/>
        <w:numPr>
          <w:ilvl w:val="0"/>
          <w:numId w:val="21"/>
        </w:numPr>
        <w:spacing w:after="120"/>
        <w:ind w:left="567" w:hanging="283"/>
        <w:contextualSpacing w:val="0"/>
        <w:rPr>
          <w:rFonts w:ascii="Verdana" w:hAnsi="Verdana"/>
          <w:sz w:val="20"/>
          <w:szCs w:val="20"/>
          <w:lang w:val="en-GB"/>
        </w:rPr>
      </w:pPr>
      <w:r w:rsidRPr="00B76C0C">
        <w:rPr>
          <w:rFonts w:ascii="Verdana" w:hAnsi="Verdana"/>
          <w:b/>
          <w:sz w:val="20"/>
          <w:szCs w:val="20"/>
          <w:lang w:val="en-GB"/>
        </w:rPr>
        <w:t>x – degree of criterion significance</w:t>
      </w:r>
      <w:r w:rsidRPr="00B76C0C">
        <w:rPr>
          <w:rFonts w:ascii="Verdana" w:hAnsi="Verdana"/>
          <w:sz w:val="20"/>
          <w:szCs w:val="20"/>
          <w:lang w:val="en-GB"/>
        </w:rPr>
        <w:t xml:space="preserve"> (value of criterion), this number of degrees is the same for all factors. The significance of the criteria is established so that the criterion that is of the highest quality and the most suitable for </w:t>
      </w:r>
      <w:r w:rsidRPr="00B76C0C">
        <w:rPr>
          <w:rFonts w:ascii="Verdana" w:hAnsi="Verdana"/>
          <w:bCs/>
          <w:iCs/>
          <w:sz w:val="20"/>
          <w:szCs w:val="20"/>
          <w:lang w:val="en-GB"/>
        </w:rPr>
        <w:t>Cash Management or Cash Pooling application is marked 1 and the one which is of lowest quality is marked 4.</w:t>
      </w:r>
    </w:p>
    <w:p w:rsidR="00D737C2" w:rsidRPr="00B76C0C" w:rsidRDefault="00D737C2" w:rsidP="00D737C2">
      <w:pPr>
        <w:pStyle w:val="Odstavecseseznamem"/>
        <w:numPr>
          <w:ilvl w:val="0"/>
          <w:numId w:val="21"/>
        </w:numPr>
        <w:spacing w:after="120"/>
        <w:ind w:left="284" w:hanging="284"/>
        <w:contextualSpacing w:val="0"/>
        <w:rPr>
          <w:rFonts w:ascii="Verdana" w:hAnsi="Verdana"/>
          <w:sz w:val="20"/>
          <w:szCs w:val="20"/>
          <w:lang w:val="en-GB"/>
        </w:rPr>
      </w:pPr>
      <w:r w:rsidRPr="00B76C0C">
        <w:rPr>
          <w:rFonts w:ascii="Verdana" w:hAnsi="Verdana"/>
          <w:b/>
          <w:sz w:val="20"/>
          <w:szCs w:val="20"/>
          <w:lang w:val="en-GB"/>
        </w:rPr>
        <w:t xml:space="preserve">a – </w:t>
      </w:r>
      <w:r w:rsidRPr="00B76C0C">
        <w:rPr>
          <w:rFonts w:ascii="Verdana" w:hAnsi="Verdana"/>
          <w:sz w:val="20"/>
          <w:szCs w:val="20"/>
          <w:lang w:val="en-GB"/>
        </w:rPr>
        <w:t>coefficient of scoring range (evaluating increment) for one criterion established as follows:</w:t>
      </w:r>
    </w:p>
    <w:p w:rsidR="00D737C2" w:rsidRPr="00B76C0C" w:rsidRDefault="00D737C2" w:rsidP="00D737C2">
      <w:pPr>
        <w:spacing w:after="120"/>
        <w:rPr>
          <w:rFonts w:ascii="Verdana" w:hAnsi="Verdana" w:cs="Calibri"/>
          <w:color w:val="000000"/>
          <w:sz w:val="20"/>
          <w:szCs w:val="20"/>
          <w:lang w:val="en-GB"/>
        </w:rPr>
      </w:pPr>
      <m:oMath>
        <m:r>
          <w:rPr>
            <w:rFonts w:ascii="Cambria Math" w:hAnsi="Cambria Math"/>
            <w:sz w:val="20"/>
            <w:szCs w:val="20"/>
            <w:lang w:val="en-GB"/>
          </w:rPr>
          <m:t xml:space="preserve"> a=</m:t>
        </m:r>
        <m:rad>
          <m:radPr>
            <m:ctrlPr>
              <w:rPr>
                <w:rFonts w:ascii="Cambria Math" w:hAnsi="Cambria Math"/>
                <w:i/>
                <w:sz w:val="20"/>
                <w:szCs w:val="20"/>
                <w:lang w:val="en-GB"/>
              </w:rPr>
            </m:ctrlPr>
          </m:radPr>
          <m:deg>
            <m:r>
              <w:rPr>
                <w:rFonts w:ascii="Cambria Math" w:hAnsi="Cambria Math"/>
                <w:sz w:val="20"/>
                <w:szCs w:val="20"/>
                <w:lang w:val="en-GB"/>
              </w:rPr>
              <m:t>x</m:t>
            </m:r>
          </m:deg>
          <m:e>
            <m:f>
              <m:fPr>
                <m:ctrlPr>
                  <w:rPr>
                    <w:rFonts w:ascii="Cambria Math" w:hAnsi="Cambria Math"/>
                    <w:i/>
                    <w:sz w:val="20"/>
                    <w:szCs w:val="20"/>
                    <w:lang w:val="en-GB"/>
                  </w:rPr>
                </m:ctrlPr>
              </m:fPr>
              <m:num>
                <m:r>
                  <w:rPr>
                    <w:rFonts w:ascii="Cambria Math" w:hAnsi="Cambria Math"/>
                    <w:sz w:val="20"/>
                    <w:szCs w:val="20"/>
                    <w:lang w:val="en-GB"/>
                  </w:rPr>
                  <m:t>r11</m:t>
                </m:r>
              </m:num>
              <m:den>
                <m:r>
                  <w:rPr>
                    <w:rFonts w:ascii="Cambria Math" w:hAnsi="Cambria Math"/>
                    <w:sz w:val="20"/>
                    <w:szCs w:val="20"/>
                    <w:lang w:val="en-GB"/>
                  </w:rPr>
                  <m:t>r1</m:t>
                </m:r>
              </m:den>
            </m:f>
          </m:e>
        </m:rad>
      </m:oMath>
      <w:r w:rsidRPr="00B76C0C">
        <w:rPr>
          <w:rFonts w:ascii="Verdana" w:hAnsi="Verdana"/>
          <w:sz w:val="20"/>
          <w:szCs w:val="20"/>
          <w:lang w:val="en-GB"/>
        </w:rPr>
        <w:t xml:space="preserve">      = </w:t>
      </w:r>
      <m:oMath>
        <m:r>
          <w:rPr>
            <w:rFonts w:ascii="Cambria Math" w:hAnsi="Cambria Math"/>
            <w:sz w:val="20"/>
            <w:szCs w:val="20"/>
            <w:lang w:val="en-GB"/>
          </w:rPr>
          <m:t xml:space="preserve"> </m:t>
        </m:r>
        <m:rad>
          <m:radPr>
            <m:ctrlPr>
              <w:rPr>
                <w:rFonts w:ascii="Cambria Math" w:hAnsi="Cambria Math"/>
                <w:i/>
                <w:sz w:val="20"/>
                <w:szCs w:val="20"/>
                <w:lang w:val="en-GB"/>
              </w:rPr>
            </m:ctrlPr>
          </m:radPr>
          <m:deg>
            <m:r>
              <w:rPr>
                <w:rFonts w:ascii="Cambria Math" w:hAnsi="Cambria Math"/>
                <w:sz w:val="20"/>
                <w:szCs w:val="20"/>
                <w:lang w:val="en-GB"/>
              </w:rPr>
              <m:t>4</m:t>
            </m:r>
          </m:deg>
          <m:e>
            <m:f>
              <m:fPr>
                <m:ctrlPr>
                  <w:rPr>
                    <w:rFonts w:ascii="Cambria Math" w:hAnsi="Cambria Math"/>
                    <w:i/>
                    <w:sz w:val="20"/>
                    <w:szCs w:val="20"/>
                    <w:lang w:val="en-GB"/>
                  </w:rPr>
                </m:ctrlPr>
              </m:fPr>
              <m:num>
                <m:r>
                  <w:rPr>
                    <w:rFonts w:ascii="Cambria Math" w:hAnsi="Cambria Math"/>
                    <w:sz w:val="20"/>
                    <w:szCs w:val="20"/>
                    <w:lang w:val="en-GB"/>
                  </w:rPr>
                  <m:t>11</m:t>
                </m:r>
              </m:num>
              <m:den>
                <m:r>
                  <w:rPr>
                    <w:rFonts w:ascii="Cambria Math" w:hAnsi="Cambria Math"/>
                    <w:sz w:val="20"/>
                    <w:szCs w:val="20"/>
                    <w:lang w:val="en-GB"/>
                  </w:rPr>
                  <m:t>1</m:t>
                </m:r>
              </m:den>
            </m:f>
          </m:e>
        </m:rad>
      </m:oMath>
      <w:r w:rsidRPr="00B76C0C">
        <w:rPr>
          <w:rFonts w:ascii="Verdana" w:hAnsi="Verdana"/>
          <w:sz w:val="20"/>
          <w:szCs w:val="20"/>
          <w:lang w:val="en-GB"/>
        </w:rPr>
        <w:t xml:space="preserve">  = </w:t>
      </w:r>
      <w:r w:rsidRPr="00B76C0C">
        <w:rPr>
          <w:rFonts w:ascii="Verdana" w:hAnsi="Verdana" w:cs="Calibri"/>
          <w:color w:val="000000"/>
          <w:sz w:val="20"/>
          <w:szCs w:val="20"/>
          <w:lang w:val="en-GB"/>
        </w:rPr>
        <w:t>1.82116.</w:t>
      </w:r>
      <w:r w:rsidR="00401448">
        <w:rPr>
          <w:rFonts w:ascii="Verdana" w:hAnsi="Verdana" w:cs="Calibri"/>
          <w:color w:val="000000"/>
          <w:sz w:val="20"/>
          <w:szCs w:val="20"/>
          <w:lang w:val="en-GB"/>
        </w:rPr>
        <w:t xml:space="preserve"> </w:t>
      </w:r>
      <w:r w:rsidR="00401448">
        <w:rPr>
          <w:rFonts w:ascii="Verdana" w:hAnsi="Verdana" w:cs="Calibri"/>
          <w:color w:val="000000"/>
          <w:sz w:val="20"/>
          <w:szCs w:val="20"/>
          <w:lang w:val="en-GB"/>
        </w:rPr>
        <w:tab/>
      </w:r>
      <w:r w:rsidR="00401448">
        <w:rPr>
          <w:rFonts w:ascii="Verdana" w:hAnsi="Verdana" w:cs="Calibri"/>
          <w:color w:val="000000"/>
          <w:sz w:val="20"/>
          <w:szCs w:val="20"/>
          <w:lang w:val="en-GB"/>
        </w:rPr>
        <w:tab/>
      </w:r>
      <w:r w:rsidR="00401448">
        <w:rPr>
          <w:rFonts w:ascii="Verdana" w:hAnsi="Verdana" w:cs="Calibri"/>
          <w:color w:val="000000"/>
          <w:sz w:val="20"/>
          <w:szCs w:val="20"/>
          <w:lang w:val="en-GB"/>
        </w:rPr>
        <w:tab/>
      </w:r>
      <w:r w:rsidR="00401448">
        <w:rPr>
          <w:rFonts w:ascii="Verdana" w:hAnsi="Verdana" w:cs="Calibri"/>
          <w:color w:val="000000"/>
          <w:sz w:val="20"/>
          <w:szCs w:val="20"/>
          <w:lang w:val="en-GB"/>
        </w:rPr>
        <w:tab/>
      </w:r>
      <w:r w:rsidR="00401448">
        <w:rPr>
          <w:rFonts w:ascii="Verdana" w:hAnsi="Verdana" w:cs="Calibri"/>
          <w:color w:val="000000"/>
          <w:sz w:val="20"/>
          <w:szCs w:val="20"/>
          <w:lang w:val="en-GB"/>
        </w:rPr>
        <w:tab/>
      </w:r>
      <w:r w:rsidR="00401448">
        <w:rPr>
          <w:rFonts w:ascii="Verdana" w:hAnsi="Verdana" w:cs="Calibri"/>
          <w:color w:val="000000"/>
          <w:sz w:val="20"/>
          <w:szCs w:val="20"/>
          <w:lang w:val="en-GB"/>
        </w:rPr>
        <w:tab/>
      </w:r>
      <w:r w:rsidR="00401448">
        <w:rPr>
          <w:rFonts w:ascii="Verdana" w:hAnsi="Verdana" w:cs="Calibri"/>
          <w:color w:val="000000"/>
          <w:sz w:val="20"/>
          <w:szCs w:val="20"/>
          <w:lang w:val="en-GB"/>
        </w:rPr>
        <w:tab/>
      </w:r>
      <w:r w:rsidR="00401448">
        <w:rPr>
          <w:rFonts w:ascii="Verdana" w:hAnsi="Verdana" w:cs="Calibri"/>
          <w:color w:val="000000"/>
          <w:sz w:val="20"/>
          <w:szCs w:val="20"/>
          <w:lang w:val="en-GB"/>
        </w:rPr>
        <w:tab/>
      </w:r>
      <w:r w:rsidR="00401448" w:rsidRPr="00401448">
        <w:rPr>
          <w:rFonts w:ascii="Verdana" w:hAnsi="Verdana"/>
          <w:b/>
          <w:sz w:val="20"/>
          <w:szCs w:val="20"/>
          <w:lang w:val="en-GB"/>
        </w:rPr>
        <w:t>(</w:t>
      </w:r>
      <w:r w:rsidR="00401448">
        <w:rPr>
          <w:rFonts w:ascii="Verdana" w:hAnsi="Verdana"/>
          <w:b/>
          <w:sz w:val="20"/>
          <w:szCs w:val="20"/>
          <w:lang w:val="en-GB"/>
        </w:rPr>
        <w:t>3</w:t>
      </w:r>
      <w:bookmarkStart w:id="0" w:name="_GoBack"/>
      <w:bookmarkEnd w:id="0"/>
      <w:r w:rsidR="00401448" w:rsidRPr="00401448">
        <w:rPr>
          <w:rFonts w:ascii="Verdana" w:hAnsi="Verdana"/>
          <w:b/>
          <w:sz w:val="20"/>
          <w:szCs w:val="20"/>
          <w:lang w:val="en-GB"/>
        </w:rPr>
        <w:t>)</w:t>
      </w:r>
    </w:p>
    <w:p w:rsidR="00D737C2" w:rsidRPr="00B76C0C" w:rsidRDefault="00D737C2" w:rsidP="00D737C2">
      <w:pPr>
        <w:pStyle w:val="Odstavecseseznamem"/>
        <w:numPr>
          <w:ilvl w:val="0"/>
          <w:numId w:val="21"/>
        </w:numPr>
        <w:spacing w:after="120"/>
        <w:ind w:left="284" w:hanging="284"/>
        <w:contextualSpacing w:val="0"/>
        <w:rPr>
          <w:rFonts w:ascii="Verdana" w:hAnsi="Verdana"/>
          <w:sz w:val="20"/>
          <w:szCs w:val="20"/>
          <w:lang w:val="en-GB"/>
        </w:rPr>
      </w:pPr>
      <w:r w:rsidRPr="00B76C0C">
        <w:rPr>
          <w:rFonts w:ascii="Verdana" w:hAnsi="Verdana"/>
          <w:b/>
          <w:sz w:val="20"/>
          <w:szCs w:val="20"/>
          <w:lang w:val="en-GB"/>
        </w:rPr>
        <w:t>r</w:t>
      </w:r>
      <w:r w:rsidRPr="00B76C0C">
        <w:rPr>
          <w:rFonts w:ascii="Verdana" w:hAnsi="Verdana"/>
          <w:sz w:val="20"/>
          <w:szCs w:val="20"/>
          <w:lang w:val="en-GB"/>
        </w:rPr>
        <w:t xml:space="preserve"> – </w:t>
      </w:r>
      <w:proofErr w:type="gramStart"/>
      <w:r w:rsidRPr="00B76C0C">
        <w:rPr>
          <w:rFonts w:ascii="Verdana" w:hAnsi="Verdana"/>
          <w:sz w:val="20"/>
          <w:szCs w:val="20"/>
          <w:lang w:val="en-GB"/>
        </w:rPr>
        <w:t>the</w:t>
      </w:r>
      <w:proofErr w:type="gramEnd"/>
      <w:r w:rsidRPr="00B76C0C">
        <w:rPr>
          <w:rFonts w:ascii="Verdana" w:hAnsi="Verdana"/>
          <w:sz w:val="20"/>
          <w:szCs w:val="20"/>
          <w:lang w:val="en-GB"/>
        </w:rPr>
        <w:t xml:space="preserve"> final ranking of the client within the factors, based on the degree of their significance. Their sum defines the client’s suitability for Cash Management and Cash Pooling application. The lower the final ranking, the more suitable the client is for their application. The final value of client’s ranking for Cash Management and Cash Pooling is between 10 at minimum and 100 points at maximum (10 points were chosen), </w:t>
      </w:r>
      <w:r w:rsidRPr="00B76C0C">
        <w:rPr>
          <w:rFonts w:ascii="Verdana" w:hAnsi="Verdana"/>
          <w:sz w:val="20"/>
          <w:szCs w:val="20"/>
          <w:lang w:val="en-GB"/>
        </w:rPr>
        <w:lastRenderedPageBreak/>
        <w:t>where r</w:t>
      </w:r>
      <w:r w:rsidRPr="00B76C0C">
        <w:rPr>
          <w:rFonts w:ascii="Verdana" w:hAnsi="Verdana"/>
          <w:sz w:val="20"/>
          <w:szCs w:val="20"/>
          <w:vertAlign w:val="subscript"/>
          <w:lang w:val="en-GB"/>
        </w:rPr>
        <w:t xml:space="preserve">1 </w:t>
      </w:r>
      <w:r w:rsidRPr="00B76C0C">
        <w:rPr>
          <w:rFonts w:ascii="Verdana" w:hAnsi="Verdana"/>
          <w:sz w:val="20"/>
          <w:szCs w:val="20"/>
          <w:lang w:val="en-GB"/>
        </w:rPr>
        <w:t>= 1 and  r</w:t>
      </w:r>
      <w:r w:rsidRPr="00B76C0C">
        <w:rPr>
          <w:rFonts w:ascii="Verdana" w:hAnsi="Verdana"/>
          <w:sz w:val="20"/>
          <w:szCs w:val="20"/>
          <w:vertAlign w:val="subscript"/>
          <w:lang w:val="en-GB"/>
        </w:rPr>
        <w:t xml:space="preserve">11 </w:t>
      </w:r>
      <w:r w:rsidRPr="00B76C0C">
        <w:rPr>
          <w:rFonts w:ascii="Verdana" w:hAnsi="Verdana"/>
          <w:sz w:val="20"/>
          <w:szCs w:val="20"/>
          <w:lang w:val="en-GB"/>
        </w:rPr>
        <w:t xml:space="preserve">= 11, at most a client can reach a value of 10 within the final ranking of client’s significance. </w:t>
      </w:r>
    </w:p>
    <w:p w:rsidR="00D737C2" w:rsidRPr="00B76C0C" w:rsidRDefault="00D737C2" w:rsidP="00D737C2">
      <w:pPr>
        <w:spacing w:after="120"/>
        <w:rPr>
          <w:rFonts w:ascii="Verdana" w:hAnsi="Verdana"/>
          <w:sz w:val="20"/>
          <w:szCs w:val="20"/>
          <w:lang w:val="en-GB"/>
        </w:rPr>
      </w:pPr>
      <w:r w:rsidRPr="00B76C0C">
        <w:rPr>
          <w:rFonts w:ascii="Verdana" w:hAnsi="Verdana"/>
          <w:sz w:val="20"/>
          <w:szCs w:val="20"/>
          <w:lang w:val="en-GB"/>
        </w:rPr>
        <w:t>Individual factors, criteria, their significance and weight are designed so that they express the potential bank’s interest in a client in the best possible way. They were designed using mainly:</w:t>
      </w:r>
    </w:p>
    <w:p w:rsidR="00D737C2" w:rsidRPr="00B76C0C" w:rsidRDefault="00D737C2" w:rsidP="00D737C2">
      <w:pPr>
        <w:pStyle w:val="Odstavecseseznamem"/>
        <w:numPr>
          <w:ilvl w:val="0"/>
          <w:numId w:val="21"/>
        </w:numPr>
        <w:spacing w:after="120"/>
        <w:ind w:left="284" w:hanging="284"/>
        <w:contextualSpacing w:val="0"/>
        <w:rPr>
          <w:rFonts w:ascii="Verdana" w:hAnsi="Verdana"/>
          <w:sz w:val="20"/>
          <w:szCs w:val="20"/>
          <w:lang w:val="en-GB"/>
        </w:rPr>
      </w:pPr>
      <w:r w:rsidRPr="00B76C0C">
        <w:rPr>
          <w:rFonts w:ascii="Verdana" w:hAnsi="Verdana"/>
          <w:sz w:val="20"/>
          <w:szCs w:val="20"/>
          <w:lang w:val="en-GB"/>
        </w:rPr>
        <w:t>results of the survey in the banking sector;</w:t>
      </w:r>
    </w:p>
    <w:p w:rsidR="00D737C2" w:rsidRPr="00B76C0C" w:rsidRDefault="00D737C2" w:rsidP="00D737C2">
      <w:pPr>
        <w:pStyle w:val="Odstavecseseznamem"/>
        <w:numPr>
          <w:ilvl w:val="0"/>
          <w:numId w:val="21"/>
        </w:numPr>
        <w:spacing w:after="120"/>
        <w:ind w:left="284" w:hanging="284"/>
        <w:contextualSpacing w:val="0"/>
        <w:rPr>
          <w:rFonts w:ascii="Verdana" w:hAnsi="Verdana"/>
          <w:sz w:val="20"/>
          <w:szCs w:val="20"/>
          <w:lang w:val="en-GB"/>
        </w:rPr>
      </w:pPr>
      <w:r w:rsidRPr="00B76C0C">
        <w:rPr>
          <w:rFonts w:ascii="Verdana" w:hAnsi="Verdana"/>
          <w:sz w:val="20"/>
          <w:szCs w:val="20"/>
          <w:lang w:val="en-GB"/>
        </w:rPr>
        <w:t>author’s own experience;</w:t>
      </w:r>
    </w:p>
    <w:p w:rsidR="00D737C2" w:rsidRPr="00B76C0C" w:rsidRDefault="00D737C2" w:rsidP="00D737C2">
      <w:pPr>
        <w:pStyle w:val="Odstavecseseznamem"/>
        <w:numPr>
          <w:ilvl w:val="0"/>
          <w:numId w:val="21"/>
        </w:numPr>
        <w:spacing w:after="120"/>
        <w:ind w:left="284" w:hanging="284"/>
        <w:contextualSpacing w:val="0"/>
        <w:rPr>
          <w:rFonts w:ascii="Verdana" w:hAnsi="Verdana"/>
          <w:sz w:val="20"/>
          <w:szCs w:val="20"/>
          <w:lang w:val="en-GB"/>
        </w:rPr>
      </w:pPr>
      <w:proofErr w:type="gramStart"/>
      <w:r w:rsidRPr="00B76C0C">
        <w:rPr>
          <w:rFonts w:ascii="Verdana" w:hAnsi="Verdana"/>
          <w:sz w:val="20"/>
          <w:szCs w:val="20"/>
          <w:lang w:val="en-GB"/>
        </w:rPr>
        <w:t>conclusions</w:t>
      </w:r>
      <w:proofErr w:type="gramEnd"/>
      <w:r w:rsidRPr="00B76C0C">
        <w:rPr>
          <w:rFonts w:ascii="Verdana" w:hAnsi="Verdana"/>
          <w:sz w:val="20"/>
          <w:szCs w:val="20"/>
          <w:lang w:val="en-GB"/>
        </w:rPr>
        <w:t xml:space="preserve"> and recommendations following from discussions with employees of banks who work in departments of corporate banking.</w:t>
      </w:r>
    </w:p>
    <w:p w:rsidR="00D737C2" w:rsidRPr="00B76C0C" w:rsidRDefault="00D737C2" w:rsidP="00D737C2">
      <w:pPr>
        <w:spacing w:after="120"/>
        <w:rPr>
          <w:rFonts w:ascii="Verdana" w:hAnsi="Verdana"/>
          <w:sz w:val="20"/>
          <w:szCs w:val="20"/>
          <w:lang w:val="en-GB"/>
        </w:rPr>
      </w:pPr>
      <w:r w:rsidRPr="00B76C0C">
        <w:rPr>
          <w:rFonts w:ascii="Verdana" w:hAnsi="Verdana"/>
          <w:sz w:val="20"/>
          <w:szCs w:val="20"/>
          <w:lang w:val="en-GB"/>
        </w:rPr>
        <w:t>Factors establishment was based on:</w:t>
      </w:r>
    </w:p>
    <w:p w:rsidR="00D737C2" w:rsidRPr="00B76C0C" w:rsidRDefault="00D737C2" w:rsidP="00D737C2">
      <w:pPr>
        <w:pStyle w:val="Odstavecseseznamem"/>
        <w:numPr>
          <w:ilvl w:val="0"/>
          <w:numId w:val="21"/>
        </w:numPr>
        <w:spacing w:after="120"/>
        <w:ind w:left="284" w:hanging="284"/>
        <w:contextualSpacing w:val="0"/>
        <w:rPr>
          <w:rFonts w:ascii="Verdana" w:hAnsi="Verdana"/>
          <w:sz w:val="20"/>
          <w:szCs w:val="20"/>
          <w:lang w:val="en-GB"/>
        </w:rPr>
      </w:pPr>
      <w:r w:rsidRPr="00B76C0C">
        <w:rPr>
          <w:rFonts w:ascii="Verdana" w:hAnsi="Verdana"/>
          <w:sz w:val="20"/>
          <w:szCs w:val="20"/>
          <w:lang w:val="en-GB"/>
        </w:rPr>
        <w:t>results of the survey in banks and the business sector;</w:t>
      </w:r>
    </w:p>
    <w:p w:rsidR="00D737C2" w:rsidRPr="00B76C0C" w:rsidRDefault="00D737C2" w:rsidP="00D737C2">
      <w:pPr>
        <w:pStyle w:val="Odstavecseseznamem"/>
        <w:numPr>
          <w:ilvl w:val="0"/>
          <w:numId w:val="21"/>
        </w:numPr>
        <w:spacing w:after="120"/>
        <w:ind w:left="284" w:hanging="284"/>
        <w:contextualSpacing w:val="0"/>
        <w:rPr>
          <w:rFonts w:ascii="Verdana" w:hAnsi="Verdana"/>
          <w:sz w:val="20"/>
          <w:szCs w:val="20"/>
          <w:lang w:val="en-GB"/>
        </w:rPr>
      </w:pPr>
      <w:r w:rsidRPr="00B76C0C">
        <w:rPr>
          <w:rFonts w:ascii="Verdana" w:hAnsi="Verdana"/>
          <w:sz w:val="20"/>
          <w:szCs w:val="20"/>
          <w:lang w:val="en-GB"/>
        </w:rPr>
        <w:t>experience from the practice;</w:t>
      </w:r>
    </w:p>
    <w:p w:rsidR="00D737C2" w:rsidRPr="00B76C0C" w:rsidRDefault="00D737C2" w:rsidP="00D737C2">
      <w:pPr>
        <w:pStyle w:val="Odstavecseseznamem"/>
        <w:numPr>
          <w:ilvl w:val="0"/>
          <w:numId w:val="21"/>
        </w:numPr>
        <w:spacing w:after="120"/>
        <w:ind w:left="284" w:hanging="284"/>
        <w:contextualSpacing w:val="0"/>
        <w:rPr>
          <w:rFonts w:ascii="Verdana" w:hAnsi="Verdana"/>
          <w:sz w:val="20"/>
          <w:szCs w:val="20"/>
          <w:lang w:val="en-GB"/>
        </w:rPr>
      </w:pPr>
      <w:r w:rsidRPr="00B76C0C">
        <w:rPr>
          <w:rFonts w:ascii="Verdana" w:hAnsi="Verdana"/>
          <w:sz w:val="20"/>
          <w:szCs w:val="20"/>
          <w:lang w:val="en-GB"/>
        </w:rPr>
        <w:t>simplicity of their application;</w:t>
      </w:r>
    </w:p>
    <w:p w:rsidR="00D737C2" w:rsidRPr="00B76C0C" w:rsidRDefault="00D737C2" w:rsidP="00D737C2">
      <w:pPr>
        <w:pStyle w:val="Odstavecseseznamem"/>
        <w:numPr>
          <w:ilvl w:val="0"/>
          <w:numId w:val="21"/>
        </w:numPr>
        <w:spacing w:after="120"/>
        <w:ind w:left="284" w:hanging="284"/>
        <w:contextualSpacing w:val="0"/>
        <w:rPr>
          <w:rFonts w:ascii="Verdana" w:hAnsi="Verdana"/>
          <w:sz w:val="20"/>
          <w:szCs w:val="20"/>
          <w:lang w:val="en-GB"/>
        </w:rPr>
      </w:pPr>
      <w:r w:rsidRPr="00B76C0C">
        <w:rPr>
          <w:rFonts w:ascii="Verdana" w:hAnsi="Verdana"/>
          <w:sz w:val="20"/>
          <w:szCs w:val="20"/>
          <w:lang w:val="en-GB"/>
        </w:rPr>
        <w:t>discussions with employees of banks;</w:t>
      </w:r>
    </w:p>
    <w:p w:rsidR="00D737C2" w:rsidRPr="00B76C0C" w:rsidRDefault="00D737C2" w:rsidP="00D737C2">
      <w:pPr>
        <w:pStyle w:val="Odstavecseseznamem"/>
        <w:numPr>
          <w:ilvl w:val="0"/>
          <w:numId w:val="21"/>
        </w:numPr>
        <w:spacing w:after="120"/>
        <w:ind w:left="284" w:hanging="284"/>
        <w:contextualSpacing w:val="0"/>
        <w:rPr>
          <w:rFonts w:ascii="Verdana" w:hAnsi="Verdana"/>
          <w:sz w:val="20"/>
          <w:szCs w:val="20"/>
          <w:lang w:val="en-GB"/>
        </w:rPr>
      </w:pPr>
      <w:proofErr w:type="gramStart"/>
      <w:r w:rsidRPr="00B76C0C">
        <w:rPr>
          <w:rFonts w:ascii="Verdana" w:hAnsi="Verdana"/>
          <w:sz w:val="20"/>
          <w:szCs w:val="20"/>
          <w:lang w:val="en-GB"/>
        </w:rPr>
        <w:t>requirements</w:t>
      </w:r>
      <w:proofErr w:type="gramEnd"/>
      <w:r w:rsidRPr="00B76C0C">
        <w:rPr>
          <w:rFonts w:ascii="Verdana" w:hAnsi="Verdana"/>
          <w:sz w:val="20"/>
          <w:szCs w:val="20"/>
          <w:lang w:val="en-GB"/>
        </w:rPr>
        <w:t xml:space="preserve"> the model should meet.</w:t>
      </w:r>
    </w:p>
    <w:p w:rsidR="00D737C2" w:rsidRPr="00B76C0C" w:rsidRDefault="00D737C2" w:rsidP="00D737C2">
      <w:pPr>
        <w:spacing w:after="120"/>
        <w:rPr>
          <w:rFonts w:ascii="Verdana" w:hAnsi="Verdana"/>
          <w:sz w:val="20"/>
          <w:szCs w:val="20"/>
          <w:lang w:val="en-GB"/>
        </w:rPr>
      </w:pPr>
      <w:r w:rsidRPr="00B76C0C">
        <w:rPr>
          <w:rFonts w:ascii="Verdana" w:hAnsi="Verdana"/>
          <w:sz w:val="20"/>
          <w:szCs w:val="20"/>
          <w:lang w:val="en-GB"/>
        </w:rPr>
        <w:t>Weights of individual factors were assigned based on:</w:t>
      </w:r>
    </w:p>
    <w:p w:rsidR="00D737C2" w:rsidRPr="00B76C0C" w:rsidRDefault="00D737C2" w:rsidP="00D737C2">
      <w:pPr>
        <w:pStyle w:val="Odstavecseseznamem"/>
        <w:numPr>
          <w:ilvl w:val="0"/>
          <w:numId w:val="21"/>
        </w:numPr>
        <w:spacing w:after="120"/>
        <w:ind w:left="284" w:hanging="284"/>
        <w:contextualSpacing w:val="0"/>
        <w:rPr>
          <w:rFonts w:ascii="Verdana" w:hAnsi="Verdana"/>
          <w:sz w:val="20"/>
          <w:szCs w:val="20"/>
          <w:lang w:val="en-GB"/>
        </w:rPr>
      </w:pPr>
      <w:r w:rsidRPr="00B76C0C">
        <w:rPr>
          <w:rFonts w:ascii="Verdana" w:hAnsi="Verdana"/>
          <w:sz w:val="20"/>
          <w:szCs w:val="20"/>
          <w:lang w:val="en-GB"/>
        </w:rPr>
        <w:t>results of the correlation analysis of the relationship between individual factors and the savings achieved by application of Cash Pooling, reflected in Cash Management;</w:t>
      </w:r>
    </w:p>
    <w:p w:rsidR="00D737C2" w:rsidRPr="00B76C0C" w:rsidRDefault="00D737C2" w:rsidP="00D737C2">
      <w:pPr>
        <w:pStyle w:val="Odstavecseseznamem"/>
        <w:numPr>
          <w:ilvl w:val="0"/>
          <w:numId w:val="21"/>
        </w:numPr>
        <w:spacing w:after="120"/>
        <w:ind w:left="284" w:hanging="284"/>
        <w:contextualSpacing w:val="0"/>
        <w:rPr>
          <w:rFonts w:ascii="Verdana" w:hAnsi="Verdana"/>
          <w:sz w:val="20"/>
          <w:szCs w:val="20"/>
          <w:lang w:val="en-GB"/>
        </w:rPr>
      </w:pPr>
      <w:r w:rsidRPr="00B76C0C">
        <w:rPr>
          <w:rFonts w:ascii="Verdana" w:hAnsi="Verdana"/>
          <w:sz w:val="20"/>
          <w:szCs w:val="20"/>
          <w:lang w:val="en-GB"/>
        </w:rPr>
        <w:t>qualified evaluation of the results of the correlation analysis:</w:t>
      </w:r>
    </w:p>
    <w:p w:rsidR="00D737C2" w:rsidRPr="00B76C0C" w:rsidRDefault="00D737C2" w:rsidP="00D737C2">
      <w:pPr>
        <w:pStyle w:val="Odstavecseseznamem"/>
        <w:numPr>
          <w:ilvl w:val="0"/>
          <w:numId w:val="21"/>
        </w:numPr>
        <w:spacing w:after="120"/>
        <w:ind w:left="567" w:hanging="283"/>
        <w:contextualSpacing w:val="0"/>
        <w:rPr>
          <w:rFonts w:ascii="Verdana" w:hAnsi="Verdana"/>
          <w:sz w:val="20"/>
          <w:szCs w:val="20"/>
          <w:lang w:val="en-GB"/>
        </w:rPr>
      </w:pPr>
      <w:r w:rsidRPr="00B76C0C">
        <w:rPr>
          <w:rFonts w:ascii="Verdana" w:hAnsi="Verdana"/>
          <w:sz w:val="20"/>
          <w:szCs w:val="20"/>
          <w:lang w:val="en-GB"/>
        </w:rPr>
        <w:t>experience from the practice;</w:t>
      </w:r>
    </w:p>
    <w:p w:rsidR="00D737C2" w:rsidRPr="00B76C0C" w:rsidRDefault="00D737C2" w:rsidP="00D737C2">
      <w:pPr>
        <w:pStyle w:val="Odstavecseseznamem"/>
        <w:numPr>
          <w:ilvl w:val="0"/>
          <w:numId w:val="21"/>
        </w:numPr>
        <w:spacing w:after="120"/>
        <w:ind w:left="567" w:hanging="283"/>
        <w:contextualSpacing w:val="0"/>
        <w:rPr>
          <w:rFonts w:ascii="Verdana" w:hAnsi="Verdana"/>
          <w:sz w:val="20"/>
          <w:szCs w:val="20"/>
          <w:lang w:val="en-GB"/>
        </w:rPr>
      </w:pPr>
      <w:r w:rsidRPr="00B76C0C">
        <w:rPr>
          <w:rFonts w:ascii="Verdana" w:hAnsi="Verdana"/>
          <w:sz w:val="20"/>
          <w:szCs w:val="20"/>
          <w:lang w:val="en-GB"/>
        </w:rPr>
        <w:t>results of the survey in banks and the business sector;</w:t>
      </w:r>
    </w:p>
    <w:p w:rsidR="00D737C2" w:rsidRPr="00B76C0C" w:rsidRDefault="00D737C2" w:rsidP="00D737C2">
      <w:pPr>
        <w:pStyle w:val="Odstavecseseznamem"/>
        <w:numPr>
          <w:ilvl w:val="0"/>
          <w:numId w:val="21"/>
        </w:numPr>
        <w:spacing w:after="240"/>
        <w:ind w:left="568" w:hanging="284"/>
        <w:contextualSpacing w:val="0"/>
        <w:rPr>
          <w:rFonts w:ascii="Verdana" w:hAnsi="Verdana"/>
          <w:sz w:val="20"/>
          <w:szCs w:val="20"/>
          <w:lang w:val="en-GB"/>
        </w:rPr>
      </w:pPr>
      <w:proofErr w:type="gramStart"/>
      <w:r w:rsidRPr="00B76C0C">
        <w:rPr>
          <w:rFonts w:ascii="Verdana" w:hAnsi="Verdana"/>
          <w:sz w:val="20"/>
          <w:szCs w:val="20"/>
          <w:lang w:val="en-GB"/>
        </w:rPr>
        <w:t>verification</w:t>
      </w:r>
      <w:proofErr w:type="gramEnd"/>
      <w:r w:rsidRPr="00B76C0C">
        <w:rPr>
          <w:rFonts w:ascii="Verdana" w:hAnsi="Verdana"/>
          <w:sz w:val="20"/>
          <w:szCs w:val="20"/>
          <w:lang w:val="en-GB"/>
        </w:rPr>
        <w:t xml:space="preserve"> by regression analysis.</w:t>
      </w:r>
    </w:p>
    <w:p w:rsidR="00445DB8" w:rsidRPr="00A14982" w:rsidRDefault="00445DB8" w:rsidP="00A14982">
      <w:pPr>
        <w:pStyle w:val="Nadpis1"/>
        <w:numPr>
          <w:ilvl w:val="0"/>
          <w:numId w:val="0"/>
        </w:numPr>
        <w:spacing w:before="0" w:after="120"/>
        <w:rPr>
          <w:rFonts w:ascii="Verdana" w:hAnsi="Verdana"/>
          <w:sz w:val="22"/>
          <w:szCs w:val="22"/>
        </w:rPr>
      </w:pPr>
      <w:r w:rsidRPr="00FF6009">
        <w:rPr>
          <w:rFonts w:ascii="Verdana" w:hAnsi="Verdana"/>
          <w:sz w:val="22"/>
          <w:szCs w:val="22"/>
        </w:rPr>
        <w:t>Conclusion</w:t>
      </w:r>
      <w:r w:rsidR="005A33A4">
        <w:rPr>
          <w:rFonts w:ascii="Verdana" w:hAnsi="Verdana"/>
          <w:sz w:val="22"/>
          <w:szCs w:val="22"/>
        </w:rPr>
        <w:t>s</w:t>
      </w:r>
    </w:p>
    <w:p w:rsidR="00516A2E" w:rsidRPr="00CB36F3" w:rsidRDefault="00516A2E" w:rsidP="00516A2E">
      <w:pPr>
        <w:spacing w:after="120"/>
        <w:rPr>
          <w:rFonts w:ascii="Verdana" w:hAnsi="Verdana"/>
          <w:sz w:val="20"/>
          <w:szCs w:val="20"/>
          <w:lang w:val="en-GB"/>
        </w:rPr>
      </w:pPr>
      <w:r w:rsidRPr="00CB36F3">
        <w:rPr>
          <w:rFonts w:ascii="Verdana" w:hAnsi="Verdana"/>
          <w:sz w:val="20"/>
          <w:szCs w:val="20"/>
          <w:lang w:val="en-GB"/>
        </w:rPr>
        <w:t>The conducted analyses confirmed that the company size has generally an important position within the motivation to use Cash Management and Cash Pooling and these products being offered by banks. We used Pearson’s X</w:t>
      </w:r>
      <w:r w:rsidRPr="00CB36F3">
        <w:rPr>
          <w:rFonts w:ascii="Verdana" w:hAnsi="Verdana"/>
          <w:sz w:val="20"/>
          <w:szCs w:val="20"/>
          <w:vertAlign w:val="superscript"/>
          <w:lang w:val="en-GB"/>
        </w:rPr>
        <w:t>2</w:t>
      </w:r>
      <w:r w:rsidRPr="00CB36F3">
        <w:rPr>
          <w:rFonts w:ascii="Verdana" w:hAnsi="Verdana"/>
          <w:sz w:val="20"/>
          <w:szCs w:val="20"/>
          <w:lang w:val="en-GB"/>
        </w:rPr>
        <w:t xml:space="preserve"> – test to verify the associations and Pearson’s coefficient to determine the degree of association.</w:t>
      </w:r>
    </w:p>
    <w:p w:rsidR="00516A2E" w:rsidRPr="00CB36F3" w:rsidRDefault="00516A2E" w:rsidP="00516A2E">
      <w:pPr>
        <w:spacing w:after="240"/>
        <w:rPr>
          <w:rFonts w:ascii="Verdana" w:hAnsi="Verdana"/>
          <w:sz w:val="20"/>
          <w:szCs w:val="20"/>
          <w:lang w:val="en-GB"/>
        </w:rPr>
      </w:pPr>
      <w:r w:rsidRPr="00CB36F3">
        <w:rPr>
          <w:rFonts w:ascii="Verdana" w:hAnsi="Verdana"/>
          <w:sz w:val="20"/>
          <w:szCs w:val="20"/>
          <w:lang w:val="en-GB"/>
        </w:rPr>
        <w:t>Regression analysis verified that from the perspective of client’s financial savings the amount of used loans and loan costs with Cash Pooling are of the highest significance.</w:t>
      </w:r>
    </w:p>
    <w:p w:rsidR="00163E29" w:rsidRPr="00FF6009" w:rsidRDefault="00163E29" w:rsidP="00591DC3">
      <w:pPr>
        <w:pStyle w:val="Nadpis1"/>
        <w:numPr>
          <w:ilvl w:val="0"/>
          <w:numId w:val="0"/>
        </w:numPr>
        <w:spacing w:before="0" w:after="0"/>
        <w:rPr>
          <w:rFonts w:ascii="Verdana" w:hAnsi="Verdana"/>
          <w:sz w:val="22"/>
          <w:szCs w:val="22"/>
        </w:rPr>
      </w:pPr>
      <w:r w:rsidRPr="00FF6009">
        <w:rPr>
          <w:rFonts w:ascii="Verdana" w:hAnsi="Verdana"/>
          <w:sz w:val="22"/>
          <w:szCs w:val="22"/>
        </w:rPr>
        <w:t>References</w:t>
      </w:r>
      <w:r w:rsidR="000B5C91" w:rsidRPr="00FF6009">
        <w:rPr>
          <w:rFonts w:ascii="Verdana" w:hAnsi="Verdana"/>
          <w:sz w:val="22"/>
          <w:szCs w:val="22"/>
        </w:rPr>
        <w:tab/>
      </w:r>
    </w:p>
    <w:p w:rsidR="00163E29" w:rsidRPr="00FF6009" w:rsidRDefault="00163E29" w:rsidP="00163E29">
      <w:pPr>
        <w:rPr>
          <w:rFonts w:ascii="Verdana" w:hAnsi="Verdana"/>
          <w:b/>
          <w:sz w:val="22"/>
        </w:rPr>
      </w:pPr>
    </w:p>
    <w:p w:rsidR="003D33DF" w:rsidRPr="003D33DF" w:rsidRDefault="003D33DF" w:rsidP="003D33DF">
      <w:pPr>
        <w:suppressAutoHyphens/>
        <w:spacing w:line="288" w:lineRule="atLeast"/>
        <w:jc w:val="left"/>
        <w:rPr>
          <w:rFonts w:ascii="Verdana" w:hAnsi="Verdana"/>
          <w:sz w:val="20"/>
          <w:szCs w:val="20"/>
        </w:rPr>
      </w:pPr>
      <w:r w:rsidRPr="003D33DF">
        <w:rPr>
          <w:rFonts w:ascii="Verdana" w:hAnsi="Verdana"/>
          <w:i/>
          <w:sz w:val="20"/>
          <w:szCs w:val="20"/>
        </w:rPr>
        <w:t>Krajíček, J.</w:t>
      </w:r>
      <w:r w:rsidRPr="003D33DF">
        <w:rPr>
          <w:rFonts w:ascii="Verdana" w:hAnsi="Verdana"/>
          <w:sz w:val="20"/>
          <w:szCs w:val="20"/>
        </w:rPr>
        <w:t xml:space="preserve"> (2012).</w:t>
      </w:r>
      <w:r w:rsidRPr="003D33DF">
        <w:rPr>
          <w:rFonts w:ascii="Verdana" w:hAnsi="Verdana"/>
          <w:i/>
          <w:sz w:val="20"/>
          <w:szCs w:val="20"/>
        </w:rPr>
        <w:t xml:space="preserve">  </w:t>
      </w:r>
      <w:r w:rsidRPr="003D33DF">
        <w:rPr>
          <w:rFonts w:ascii="Verdana" w:hAnsi="Verdana"/>
          <w:sz w:val="20"/>
          <w:szCs w:val="20"/>
        </w:rPr>
        <w:t>Cash Management and his application in practice, MU Brno, 161 p. Dis</w:t>
      </w:r>
      <w:r>
        <w:rPr>
          <w:rFonts w:ascii="Verdana" w:hAnsi="Verdana"/>
          <w:sz w:val="20"/>
          <w:szCs w:val="20"/>
        </w:rPr>
        <w:t>s</w:t>
      </w:r>
      <w:r w:rsidRPr="003D33DF">
        <w:rPr>
          <w:rFonts w:ascii="Verdana" w:hAnsi="Verdana"/>
          <w:sz w:val="20"/>
          <w:szCs w:val="20"/>
        </w:rPr>
        <w:t>ertation.</w:t>
      </w:r>
    </w:p>
    <w:p w:rsidR="007E2FDE" w:rsidRPr="003D33DF" w:rsidRDefault="007E2FDE" w:rsidP="003D33DF">
      <w:pPr>
        <w:suppressAutoHyphens/>
        <w:spacing w:line="288" w:lineRule="atLeast"/>
        <w:jc w:val="left"/>
        <w:rPr>
          <w:rFonts w:ascii="Verdana" w:hAnsi="Verdana"/>
          <w:sz w:val="20"/>
          <w:szCs w:val="20"/>
          <w:lang w:val="en-GB"/>
        </w:rPr>
      </w:pPr>
      <w:proofErr w:type="spellStart"/>
      <w:r w:rsidRPr="003D33DF">
        <w:rPr>
          <w:rFonts w:ascii="Verdana" w:hAnsi="Verdana"/>
          <w:i/>
          <w:sz w:val="20"/>
          <w:szCs w:val="20"/>
          <w:lang w:val="en-GB"/>
        </w:rPr>
        <w:t>Mařík</w:t>
      </w:r>
      <w:proofErr w:type="spellEnd"/>
      <w:r w:rsidRPr="003D33DF">
        <w:rPr>
          <w:rFonts w:ascii="Verdana" w:hAnsi="Verdana"/>
          <w:i/>
          <w:sz w:val="20"/>
          <w:szCs w:val="20"/>
          <w:lang w:val="en-GB"/>
        </w:rPr>
        <w:t xml:space="preserve"> M.</w:t>
      </w:r>
      <w:r w:rsidR="003D33DF" w:rsidRPr="003D33DF">
        <w:rPr>
          <w:rFonts w:ascii="Verdana" w:hAnsi="Verdana"/>
          <w:i/>
          <w:sz w:val="20"/>
          <w:szCs w:val="20"/>
          <w:lang w:val="en-GB"/>
        </w:rPr>
        <w:t xml:space="preserve"> </w:t>
      </w:r>
      <w:r w:rsidR="003D33DF" w:rsidRPr="003D33DF">
        <w:rPr>
          <w:rFonts w:ascii="Verdana" w:hAnsi="Verdana"/>
          <w:sz w:val="20"/>
          <w:szCs w:val="20"/>
          <w:lang w:val="en-GB"/>
        </w:rPr>
        <w:t>(2007).</w:t>
      </w:r>
      <w:r w:rsidRPr="003D33DF">
        <w:rPr>
          <w:rFonts w:ascii="Verdana" w:hAnsi="Verdana"/>
          <w:sz w:val="20"/>
          <w:szCs w:val="20"/>
          <w:lang w:val="en-GB"/>
        </w:rPr>
        <w:t xml:space="preserve"> </w:t>
      </w:r>
      <w:proofErr w:type="spellStart"/>
      <w:r w:rsidRPr="003D33DF">
        <w:rPr>
          <w:rFonts w:ascii="Verdana" w:hAnsi="Verdana"/>
          <w:iCs/>
          <w:sz w:val="20"/>
          <w:szCs w:val="20"/>
          <w:lang w:val="en-GB"/>
        </w:rPr>
        <w:t>Metody</w:t>
      </w:r>
      <w:proofErr w:type="spellEnd"/>
      <w:r w:rsidRPr="003D33DF">
        <w:rPr>
          <w:rFonts w:ascii="Verdana" w:hAnsi="Verdana"/>
          <w:iCs/>
          <w:sz w:val="20"/>
          <w:szCs w:val="20"/>
          <w:lang w:val="en-GB"/>
        </w:rPr>
        <w:t xml:space="preserve"> </w:t>
      </w:r>
      <w:proofErr w:type="spellStart"/>
      <w:r w:rsidRPr="003D33DF">
        <w:rPr>
          <w:rFonts w:ascii="Verdana" w:hAnsi="Verdana"/>
          <w:iCs/>
          <w:sz w:val="20"/>
          <w:szCs w:val="20"/>
          <w:lang w:val="en-GB"/>
        </w:rPr>
        <w:t>oceňování</w:t>
      </w:r>
      <w:proofErr w:type="spellEnd"/>
      <w:r w:rsidRPr="003D33DF">
        <w:rPr>
          <w:rFonts w:ascii="Verdana" w:hAnsi="Verdana"/>
          <w:iCs/>
          <w:sz w:val="20"/>
          <w:szCs w:val="20"/>
          <w:lang w:val="en-GB"/>
        </w:rPr>
        <w:t xml:space="preserve"> </w:t>
      </w:r>
      <w:proofErr w:type="spellStart"/>
      <w:r w:rsidRPr="003D33DF">
        <w:rPr>
          <w:rFonts w:ascii="Verdana" w:hAnsi="Verdana"/>
          <w:iCs/>
          <w:sz w:val="20"/>
          <w:szCs w:val="20"/>
          <w:lang w:val="en-GB"/>
        </w:rPr>
        <w:t>podniku</w:t>
      </w:r>
      <w:proofErr w:type="spellEnd"/>
      <w:r w:rsidRPr="003D33DF">
        <w:rPr>
          <w:rFonts w:ascii="Verdana" w:hAnsi="Verdana"/>
          <w:iCs/>
          <w:sz w:val="20"/>
          <w:szCs w:val="20"/>
          <w:lang w:val="en-GB"/>
        </w:rPr>
        <w:t xml:space="preserve">: </w:t>
      </w:r>
      <w:proofErr w:type="spellStart"/>
      <w:r w:rsidRPr="003D33DF">
        <w:rPr>
          <w:rFonts w:ascii="Verdana" w:hAnsi="Verdana"/>
          <w:iCs/>
          <w:sz w:val="20"/>
          <w:szCs w:val="20"/>
          <w:lang w:val="en-GB"/>
        </w:rPr>
        <w:t>proces</w:t>
      </w:r>
      <w:proofErr w:type="spellEnd"/>
      <w:r w:rsidRPr="003D33DF">
        <w:rPr>
          <w:rFonts w:ascii="Verdana" w:hAnsi="Verdana"/>
          <w:iCs/>
          <w:sz w:val="20"/>
          <w:szCs w:val="20"/>
          <w:lang w:val="en-GB"/>
        </w:rPr>
        <w:t xml:space="preserve"> </w:t>
      </w:r>
      <w:proofErr w:type="spellStart"/>
      <w:r w:rsidRPr="003D33DF">
        <w:rPr>
          <w:rFonts w:ascii="Verdana" w:hAnsi="Verdana"/>
          <w:iCs/>
          <w:sz w:val="20"/>
          <w:szCs w:val="20"/>
          <w:lang w:val="en-GB"/>
        </w:rPr>
        <w:t>ocenění</w:t>
      </w:r>
      <w:proofErr w:type="spellEnd"/>
      <w:r w:rsidRPr="003D33DF">
        <w:rPr>
          <w:rFonts w:ascii="Verdana" w:hAnsi="Verdana"/>
          <w:iCs/>
          <w:sz w:val="20"/>
          <w:szCs w:val="20"/>
          <w:lang w:val="en-GB"/>
        </w:rPr>
        <w:t xml:space="preserve"> - </w:t>
      </w:r>
      <w:proofErr w:type="spellStart"/>
      <w:r w:rsidRPr="003D33DF">
        <w:rPr>
          <w:rFonts w:ascii="Verdana" w:hAnsi="Verdana"/>
          <w:iCs/>
          <w:sz w:val="20"/>
          <w:szCs w:val="20"/>
          <w:lang w:val="en-GB"/>
        </w:rPr>
        <w:t>základní</w:t>
      </w:r>
      <w:proofErr w:type="spellEnd"/>
      <w:r w:rsidRPr="003D33DF">
        <w:rPr>
          <w:rFonts w:ascii="Verdana" w:hAnsi="Verdana"/>
          <w:iCs/>
          <w:sz w:val="20"/>
          <w:szCs w:val="20"/>
          <w:lang w:val="en-GB"/>
        </w:rPr>
        <w:t xml:space="preserve"> </w:t>
      </w:r>
      <w:proofErr w:type="spellStart"/>
      <w:r w:rsidRPr="003D33DF">
        <w:rPr>
          <w:rFonts w:ascii="Verdana" w:hAnsi="Verdana"/>
          <w:iCs/>
          <w:sz w:val="20"/>
          <w:szCs w:val="20"/>
          <w:lang w:val="en-GB"/>
        </w:rPr>
        <w:t>metody</w:t>
      </w:r>
      <w:proofErr w:type="spellEnd"/>
      <w:r w:rsidRPr="003D33DF">
        <w:rPr>
          <w:rFonts w:ascii="Verdana" w:hAnsi="Verdana"/>
          <w:iCs/>
          <w:sz w:val="20"/>
          <w:szCs w:val="20"/>
          <w:lang w:val="en-GB"/>
        </w:rPr>
        <w:t xml:space="preserve"> a </w:t>
      </w:r>
      <w:proofErr w:type="spellStart"/>
      <w:r w:rsidRPr="003D33DF">
        <w:rPr>
          <w:rFonts w:ascii="Verdana" w:hAnsi="Verdana"/>
          <w:iCs/>
          <w:sz w:val="20"/>
          <w:szCs w:val="20"/>
          <w:lang w:val="en-GB"/>
        </w:rPr>
        <w:t>postupy</w:t>
      </w:r>
      <w:proofErr w:type="spellEnd"/>
      <w:r w:rsidRPr="003D33DF">
        <w:rPr>
          <w:rFonts w:ascii="Verdana" w:hAnsi="Verdana"/>
          <w:i/>
          <w:iCs/>
          <w:sz w:val="20"/>
          <w:szCs w:val="20"/>
          <w:lang w:val="en-GB"/>
        </w:rPr>
        <w:t xml:space="preserve">, </w:t>
      </w:r>
      <w:r w:rsidRPr="003D33DF">
        <w:rPr>
          <w:rFonts w:ascii="Verdana" w:hAnsi="Verdana"/>
          <w:iCs/>
          <w:sz w:val="20"/>
          <w:szCs w:val="20"/>
          <w:lang w:val="en-GB"/>
        </w:rPr>
        <w:t>2</w:t>
      </w:r>
      <w:r w:rsidRPr="003D33DF">
        <w:rPr>
          <w:rFonts w:ascii="Verdana" w:hAnsi="Verdana"/>
          <w:iCs/>
          <w:sz w:val="20"/>
          <w:szCs w:val="20"/>
          <w:vertAlign w:val="superscript"/>
          <w:lang w:val="en-GB"/>
        </w:rPr>
        <w:t>nd</w:t>
      </w:r>
      <w:r w:rsidRPr="003D33DF">
        <w:rPr>
          <w:rFonts w:ascii="Verdana" w:hAnsi="Verdana"/>
          <w:iCs/>
          <w:sz w:val="20"/>
          <w:szCs w:val="20"/>
          <w:lang w:val="en-GB"/>
        </w:rPr>
        <w:t xml:space="preserve"> ed.</w:t>
      </w:r>
      <w:r w:rsidRPr="003D33DF">
        <w:rPr>
          <w:rFonts w:ascii="Verdana" w:hAnsi="Verdana"/>
          <w:sz w:val="20"/>
          <w:szCs w:val="20"/>
          <w:lang w:val="en-GB"/>
        </w:rPr>
        <w:t xml:space="preserve">, </w:t>
      </w:r>
      <w:proofErr w:type="spellStart"/>
      <w:r w:rsidRPr="003D33DF">
        <w:rPr>
          <w:rFonts w:ascii="Verdana" w:hAnsi="Verdana"/>
          <w:sz w:val="20"/>
          <w:szCs w:val="20"/>
          <w:lang w:val="en-GB"/>
        </w:rPr>
        <w:t>Praha</w:t>
      </w:r>
      <w:proofErr w:type="spellEnd"/>
      <w:r w:rsidRPr="003D33DF">
        <w:rPr>
          <w:rFonts w:ascii="Verdana" w:hAnsi="Verdana"/>
          <w:sz w:val="20"/>
          <w:szCs w:val="20"/>
          <w:lang w:val="en-GB"/>
        </w:rPr>
        <w:t xml:space="preserve">, </w:t>
      </w:r>
      <w:proofErr w:type="spellStart"/>
      <w:r w:rsidRPr="003D33DF">
        <w:rPr>
          <w:rFonts w:ascii="Verdana" w:hAnsi="Verdana"/>
          <w:sz w:val="20"/>
          <w:szCs w:val="20"/>
          <w:lang w:val="en-GB"/>
        </w:rPr>
        <w:t>Ekopress</w:t>
      </w:r>
      <w:proofErr w:type="spellEnd"/>
      <w:r w:rsidRPr="003D33DF">
        <w:rPr>
          <w:rFonts w:ascii="Verdana" w:hAnsi="Verdana"/>
          <w:sz w:val="20"/>
          <w:szCs w:val="20"/>
          <w:lang w:val="en-GB"/>
        </w:rPr>
        <w:t>, 2007, 492 p., ISBN 978-80-86929-32,</w:t>
      </w:r>
    </w:p>
    <w:p w:rsidR="007E2FDE" w:rsidRPr="003D33DF" w:rsidRDefault="003D33DF" w:rsidP="003D33DF">
      <w:pPr>
        <w:suppressAutoHyphens/>
        <w:spacing w:line="288" w:lineRule="atLeast"/>
        <w:jc w:val="left"/>
        <w:rPr>
          <w:rFonts w:ascii="Verdana" w:hAnsi="Verdana"/>
          <w:sz w:val="20"/>
          <w:szCs w:val="20"/>
          <w:lang w:val="en-GB"/>
        </w:rPr>
      </w:pPr>
      <w:proofErr w:type="spellStart"/>
      <w:r w:rsidRPr="003D33DF">
        <w:rPr>
          <w:rFonts w:ascii="Verdana" w:hAnsi="Verdana"/>
          <w:i/>
          <w:sz w:val="20"/>
          <w:szCs w:val="20"/>
          <w:lang w:val="en-GB"/>
        </w:rPr>
        <w:t>Sodomová</w:t>
      </w:r>
      <w:proofErr w:type="spellEnd"/>
      <w:r w:rsidR="007E2FDE" w:rsidRPr="003D33DF">
        <w:rPr>
          <w:rFonts w:ascii="Verdana" w:hAnsi="Verdana"/>
          <w:i/>
          <w:sz w:val="20"/>
          <w:szCs w:val="20"/>
          <w:lang w:val="en-GB"/>
        </w:rPr>
        <w:t>, E. et al.</w:t>
      </w:r>
      <w:r w:rsidRPr="003D33DF">
        <w:rPr>
          <w:rFonts w:ascii="Verdana" w:hAnsi="Verdana"/>
          <w:sz w:val="20"/>
          <w:szCs w:val="20"/>
          <w:lang w:val="en-GB"/>
        </w:rPr>
        <w:t xml:space="preserve"> (2010).</w:t>
      </w:r>
      <w:r w:rsidR="007E2FDE" w:rsidRPr="003D33DF">
        <w:rPr>
          <w:rFonts w:ascii="Verdana" w:hAnsi="Verdana"/>
          <w:sz w:val="20"/>
          <w:szCs w:val="20"/>
          <w:lang w:val="en-GB"/>
        </w:rPr>
        <w:t xml:space="preserve"> </w:t>
      </w:r>
      <w:proofErr w:type="spellStart"/>
      <w:proofErr w:type="gramStart"/>
      <w:r w:rsidR="007E2FDE" w:rsidRPr="003D33DF">
        <w:rPr>
          <w:rFonts w:ascii="Verdana" w:hAnsi="Verdana"/>
          <w:sz w:val="20"/>
          <w:szCs w:val="20"/>
          <w:lang w:val="en-GB"/>
        </w:rPr>
        <w:t>Štatistika</w:t>
      </w:r>
      <w:proofErr w:type="spellEnd"/>
      <w:r w:rsidR="007E2FDE" w:rsidRPr="003D33DF">
        <w:rPr>
          <w:rFonts w:ascii="Verdana" w:hAnsi="Verdana"/>
          <w:sz w:val="20"/>
          <w:szCs w:val="20"/>
          <w:lang w:val="en-GB"/>
        </w:rPr>
        <w:t xml:space="preserve"> pre </w:t>
      </w:r>
      <w:proofErr w:type="spellStart"/>
      <w:r w:rsidR="007E2FDE" w:rsidRPr="003D33DF">
        <w:rPr>
          <w:rFonts w:ascii="Verdana" w:hAnsi="Verdana"/>
          <w:sz w:val="20"/>
          <w:szCs w:val="20"/>
          <w:lang w:val="en-GB"/>
        </w:rPr>
        <w:t>bakalárov</w:t>
      </w:r>
      <w:proofErr w:type="spellEnd"/>
      <w:r w:rsidR="007E2FDE" w:rsidRPr="003D33DF">
        <w:rPr>
          <w:rFonts w:ascii="Verdana" w:hAnsi="Verdana"/>
          <w:sz w:val="20"/>
          <w:szCs w:val="20"/>
          <w:lang w:val="en-GB"/>
        </w:rPr>
        <w:t xml:space="preserve">, </w:t>
      </w:r>
      <w:proofErr w:type="spellStart"/>
      <w:r w:rsidR="007E2FDE" w:rsidRPr="003D33DF">
        <w:rPr>
          <w:rFonts w:ascii="Verdana" w:hAnsi="Verdana"/>
          <w:sz w:val="20"/>
          <w:szCs w:val="20"/>
          <w:lang w:val="en-GB"/>
        </w:rPr>
        <w:t>Ekonóm</w:t>
      </w:r>
      <w:proofErr w:type="spellEnd"/>
      <w:r w:rsidRPr="003D33DF">
        <w:rPr>
          <w:rFonts w:ascii="Verdana" w:hAnsi="Verdana"/>
          <w:sz w:val="20"/>
          <w:szCs w:val="20"/>
          <w:lang w:val="en-GB"/>
        </w:rPr>
        <w:t>,</w:t>
      </w:r>
      <w:r w:rsidR="007E2FDE" w:rsidRPr="003D33DF">
        <w:rPr>
          <w:rFonts w:ascii="Verdana" w:hAnsi="Verdana"/>
          <w:sz w:val="20"/>
          <w:szCs w:val="20"/>
          <w:lang w:val="en-GB"/>
        </w:rPr>
        <w:t xml:space="preserve"> Bratislava, 1</w:t>
      </w:r>
      <w:r w:rsidR="007E2FDE" w:rsidRPr="003D33DF">
        <w:rPr>
          <w:rFonts w:ascii="Verdana" w:hAnsi="Verdana"/>
          <w:sz w:val="20"/>
          <w:szCs w:val="20"/>
          <w:vertAlign w:val="superscript"/>
          <w:lang w:val="en-GB"/>
        </w:rPr>
        <w:t>st</w:t>
      </w:r>
      <w:r w:rsidR="007E2FDE" w:rsidRPr="003D33DF">
        <w:rPr>
          <w:rFonts w:ascii="Verdana" w:hAnsi="Verdana"/>
          <w:sz w:val="20"/>
          <w:szCs w:val="20"/>
          <w:lang w:val="en-GB"/>
        </w:rPr>
        <w:t xml:space="preserve"> ed., 258 p., ISBN 978-80-225-2923-5.</w:t>
      </w:r>
      <w:proofErr w:type="gramEnd"/>
    </w:p>
    <w:p w:rsidR="003D33DF" w:rsidRPr="00516A2E" w:rsidRDefault="007E2FDE" w:rsidP="003D33DF">
      <w:pPr>
        <w:suppressAutoHyphens/>
        <w:spacing w:line="288" w:lineRule="atLeast"/>
        <w:jc w:val="left"/>
        <w:rPr>
          <w:rFonts w:ascii="Verdana" w:hAnsi="Verdana"/>
          <w:sz w:val="20"/>
          <w:szCs w:val="20"/>
          <w:lang w:val="de-AT"/>
        </w:rPr>
      </w:pPr>
      <w:proofErr w:type="spellStart"/>
      <w:r w:rsidRPr="003D33DF">
        <w:rPr>
          <w:rFonts w:ascii="Verdana" w:hAnsi="Verdana"/>
          <w:i/>
          <w:sz w:val="20"/>
          <w:szCs w:val="20"/>
          <w:lang w:val="de-AT"/>
        </w:rPr>
        <w:t>Werdenich</w:t>
      </w:r>
      <w:proofErr w:type="spellEnd"/>
      <w:r w:rsidRPr="003D33DF">
        <w:rPr>
          <w:rFonts w:ascii="Verdana" w:hAnsi="Verdana"/>
          <w:i/>
          <w:sz w:val="20"/>
          <w:szCs w:val="20"/>
          <w:lang w:val="de-AT"/>
        </w:rPr>
        <w:t>, M.</w:t>
      </w:r>
      <w:r w:rsidR="003D33DF" w:rsidRPr="003D33DF">
        <w:rPr>
          <w:rFonts w:ascii="Verdana" w:hAnsi="Verdana"/>
          <w:i/>
          <w:sz w:val="20"/>
          <w:szCs w:val="20"/>
          <w:lang w:val="de-AT"/>
        </w:rPr>
        <w:t>(</w:t>
      </w:r>
      <w:r w:rsidR="003D33DF" w:rsidRPr="003D33DF">
        <w:rPr>
          <w:rFonts w:ascii="Verdana" w:hAnsi="Verdana"/>
          <w:sz w:val="20"/>
          <w:szCs w:val="20"/>
          <w:lang w:val="de-AT"/>
        </w:rPr>
        <w:t>2008).</w:t>
      </w:r>
      <w:r w:rsidRPr="003D33DF">
        <w:rPr>
          <w:rFonts w:ascii="Verdana" w:hAnsi="Verdana"/>
          <w:sz w:val="20"/>
          <w:szCs w:val="20"/>
          <w:lang w:val="de-AT"/>
        </w:rPr>
        <w:t xml:space="preserve"> Modernes Cash Management, Verlag München, 2</w:t>
      </w:r>
      <w:r w:rsidRPr="003D33DF">
        <w:rPr>
          <w:rFonts w:ascii="Verdana" w:hAnsi="Verdana"/>
          <w:sz w:val="20"/>
          <w:szCs w:val="20"/>
          <w:vertAlign w:val="superscript"/>
          <w:lang w:val="de-AT"/>
        </w:rPr>
        <w:t>nd</w:t>
      </w:r>
      <w:r w:rsidRPr="003D33DF">
        <w:rPr>
          <w:rFonts w:ascii="Verdana" w:hAnsi="Verdana"/>
          <w:sz w:val="20"/>
          <w:szCs w:val="20"/>
          <w:lang w:val="de-AT"/>
        </w:rPr>
        <w:t xml:space="preserve"> </w:t>
      </w:r>
      <w:proofErr w:type="spellStart"/>
      <w:r w:rsidRPr="003D33DF">
        <w:rPr>
          <w:rFonts w:ascii="Verdana" w:hAnsi="Verdana"/>
          <w:sz w:val="20"/>
          <w:szCs w:val="20"/>
          <w:lang w:val="de-AT"/>
        </w:rPr>
        <w:t>ed</w:t>
      </w:r>
      <w:proofErr w:type="spellEnd"/>
      <w:r w:rsidRPr="003D33DF">
        <w:rPr>
          <w:rFonts w:ascii="Verdana" w:hAnsi="Verdana"/>
          <w:sz w:val="20"/>
          <w:szCs w:val="20"/>
          <w:lang w:val="de-AT"/>
        </w:rPr>
        <w:t>., 279 p., ISBN 978-3-636-03123-5</w:t>
      </w:r>
      <w:r w:rsidR="003D33DF">
        <w:rPr>
          <w:rFonts w:ascii="Verdana" w:hAnsi="Verdana"/>
          <w:sz w:val="20"/>
          <w:szCs w:val="20"/>
          <w:lang w:val="de-AT"/>
        </w:rPr>
        <w:t>.</w:t>
      </w:r>
    </w:p>
    <w:sectPr w:rsidR="003D33DF" w:rsidRPr="00516A2E" w:rsidSect="007174E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AE9" w:rsidRDefault="007D6AE9" w:rsidP="00771928">
      <w:r>
        <w:separator/>
      </w:r>
    </w:p>
  </w:endnote>
  <w:endnote w:type="continuationSeparator" w:id="0">
    <w:p w:rsidR="007D6AE9" w:rsidRDefault="007D6AE9" w:rsidP="00771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E10002FF" w:usb1="4000ACFF" w:usb2="00000009" w:usb3="00000000" w:csb0="0000019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AE9" w:rsidRDefault="007D6AE9" w:rsidP="00771928">
      <w:r>
        <w:separator/>
      </w:r>
    </w:p>
  </w:footnote>
  <w:footnote w:type="continuationSeparator" w:id="0">
    <w:p w:rsidR="007D6AE9" w:rsidRDefault="007D6AE9" w:rsidP="007719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4688"/>
    <w:multiLevelType w:val="hybridMultilevel"/>
    <w:tmpl w:val="15CEFA38"/>
    <w:lvl w:ilvl="0" w:tplc="9CF83BF4">
      <w:start w:val="1"/>
      <w:numFmt w:val="bullet"/>
      <w:lvlText w:val="-"/>
      <w:lvlJc w:val="left"/>
      <w:pPr>
        <w:tabs>
          <w:tab w:val="num" w:pos="1429"/>
        </w:tabs>
        <w:ind w:left="1429" w:hanging="360"/>
      </w:pPr>
      <w:rPr>
        <w:rFonts w:ascii="Times New Roman" w:hAnsi="Times New Roman" w:cs="Times New Roman"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nsid w:val="04196C0B"/>
    <w:multiLevelType w:val="hybridMultilevel"/>
    <w:tmpl w:val="5576FE74"/>
    <w:lvl w:ilvl="0" w:tplc="E51E4970">
      <w:start w:val="1"/>
      <w:numFmt w:val="bullet"/>
      <w:lvlText w:val="-"/>
      <w:lvlJc w:val="left"/>
      <w:pPr>
        <w:tabs>
          <w:tab w:val="num" w:pos="340"/>
        </w:tabs>
        <w:ind w:left="340" w:hanging="340"/>
      </w:pPr>
      <w:rPr>
        <w:rFonts w:ascii="Verdana" w:eastAsia="Symbol" w:hAnsi="Verdana" w:cs="Symbol"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41B3BAA"/>
    <w:multiLevelType w:val="hybridMultilevel"/>
    <w:tmpl w:val="4332676C"/>
    <w:lvl w:ilvl="0" w:tplc="0FAEFD4A">
      <w:start w:val="1"/>
      <w:numFmt w:val="decimal"/>
      <w:lvlText w:val="[%1]"/>
      <w:lvlJc w:val="left"/>
      <w:pPr>
        <w:ind w:left="420" w:hanging="420"/>
      </w:pPr>
      <w:rPr>
        <w:rFonts w:cs="Times New Roman" w:hint="eastAsia"/>
        <w:color w:val="000000"/>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0DA529CD"/>
    <w:multiLevelType w:val="hybridMultilevel"/>
    <w:tmpl w:val="AD5AED44"/>
    <w:lvl w:ilvl="0" w:tplc="D2E671F6">
      <w:start w:val="1"/>
      <w:numFmt w:val="bullet"/>
      <w:lvlText w:val=""/>
      <w:lvlJc w:val="left"/>
      <w:pPr>
        <w:ind w:left="2509" w:hanging="360"/>
      </w:pPr>
      <w:rPr>
        <w:rFonts w:ascii="Symbol" w:hAnsi="Symbol" w:hint="default"/>
      </w:rPr>
    </w:lvl>
    <w:lvl w:ilvl="1" w:tplc="D2E671F6">
      <w:start w:val="1"/>
      <w:numFmt w:val="bullet"/>
      <w:lvlText w:val=""/>
      <w:lvlJc w:val="left"/>
      <w:pPr>
        <w:ind w:left="3229" w:hanging="360"/>
      </w:pPr>
      <w:rPr>
        <w:rFonts w:ascii="Symbol" w:hAnsi="Symbol" w:hint="default"/>
      </w:rPr>
    </w:lvl>
    <w:lvl w:ilvl="2" w:tplc="04050005" w:tentative="1">
      <w:start w:val="1"/>
      <w:numFmt w:val="bullet"/>
      <w:lvlText w:val=""/>
      <w:lvlJc w:val="left"/>
      <w:pPr>
        <w:ind w:left="3949" w:hanging="360"/>
      </w:pPr>
      <w:rPr>
        <w:rFonts w:ascii="Wingdings" w:hAnsi="Wingdings" w:hint="default"/>
      </w:rPr>
    </w:lvl>
    <w:lvl w:ilvl="3" w:tplc="04050001" w:tentative="1">
      <w:start w:val="1"/>
      <w:numFmt w:val="bullet"/>
      <w:lvlText w:val=""/>
      <w:lvlJc w:val="left"/>
      <w:pPr>
        <w:ind w:left="4669" w:hanging="360"/>
      </w:pPr>
      <w:rPr>
        <w:rFonts w:ascii="Symbol" w:hAnsi="Symbol" w:hint="default"/>
      </w:rPr>
    </w:lvl>
    <w:lvl w:ilvl="4" w:tplc="04050003" w:tentative="1">
      <w:start w:val="1"/>
      <w:numFmt w:val="bullet"/>
      <w:lvlText w:val="o"/>
      <w:lvlJc w:val="left"/>
      <w:pPr>
        <w:ind w:left="5389" w:hanging="360"/>
      </w:pPr>
      <w:rPr>
        <w:rFonts w:ascii="Courier New" w:hAnsi="Courier New" w:cs="Courier New" w:hint="default"/>
      </w:rPr>
    </w:lvl>
    <w:lvl w:ilvl="5" w:tplc="04050005" w:tentative="1">
      <w:start w:val="1"/>
      <w:numFmt w:val="bullet"/>
      <w:lvlText w:val=""/>
      <w:lvlJc w:val="left"/>
      <w:pPr>
        <w:ind w:left="6109" w:hanging="360"/>
      </w:pPr>
      <w:rPr>
        <w:rFonts w:ascii="Wingdings" w:hAnsi="Wingdings" w:hint="default"/>
      </w:rPr>
    </w:lvl>
    <w:lvl w:ilvl="6" w:tplc="04050001" w:tentative="1">
      <w:start w:val="1"/>
      <w:numFmt w:val="bullet"/>
      <w:lvlText w:val=""/>
      <w:lvlJc w:val="left"/>
      <w:pPr>
        <w:ind w:left="6829" w:hanging="360"/>
      </w:pPr>
      <w:rPr>
        <w:rFonts w:ascii="Symbol" w:hAnsi="Symbol" w:hint="default"/>
      </w:rPr>
    </w:lvl>
    <w:lvl w:ilvl="7" w:tplc="04050003" w:tentative="1">
      <w:start w:val="1"/>
      <w:numFmt w:val="bullet"/>
      <w:lvlText w:val="o"/>
      <w:lvlJc w:val="left"/>
      <w:pPr>
        <w:ind w:left="7549" w:hanging="360"/>
      </w:pPr>
      <w:rPr>
        <w:rFonts w:ascii="Courier New" w:hAnsi="Courier New" w:cs="Courier New" w:hint="default"/>
      </w:rPr>
    </w:lvl>
    <w:lvl w:ilvl="8" w:tplc="04050005" w:tentative="1">
      <w:start w:val="1"/>
      <w:numFmt w:val="bullet"/>
      <w:lvlText w:val=""/>
      <w:lvlJc w:val="left"/>
      <w:pPr>
        <w:ind w:left="8269" w:hanging="360"/>
      </w:pPr>
      <w:rPr>
        <w:rFonts w:ascii="Wingdings" w:hAnsi="Wingdings" w:hint="default"/>
      </w:rPr>
    </w:lvl>
  </w:abstractNum>
  <w:abstractNum w:abstractNumId="4">
    <w:nsid w:val="194D4D8E"/>
    <w:multiLevelType w:val="multilevel"/>
    <w:tmpl w:val="0C30CF10"/>
    <w:lvl w:ilvl="0">
      <w:start w:val="1"/>
      <w:numFmt w:val="decimal"/>
      <w:pStyle w:val="Nadpis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EFC6315"/>
    <w:multiLevelType w:val="hybridMultilevel"/>
    <w:tmpl w:val="21485374"/>
    <w:lvl w:ilvl="0" w:tplc="29029938">
      <w:start w:val="1"/>
      <w:numFmt w:val="bullet"/>
      <w:lvlText w:val="-"/>
      <w:lvlJc w:val="left"/>
      <w:pPr>
        <w:tabs>
          <w:tab w:val="num" w:pos="340"/>
        </w:tabs>
        <w:ind w:left="340" w:hanging="340"/>
      </w:pPr>
      <w:rPr>
        <w:rFonts w:ascii="Verdana" w:eastAsia="Symbol" w:hAnsi="Verdana" w:cs="Symbol" w:hint="default"/>
      </w:rPr>
    </w:lvl>
    <w:lvl w:ilvl="1" w:tplc="C6508F44">
      <w:numFmt w:val="bullet"/>
      <w:lvlText w:val="-"/>
      <w:lvlJc w:val="left"/>
      <w:pPr>
        <w:tabs>
          <w:tab w:val="num" w:pos="1420"/>
        </w:tabs>
        <w:ind w:left="1420" w:hanging="34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20620152"/>
    <w:multiLevelType w:val="hybridMultilevel"/>
    <w:tmpl w:val="97845316"/>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
    <w:nsid w:val="248D7CAD"/>
    <w:multiLevelType w:val="hybridMultilevel"/>
    <w:tmpl w:val="8EAC0854"/>
    <w:lvl w:ilvl="0" w:tplc="E51E4970">
      <w:start w:val="1"/>
      <w:numFmt w:val="bullet"/>
      <w:lvlText w:val="-"/>
      <w:lvlJc w:val="left"/>
      <w:pPr>
        <w:tabs>
          <w:tab w:val="num" w:pos="340"/>
        </w:tabs>
        <w:ind w:left="340" w:hanging="340"/>
      </w:pPr>
      <w:rPr>
        <w:rFonts w:ascii="Verdana" w:eastAsia="Symbol" w:hAnsi="Verdana" w:cs="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B273A7D"/>
    <w:multiLevelType w:val="hybridMultilevel"/>
    <w:tmpl w:val="33D003B6"/>
    <w:lvl w:ilvl="0" w:tplc="D2E671F6">
      <w:start w:val="1"/>
      <w:numFmt w:val="bullet"/>
      <w:lvlText w:val=""/>
      <w:lvlJc w:val="left"/>
      <w:pPr>
        <w:ind w:left="2509" w:hanging="360"/>
      </w:pPr>
      <w:rPr>
        <w:rFonts w:ascii="Symbol" w:hAnsi="Symbol" w:hint="default"/>
      </w:rPr>
    </w:lvl>
    <w:lvl w:ilvl="1" w:tplc="9CF83BF4">
      <w:start w:val="1"/>
      <w:numFmt w:val="bullet"/>
      <w:lvlText w:val="-"/>
      <w:lvlJc w:val="left"/>
      <w:pPr>
        <w:ind w:left="3229" w:hanging="360"/>
      </w:pPr>
      <w:rPr>
        <w:rFonts w:ascii="Times New Roman" w:hAnsi="Times New Roman" w:cs="Times New Roman" w:hint="default"/>
      </w:rPr>
    </w:lvl>
    <w:lvl w:ilvl="2" w:tplc="04050005" w:tentative="1">
      <w:start w:val="1"/>
      <w:numFmt w:val="bullet"/>
      <w:lvlText w:val=""/>
      <w:lvlJc w:val="left"/>
      <w:pPr>
        <w:ind w:left="3949" w:hanging="360"/>
      </w:pPr>
      <w:rPr>
        <w:rFonts w:ascii="Wingdings" w:hAnsi="Wingdings" w:hint="default"/>
      </w:rPr>
    </w:lvl>
    <w:lvl w:ilvl="3" w:tplc="04050001" w:tentative="1">
      <w:start w:val="1"/>
      <w:numFmt w:val="bullet"/>
      <w:lvlText w:val=""/>
      <w:lvlJc w:val="left"/>
      <w:pPr>
        <w:ind w:left="4669" w:hanging="360"/>
      </w:pPr>
      <w:rPr>
        <w:rFonts w:ascii="Symbol" w:hAnsi="Symbol" w:hint="default"/>
      </w:rPr>
    </w:lvl>
    <w:lvl w:ilvl="4" w:tplc="04050003" w:tentative="1">
      <w:start w:val="1"/>
      <w:numFmt w:val="bullet"/>
      <w:lvlText w:val="o"/>
      <w:lvlJc w:val="left"/>
      <w:pPr>
        <w:ind w:left="5389" w:hanging="360"/>
      </w:pPr>
      <w:rPr>
        <w:rFonts w:ascii="Courier New" w:hAnsi="Courier New" w:cs="Courier New" w:hint="default"/>
      </w:rPr>
    </w:lvl>
    <w:lvl w:ilvl="5" w:tplc="04050005" w:tentative="1">
      <w:start w:val="1"/>
      <w:numFmt w:val="bullet"/>
      <w:lvlText w:val=""/>
      <w:lvlJc w:val="left"/>
      <w:pPr>
        <w:ind w:left="6109" w:hanging="360"/>
      </w:pPr>
      <w:rPr>
        <w:rFonts w:ascii="Wingdings" w:hAnsi="Wingdings" w:hint="default"/>
      </w:rPr>
    </w:lvl>
    <w:lvl w:ilvl="6" w:tplc="04050001" w:tentative="1">
      <w:start w:val="1"/>
      <w:numFmt w:val="bullet"/>
      <w:lvlText w:val=""/>
      <w:lvlJc w:val="left"/>
      <w:pPr>
        <w:ind w:left="6829" w:hanging="360"/>
      </w:pPr>
      <w:rPr>
        <w:rFonts w:ascii="Symbol" w:hAnsi="Symbol" w:hint="default"/>
      </w:rPr>
    </w:lvl>
    <w:lvl w:ilvl="7" w:tplc="04050003" w:tentative="1">
      <w:start w:val="1"/>
      <w:numFmt w:val="bullet"/>
      <w:lvlText w:val="o"/>
      <w:lvlJc w:val="left"/>
      <w:pPr>
        <w:ind w:left="7549" w:hanging="360"/>
      </w:pPr>
      <w:rPr>
        <w:rFonts w:ascii="Courier New" w:hAnsi="Courier New" w:cs="Courier New" w:hint="default"/>
      </w:rPr>
    </w:lvl>
    <w:lvl w:ilvl="8" w:tplc="04050005" w:tentative="1">
      <w:start w:val="1"/>
      <w:numFmt w:val="bullet"/>
      <w:lvlText w:val=""/>
      <w:lvlJc w:val="left"/>
      <w:pPr>
        <w:ind w:left="8269" w:hanging="360"/>
      </w:pPr>
      <w:rPr>
        <w:rFonts w:ascii="Wingdings" w:hAnsi="Wingdings" w:hint="default"/>
      </w:rPr>
    </w:lvl>
  </w:abstractNum>
  <w:abstractNum w:abstractNumId="9">
    <w:nsid w:val="2CFA39FE"/>
    <w:multiLevelType w:val="hybridMultilevel"/>
    <w:tmpl w:val="167E379A"/>
    <w:lvl w:ilvl="0" w:tplc="D2E671F6">
      <w:start w:val="1"/>
      <w:numFmt w:val="bullet"/>
      <w:lvlText w:val=""/>
      <w:lvlJc w:val="left"/>
      <w:pPr>
        <w:ind w:left="2509" w:hanging="360"/>
      </w:pPr>
      <w:rPr>
        <w:rFonts w:ascii="Symbol" w:hAnsi="Symbol" w:hint="default"/>
      </w:rPr>
    </w:lvl>
    <w:lvl w:ilvl="1" w:tplc="04050003">
      <w:start w:val="1"/>
      <w:numFmt w:val="bullet"/>
      <w:lvlText w:val="o"/>
      <w:lvlJc w:val="left"/>
      <w:pPr>
        <w:ind w:left="3229" w:hanging="360"/>
      </w:pPr>
      <w:rPr>
        <w:rFonts w:ascii="Courier New" w:hAnsi="Courier New" w:cs="Courier New" w:hint="default"/>
      </w:rPr>
    </w:lvl>
    <w:lvl w:ilvl="2" w:tplc="04050005" w:tentative="1">
      <w:start w:val="1"/>
      <w:numFmt w:val="bullet"/>
      <w:lvlText w:val=""/>
      <w:lvlJc w:val="left"/>
      <w:pPr>
        <w:ind w:left="3949" w:hanging="360"/>
      </w:pPr>
      <w:rPr>
        <w:rFonts w:ascii="Wingdings" w:hAnsi="Wingdings" w:hint="default"/>
      </w:rPr>
    </w:lvl>
    <w:lvl w:ilvl="3" w:tplc="04050001" w:tentative="1">
      <w:start w:val="1"/>
      <w:numFmt w:val="bullet"/>
      <w:lvlText w:val=""/>
      <w:lvlJc w:val="left"/>
      <w:pPr>
        <w:ind w:left="4669" w:hanging="360"/>
      </w:pPr>
      <w:rPr>
        <w:rFonts w:ascii="Symbol" w:hAnsi="Symbol" w:hint="default"/>
      </w:rPr>
    </w:lvl>
    <w:lvl w:ilvl="4" w:tplc="04050003" w:tentative="1">
      <w:start w:val="1"/>
      <w:numFmt w:val="bullet"/>
      <w:lvlText w:val="o"/>
      <w:lvlJc w:val="left"/>
      <w:pPr>
        <w:ind w:left="5389" w:hanging="360"/>
      </w:pPr>
      <w:rPr>
        <w:rFonts w:ascii="Courier New" w:hAnsi="Courier New" w:cs="Courier New" w:hint="default"/>
      </w:rPr>
    </w:lvl>
    <w:lvl w:ilvl="5" w:tplc="04050005" w:tentative="1">
      <w:start w:val="1"/>
      <w:numFmt w:val="bullet"/>
      <w:lvlText w:val=""/>
      <w:lvlJc w:val="left"/>
      <w:pPr>
        <w:ind w:left="6109" w:hanging="360"/>
      </w:pPr>
      <w:rPr>
        <w:rFonts w:ascii="Wingdings" w:hAnsi="Wingdings" w:hint="default"/>
      </w:rPr>
    </w:lvl>
    <w:lvl w:ilvl="6" w:tplc="04050001" w:tentative="1">
      <w:start w:val="1"/>
      <w:numFmt w:val="bullet"/>
      <w:lvlText w:val=""/>
      <w:lvlJc w:val="left"/>
      <w:pPr>
        <w:ind w:left="6829" w:hanging="360"/>
      </w:pPr>
      <w:rPr>
        <w:rFonts w:ascii="Symbol" w:hAnsi="Symbol" w:hint="default"/>
      </w:rPr>
    </w:lvl>
    <w:lvl w:ilvl="7" w:tplc="04050003" w:tentative="1">
      <w:start w:val="1"/>
      <w:numFmt w:val="bullet"/>
      <w:lvlText w:val="o"/>
      <w:lvlJc w:val="left"/>
      <w:pPr>
        <w:ind w:left="7549" w:hanging="360"/>
      </w:pPr>
      <w:rPr>
        <w:rFonts w:ascii="Courier New" w:hAnsi="Courier New" w:cs="Courier New" w:hint="default"/>
      </w:rPr>
    </w:lvl>
    <w:lvl w:ilvl="8" w:tplc="04050005" w:tentative="1">
      <w:start w:val="1"/>
      <w:numFmt w:val="bullet"/>
      <w:lvlText w:val=""/>
      <w:lvlJc w:val="left"/>
      <w:pPr>
        <w:ind w:left="8269" w:hanging="360"/>
      </w:pPr>
      <w:rPr>
        <w:rFonts w:ascii="Wingdings" w:hAnsi="Wingdings" w:hint="default"/>
      </w:rPr>
    </w:lvl>
  </w:abstractNum>
  <w:abstractNum w:abstractNumId="10">
    <w:nsid w:val="39815AAE"/>
    <w:multiLevelType w:val="multilevel"/>
    <w:tmpl w:val="97845316"/>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1">
    <w:nsid w:val="399A0FCA"/>
    <w:multiLevelType w:val="hybridMultilevel"/>
    <w:tmpl w:val="B06EEFDC"/>
    <w:lvl w:ilvl="0" w:tplc="E51E4970">
      <w:start w:val="1"/>
      <w:numFmt w:val="bullet"/>
      <w:lvlText w:val="-"/>
      <w:lvlJc w:val="left"/>
      <w:pPr>
        <w:tabs>
          <w:tab w:val="num" w:pos="340"/>
        </w:tabs>
        <w:ind w:left="340" w:hanging="340"/>
      </w:pPr>
      <w:rPr>
        <w:rFonts w:ascii="Verdana" w:eastAsia="Symbol" w:hAnsi="Verdana" w:cs="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3B4E6E1E"/>
    <w:multiLevelType w:val="hybridMultilevel"/>
    <w:tmpl w:val="951A75B8"/>
    <w:lvl w:ilvl="0" w:tplc="04050001">
      <w:start w:val="1"/>
      <w:numFmt w:val="bullet"/>
      <w:lvlText w:val=""/>
      <w:lvlJc w:val="left"/>
      <w:pPr>
        <w:ind w:left="3229" w:hanging="360"/>
      </w:pPr>
      <w:rPr>
        <w:rFonts w:ascii="Symbol" w:hAnsi="Symbol" w:hint="default"/>
      </w:rPr>
    </w:lvl>
    <w:lvl w:ilvl="1" w:tplc="04050003" w:tentative="1">
      <w:start w:val="1"/>
      <w:numFmt w:val="bullet"/>
      <w:lvlText w:val="o"/>
      <w:lvlJc w:val="left"/>
      <w:pPr>
        <w:ind w:left="3949" w:hanging="360"/>
      </w:pPr>
      <w:rPr>
        <w:rFonts w:ascii="Courier New" w:hAnsi="Courier New" w:cs="Courier New" w:hint="default"/>
      </w:rPr>
    </w:lvl>
    <w:lvl w:ilvl="2" w:tplc="04050005" w:tentative="1">
      <w:start w:val="1"/>
      <w:numFmt w:val="bullet"/>
      <w:lvlText w:val=""/>
      <w:lvlJc w:val="left"/>
      <w:pPr>
        <w:ind w:left="4669" w:hanging="360"/>
      </w:pPr>
      <w:rPr>
        <w:rFonts w:ascii="Wingdings" w:hAnsi="Wingdings" w:hint="default"/>
      </w:rPr>
    </w:lvl>
    <w:lvl w:ilvl="3" w:tplc="04050001" w:tentative="1">
      <w:start w:val="1"/>
      <w:numFmt w:val="bullet"/>
      <w:lvlText w:val=""/>
      <w:lvlJc w:val="left"/>
      <w:pPr>
        <w:ind w:left="5389" w:hanging="360"/>
      </w:pPr>
      <w:rPr>
        <w:rFonts w:ascii="Symbol" w:hAnsi="Symbol" w:hint="default"/>
      </w:rPr>
    </w:lvl>
    <w:lvl w:ilvl="4" w:tplc="04050003" w:tentative="1">
      <w:start w:val="1"/>
      <w:numFmt w:val="bullet"/>
      <w:lvlText w:val="o"/>
      <w:lvlJc w:val="left"/>
      <w:pPr>
        <w:ind w:left="6109" w:hanging="360"/>
      </w:pPr>
      <w:rPr>
        <w:rFonts w:ascii="Courier New" w:hAnsi="Courier New" w:cs="Courier New" w:hint="default"/>
      </w:rPr>
    </w:lvl>
    <w:lvl w:ilvl="5" w:tplc="04050005" w:tentative="1">
      <w:start w:val="1"/>
      <w:numFmt w:val="bullet"/>
      <w:lvlText w:val=""/>
      <w:lvlJc w:val="left"/>
      <w:pPr>
        <w:ind w:left="6829" w:hanging="360"/>
      </w:pPr>
      <w:rPr>
        <w:rFonts w:ascii="Wingdings" w:hAnsi="Wingdings" w:hint="default"/>
      </w:rPr>
    </w:lvl>
    <w:lvl w:ilvl="6" w:tplc="04050001" w:tentative="1">
      <w:start w:val="1"/>
      <w:numFmt w:val="bullet"/>
      <w:lvlText w:val=""/>
      <w:lvlJc w:val="left"/>
      <w:pPr>
        <w:ind w:left="7549" w:hanging="360"/>
      </w:pPr>
      <w:rPr>
        <w:rFonts w:ascii="Symbol" w:hAnsi="Symbol" w:hint="default"/>
      </w:rPr>
    </w:lvl>
    <w:lvl w:ilvl="7" w:tplc="04050003" w:tentative="1">
      <w:start w:val="1"/>
      <w:numFmt w:val="bullet"/>
      <w:lvlText w:val="o"/>
      <w:lvlJc w:val="left"/>
      <w:pPr>
        <w:ind w:left="8269" w:hanging="360"/>
      </w:pPr>
      <w:rPr>
        <w:rFonts w:ascii="Courier New" w:hAnsi="Courier New" w:cs="Courier New" w:hint="default"/>
      </w:rPr>
    </w:lvl>
    <w:lvl w:ilvl="8" w:tplc="04050005" w:tentative="1">
      <w:start w:val="1"/>
      <w:numFmt w:val="bullet"/>
      <w:lvlText w:val=""/>
      <w:lvlJc w:val="left"/>
      <w:pPr>
        <w:ind w:left="8989" w:hanging="360"/>
      </w:pPr>
      <w:rPr>
        <w:rFonts w:ascii="Wingdings" w:hAnsi="Wingdings" w:hint="default"/>
      </w:rPr>
    </w:lvl>
  </w:abstractNum>
  <w:abstractNum w:abstractNumId="13">
    <w:nsid w:val="3B670F0E"/>
    <w:multiLevelType w:val="hybridMultilevel"/>
    <w:tmpl w:val="7B004F16"/>
    <w:lvl w:ilvl="0" w:tplc="E51E4970">
      <w:start w:val="1"/>
      <w:numFmt w:val="bullet"/>
      <w:lvlText w:val="-"/>
      <w:lvlJc w:val="left"/>
      <w:pPr>
        <w:tabs>
          <w:tab w:val="num" w:pos="340"/>
        </w:tabs>
        <w:ind w:left="340" w:hanging="340"/>
      </w:pPr>
      <w:rPr>
        <w:rFonts w:ascii="Verdana" w:eastAsia="Symbol" w:hAnsi="Verdana" w:cs="Symbol" w:hint="default"/>
      </w:rPr>
    </w:lvl>
    <w:lvl w:ilvl="1" w:tplc="04050003" w:tentative="1">
      <w:start w:val="1"/>
      <w:numFmt w:val="bullet"/>
      <w:lvlText w:val="o"/>
      <w:lvlJc w:val="left"/>
      <w:pPr>
        <w:tabs>
          <w:tab w:val="num" w:pos="1780"/>
        </w:tabs>
        <w:ind w:left="1780" w:hanging="360"/>
      </w:pPr>
      <w:rPr>
        <w:rFonts w:ascii="Courier New" w:hAnsi="Courier New" w:cs="Courier New" w:hint="default"/>
      </w:rPr>
    </w:lvl>
    <w:lvl w:ilvl="2" w:tplc="04050005" w:tentative="1">
      <w:start w:val="1"/>
      <w:numFmt w:val="bullet"/>
      <w:lvlText w:val=""/>
      <w:lvlJc w:val="left"/>
      <w:pPr>
        <w:tabs>
          <w:tab w:val="num" w:pos="2500"/>
        </w:tabs>
        <w:ind w:left="2500" w:hanging="360"/>
      </w:pPr>
      <w:rPr>
        <w:rFonts w:ascii="Wingdings" w:hAnsi="Wingdings" w:hint="default"/>
      </w:rPr>
    </w:lvl>
    <w:lvl w:ilvl="3" w:tplc="04050001" w:tentative="1">
      <w:start w:val="1"/>
      <w:numFmt w:val="bullet"/>
      <w:lvlText w:val=""/>
      <w:lvlJc w:val="left"/>
      <w:pPr>
        <w:tabs>
          <w:tab w:val="num" w:pos="3220"/>
        </w:tabs>
        <w:ind w:left="3220" w:hanging="360"/>
      </w:pPr>
      <w:rPr>
        <w:rFonts w:ascii="Symbol" w:hAnsi="Symbol" w:hint="default"/>
      </w:rPr>
    </w:lvl>
    <w:lvl w:ilvl="4" w:tplc="04050003" w:tentative="1">
      <w:start w:val="1"/>
      <w:numFmt w:val="bullet"/>
      <w:lvlText w:val="o"/>
      <w:lvlJc w:val="left"/>
      <w:pPr>
        <w:tabs>
          <w:tab w:val="num" w:pos="3940"/>
        </w:tabs>
        <w:ind w:left="3940" w:hanging="360"/>
      </w:pPr>
      <w:rPr>
        <w:rFonts w:ascii="Courier New" w:hAnsi="Courier New" w:cs="Courier New" w:hint="default"/>
      </w:rPr>
    </w:lvl>
    <w:lvl w:ilvl="5" w:tplc="04050005" w:tentative="1">
      <w:start w:val="1"/>
      <w:numFmt w:val="bullet"/>
      <w:lvlText w:val=""/>
      <w:lvlJc w:val="left"/>
      <w:pPr>
        <w:tabs>
          <w:tab w:val="num" w:pos="4660"/>
        </w:tabs>
        <w:ind w:left="4660" w:hanging="360"/>
      </w:pPr>
      <w:rPr>
        <w:rFonts w:ascii="Wingdings" w:hAnsi="Wingdings" w:hint="default"/>
      </w:rPr>
    </w:lvl>
    <w:lvl w:ilvl="6" w:tplc="04050001" w:tentative="1">
      <w:start w:val="1"/>
      <w:numFmt w:val="bullet"/>
      <w:lvlText w:val=""/>
      <w:lvlJc w:val="left"/>
      <w:pPr>
        <w:tabs>
          <w:tab w:val="num" w:pos="5380"/>
        </w:tabs>
        <w:ind w:left="5380" w:hanging="360"/>
      </w:pPr>
      <w:rPr>
        <w:rFonts w:ascii="Symbol" w:hAnsi="Symbol" w:hint="default"/>
      </w:rPr>
    </w:lvl>
    <w:lvl w:ilvl="7" w:tplc="04050003" w:tentative="1">
      <w:start w:val="1"/>
      <w:numFmt w:val="bullet"/>
      <w:lvlText w:val="o"/>
      <w:lvlJc w:val="left"/>
      <w:pPr>
        <w:tabs>
          <w:tab w:val="num" w:pos="6100"/>
        </w:tabs>
        <w:ind w:left="6100" w:hanging="360"/>
      </w:pPr>
      <w:rPr>
        <w:rFonts w:ascii="Courier New" w:hAnsi="Courier New" w:cs="Courier New" w:hint="default"/>
      </w:rPr>
    </w:lvl>
    <w:lvl w:ilvl="8" w:tplc="04050005" w:tentative="1">
      <w:start w:val="1"/>
      <w:numFmt w:val="bullet"/>
      <w:lvlText w:val=""/>
      <w:lvlJc w:val="left"/>
      <w:pPr>
        <w:tabs>
          <w:tab w:val="num" w:pos="6820"/>
        </w:tabs>
        <w:ind w:left="6820" w:hanging="360"/>
      </w:pPr>
      <w:rPr>
        <w:rFonts w:ascii="Wingdings" w:hAnsi="Wingdings" w:hint="default"/>
      </w:rPr>
    </w:lvl>
  </w:abstractNum>
  <w:abstractNum w:abstractNumId="14">
    <w:nsid w:val="48634ECD"/>
    <w:multiLevelType w:val="hybridMultilevel"/>
    <w:tmpl w:val="B4FCAE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7DD0BB9"/>
    <w:multiLevelType w:val="hybridMultilevel"/>
    <w:tmpl w:val="AFB2E320"/>
    <w:lvl w:ilvl="0" w:tplc="4F92FE6A">
      <w:start w:val="10"/>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CA672EE"/>
    <w:multiLevelType w:val="hybridMultilevel"/>
    <w:tmpl w:val="F02C5456"/>
    <w:lvl w:ilvl="0" w:tplc="75420054">
      <w:start w:val="1"/>
      <w:numFmt w:val="bullet"/>
      <w:lvlText w:val="-"/>
      <w:lvlJc w:val="left"/>
      <w:pPr>
        <w:tabs>
          <w:tab w:val="num" w:pos="340"/>
        </w:tabs>
        <w:ind w:left="340" w:hanging="340"/>
      </w:pPr>
      <w:rPr>
        <w:rFonts w:ascii="Sylfaen" w:eastAsia="Sylfaen" w:hAnsi="Sylfaen" w:cs="Sylfae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6DC027CD"/>
    <w:multiLevelType w:val="hybridMultilevel"/>
    <w:tmpl w:val="278EC276"/>
    <w:lvl w:ilvl="0" w:tplc="D2E671F6">
      <w:start w:val="1"/>
      <w:numFmt w:val="bullet"/>
      <w:lvlText w:val=""/>
      <w:lvlJc w:val="left"/>
      <w:pPr>
        <w:ind w:left="2509" w:hanging="360"/>
      </w:pPr>
      <w:rPr>
        <w:rFonts w:ascii="Symbol" w:hAnsi="Symbol" w:hint="default"/>
      </w:rPr>
    </w:lvl>
    <w:lvl w:ilvl="1" w:tplc="04050003">
      <w:start w:val="1"/>
      <w:numFmt w:val="bullet"/>
      <w:lvlText w:val="o"/>
      <w:lvlJc w:val="left"/>
      <w:pPr>
        <w:ind w:left="3229" w:hanging="360"/>
      </w:pPr>
      <w:rPr>
        <w:rFonts w:ascii="Courier New" w:hAnsi="Courier New" w:cs="Courier New" w:hint="default"/>
      </w:rPr>
    </w:lvl>
    <w:lvl w:ilvl="2" w:tplc="04050005" w:tentative="1">
      <w:start w:val="1"/>
      <w:numFmt w:val="bullet"/>
      <w:lvlText w:val=""/>
      <w:lvlJc w:val="left"/>
      <w:pPr>
        <w:ind w:left="3949" w:hanging="360"/>
      </w:pPr>
      <w:rPr>
        <w:rFonts w:ascii="Wingdings" w:hAnsi="Wingdings" w:hint="default"/>
      </w:rPr>
    </w:lvl>
    <w:lvl w:ilvl="3" w:tplc="04050001" w:tentative="1">
      <w:start w:val="1"/>
      <w:numFmt w:val="bullet"/>
      <w:lvlText w:val=""/>
      <w:lvlJc w:val="left"/>
      <w:pPr>
        <w:ind w:left="4669" w:hanging="360"/>
      </w:pPr>
      <w:rPr>
        <w:rFonts w:ascii="Symbol" w:hAnsi="Symbol" w:hint="default"/>
      </w:rPr>
    </w:lvl>
    <w:lvl w:ilvl="4" w:tplc="04050003" w:tentative="1">
      <w:start w:val="1"/>
      <w:numFmt w:val="bullet"/>
      <w:lvlText w:val="o"/>
      <w:lvlJc w:val="left"/>
      <w:pPr>
        <w:ind w:left="5389" w:hanging="360"/>
      </w:pPr>
      <w:rPr>
        <w:rFonts w:ascii="Courier New" w:hAnsi="Courier New" w:cs="Courier New" w:hint="default"/>
      </w:rPr>
    </w:lvl>
    <w:lvl w:ilvl="5" w:tplc="04050005" w:tentative="1">
      <w:start w:val="1"/>
      <w:numFmt w:val="bullet"/>
      <w:lvlText w:val=""/>
      <w:lvlJc w:val="left"/>
      <w:pPr>
        <w:ind w:left="6109" w:hanging="360"/>
      </w:pPr>
      <w:rPr>
        <w:rFonts w:ascii="Wingdings" w:hAnsi="Wingdings" w:hint="default"/>
      </w:rPr>
    </w:lvl>
    <w:lvl w:ilvl="6" w:tplc="04050001" w:tentative="1">
      <w:start w:val="1"/>
      <w:numFmt w:val="bullet"/>
      <w:lvlText w:val=""/>
      <w:lvlJc w:val="left"/>
      <w:pPr>
        <w:ind w:left="6829" w:hanging="360"/>
      </w:pPr>
      <w:rPr>
        <w:rFonts w:ascii="Symbol" w:hAnsi="Symbol" w:hint="default"/>
      </w:rPr>
    </w:lvl>
    <w:lvl w:ilvl="7" w:tplc="04050003" w:tentative="1">
      <w:start w:val="1"/>
      <w:numFmt w:val="bullet"/>
      <w:lvlText w:val="o"/>
      <w:lvlJc w:val="left"/>
      <w:pPr>
        <w:ind w:left="7549" w:hanging="360"/>
      </w:pPr>
      <w:rPr>
        <w:rFonts w:ascii="Courier New" w:hAnsi="Courier New" w:cs="Courier New" w:hint="default"/>
      </w:rPr>
    </w:lvl>
    <w:lvl w:ilvl="8" w:tplc="04050005" w:tentative="1">
      <w:start w:val="1"/>
      <w:numFmt w:val="bullet"/>
      <w:lvlText w:val=""/>
      <w:lvlJc w:val="left"/>
      <w:pPr>
        <w:ind w:left="8269" w:hanging="360"/>
      </w:pPr>
      <w:rPr>
        <w:rFonts w:ascii="Wingdings" w:hAnsi="Wingdings" w:hint="default"/>
      </w:rPr>
    </w:lvl>
  </w:abstractNum>
  <w:num w:numId="1">
    <w:abstractNumId w:val="6"/>
  </w:num>
  <w:num w:numId="2">
    <w:abstractNumId w:val="10"/>
  </w:num>
  <w:num w:numId="3">
    <w:abstractNumId w:val="0"/>
  </w:num>
  <w:num w:numId="4">
    <w:abstractNumId w:val="2"/>
  </w:num>
  <w:num w:numId="5">
    <w:abstractNumId w:val="4"/>
  </w:num>
  <w:num w:numId="6">
    <w:abstractNumId w:val="4"/>
  </w:num>
  <w:num w:numId="7">
    <w:abstractNumId w:val="4"/>
  </w:num>
  <w:num w:numId="8">
    <w:abstractNumId w:val="4"/>
  </w:num>
  <w:num w:numId="9">
    <w:abstractNumId w:val="9"/>
  </w:num>
  <w:num w:numId="10">
    <w:abstractNumId w:val="3"/>
  </w:num>
  <w:num w:numId="11">
    <w:abstractNumId w:val="8"/>
  </w:num>
  <w:num w:numId="12">
    <w:abstractNumId w:val="17"/>
  </w:num>
  <w:num w:numId="13">
    <w:abstractNumId w:val="12"/>
  </w:num>
  <w:num w:numId="14">
    <w:abstractNumId w:val="14"/>
  </w:num>
  <w:num w:numId="15">
    <w:abstractNumId w:val="16"/>
  </w:num>
  <w:num w:numId="16">
    <w:abstractNumId w:val="11"/>
  </w:num>
  <w:num w:numId="17">
    <w:abstractNumId w:val="5"/>
  </w:num>
  <w:num w:numId="18">
    <w:abstractNumId w:val="1"/>
  </w:num>
  <w:num w:numId="19">
    <w:abstractNumId w:val="13"/>
  </w:num>
  <w:num w:numId="20">
    <w:abstractNumId w:val="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BC0"/>
    <w:rsid w:val="000062E6"/>
    <w:rsid w:val="000A3962"/>
    <w:rsid w:val="000B5C91"/>
    <w:rsid w:val="00112943"/>
    <w:rsid w:val="00142239"/>
    <w:rsid w:val="00163E29"/>
    <w:rsid w:val="0021018A"/>
    <w:rsid w:val="00290CB6"/>
    <w:rsid w:val="002A73FA"/>
    <w:rsid w:val="00341F97"/>
    <w:rsid w:val="00346225"/>
    <w:rsid w:val="003D33DF"/>
    <w:rsid w:val="00401448"/>
    <w:rsid w:val="00445DB8"/>
    <w:rsid w:val="004709CC"/>
    <w:rsid w:val="004D53FA"/>
    <w:rsid w:val="004E7D4E"/>
    <w:rsid w:val="00516A2E"/>
    <w:rsid w:val="005552BC"/>
    <w:rsid w:val="00591DC3"/>
    <w:rsid w:val="005A33A4"/>
    <w:rsid w:val="005E57AB"/>
    <w:rsid w:val="00701A89"/>
    <w:rsid w:val="007174EA"/>
    <w:rsid w:val="00720A9D"/>
    <w:rsid w:val="00771928"/>
    <w:rsid w:val="0079432B"/>
    <w:rsid w:val="007B2AB1"/>
    <w:rsid w:val="007D6AE9"/>
    <w:rsid w:val="007E2FDE"/>
    <w:rsid w:val="00873BC0"/>
    <w:rsid w:val="00883B63"/>
    <w:rsid w:val="008B5037"/>
    <w:rsid w:val="009241DD"/>
    <w:rsid w:val="00A14982"/>
    <w:rsid w:val="00A727E7"/>
    <w:rsid w:val="00A81A4E"/>
    <w:rsid w:val="00AF129A"/>
    <w:rsid w:val="00B826C5"/>
    <w:rsid w:val="00B84F20"/>
    <w:rsid w:val="00BF1E4F"/>
    <w:rsid w:val="00C35CEF"/>
    <w:rsid w:val="00D119A3"/>
    <w:rsid w:val="00D737C2"/>
    <w:rsid w:val="00D963FD"/>
    <w:rsid w:val="00E702D6"/>
    <w:rsid w:val="00F07224"/>
    <w:rsid w:val="00F846B4"/>
    <w:rsid w:val="00FF60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3BC0"/>
    <w:pPr>
      <w:jc w:val="both"/>
    </w:pPr>
    <w:rPr>
      <w:rFonts w:ascii="Times New Roman" w:eastAsia="Times New Roman" w:hAnsi="Times New Roman"/>
      <w:sz w:val="24"/>
      <w:szCs w:val="22"/>
      <w:lang w:val="en-US" w:eastAsia="en-US" w:bidi="en-US"/>
    </w:rPr>
  </w:style>
  <w:style w:type="paragraph" w:styleId="Nadpis1">
    <w:name w:val="heading 1"/>
    <w:basedOn w:val="Normln"/>
    <w:next w:val="Zkladntext"/>
    <w:link w:val="Nadpis1Char"/>
    <w:qFormat/>
    <w:rsid w:val="00591DC3"/>
    <w:pPr>
      <w:keepNext/>
      <w:numPr>
        <w:numId w:val="5"/>
      </w:numPr>
      <w:spacing w:before="240" w:after="60"/>
      <w:jc w:val="left"/>
      <w:outlineLvl w:val="0"/>
    </w:pPr>
    <w:rPr>
      <w:rFonts w:cs="Arial"/>
      <w:b/>
      <w:bCs/>
      <w:kern w:val="32"/>
      <w:sz w:val="28"/>
      <w:szCs w:val="32"/>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873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873BC0"/>
    <w:rPr>
      <w:rFonts w:ascii="Tahoma" w:hAnsi="Tahoma" w:cs="Tahoma"/>
      <w:sz w:val="16"/>
      <w:szCs w:val="16"/>
    </w:rPr>
  </w:style>
  <w:style w:type="character" w:customStyle="1" w:styleId="TextbublinyChar">
    <w:name w:val="Text bubliny Char"/>
    <w:link w:val="Textbubliny"/>
    <w:uiPriority w:val="99"/>
    <w:semiHidden/>
    <w:rsid w:val="00873BC0"/>
    <w:rPr>
      <w:rFonts w:ascii="Tahoma" w:eastAsia="Times New Roman" w:hAnsi="Tahoma" w:cs="Tahoma"/>
      <w:sz w:val="16"/>
      <w:szCs w:val="16"/>
      <w:lang w:val="en-US" w:bidi="en-US"/>
    </w:rPr>
  </w:style>
  <w:style w:type="paragraph" w:customStyle="1" w:styleId="Text">
    <w:name w:val="Text"/>
    <w:basedOn w:val="Normln"/>
    <w:rsid w:val="00341F97"/>
    <w:pPr>
      <w:spacing w:before="120"/>
    </w:pPr>
    <w:rPr>
      <w:szCs w:val="24"/>
      <w:lang w:eastAsia="cs-CZ" w:bidi="ar-SA"/>
    </w:rPr>
  </w:style>
  <w:style w:type="paragraph" w:styleId="Odstavecseseznamem">
    <w:name w:val="List Paragraph"/>
    <w:basedOn w:val="Normln"/>
    <w:uiPriority w:val="34"/>
    <w:qFormat/>
    <w:rsid w:val="00341F97"/>
    <w:pPr>
      <w:ind w:left="720"/>
      <w:contextualSpacing/>
    </w:pPr>
  </w:style>
  <w:style w:type="character" w:styleId="Hypertextovodkaz">
    <w:name w:val="Hyperlink"/>
    <w:rsid w:val="00BF1E4F"/>
    <w:rPr>
      <w:rFonts w:cs="Times New Roman"/>
      <w:color w:val="0000FF"/>
      <w:u w:val="single"/>
    </w:rPr>
  </w:style>
  <w:style w:type="paragraph" w:customStyle="1" w:styleId="04-Anotacijostekstas">
    <w:name w:val="04 - Anotacijos tekstas"/>
    <w:basedOn w:val="Normln"/>
    <w:rsid w:val="00BF1E4F"/>
    <w:pPr>
      <w:spacing w:before="240"/>
      <w:ind w:left="425" w:right="425"/>
    </w:pPr>
    <w:rPr>
      <w:sz w:val="20"/>
      <w:szCs w:val="20"/>
      <w:lang w:eastAsia="lt-LT" w:bidi="ar-SA"/>
    </w:rPr>
  </w:style>
  <w:style w:type="character" w:styleId="Odkaznakoment">
    <w:name w:val="annotation reference"/>
    <w:semiHidden/>
    <w:rsid w:val="000062E6"/>
    <w:rPr>
      <w:sz w:val="16"/>
      <w:szCs w:val="16"/>
    </w:rPr>
  </w:style>
  <w:style w:type="paragraph" w:styleId="Textkomente">
    <w:name w:val="annotation text"/>
    <w:basedOn w:val="Normln"/>
    <w:semiHidden/>
    <w:rsid w:val="000062E6"/>
    <w:rPr>
      <w:sz w:val="20"/>
      <w:szCs w:val="20"/>
    </w:rPr>
  </w:style>
  <w:style w:type="paragraph" w:styleId="Pedmtkomente">
    <w:name w:val="annotation subject"/>
    <w:basedOn w:val="Textkomente"/>
    <w:next w:val="Textkomente"/>
    <w:semiHidden/>
    <w:rsid w:val="000062E6"/>
    <w:rPr>
      <w:b/>
      <w:bCs/>
    </w:rPr>
  </w:style>
  <w:style w:type="paragraph" w:customStyle="1" w:styleId="a">
    <w:name w:val="文献"/>
    <w:basedOn w:val="Normln"/>
    <w:autoRedefine/>
    <w:qFormat/>
    <w:rsid w:val="003D33DF"/>
    <w:pPr>
      <w:spacing w:line="288" w:lineRule="atLeast"/>
    </w:pPr>
    <w:rPr>
      <w:rFonts w:eastAsia="MS Mincho"/>
      <w:kern w:val="2"/>
      <w:szCs w:val="24"/>
      <w:shd w:val="clear" w:color="auto" w:fill="FFFFFF"/>
      <w:lang w:eastAsia="ja-JP" w:bidi="ar-SA"/>
    </w:rPr>
  </w:style>
  <w:style w:type="paragraph" w:styleId="Zkladntext">
    <w:name w:val="Body Text"/>
    <w:basedOn w:val="Normln"/>
    <w:rsid w:val="00591DC3"/>
    <w:pPr>
      <w:spacing w:after="120"/>
    </w:pPr>
  </w:style>
  <w:style w:type="table" w:styleId="Svtlstnovn">
    <w:name w:val="Light Shading"/>
    <w:basedOn w:val="Normlntabulka"/>
    <w:uiPriority w:val="60"/>
    <w:rsid w:val="00A1498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KeyWords">
    <w:name w:val="KeyWords"/>
    <w:basedOn w:val="Normln"/>
    <w:next w:val="Normln"/>
    <w:rsid w:val="007E2FDE"/>
    <w:pPr>
      <w:spacing w:before="240"/>
    </w:pPr>
    <w:rPr>
      <w:i/>
      <w:szCs w:val="26"/>
      <w:lang w:eastAsia="cs-CZ" w:bidi="ar-SA"/>
    </w:rPr>
  </w:style>
  <w:style w:type="paragraph" w:customStyle="1" w:styleId="Default">
    <w:name w:val="Default"/>
    <w:rsid w:val="007E2FDE"/>
    <w:pPr>
      <w:autoSpaceDE w:val="0"/>
      <w:autoSpaceDN w:val="0"/>
      <w:adjustRightInd w:val="0"/>
    </w:pPr>
    <w:rPr>
      <w:rFonts w:ascii="Arial" w:eastAsia="Times New Roman" w:hAnsi="Arial" w:cs="Arial"/>
      <w:color w:val="000000"/>
      <w:sz w:val="24"/>
      <w:szCs w:val="24"/>
    </w:rPr>
  </w:style>
  <w:style w:type="paragraph" w:styleId="Titulek">
    <w:name w:val="caption"/>
    <w:aliases w:val="tabulka"/>
    <w:basedOn w:val="Normln"/>
    <w:next w:val="Normln"/>
    <w:qFormat/>
    <w:rsid w:val="003D33DF"/>
    <w:pPr>
      <w:spacing w:line="360" w:lineRule="auto"/>
      <w:jc w:val="center"/>
    </w:pPr>
    <w:rPr>
      <w:b/>
      <w:bCs/>
      <w:caps/>
      <w:sz w:val="40"/>
      <w:szCs w:val="24"/>
      <w:lang w:val="cs-CZ" w:eastAsia="cs-CZ" w:bidi="ar-SA"/>
    </w:rPr>
  </w:style>
  <w:style w:type="character" w:customStyle="1" w:styleId="hps">
    <w:name w:val="hps"/>
    <w:basedOn w:val="Standardnpsmoodstavce"/>
    <w:rsid w:val="00771928"/>
  </w:style>
  <w:style w:type="paragraph" w:styleId="Textpoznpodarou">
    <w:name w:val="footnote text"/>
    <w:basedOn w:val="Normln"/>
    <w:link w:val="TextpoznpodarouChar"/>
    <w:rsid w:val="00771928"/>
    <w:rPr>
      <w:sz w:val="20"/>
      <w:szCs w:val="20"/>
      <w:lang w:val="cs-CZ" w:eastAsia="cs-CZ" w:bidi="ar-SA"/>
    </w:rPr>
  </w:style>
  <w:style w:type="character" w:customStyle="1" w:styleId="TextpoznpodarouChar">
    <w:name w:val="Text pozn. pod čarou Char"/>
    <w:basedOn w:val="Standardnpsmoodstavce"/>
    <w:link w:val="Textpoznpodarou"/>
    <w:rsid w:val="00771928"/>
    <w:rPr>
      <w:rFonts w:ascii="Times New Roman" w:eastAsia="Times New Roman" w:hAnsi="Times New Roman"/>
    </w:rPr>
  </w:style>
  <w:style w:type="character" w:styleId="Znakapoznpodarou">
    <w:name w:val="footnote reference"/>
    <w:basedOn w:val="Standardnpsmoodstavce"/>
    <w:rsid w:val="00771928"/>
    <w:rPr>
      <w:vertAlign w:val="superscript"/>
    </w:rPr>
  </w:style>
  <w:style w:type="paragraph" w:styleId="Zkladntext3">
    <w:name w:val="Body Text 3"/>
    <w:basedOn w:val="Normln"/>
    <w:link w:val="Zkladntext3Char"/>
    <w:uiPriority w:val="99"/>
    <w:semiHidden/>
    <w:unhideWhenUsed/>
    <w:rsid w:val="00346225"/>
    <w:pPr>
      <w:spacing w:after="120"/>
    </w:pPr>
    <w:rPr>
      <w:sz w:val="16"/>
      <w:szCs w:val="16"/>
    </w:rPr>
  </w:style>
  <w:style w:type="character" w:customStyle="1" w:styleId="Zkladntext3Char">
    <w:name w:val="Základní text 3 Char"/>
    <w:basedOn w:val="Standardnpsmoodstavce"/>
    <w:link w:val="Zkladntext3"/>
    <w:uiPriority w:val="99"/>
    <w:semiHidden/>
    <w:rsid w:val="00346225"/>
    <w:rPr>
      <w:rFonts w:ascii="Times New Roman" w:eastAsia="Times New Roman" w:hAnsi="Times New Roman"/>
      <w:sz w:val="16"/>
      <w:szCs w:val="16"/>
      <w:lang w:val="en-US" w:eastAsia="en-US" w:bidi="en-US"/>
    </w:rPr>
  </w:style>
  <w:style w:type="paragraph" w:customStyle="1" w:styleId="Diplomka-textodstavce">
    <w:name w:val="Diplomka - text odstavce"/>
    <w:rsid w:val="00346225"/>
    <w:pPr>
      <w:spacing w:before="120" w:after="120" w:line="360" w:lineRule="auto"/>
      <w:jc w:val="both"/>
    </w:pPr>
    <w:rPr>
      <w:rFonts w:ascii="Times New Roman" w:eastAsia="Times New Roman" w:hAnsi="Times New Roman"/>
      <w:sz w:val="24"/>
    </w:rPr>
  </w:style>
  <w:style w:type="character" w:customStyle="1" w:styleId="Nadpis1Char">
    <w:name w:val="Nadpis 1 Char"/>
    <w:basedOn w:val="Standardnpsmoodstavce"/>
    <w:link w:val="Nadpis1"/>
    <w:rsid w:val="00516A2E"/>
    <w:rPr>
      <w:rFonts w:ascii="Times New Roman" w:eastAsia="Times New Roman" w:hAnsi="Times New Roman" w:cs="Arial"/>
      <w:b/>
      <w:bCs/>
      <w:kern w:val="32"/>
      <w:sz w:val="28"/>
      <w:szCs w:val="32"/>
      <w:lang w:val="en-US"/>
    </w:rPr>
  </w:style>
  <w:style w:type="paragraph" w:customStyle="1" w:styleId="Contact">
    <w:name w:val="Contact"/>
    <w:basedOn w:val="Normln"/>
    <w:next w:val="Text"/>
    <w:rsid w:val="00D737C2"/>
    <w:pPr>
      <w:jc w:val="center"/>
    </w:pPr>
    <w:rPr>
      <w:szCs w:val="24"/>
      <w:lang w:eastAsia="cs-CZ"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73BC0"/>
    <w:pPr>
      <w:jc w:val="both"/>
    </w:pPr>
    <w:rPr>
      <w:rFonts w:ascii="Times New Roman" w:eastAsia="Times New Roman" w:hAnsi="Times New Roman"/>
      <w:sz w:val="24"/>
      <w:szCs w:val="22"/>
      <w:lang w:val="en-US" w:eastAsia="en-US" w:bidi="en-US"/>
    </w:rPr>
  </w:style>
  <w:style w:type="paragraph" w:styleId="Nadpis1">
    <w:name w:val="heading 1"/>
    <w:basedOn w:val="Normln"/>
    <w:next w:val="Zkladntext"/>
    <w:link w:val="Nadpis1Char"/>
    <w:qFormat/>
    <w:rsid w:val="00591DC3"/>
    <w:pPr>
      <w:keepNext/>
      <w:numPr>
        <w:numId w:val="5"/>
      </w:numPr>
      <w:spacing w:before="240" w:after="60"/>
      <w:jc w:val="left"/>
      <w:outlineLvl w:val="0"/>
    </w:pPr>
    <w:rPr>
      <w:rFonts w:cs="Arial"/>
      <w:b/>
      <w:bCs/>
      <w:kern w:val="32"/>
      <w:sz w:val="28"/>
      <w:szCs w:val="32"/>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873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873BC0"/>
    <w:rPr>
      <w:rFonts w:ascii="Tahoma" w:hAnsi="Tahoma" w:cs="Tahoma"/>
      <w:sz w:val="16"/>
      <w:szCs w:val="16"/>
    </w:rPr>
  </w:style>
  <w:style w:type="character" w:customStyle="1" w:styleId="TextbublinyChar">
    <w:name w:val="Text bubliny Char"/>
    <w:link w:val="Textbubliny"/>
    <w:uiPriority w:val="99"/>
    <w:semiHidden/>
    <w:rsid w:val="00873BC0"/>
    <w:rPr>
      <w:rFonts w:ascii="Tahoma" w:eastAsia="Times New Roman" w:hAnsi="Tahoma" w:cs="Tahoma"/>
      <w:sz w:val="16"/>
      <w:szCs w:val="16"/>
      <w:lang w:val="en-US" w:bidi="en-US"/>
    </w:rPr>
  </w:style>
  <w:style w:type="paragraph" w:customStyle="1" w:styleId="Text">
    <w:name w:val="Text"/>
    <w:basedOn w:val="Normln"/>
    <w:rsid w:val="00341F97"/>
    <w:pPr>
      <w:spacing w:before="120"/>
    </w:pPr>
    <w:rPr>
      <w:szCs w:val="24"/>
      <w:lang w:eastAsia="cs-CZ" w:bidi="ar-SA"/>
    </w:rPr>
  </w:style>
  <w:style w:type="paragraph" w:styleId="Odstavecseseznamem">
    <w:name w:val="List Paragraph"/>
    <w:basedOn w:val="Normln"/>
    <w:uiPriority w:val="34"/>
    <w:qFormat/>
    <w:rsid w:val="00341F97"/>
    <w:pPr>
      <w:ind w:left="720"/>
      <w:contextualSpacing/>
    </w:pPr>
  </w:style>
  <w:style w:type="character" w:styleId="Hypertextovodkaz">
    <w:name w:val="Hyperlink"/>
    <w:rsid w:val="00BF1E4F"/>
    <w:rPr>
      <w:rFonts w:cs="Times New Roman"/>
      <w:color w:val="0000FF"/>
      <w:u w:val="single"/>
    </w:rPr>
  </w:style>
  <w:style w:type="paragraph" w:customStyle="1" w:styleId="04-Anotacijostekstas">
    <w:name w:val="04 - Anotacijos tekstas"/>
    <w:basedOn w:val="Normln"/>
    <w:rsid w:val="00BF1E4F"/>
    <w:pPr>
      <w:spacing w:before="240"/>
      <w:ind w:left="425" w:right="425"/>
    </w:pPr>
    <w:rPr>
      <w:sz w:val="20"/>
      <w:szCs w:val="20"/>
      <w:lang w:eastAsia="lt-LT" w:bidi="ar-SA"/>
    </w:rPr>
  </w:style>
  <w:style w:type="character" w:styleId="Odkaznakoment">
    <w:name w:val="annotation reference"/>
    <w:semiHidden/>
    <w:rsid w:val="000062E6"/>
    <w:rPr>
      <w:sz w:val="16"/>
      <w:szCs w:val="16"/>
    </w:rPr>
  </w:style>
  <w:style w:type="paragraph" w:styleId="Textkomente">
    <w:name w:val="annotation text"/>
    <w:basedOn w:val="Normln"/>
    <w:semiHidden/>
    <w:rsid w:val="000062E6"/>
    <w:rPr>
      <w:sz w:val="20"/>
      <w:szCs w:val="20"/>
    </w:rPr>
  </w:style>
  <w:style w:type="paragraph" w:styleId="Pedmtkomente">
    <w:name w:val="annotation subject"/>
    <w:basedOn w:val="Textkomente"/>
    <w:next w:val="Textkomente"/>
    <w:semiHidden/>
    <w:rsid w:val="000062E6"/>
    <w:rPr>
      <w:b/>
      <w:bCs/>
    </w:rPr>
  </w:style>
  <w:style w:type="paragraph" w:customStyle="1" w:styleId="a">
    <w:name w:val="文献"/>
    <w:basedOn w:val="Normln"/>
    <w:autoRedefine/>
    <w:qFormat/>
    <w:rsid w:val="003D33DF"/>
    <w:pPr>
      <w:spacing w:line="288" w:lineRule="atLeast"/>
    </w:pPr>
    <w:rPr>
      <w:rFonts w:eastAsia="MS Mincho"/>
      <w:kern w:val="2"/>
      <w:szCs w:val="24"/>
      <w:shd w:val="clear" w:color="auto" w:fill="FFFFFF"/>
      <w:lang w:eastAsia="ja-JP" w:bidi="ar-SA"/>
    </w:rPr>
  </w:style>
  <w:style w:type="paragraph" w:styleId="Zkladntext">
    <w:name w:val="Body Text"/>
    <w:basedOn w:val="Normln"/>
    <w:rsid w:val="00591DC3"/>
    <w:pPr>
      <w:spacing w:after="120"/>
    </w:pPr>
  </w:style>
  <w:style w:type="table" w:styleId="Svtlstnovn">
    <w:name w:val="Light Shading"/>
    <w:basedOn w:val="Normlntabulka"/>
    <w:uiPriority w:val="60"/>
    <w:rsid w:val="00A1498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KeyWords">
    <w:name w:val="KeyWords"/>
    <w:basedOn w:val="Normln"/>
    <w:next w:val="Normln"/>
    <w:rsid w:val="007E2FDE"/>
    <w:pPr>
      <w:spacing w:before="240"/>
    </w:pPr>
    <w:rPr>
      <w:i/>
      <w:szCs w:val="26"/>
      <w:lang w:eastAsia="cs-CZ" w:bidi="ar-SA"/>
    </w:rPr>
  </w:style>
  <w:style w:type="paragraph" w:customStyle="1" w:styleId="Default">
    <w:name w:val="Default"/>
    <w:rsid w:val="007E2FDE"/>
    <w:pPr>
      <w:autoSpaceDE w:val="0"/>
      <w:autoSpaceDN w:val="0"/>
      <w:adjustRightInd w:val="0"/>
    </w:pPr>
    <w:rPr>
      <w:rFonts w:ascii="Arial" w:eastAsia="Times New Roman" w:hAnsi="Arial" w:cs="Arial"/>
      <w:color w:val="000000"/>
      <w:sz w:val="24"/>
      <w:szCs w:val="24"/>
    </w:rPr>
  </w:style>
  <w:style w:type="paragraph" w:styleId="Titulek">
    <w:name w:val="caption"/>
    <w:aliases w:val="tabulka"/>
    <w:basedOn w:val="Normln"/>
    <w:next w:val="Normln"/>
    <w:qFormat/>
    <w:rsid w:val="003D33DF"/>
    <w:pPr>
      <w:spacing w:line="360" w:lineRule="auto"/>
      <w:jc w:val="center"/>
    </w:pPr>
    <w:rPr>
      <w:b/>
      <w:bCs/>
      <w:caps/>
      <w:sz w:val="40"/>
      <w:szCs w:val="24"/>
      <w:lang w:val="cs-CZ" w:eastAsia="cs-CZ" w:bidi="ar-SA"/>
    </w:rPr>
  </w:style>
  <w:style w:type="character" w:customStyle="1" w:styleId="hps">
    <w:name w:val="hps"/>
    <w:basedOn w:val="Standardnpsmoodstavce"/>
    <w:rsid w:val="00771928"/>
  </w:style>
  <w:style w:type="paragraph" w:styleId="Textpoznpodarou">
    <w:name w:val="footnote text"/>
    <w:basedOn w:val="Normln"/>
    <w:link w:val="TextpoznpodarouChar"/>
    <w:rsid w:val="00771928"/>
    <w:rPr>
      <w:sz w:val="20"/>
      <w:szCs w:val="20"/>
      <w:lang w:val="cs-CZ" w:eastAsia="cs-CZ" w:bidi="ar-SA"/>
    </w:rPr>
  </w:style>
  <w:style w:type="character" w:customStyle="1" w:styleId="TextpoznpodarouChar">
    <w:name w:val="Text pozn. pod čarou Char"/>
    <w:basedOn w:val="Standardnpsmoodstavce"/>
    <w:link w:val="Textpoznpodarou"/>
    <w:rsid w:val="00771928"/>
    <w:rPr>
      <w:rFonts w:ascii="Times New Roman" w:eastAsia="Times New Roman" w:hAnsi="Times New Roman"/>
    </w:rPr>
  </w:style>
  <w:style w:type="character" w:styleId="Znakapoznpodarou">
    <w:name w:val="footnote reference"/>
    <w:basedOn w:val="Standardnpsmoodstavce"/>
    <w:rsid w:val="00771928"/>
    <w:rPr>
      <w:vertAlign w:val="superscript"/>
    </w:rPr>
  </w:style>
  <w:style w:type="paragraph" w:styleId="Zkladntext3">
    <w:name w:val="Body Text 3"/>
    <w:basedOn w:val="Normln"/>
    <w:link w:val="Zkladntext3Char"/>
    <w:uiPriority w:val="99"/>
    <w:semiHidden/>
    <w:unhideWhenUsed/>
    <w:rsid w:val="00346225"/>
    <w:pPr>
      <w:spacing w:after="120"/>
    </w:pPr>
    <w:rPr>
      <w:sz w:val="16"/>
      <w:szCs w:val="16"/>
    </w:rPr>
  </w:style>
  <w:style w:type="character" w:customStyle="1" w:styleId="Zkladntext3Char">
    <w:name w:val="Základní text 3 Char"/>
    <w:basedOn w:val="Standardnpsmoodstavce"/>
    <w:link w:val="Zkladntext3"/>
    <w:uiPriority w:val="99"/>
    <w:semiHidden/>
    <w:rsid w:val="00346225"/>
    <w:rPr>
      <w:rFonts w:ascii="Times New Roman" w:eastAsia="Times New Roman" w:hAnsi="Times New Roman"/>
      <w:sz w:val="16"/>
      <w:szCs w:val="16"/>
      <w:lang w:val="en-US" w:eastAsia="en-US" w:bidi="en-US"/>
    </w:rPr>
  </w:style>
  <w:style w:type="paragraph" w:customStyle="1" w:styleId="Diplomka-textodstavce">
    <w:name w:val="Diplomka - text odstavce"/>
    <w:rsid w:val="00346225"/>
    <w:pPr>
      <w:spacing w:before="120" w:after="120" w:line="360" w:lineRule="auto"/>
      <w:jc w:val="both"/>
    </w:pPr>
    <w:rPr>
      <w:rFonts w:ascii="Times New Roman" w:eastAsia="Times New Roman" w:hAnsi="Times New Roman"/>
      <w:sz w:val="24"/>
    </w:rPr>
  </w:style>
  <w:style w:type="character" w:customStyle="1" w:styleId="Nadpis1Char">
    <w:name w:val="Nadpis 1 Char"/>
    <w:basedOn w:val="Standardnpsmoodstavce"/>
    <w:link w:val="Nadpis1"/>
    <w:rsid w:val="00516A2E"/>
    <w:rPr>
      <w:rFonts w:ascii="Times New Roman" w:eastAsia="Times New Roman" w:hAnsi="Times New Roman" w:cs="Arial"/>
      <w:b/>
      <w:bCs/>
      <w:kern w:val="32"/>
      <w:sz w:val="28"/>
      <w:szCs w:val="32"/>
      <w:lang w:val="en-US"/>
    </w:rPr>
  </w:style>
  <w:style w:type="paragraph" w:customStyle="1" w:styleId="Contact">
    <w:name w:val="Contact"/>
    <w:basedOn w:val="Normln"/>
    <w:next w:val="Text"/>
    <w:rsid w:val="00D737C2"/>
    <w:pPr>
      <w:jc w:val="center"/>
    </w:pPr>
    <w:rPr>
      <w:szCs w:val="24"/>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aeaweb.org/jel/jel_class_system.php" TargetMode="External"/><Relationship Id="rId4" Type="http://schemas.microsoft.com/office/2007/relationships/stylesWithEffects" Target="stylesWithEffects.xml"/><Relationship Id="rId9" Type="http://schemas.openxmlformats.org/officeDocument/2006/relationships/hyperlink" Target="mailto:krajicek@econ.muni.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FFF44-3A70-43DF-A618-F63548AF4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2756</Words>
  <Characters>16262</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Title of the Paper (Times New Roman 14, bold, centered)</vt:lpstr>
    </vt:vector>
  </TitlesOfParts>
  <Company>Hewlett-Packard</Company>
  <LinksUpToDate>false</LinksUpToDate>
  <CharactersWithSpaces>18981</CharactersWithSpaces>
  <SharedDoc>false</SharedDoc>
  <HLinks>
    <vt:vector size="6" baseType="variant">
      <vt:variant>
        <vt:i4>7143546</vt:i4>
      </vt:variant>
      <vt:variant>
        <vt:i4>0</vt:i4>
      </vt:variant>
      <vt:variant>
        <vt:i4>0</vt:i4>
      </vt:variant>
      <vt:variant>
        <vt:i4>5</vt:i4>
      </vt:variant>
      <vt:variant>
        <vt:lpwstr>http://www.aeaweb.org/jel/jel_class_system.php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Paper (Times New Roman 14, bold, centered)</dc:title>
  <dc:subject/>
  <dc:creator>Daniel Stavárek</dc:creator>
  <cp:keywords/>
  <cp:lastModifiedBy>Krajicek Jan</cp:lastModifiedBy>
  <cp:revision>9</cp:revision>
  <dcterms:created xsi:type="dcterms:W3CDTF">2013-05-03T16:48:00Z</dcterms:created>
  <dcterms:modified xsi:type="dcterms:W3CDTF">2013-06-18T06:32:00Z</dcterms:modified>
</cp:coreProperties>
</file>