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DE" w:rsidRPr="000E5E5E" w:rsidRDefault="00447DDE" w:rsidP="000E5E5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0E5E5E">
        <w:rPr>
          <w:rFonts w:ascii="Times New Roman" w:hAnsi="Times New Roman"/>
          <w:b/>
          <w:sz w:val="32"/>
          <w:szCs w:val="32"/>
        </w:rPr>
        <w:t>1.3 Vývoj bankovnictví v SR a ČR v letech 2006 – 2011</w:t>
      </w:r>
    </w:p>
    <w:p w:rsidR="004A64A5" w:rsidRPr="00534583" w:rsidRDefault="004A64A5" w:rsidP="00F124B0">
      <w:pPr>
        <w:spacing w:after="0" w:line="240" w:lineRule="auto"/>
        <w:ind w:left="710"/>
        <w:jc w:val="center"/>
        <w:rPr>
          <w:b/>
          <w:color w:val="FF0000"/>
          <w:highlight w:val="cyan"/>
        </w:rPr>
      </w:pPr>
    </w:p>
    <w:p w:rsidR="004A64A5" w:rsidRPr="00BC2866" w:rsidRDefault="004A64A5" w:rsidP="00447DD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D4AA8" w:rsidRPr="001D4AA8" w:rsidRDefault="001D4AA8" w:rsidP="00C302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1.3.1 </w:t>
      </w:r>
      <w:r w:rsidRPr="001D4AA8">
        <w:rPr>
          <w:rFonts w:ascii="Times New Roman" w:hAnsi="Times New Roman"/>
          <w:b/>
          <w:sz w:val="28"/>
          <w:szCs w:val="28"/>
        </w:rPr>
        <w:t xml:space="preserve">Historický vývoj bankovního sektoru </w:t>
      </w:r>
    </w:p>
    <w:p w:rsidR="00CE12BA" w:rsidRDefault="00CE12BA" w:rsidP="000E5E5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cs-CZ"/>
        </w:rPr>
      </w:pPr>
      <w:r w:rsidRPr="00CE12BA"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z w:val="24"/>
          <w:szCs w:val="24"/>
        </w:rPr>
        <w:t xml:space="preserve"> </w:t>
      </w:r>
      <w:r w:rsidR="00A3170F">
        <w:rPr>
          <w:rFonts w:ascii="Times New Roman" w:hAnsi="Times New Roman"/>
          <w:sz w:val="24"/>
          <w:szCs w:val="24"/>
        </w:rPr>
        <w:t>hodnocení</w:t>
      </w:r>
      <w:r>
        <w:rPr>
          <w:rFonts w:ascii="Times New Roman" w:hAnsi="Times New Roman"/>
          <w:sz w:val="24"/>
          <w:szCs w:val="24"/>
        </w:rPr>
        <w:t xml:space="preserve"> vývoje bankovnictví</w:t>
      </w:r>
      <w:r w:rsidR="00A3170F">
        <w:rPr>
          <w:rFonts w:ascii="Times New Roman" w:hAnsi="Times New Roman"/>
          <w:sz w:val="24"/>
          <w:szCs w:val="24"/>
        </w:rPr>
        <w:t xml:space="preserve"> v létech 2006 – 2011,</w:t>
      </w:r>
      <w:r>
        <w:rPr>
          <w:rFonts w:ascii="Times New Roman" w:hAnsi="Times New Roman"/>
          <w:sz w:val="24"/>
          <w:szCs w:val="24"/>
        </w:rPr>
        <w:t xml:space="preserve"> </w:t>
      </w:r>
      <w:r w:rsidR="00DC6F1D">
        <w:rPr>
          <w:rFonts w:ascii="Times New Roman" w:hAnsi="Times New Roman"/>
          <w:sz w:val="24"/>
          <w:szCs w:val="24"/>
        </w:rPr>
        <w:t xml:space="preserve">je nutné se zabývat </w:t>
      </w:r>
      <w:r w:rsidRPr="00CE12BA">
        <w:rPr>
          <w:rFonts w:ascii="Times New Roman" w:hAnsi="Times New Roman"/>
          <w:sz w:val="24"/>
          <w:szCs w:val="24"/>
        </w:rPr>
        <w:t xml:space="preserve">minulosti. 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>První historick</w:t>
      </w:r>
      <w:r w:rsidR="0068238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ou 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>bank</w:t>
      </w:r>
      <w:r w:rsidR="00682385">
        <w:rPr>
          <w:rFonts w:ascii="Times New Roman" w:hAnsi="Times New Roman"/>
          <w:color w:val="000000"/>
          <w:sz w:val="24"/>
          <w:szCs w:val="24"/>
          <w:lang w:eastAsia="cs-CZ"/>
        </w:rPr>
        <w:t>ou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na českém území, byla Královská privilegovaná úvěrní banka v Brně</w:t>
      </w:r>
      <w:r>
        <w:rPr>
          <w:rStyle w:val="Znakapoznpodarou"/>
          <w:rFonts w:ascii="Times New Roman" w:hAnsi="Times New Roman"/>
          <w:color w:val="000000"/>
          <w:sz w:val="24"/>
          <w:szCs w:val="24"/>
          <w:lang w:eastAsia="cs-CZ"/>
        </w:rPr>
        <w:footnoteReference w:id="1"/>
      </w:r>
      <w:r w:rsidR="00682385"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682385" w:rsidRPr="00CE12BA">
        <w:rPr>
          <w:rFonts w:ascii="Times New Roman" w:hAnsi="Times New Roman"/>
          <w:color w:val="000000"/>
          <w:sz w:val="24"/>
          <w:szCs w:val="24"/>
          <w:lang w:eastAsia="cs-CZ"/>
        </w:rPr>
        <w:t>jejíž vznik se datuje k roku 1751 za vlády Marie</w:t>
      </w:r>
      <w:r w:rsidR="0068238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Terezie. 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>Nejstarší bankou s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>téměř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čistě českým kapitálem byla </w:t>
      </w:r>
      <w:r w:rsidR="00682385" w:rsidRPr="00CE12BA">
        <w:rPr>
          <w:rFonts w:ascii="Times New Roman" w:hAnsi="Times New Roman"/>
          <w:color w:val="000000"/>
          <w:sz w:val="24"/>
          <w:szCs w:val="24"/>
          <w:lang w:eastAsia="cs-CZ"/>
        </w:rPr>
        <w:t>Spořitelna česká</w:t>
      </w:r>
      <w:r w:rsidR="00682385">
        <w:rPr>
          <w:rStyle w:val="Znakapoznpodarou"/>
          <w:rFonts w:ascii="Times New Roman" w:hAnsi="Times New Roman"/>
          <w:color w:val="000000"/>
          <w:sz w:val="24"/>
          <w:szCs w:val="24"/>
          <w:lang w:eastAsia="cs-CZ"/>
        </w:rPr>
        <w:footnoteReference w:id="2"/>
      </w:r>
      <w:r w:rsidR="00682385"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  <w:r w:rsidR="00682385" w:rsidRPr="00CE12B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založena </w:t>
      </w:r>
      <w:r w:rsidR="00C302F9" w:rsidRPr="00CE12BA">
        <w:rPr>
          <w:rFonts w:ascii="Times New Roman" w:hAnsi="Times New Roman"/>
          <w:color w:val="000000"/>
          <w:sz w:val="24"/>
          <w:szCs w:val="24"/>
          <w:lang w:eastAsia="cs-CZ"/>
        </w:rPr>
        <w:t>v roce 1825</w:t>
      </w:r>
      <w:r w:rsidR="00682385"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  <w:r w:rsidR="00C302F9" w:rsidRPr="00CE12B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>Bankovnictví dvacátého století v Československu se neslo ve znamení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velkého rozvoje za první republiky, kdy vzniklo </w:t>
      </w:r>
      <w:bookmarkStart w:id="0" w:name="_GoBack"/>
      <w:bookmarkEnd w:id="0"/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>a rozvíjelo se mnoho dalších českých bank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>jako Kupecká banka, Severočeská banka, Řeznicko-uzenářská banka, Brněnská banka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>a Lesnicko-</w:t>
      </w:r>
      <w:proofErr w:type="spellStart"/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>dřevárenská</w:t>
      </w:r>
      <w:proofErr w:type="spellEnd"/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banka, ze které se časem vyvinula Československá obchodní banka</w:t>
      </w:r>
      <w:r w:rsidR="00C302F9">
        <w:rPr>
          <w:rStyle w:val="Znakapoznpodarou"/>
          <w:rFonts w:ascii="Times New Roman" w:hAnsi="Times New Roman"/>
          <w:color w:val="000000"/>
          <w:sz w:val="24"/>
          <w:szCs w:val="24"/>
          <w:lang w:eastAsia="cs-CZ"/>
        </w:rPr>
        <w:footnoteReference w:id="3"/>
      </w:r>
      <w:r w:rsidRPr="00CE12B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cs-CZ"/>
        </w:rPr>
        <w:t>.</w:t>
      </w:r>
    </w:p>
    <w:p w:rsidR="00C302F9" w:rsidRPr="00CE12BA" w:rsidRDefault="00C302F9" w:rsidP="000E5E5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cs-CZ"/>
        </w:rPr>
      </w:pPr>
    </w:p>
    <w:p w:rsidR="00CE12BA" w:rsidRDefault="00CE12BA" w:rsidP="000E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>Nacistickou okupaci, přežila pouze Živnobanka. Po únorovém převratu došlo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k zapojení bank do centrálně plánované ekonomiky a vznikla </w:t>
      </w:r>
      <w:r w:rsidR="004628B8">
        <w:rPr>
          <w:rFonts w:ascii="Times New Roman" w:hAnsi="Times New Roman"/>
          <w:color w:val="000000"/>
          <w:sz w:val="24"/>
          <w:szCs w:val="24"/>
          <w:lang w:eastAsia="cs-CZ"/>
        </w:rPr>
        <w:t>SBČS</w:t>
      </w:r>
      <w:r w:rsidR="004628B8">
        <w:rPr>
          <w:rStyle w:val="Znakapoznpodarou"/>
          <w:rFonts w:ascii="Times New Roman" w:hAnsi="Times New Roman"/>
          <w:color w:val="000000"/>
          <w:sz w:val="24"/>
          <w:szCs w:val="24"/>
          <w:lang w:eastAsia="cs-CZ"/>
        </w:rPr>
        <w:footnoteReference w:id="4"/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>. Po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>liberalizaci bankovního prostředí, která nastala po listopadu 1989, vznika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>ly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desítky bank,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>velká část z nich však skončila v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>konkurzu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>, vlivem</w:t>
      </w:r>
      <w:r w:rsidR="0068238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poskytování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špatných úvěrů</w:t>
      </w:r>
      <w:r w:rsidR="0068238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 nekvalitního řízení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>Česká vláda</w:t>
      </w:r>
      <w:r w:rsidR="0068238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proto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koncem </w:t>
      </w:r>
      <w:r w:rsidR="00682385">
        <w:rPr>
          <w:rFonts w:ascii="Times New Roman" w:hAnsi="Times New Roman"/>
          <w:color w:val="000000"/>
          <w:sz w:val="24"/>
          <w:szCs w:val="24"/>
          <w:lang w:eastAsia="cs-CZ"/>
        </w:rPr>
        <w:t>20tého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 počátk</w:t>
      </w:r>
      <w:r w:rsidR="00682385">
        <w:rPr>
          <w:rFonts w:ascii="Times New Roman" w:hAnsi="Times New Roman"/>
          <w:color w:val="000000"/>
          <w:sz w:val="24"/>
          <w:szCs w:val="24"/>
          <w:lang w:eastAsia="cs-CZ"/>
        </w:rPr>
        <w:t>em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21</w:t>
      </w:r>
      <w:r w:rsidR="00682385">
        <w:rPr>
          <w:rFonts w:ascii="Times New Roman" w:hAnsi="Times New Roman"/>
          <w:color w:val="000000"/>
          <w:sz w:val="24"/>
          <w:szCs w:val="24"/>
          <w:lang w:eastAsia="cs-CZ"/>
        </w:rPr>
        <w:t>tého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století 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>intervenovala a přijala na sebe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>rizikové úvěry největších bank a takto oddlužené banky prodala zahraničním vlastníkům.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68238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 současnosti 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na českém trhu působí </w:t>
      </w:r>
      <w:r w:rsidR="001C21F5">
        <w:rPr>
          <w:rFonts w:ascii="Times New Roman" w:hAnsi="Times New Roman"/>
          <w:color w:val="000000"/>
          <w:sz w:val="24"/>
          <w:szCs w:val="24"/>
          <w:lang w:eastAsia="cs-CZ"/>
        </w:rPr>
        <w:t>přes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čtyřic</w:t>
      </w:r>
      <w:r w:rsidR="001C21F5">
        <w:rPr>
          <w:rFonts w:ascii="Times New Roman" w:hAnsi="Times New Roman"/>
          <w:color w:val="000000"/>
          <w:sz w:val="24"/>
          <w:szCs w:val="24"/>
          <w:lang w:eastAsia="cs-CZ"/>
        </w:rPr>
        <w:t>e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>t bank, většinou se zahraničními vlastníky.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Americkou hypoteční krizi přežily největší české ústavy bez větších problémů a </w:t>
      </w:r>
      <w:r w:rsidR="0068238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hned následující rok 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>svým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>majitelům vydělalo pět největších českých bank během roku 2009 více než 45 miliard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>korun</w:t>
      </w:r>
      <w:r w:rsidR="0068238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 tento trend pokračuje i nadále</w:t>
      </w:r>
      <w:r w:rsidRPr="00CE12BA"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</w:p>
    <w:p w:rsidR="00C302F9" w:rsidRDefault="00C302F9" w:rsidP="000E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1C21F5" w:rsidRDefault="00C302F9" w:rsidP="000E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Před rokem 1989 se </w:t>
      </w:r>
      <w:r w:rsidR="004628B8">
        <w:rPr>
          <w:rFonts w:ascii="Times New Roman" w:hAnsi="Times New Roman"/>
          <w:color w:val="000000"/>
          <w:sz w:val="24"/>
          <w:szCs w:val="24"/>
          <w:lang w:eastAsia="cs-CZ"/>
        </w:rPr>
        <w:t>SBČS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zabývala přijímáním depozit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a zároveň si zachovala i funkci centrální banky. Podílela se mimo jiné i na „měnové </w:t>
      </w:r>
      <w:proofErr w:type="spellStart"/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>reformě“v</w:t>
      </w:r>
      <w:proofErr w:type="spellEnd"/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roce 1953, v jejímž důsledku se výrazně snížila životní úroveň v Československu. Do roku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1958 působila vedle </w:t>
      </w:r>
      <w:r w:rsidR="00E67178">
        <w:rPr>
          <w:rFonts w:ascii="Times New Roman" w:hAnsi="Times New Roman"/>
          <w:color w:val="000000"/>
          <w:sz w:val="24"/>
          <w:szCs w:val="24"/>
          <w:lang w:eastAsia="cs-CZ"/>
        </w:rPr>
        <w:t>SBČS</w:t>
      </w:r>
      <w:r w:rsidR="00E67178" w:rsidRP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Investiční banka, kterou </w:t>
      </w:r>
      <w:r w:rsidR="004628B8">
        <w:rPr>
          <w:rFonts w:ascii="Times New Roman" w:hAnsi="Times New Roman"/>
          <w:color w:val="000000"/>
          <w:sz w:val="24"/>
          <w:szCs w:val="24"/>
          <w:lang w:eastAsia="cs-CZ"/>
        </w:rPr>
        <w:t>SBČS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1C21F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postupně 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>pohltila</w:t>
      </w:r>
      <w:r w:rsidR="001C21F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 začala plnit její funkce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Do roku 1990 pak </w:t>
      </w:r>
      <w:r w:rsidR="001C21F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SBČS 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>plnila roli monobanky, tedy jediné banky,</w:t>
      </w:r>
      <w:r w:rsidR="000F01F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>která působ</w:t>
      </w:r>
      <w:r w:rsidR="000F01FC">
        <w:rPr>
          <w:rFonts w:ascii="Times New Roman" w:hAnsi="Times New Roman"/>
          <w:color w:val="000000"/>
          <w:sz w:val="24"/>
          <w:szCs w:val="24"/>
          <w:lang w:eastAsia="cs-CZ"/>
        </w:rPr>
        <w:t>ila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jako centrální</w:t>
      </w:r>
      <w:r w:rsidR="000F01F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emisní 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a </w:t>
      </w:r>
      <w:r w:rsidR="000F01FC">
        <w:rPr>
          <w:rFonts w:ascii="Times New Roman" w:hAnsi="Times New Roman"/>
          <w:color w:val="000000"/>
          <w:sz w:val="24"/>
          <w:szCs w:val="24"/>
          <w:lang w:eastAsia="cs-CZ"/>
        </w:rPr>
        <w:t>současně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jako komerční banka.</w:t>
      </w:r>
      <w:r w:rsidR="001C21F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Funkce retailové banky zajišťovala Česká spořitelna. </w:t>
      </w:r>
    </w:p>
    <w:p w:rsidR="001C21F5" w:rsidRDefault="001C21F5" w:rsidP="000E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C302F9" w:rsidRDefault="00C302F9" w:rsidP="000E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>K prvnímu lednu 1990 byl</w:t>
      </w:r>
      <w:r w:rsidR="001C21F5">
        <w:rPr>
          <w:rFonts w:ascii="Times New Roman" w:hAnsi="Times New Roman"/>
          <w:color w:val="000000"/>
          <w:sz w:val="24"/>
          <w:szCs w:val="24"/>
          <w:lang w:eastAsia="cs-CZ"/>
        </w:rPr>
        <w:t>y ze SBČS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vyčleněny nejprve obchodní části: </w:t>
      </w:r>
    </w:p>
    <w:p w:rsidR="00C302F9" w:rsidRDefault="00C302F9" w:rsidP="000E5E5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>SBČS Hlavní ústav Praha – Komerč</w:t>
      </w:r>
      <w:r w:rsidR="00E67178">
        <w:rPr>
          <w:rFonts w:ascii="Times New Roman" w:hAnsi="Times New Roman"/>
          <w:color w:val="000000"/>
          <w:sz w:val="24"/>
          <w:szCs w:val="24"/>
          <w:lang w:eastAsia="cs-CZ"/>
        </w:rPr>
        <w:t>ní banka;</w:t>
      </w:r>
    </w:p>
    <w:p w:rsidR="00C302F9" w:rsidRDefault="00C302F9" w:rsidP="000E5E5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>SBČS Hlavní ústav Bratislava – VUB</w:t>
      </w:r>
      <w:r w:rsidR="00E67178">
        <w:rPr>
          <w:rStyle w:val="Znakapoznpodarou"/>
          <w:rFonts w:ascii="Times New Roman" w:hAnsi="Times New Roman"/>
          <w:color w:val="000000"/>
          <w:sz w:val="24"/>
          <w:szCs w:val="24"/>
          <w:lang w:eastAsia="cs-CZ"/>
        </w:rPr>
        <w:footnoteReference w:id="5"/>
      </w:r>
      <w:r w:rsidR="00E67178">
        <w:rPr>
          <w:rFonts w:ascii="Times New Roman" w:hAnsi="Times New Roman"/>
          <w:color w:val="000000"/>
          <w:sz w:val="24"/>
          <w:szCs w:val="24"/>
          <w:lang w:eastAsia="cs-CZ"/>
        </w:rPr>
        <w:t>;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</w:p>
    <w:p w:rsidR="00C302F9" w:rsidRDefault="00C302F9" w:rsidP="000E5E5E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F01F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Investiční banka na území obou republik. </w:t>
      </w:r>
    </w:p>
    <w:p w:rsidR="004628B8" w:rsidRPr="000F01FC" w:rsidRDefault="004628B8" w:rsidP="000E5E5E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0F01FC" w:rsidRDefault="00C302F9" w:rsidP="000E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0F01FC">
        <w:rPr>
          <w:rFonts w:ascii="Times New Roman" w:hAnsi="Times New Roman"/>
          <w:color w:val="000000"/>
          <w:sz w:val="24"/>
          <w:szCs w:val="24"/>
          <w:lang w:eastAsia="cs-CZ"/>
        </w:rPr>
        <w:t>SBČS</w:t>
      </w:r>
      <w:r w:rsidR="000F01F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– </w:t>
      </w:r>
      <w:r w:rsidRPr="000F01FC">
        <w:rPr>
          <w:rFonts w:ascii="Times New Roman" w:hAnsi="Times New Roman"/>
          <w:color w:val="000000"/>
          <w:sz w:val="24"/>
          <w:szCs w:val="24"/>
          <w:lang w:eastAsia="cs-CZ"/>
        </w:rPr>
        <w:t>ústředí</w:t>
      </w:r>
      <w:r w:rsidR="000F01F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0F01FC">
        <w:rPr>
          <w:rFonts w:ascii="Times New Roman" w:hAnsi="Times New Roman"/>
          <w:color w:val="000000"/>
          <w:sz w:val="24"/>
          <w:szCs w:val="24"/>
          <w:lang w:eastAsia="cs-CZ"/>
        </w:rPr>
        <w:t>se</w:t>
      </w:r>
      <w:r w:rsidR="000F01FC" w:rsidRPr="000F01F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transformoval</w:t>
      </w:r>
      <w:r w:rsidR="000F01FC">
        <w:rPr>
          <w:rFonts w:ascii="Times New Roman" w:hAnsi="Times New Roman"/>
          <w:color w:val="000000"/>
          <w:sz w:val="24"/>
          <w:szCs w:val="24"/>
          <w:lang w:eastAsia="cs-CZ"/>
        </w:rPr>
        <w:t>o</w:t>
      </w:r>
      <w:r w:rsidR="000F01FC" w:rsidRPr="000F01F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do centrální banky, která se stala nezávislá na politice vlády</w:t>
      </w:r>
      <w:r w:rsidR="000F01F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. Ke změně názvu došlo </w:t>
      </w:r>
      <w:r w:rsidR="000F01FC" w:rsidRPr="000F01FC">
        <w:rPr>
          <w:rFonts w:ascii="Times New Roman" w:hAnsi="Times New Roman"/>
          <w:color w:val="000000"/>
          <w:sz w:val="24"/>
          <w:szCs w:val="24"/>
          <w:lang w:eastAsia="cs-CZ"/>
        </w:rPr>
        <w:t>1. 1. 1993, kdy se na základě zákona o České národní bance vznikla</w:t>
      </w:r>
      <w:r w:rsidR="000F01F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0F01FC" w:rsidRPr="000F01FC">
        <w:rPr>
          <w:rFonts w:ascii="Times New Roman" w:hAnsi="Times New Roman"/>
          <w:color w:val="000000"/>
          <w:sz w:val="24"/>
          <w:szCs w:val="24"/>
          <w:lang w:eastAsia="cs-CZ"/>
        </w:rPr>
        <w:t>ČNB, která měla na jako jeden z prvních úkolů nastavenu měnovou odluku České republiky</w:t>
      </w:r>
      <w:r w:rsidR="000F01FC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1C21F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a Slovenska. Teprve měnová odluka, a nové bankovky umožnili změnu názvu na </w:t>
      </w:r>
      <w:r w:rsidR="001C21F5"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>ČNB. Pokud by ke změně názvu došlo před ní</w:t>
      </w:r>
      <w:r w:rsidR="00480550"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  <w:r w:rsidR="001C21F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staly by se všechny bankovky neplatnými</w:t>
      </w:r>
      <w:r w:rsidR="0048055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– na bankovkách je uveden název jejich emitenta</w:t>
      </w:r>
      <w:r w:rsidR="001C21F5"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</w:p>
    <w:p w:rsidR="00E67178" w:rsidRPr="000F01FC" w:rsidRDefault="00E67178" w:rsidP="000E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C302F9" w:rsidRDefault="00DC6F1D" w:rsidP="000E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Zachovány zůstaly i další banky, které získaly </w:t>
      </w:r>
      <w:r w:rsidR="00C302F9" w:rsidRP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bankovní licenci podle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zákona o bankách (</w:t>
      </w:r>
      <w:r w:rsidR="00C302F9" w:rsidRPr="00C302F9">
        <w:rPr>
          <w:rFonts w:ascii="Times New Roman" w:hAnsi="Times New Roman"/>
          <w:color w:val="000000"/>
          <w:sz w:val="24"/>
          <w:szCs w:val="24"/>
          <w:lang w:eastAsia="cs-CZ"/>
        </w:rPr>
        <w:t>ČSOB</w:t>
      </w:r>
      <w:r w:rsidR="00E67178">
        <w:rPr>
          <w:rStyle w:val="Znakapoznpodarou"/>
          <w:rFonts w:ascii="Times New Roman" w:hAnsi="Times New Roman"/>
          <w:color w:val="000000"/>
          <w:sz w:val="24"/>
          <w:szCs w:val="24"/>
          <w:lang w:eastAsia="cs-CZ"/>
        </w:rPr>
        <w:footnoteReference w:id="6"/>
      </w:r>
      <w:r w:rsidR="00C302F9" w:rsidRPr="00C302F9">
        <w:rPr>
          <w:rFonts w:ascii="Times New Roman" w:hAnsi="Times New Roman"/>
          <w:color w:val="000000"/>
          <w:sz w:val="24"/>
          <w:szCs w:val="24"/>
          <w:lang w:eastAsia="cs-CZ"/>
        </w:rPr>
        <w:t>, Česká státní</w:t>
      </w:r>
      <w:r w:rsid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C302F9" w:rsidRP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spořitelna, Slovenská </w:t>
      </w:r>
      <w:proofErr w:type="spellStart"/>
      <w:r w:rsidR="00C302F9" w:rsidRPr="00C302F9">
        <w:rPr>
          <w:rFonts w:ascii="Times New Roman" w:hAnsi="Times New Roman"/>
          <w:color w:val="000000"/>
          <w:sz w:val="24"/>
          <w:szCs w:val="24"/>
          <w:lang w:eastAsia="cs-CZ"/>
        </w:rPr>
        <w:t>štátná</w:t>
      </w:r>
      <w:proofErr w:type="spellEnd"/>
      <w:r w:rsidR="00C302F9" w:rsidRP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C302F9" w:rsidRPr="00C302F9">
        <w:rPr>
          <w:rFonts w:ascii="Times New Roman" w:hAnsi="Times New Roman"/>
          <w:color w:val="000000"/>
          <w:sz w:val="24"/>
          <w:szCs w:val="24"/>
          <w:lang w:eastAsia="cs-CZ"/>
        </w:rPr>
        <w:t>sporitelna</w:t>
      </w:r>
      <w:proofErr w:type="spellEnd"/>
      <w:r w:rsidR="00C302F9" w:rsidRP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 Živnostenská banka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)</w:t>
      </w:r>
      <w:r w:rsidR="00C302F9" w:rsidRPr="00C302F9"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</w:p>
    <w:p w:rsidR="00E67178" w:rsidRPr="00C302F9" w:rsidRDefault="00E67178" w:rsidP="000E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C302F9" w:rsidRDefault="00C302F9" w:rsidP="000E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>Minimální základní kapitál pro vznik banky byl v zákoně z roku 1990 nastaven na 50</w:t>
      </w:r>
      <w:r w:rsidR="00E6717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>miliónů korun</w:t>
      </w:r>
      <w:r w:rsidR="00E67178">
        <w:rPr>
          <w:rStyle w:val="Znakapoznpodarou"/>
          <w:rFonts w:ascii="Times New Roman" w:hAnsi="Times New Roman"/>
          <w:color w:val="000000"/>
          <w:sz w:val="24"/>
          <w:szCs w:val="24"/>
          <w:lang w:eastAsia="cs-CZ"/>
        </w:rPr>
        <w:footnoteReference w:id="7"/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>. Nedostatečné řízení úvěrového rizika, špatně nastavené bankovní procesy</w:t>
      </w:r>
      <w:r w:rsidR="00E6717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>v oblasti kontroly proti podvodům a nezkušenost tehdejšího managementu mělo za následek,</w:t>
      </w:r>
      <w:r w:rsidR="00E6717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>že několik bank dospělo k bankrotu.</w:t>
      </w:r>
    </w:p>
    <w:p w:rsidR="00E67178" w:rsidRPr="00C302F9" w:rsidRDefault="00E67178" w:rsidP="000E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C302F9" w:rsidRDefault="00C302F9" w:rsidP="000E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>První bankou, na níž uvalila ČNB nucenou správu, byla Kreditní a průmyslová banka</w:t>
      </w:r>
      <w:r w:rsidR="00E6717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>v září 1993. Z této banky zmizelo 450 miliónů korun kvůli nadlimitním úvěrům generálnímu</w:t>
      </w:r>
      <w:r w:rsidR="00E6717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>řediteli, který byl zároveň jejím vlastníkem. Další bankou, která zkrachovala, byla v</w:t>
      </w:r>
      <w:r w:rsidR="00E67178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>červenci</w:t>
      </w:r>
      <w:r w:rsidR="00E6717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1994 Banka Bohemia, kterou v </w:t>
      </w:r>
      <w:proofErr w:type="spellStart"/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>zápětí</w:t>
      </w:r>
      <w:proofErr w:type="spellEnd"/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následovaly další dvě menší banky (AB banka, Česká</w:t>
      </w:r>
      <w:r w:rsidR="00E6717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>banka)</w:t>
      </w:r>
      <w:r w:rsidR="00E67178">
        <w:rPr>
          <w:rStyle w:val="Znakapoznpodarou"/>
          <w:rFonts w:ascii="Times New Roman" w:hAnsi="Times New Roman"/>
          <w:color w:val="000000"/>
          <w:sz w:val="24"/>
          <w:szCs w:val="24"/>
          <w:lang w:eastAsia="cs-CZ"/>
        </w:rPr>
        <w:footnoteReference w:id="8"/>
      </w:r>
      <w:r w:rsidRPr="00C302F9"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</w:p>
    <w:p w:rsidR="00E67178" w:rsidRDefault="00E67178" w:rsidP="000E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E67178" w:rsidRPr="00E67178" w:rsidRDefault="00E67178" w:rsidP="000E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Podkapitalizace bank vedla </w:t>
      </w:r>
      <w:r w:rsidRPr="00E67178">
        <w:rPr>
          <w:rFonts w:ascii="Times New Roman" w:hAnsi="Times New Roman"/>
          <w:color w:val="000000"/>
          <w:sz w:val="24"/>
          <w:szCs w:val="24"/>
          <w:lang w:eastAsia="cs-CZ"/>
        </w:rPr>
        <w:t>ke změně legislativy, kdy se minimální základní kapitál zvýšil nejprve na 300,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67178">
        <w:rPr>
          <w:rFonts w:ascii="Times New Roman" w:hAnsi="Times New Roman"/>
          <w:color w:val="000000"/>
          <w:sz w:val="24"/>
          <w:szCs w:val="24"/>
          <w:lang w:eastAsia="cs-CZ"/>
        </w:rPr>
        <w:t>později na 500 miliónů korun</w:t>
      </w:r>
      <w:r w:rsidR="00C4539E">
        <w:rPr>
          <w:rStyle w:val="Znakapoznpodarou"/>
          <w:rFonts w:ascii="Times New Roman" w:hAnsi="Times New Roman"/>
          <w:color w:val="000000"/>
          <w:sz w:val="24"/>
          <w:szCs w:val="24"/>
          <w:lang w:eastAsia="cs-CZ"/>
        </w:rPr>
        <w:footnoteReference w:id="9"/>
      </w:r>
      <w:r w:rsidRPr="00E67178">
        <w:rPr>
          <w:rFonts w:ascii="Times New Roman" w:hAnsi="Times New Roman"/>
          <w:color w:val="000000"/>
          <w:sz w:val="24"/>
          <w:szCs w:val="24"/>
          <w:lang w:eastAsia="cs-CZ"/>
        </w:rPr>
        <w:t>. Dalším opatřením bylo vytvoření Fondu pojištění vkladů na</w:t>
      </w:r>
      <w:r w:rsidR="00C4539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67178">
        <w:rPr>
          <w:rFonts w:ascii="Times New Roman" w:hAnsi="Times New Roman"/>
          <w:color w:val="000000"/>
          <w:sz w:val="24"/>
          <w:szCs w:val="24"/>
          <w:lang w:eastAsia="cs-CZ"/>
        </w:rPr>
        <w:t>základě zákona č. 156/1994 Sb.</w:t>
      </w:r>
      <w:r w:rsidR="00C4539E">
        <w:rPr>
          <w:rStyle w:val="Znakapoznpodarou"/>
          <w:rFonts w:ascii="Times New Roman" w:hAnsi="Times New Roman"/>
          <w:color w:val="000000"/>
          <w:sz w:val="24"/>
          <w:szCs w:val="24"/>
          <w:lang w:eastAsia="cs-CZ"/>
        </w:rPr>
        <w:footnoteReference w:id="10"/>
      </w:r>
      <w:r w:rsidRPr="00E6717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který měl </w:t>
      </w:r>
      <w:r w:rsidR="0048055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za cíl </w:t>
      </w:r>
      <w:r w:rsidRPr="00E67178">
        <w:rPr>
          <w:rFonts w:ascii="Times New Roman" w:hAnsi="Times New Roman"/>
          <w:color w:val="000000"/>
          <w:sz w:val="24"/>
          <w:szCs w:val="24"/>
          <w:lang w:eastAsia="cs-CZ"/>
        </w:rPr>
        <w:t>upevnit důvěru vkladatelů v bankovní systém</w:t>
      </w:r>
      <w:r w:rsidR="00C4539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67178">
        <w:rPr>
          <w:rFonts w:ascii="Times New Roman" w:hAnsi="Times New Roman"/>
          <w:color w:val="000000"/>
          <w:sz w:val="24"/>
          <w:szCs w:val="24"/>
          <w:lang w:eastAsia="cs-CZ"/>
        </w:rPr>
        <w:t>a zabránit hromadnému vybírání depozit. První skutečná krize českých bank pak se projevila</w:t>
      </w:r>
      <w:r w:rsidR="00C4539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67178">
        <w:rPr>
          <w:rFonts w:ascii="Times New Roman" w:hAnsi="Times New Roman"/>
          <w:color w:val="000000"/>
          <w:sz w:val="24"/>
          <w:szCs w:val="24"/>
          <w:lang w:eastAsia="cs-CZ"/>
        </w:rPr>
        <w:t>v roce 1996, kdy se do problémů dostalo více malých bank. Kromě nich se v obtížích ocitla</w:t>
      </w:r>
      <w:r w:rsidR="00C4539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67178">
        <w:rPr>
          <w:rFonts w:ascii="Times New Roman" w:hAnsi="Times New Roman"/>
          <w:color w:val="000000"/>
          <w:sz w:val="24"/>
          <w:szCs w:val="24"/>
          <w:lang w:eastAsia="cs-CZ"/>
        </w:rPr>
        <w:t>i Agrobanka, která byla největší soukromou bankou a pátým nejsilnějším finančním ústavem</w:t>
      </w:r>
      <w:r w:rsidR="00C4539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67178">
        <w:rPr>
          <w:rFonts w:ascii="Times New Roman" w:hAnsi="Times New Roman"/>
          <w:color w:val="000000"/>
          <w:sz w:val="24"/>
          <w:szCs w:val="24"/>
          <w:lang w:eastAsia="cs-CZ"/>
        </w:rPr>
        <w:t>v ČR. Ta se v září 1996 ocitla v nucené správě. V březnu následujícího roku schválila</w:t>
      </w:r>
      <w:r w:rsidR="00C4539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67178">
        <w:rPr>
          <w:rFonts w:ascii="Times New Roman" w:hAnsi="Times New Roman"/>
          <w:color w:val="000000"/>
          <w:sz w:val="24"/>
          <w:szCs w:val="24"/>
          <w:lang w:eastAsia="cs-CZ"/>
        </w:rPr>
        <w:t>bankovní rada ČNB její rozdělení na dvě části. Tzv. zdravou část koupila kapitálová divize</w:t>
      </w:r>
      <w:r w:rsidR="00C4539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67178">
        <w:rPr>
          <w:rFonts w:ascii="Times New Roman" w:hAnsi="Times New Roman"/>
          <w:color w:val="000000"/>
          <w:sz w:val="24"/>
          <w:szCs w:val="24"/>
          <w:lang w:eastAsia="cs-CZ"/>
        </w:rPr>
        <w:t>amerického koncernu General Electric, respektive její nově založená dceřiná společnost GE</w:t>
      </w:r>
      <w:r w:rsidR="00C4539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67178">
        <w:rPr>
          <w:rFonts w:ascii="Times New Roman" w:hAnsi="Times New Roman"/>
          <w:color w:val="000000"/>
          <w:sz w:val="24"/>
          <w:szCs w:val="24"/>
          <w:lang w:eastAsia="cs-CZ"/>
        </w:rPr>
        <w:t>Capital Bank, zbývající část je v likvidaci.</w:t>
      </w:r>
      <w:r w:rsidR="00C4539E">
        <w:rPr>
          <w:rStyle w:val="Znakapoznpodarou"/>
          <w:rFonts w:ascii="Times New Roman" w:hAnsi="Times New Roman"/>
          <w:color w:val="000000"/>
          <w:sz w:val="24"/>
          <w:szCs w:val="24"/>
          <w:lang w:eastAsia="cs-CZ"/>
        </w:rPr>
        <w:footnoteReference w:id="11"/>
      </w:r>
      <w:r w:rsidRPr="00E6717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Celková bilance první krize českého</w:t>
      </w:r>
      <w:r w:rsidR="00C4539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67178">
        <w:rPr>
          <w:rFonts w:ascii="Times New Roman" w:hAnsi="Times New Roman"/>
          <w:color w:val="000000"/>
          <w:sz w:val="24"/>
          <w:szCs w:val="24"/>
          <w:lang w:eastAsia="cs-CZ"/>
        </w:rPr>
        <w:t>bankovnictví bylo 8 zkrachovalých bank.</w:t>
      </w:r>
      <w:r w:rsidR="00C4539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E67178">
        <w:rPr>
          <w:rFonts w:ascii="Times New Roman" w:hAnsi="Times New Roman"/>
          <w:color w:val="000000"/>
          <w:sz w:val="24"/>
          <w:szCs w:val="24"/>
          <w:lang w:eastAsia="cs-CZ"/>
        </w:rPr>
        <w:t>O dva roky později, v letech 1998-9 se do problémů</w:t>
      </w:r>
      <w:r w:rsidR="00C4539E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dostaly největší banky té doby – Česká spořitelna, Komerční banka a Investiční a poštovní banka.</w:t>
      </w:r>
    </w:p>
    <w:p w:rsidR="00C4539E" w:rsidRDefault="00C4539E" w:rsidP="000E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E67178" w:rsidRDefault="00C4539E" w:rsidP="000E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Následně potom vznikla </w:t>
      </w:r>
      <w:r w:rsidRPr="00E6717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 roce 2001 </w:t>
      </w:r>
      <w:r w:rsidR="00E67178" w:rsidRPr="00E6717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Česká konsolidační agentura na základě zákona 239/2001 </w:t>
      </w:r>
      <w:proofErr w:type="spellStart"/>
      <w:r w:rsidR="00E67178" w:rsidRPr="00E67178">
        <w:rPr>
          <w:rFonts w:ascii="Times New Roman" w:hAnsi="Times New Roman"/>
          <w:color w:val="000000"/>
          <w:sz w:val="24"/>
          <w:szCs w:val="24"/>
          <w:lang w:eastAsia="cs-CZ"/>
        </w:rPr>
        <w:t>Sb</w:t>
      </w:r>
      <w:proofErr w:type="spellEnd"/>
      <w:r w:rsidR="00E67178" w:rsidRPr="00E67178"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E67178" w:rsidRPr="00E6717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Zákona o České konsolidační agentuře </w:t>
      </w:r>
      <w:r w:rsidR="00937007">
        <w:rPr>
          <w:rFonts w:ascii="Times New Roman" w:hAnsi="Times New Roman"/>
          <w:color w:val="000000"/>
          <w:sz w:val="24"/>
          <w:szCs w:val="24"/>
          <w:lang w:eastAsia="cs-CZ"/>
        </w:rPr>
        <w:t xml:space="preserve">(ČKA) </w:t>
      </w:r>
      <w:r w:rsidR="00E67178" w:rsidRPr="00E67178">
        <w:rPr>
          <w:rFonts w:ascii="Times New Roman" w:hAnsi="Times New Roman"/>
          <w:color w:val="000000"/>
          <w:sz w:val="24"/>
          <w:szCs w:val="24"/>
          <w:lang w:eastAsia="cs-CZ"/>
        </w:rPr>
        <w:t>a o změně některých zákonů jako instituce, která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E67178" w:rsidRPr="00E67178">
        <w:rPr>
          <w:rFonts w:ascii="Times New Roman" w:hAnsi="Times New Roman"/>
          <w:color w:val="000000"/>
          <w:sz w:val="24"/>
          <w:szCs w:val="24"/>
          <w:lang w:eastAsia="cs-CZ"/>
        </w:rPr>
        <w:t>přebír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á</w:t>
      </w:r>
      <w:r w:rsidR="00E67178" w:rsidRPr="00E67178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problémová aktiva bank. Od roku 1991 ČKA a její předchůdkyně, Konsolidační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E67178" w:rsidRPr="00E67178">
        <w:rPr>
          <w:rFonts w:ascii="Times New Roman" w:hAnsi="Times New Roman"/>
          <w:color w:val="000000"/>
          <w:sz w:val="24"/>
          <w:szCs w:val="24"/>
          <w:lang w:eastAsia="cs-CZ"/>
        </w:rPr>
        <w:t>banka, převzala aktiva za celkem 350 miliard korun. Zanikla v roce 2007 a její pravomoci a agenda přešly na Ministerstvo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E67178" w:rsidRPr="00E67178">
        <w:rPr>
          <w:rFonts w:ascii="Times New Roman" w:hAnsi="Times New Roman"/>
          <w:color w:val="000000"/>
          <w:sz w:val="24"/>
          <w:szCs w:val="24"/>
          <w:lang w:eastAsia="cs-CZ"/>
        </w:rPr>
        <w:t>financí.</w:t>
      </w:r>
    </w:p>
    <w:p w:rsidR="004628B8" w:rsidRDefault="004628B8" w:rsidP="000E5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1D4AA8" w:rsidRPr="001D4AA8" w:rsidRDefault="001D4AA8" w:rsidP="001D4A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1.3.2 Současný stav bankovního sektoru</w:t>
      </w:r>
    </w:p>
    <w:p w:rsidR="003209A8" w:rsidRPr="00EF775C" w:rsidRDefault="001D4AA8" w:rsidP="000E5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75C">
        <w:rPr>
          <w:rFonts w:ascii="Times New Roman" w:hAnsi="Times New Roman"/>
          <w:sz w:val="24"/>
          <w:szCs w:val="24"/>
        </w:rPr>
        <w:lastRenderedPageBreak/>
        <w:t>V České republice bylo k 31. 12. 20</w:t>
      </w:r>
      <w:r w:rsidR="001A2740" w:rsidRPr="00EF775C">
        <w:rPr>
          <w:rFonts w:ascii="Times New Roman" w:hAnsi="Times New Roman"/>
          <w:sz w:val="24"/>
          <w:szCs w:val="24"/>
        </w:rPr>
        <w:t>11</w:t>
      </w:r>
      <w:r w:rsidRPr="00EF775C">
        <w:rPr>
          <w:rFonts w:ascii="Times New Roman" w:hAnsi="Times New Roman"/>
          <w:sz w:val="24"/>
          <w:szCs w:val="24"/>
        </w:rPr>
        <w:t xml:space="preserve"> registrováno celkem</w:t>
      </w:r>
      <w:r w:rsidR="001A2740" w:rsidRPr="00EF775C">
        <w:rPr>
          <w:rFonts w:ascii="Times New Roman" w:hAnsi="Times New Roman"/>
          <w:sz w:val="24"/>
          <w:szCs w:val="24"/>
        </w:rPr>
        <w:t xml:space="preserve">44 </w:t>
      </w:r>
      <w:r w:rsidRPr="00EF775C">
        <w:rPr>
          <w:rFonts w:ascii="Times New Roman" w:hAnsi="Times New Roman"/>
          <w:sz w:val="24"/>
          <w:szCs w:val="24"/>
        </w:rPr>
        <w:t xml:space="preserve">bank a poboček zahraničních bank. Oproti předchozímu roku se jedná o zvýšení počtu o </w:t>
      </w:r>
      <w:r w:rsidR="00DF7AA5" w:rsidRPr="00EF775C">
        <w:rPr>
          <w:rFonts w:ascii="Times New Roman" w:hAnsi="Times New Roman"/>
          <w:sz w:val="24"/>
          <w:szCs w:val="24"/>
        </w:rPr>
        <w:t>3 banky.</w:t>
      </w:r>
      <w:r w:rsidRPr="00EF775C">
        <w:rPr>
          <w:rFonts w:ascii="Times New Roman" w:hAnsi="Times New Roman"/>
          <w:sz w:val="24"/>
          <w:szCs w:val="24"/>
        </w:rPr>
        <w:t xml:space="preserve"> </w:t>
      </w:r>
    </w:p>
    <w:p w:rsidR="00DA1C99" w:rsidRPr="00EF775C" w:rsidRDefault="00DA1C99" w:rsidP="000E5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AA8" w:rsidRPr="00EF775C" w:rsidRDefault="00DF7AA5" w:rsidP="008C53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75C">
        <w:rPr>
          <w:rFonts w:ascii="Times New Roman" w:hAnsi="Times New Roman"/>
          <w:sz w:val="24"/>
          <w:szCs w:val="24"/>
        </w:rPr>
        <w:t>S</w:t>
      </w:r>
      <w:r w:rsidR="001D4AA8" w:rsidRPr="00EF775C">
        <w:rPr>
          <w:rFonts w:ascii="Times New Roman" w:hAnsi="Times New Roman"/>
          <w:sz w:val="24"/>
          <w:szCs w:val="24"/>
        </w:rPr>
        <w:t>truktur</w:t>
      </w:r>
      <w:r w:rsidRPr="00EF775C">
        <w:rPr>
          <w:rFonts w:ascii="Times New Roman" w:hAnsi="Times New Roman"/>
          <w:sz w:val="24"/>
          <w:szCs w:val="24"/>
        </w:rPr>
        <w:t>a</w:t>
      </w:r>
      <w:r w:rsidR="001D4AA8" w:rsidRPr="00EF775C">
        <w:rPr>
          <w:rFonts w:ascii="Times New Roman" w:hAnsi="Times New Roman"/>
          <w:sz w:val="24"/>
          <w:szCs w:val="24"/>
        </w:rPr>
        <w:t xml:space="preserve"> českého bankovního sektoru, zůst</w:t>
      </w:r>
      <w:r w:rsidRPr="00EF775C">
        <w:rPr>
          <w:rFonts w:ascii="Times New Roman" w:hAnsi="Times New Roman"/>
          <w:sz w:val="24"/>
          <w:szCs w:val="24"/>
        </w:rPr>
        <w:t>ala</w:t>
      </w:r>
      <w:r w:rsidR="001D4AA8" w:rsidRPr="00EF775C">
        <w:rPr>
          <w:rFonts w:ascii="Times New Roman" w:hAnsi="Times New Roman"/>
          <w:sz w:val="24"/>
          <w:szCs w:val="24"/>
        </w:rPr>
        <w:t xml:space="preserve"> i v roce 20</w:t>
      </w:r>
      <w:r w:rsidR="001A2740" w:rsidRPr="00EF775C">
        <w:rPr>
          <w:rFonts w:ascii="Times New Roman" w:hAnsi="Times New Roman"/>
          <w:sz w:val="24"/>
          <w:szCs w:val="24"/>
        </w:rPr>
        <w:t>11</w:t>
      </w:r>
      <w:r w:rsidR="001D4AA8" w:rsidRPr="00EF775C">
        <w:rPr>
          <w:rFonts w:ascii="Times New Roman" w:hAnsi="Times New Roman"/>
          <w:sz w:val="24"/>
          <w:szCs w:val="24"/>
        </w:rPr>
        <w:t xml:space="preserve"> v podstatě totožná. </w:t>
      </w:r>
      <w:r w:rsidRPr="00EF775C">
        <w:rPr>
          <w:rFonts w:ascii="Times New Roman" w:hAnsi="Times New Roman"/>
          <w:sz w:val="24"/>
          <w:szCs w:val="24"/>
        </w:rPr>
        <w:t>Co je však rozhodující je nárůst poboček zahraničních bank</w:t>
      </w:r>
      <w:r w:rsidR="001D4AA8" w:rsidRPr="00EF775C">
        <w:rPr>
          <w:rFonts w:ascii="Times New Roman" w:hAnsi="Times New Roman"/>
          <w:sz w:val="24"/>
          <w:szCs w:val="24"/>
        </w:rPr>
        <w:t xml:space="preserve"> Jedinou podmínkou </w:t>
      </w:r>
      <w:r w:rsidRPr="00EF775C">
        <w:rPr>
          <w:rFonts w:ascii="Times New Roman" w:hAnsi="Times New Roman"/>
          <w:sz w:val="24"/>
          <w:szCs w:val="24"/>
        </w:rPr>
        <w:t xml:space="preserve">pro jejich činnost </w:t>
      </w:r>
      <w:proofErr w:type="gramStart"/>
      <w:r w:rsidR="001D4AA8" w:rsidRPr="00EF775C">
        <w:rPr>
          <w:rFonts w:ascii="Times New Roman" w:hAnsi="Times New Roman"/>
          <w:sz w:val="24"/>
          <w:szCs w:val="24"/>
        </w:rPr>
        <w:t>je</w:t>
      </w:r>
      <w:proofErr w:type="gramEnd"/>
      <w:r w:rsidR="001D4AA8" w:rsidRPr="00EF775C">
        <w:rPr>
          <w:rFonts w:ascii="Times New Roman" w:hAnsi="Times New Roman"/>
          <w:sz w:val="24"/>
          <w:szCs w:val="24"/>
        </w:rPr>
        <w:t xml:space="preserve"> oznámení své činnosti České národní bance. Na základě „</w:t>
      </w:r>
      <w:r w:rsidR="001D4AA8" w:rsidRPr="00EF775C">
        <w:rPr>
          <w:rFonts w:ascii="Times New Roman" w:hAnsi="Times New Roman"/>
          <w:i/>
          <w:sz w:val="24"/>
          <w:szCs w:val="24"/>
        </w:rPr>
        <w:t>článku 21 směrnice Evropského parlamentu a Rady 2000/12/ES</w:t>
      </w:r>
      <w:r w:rsidR="001D4AA8" w:rsidRPr="00EF775C">
        <w:rPr>
          <w:rFonts w:ascii="Times New Roman" w:hAnsi="Times New Roman"/>
          <w:sz w:val="24"/>
          <w:szCs w:val="24"/>
        </w:rPr>
        <w:t>“</w:t>
      </w:r>
      <w:r w:rsidR="001D4AA8" w:rsidRPr="00EF775C">
        <w:rPr>
          <w:rStyle w:val="Znakapoznpodarou"/>
          <w:rFonts w:ascii="Times New Roman" w:hAnsi="Times New Roman"/>
          <w:sz w:val="24"/>
          <w:szCs w:val="24"/>
        </w:rPr>
        <w:footnoteReference w:id="12"/>
      </w:r>
      <w:r w:rsidR="001D4AA8" w:rsidRPr="00EF775C">
        <w:rPr>
          <w:rFonts w:ascii="Times New Roman" w:hAnsi="Times New Roman"/>
          <w:sz w:val="24"/>
          <w:szCs w:val="24"/>
        </w:rPr>
        <w:t xml:space="preserve"> mohou tyto zahraniční banky poskytovat své služby v ČR i bez povinnosti zřídit zde svou pobočku.</w:t>
      </w:r>
    </w:p>
    <w:p w:rsidR="00480550" w:rsidRDefault="00480550" w:rsidP="008C5395">
      <w:pPr>
        <w:spacing w:after="0" w:line="240" w:lineRule="auto"/>
        <w:jc w:val="both"/>
        <w:rPr>
          <w:rFonts w:ascii="Times New Roman" w:hAnsi="Times New Roman"/>
        </w:rPr>
      </w:pPr>
    </w:p>
    <w:p w:rsidR="00A057B3" w:rsidRPr="000E5E5E" w:rsidRDefault="00A057B3" w:rsidP="008C5395">
      <w:pPr>
        <w:pStyle w:val="Titulek"/>
        <w:keepNext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0E5E5E">
        <w:rPr>
          <w:rFonts w:ascii="Times New Roman" w:hAnsi="Times New Roman"/>
          <w:b w:val="0"/>
          <w:sz w:val="24"/>
          <w:szCs w:val="24"/>
        </w:rPr>
        <w:t xml:space="preserve">Tabulka č. </w:t>
      </w:r>
      <w:r w:rsidR="000E5E5E" w:rsidRPr="000E5E5E">
        <w:rPr>
          <w:rFonts w:ascii="Times New Roman" w:hAnsi="Times New Roman"/>
          <w:b w:val="0"/>
          <w:sz w:val="24"/>
          <w:szCs w:val="24"/>
        </w:rPr>
        <w:t>1</w:t>
      </w:r>
      <w:r w:rsidR="008C5395">
        <w:rPr>
          <w:rFonts w:ascii="Times New Roman" w:hAnsi="Times New Roman"/>
          <w:b w:val="0"/>
          <w:sz w:val="24"/>
          <w:szCs w:val="24"/>
        </w:rPr>
        <w:t>.3.2.1:</w:t>
      </w:r>
      <w:r w:rsidR="000E5E5E" w:rsidRPr="000E5E5E">
        <w:rPr>
          <w:rFonts w:ascii="Times New Roman" w:hAnsi="Times New Roman"/>
          <w:b w:val="0"/>
          <w:sz w:val="24"/>
          <w:szCs w:val="24"/>
        </w:rPr>
        <w:t xml:space="preserve"> </w:t>
      </w:r>
      <w:r w:rsidRPr="000E5E5E">
        <w:rPr>
          <w:rFonts w:ascii="Times New Roman" w:hAnsi="Times New Roman"/>
          <w:b w:val="0"/>
          <w:sz w:val="24"/>
          <w:szCs w:val="24"/>
        </w:rPr>
        <w:t>Struktura bankovního sektoru</w:t>
      </w:r>
      <w:r w:rsidR="00BD14FF">
        <w:rPr>
          <w:rFonts w:ascii="Times New Roman" w:hAnsi="Times New Roman"/>
          <w:b w:val="0"/>
          <w:sz w:val="24"/>
          <w:szCs w:val="24"/>
        </w:rPr>
        <w:t xml:space="preserve"> v České republice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1843"/>
        <w:gridCol w:w="1984"/>
      </w:tblGrid>
      <w:tr w:rsidR="00A057B3" w:rsidRPr="00EF775C" w:rsidTr="008C5395">
        <w:trPr>
          <w:trHeight w:val="454"/>
        </w:trPr>
        <w:tc>
          <w:tcPr>
            <w:tcW w:w="3085" w:type="dxa"/>
            <w:vAlign w:val="center"/>
          </w:tcPr>
          <w:p w:rsidR="00A057B3" w:rsidRPr="00EF775C" w:rsidRDefault="00A057B3" w:rsidP="008C53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057B3" w:rsidRPr="00EF775C" w:rsidRDefault="00A057B3" w:rsidP="008C5395">
            <w:pPr>
              <w:jc w:val="center"/>
              <w:rPr>
                <w:b/>
                <w:sz w:val="24"/>
                <w:szCs w:val="24"/>
              </w:rPr>
            </w:pPr>
            <w:r w:rsidRPr="00EF775C">
              <w:rPr>
                <w:b/>
                <w:sz w:val="24"/>
                <w:szCs w:val="24"/>
              </w:rPr>
              <w:t>31. 12. 2009</w:t>
            </w:r>
          </w:p>
        </w:tc>
        <w:tc>
          <w:tcPr>
            <w:tcW w:w="1843" w:type="dxa"/>
            <w:vAlign w:val="center"/>
          </w:tcPr>
          <w:p w:rsidR="00A057B3" w:rsidRPr="00EF775C" w:rsidRDefault="00A057B3" w:rsidP="008C5395">
            <w:pPr>
              <w:jc w:val="center"/>
              <w:rPr>
                <w:b/>
                <w:sz w:val="24"/>
                <w:szCs w:val="24"/>
              </w:rPr>
            </w:pPr>
            <w:r w:rsidRPr="00EF775C">
              <w:rPr>
                <w:b/>
                <w:sz w:val="24"/>
                <w:szCs w:val="24"/>
              </w:rPr>
              <w:t>31. 12. 2010</w:t>
            </w:r>
          </w:p>
        </w:tc>
        <w:tc>
          <w:tcPr>
            <w:tcW w:w="1984" w:type="dxa"/>
            <w:vAlign w:val="center"/>
          </w:tcPr>
          <w:p w:rsidR="00A057B3" w:rsidRPr="00EF775C" w:rsidRDefault="00A057B3" w:rsidP="008C5395">
            <w:pPr>
              <w:jc w:val="center"/>
              <w:rPr>
                <w:b/>
                <w:sz w:val="24"/>
                <w:szCs w:val="24"/>
              </w:rPr>
            </w:pPr>
            <w:r w:rsidRPr="00EF775C">
              <w:rPr>
                <w:b/>
                <w:sz w:val="24"/>
                <w:szCs w:val="24"/>
              </w:rPr>
              <w:t>31. 12. 2011</w:t>
            </w:r>
          </w:p>
        </w:tc>
      </w:tr>
      <w:tr w:rsidR="00A057B3" w:rsidRPr="00A057B3" w:rsidTr="008C5395">
        <w:trPr>
          <w:trHeight w:val="365"/>
        </w:trPr>
        <w:tc>
          <w:tcPr>
            <w:tcW w:w="3085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Počet bank</w:t>
            </w:r>
            <w:r w:rsidR="00D65603">
              <w:rPr>
                <w:sz w:val="24"/>
                <w:szCs w:val="24"/>
              </w:rPr>
              <w:t xml:space="preserve"> celkem</w:t>
            </w:r>
          </w:p>
        </w:tc>
        <w:tc>
          <w:tcPr>
            <w:tcW w:w="1701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41</w:t>
            </w:r>
          </w:p>
        </w:tc>
        <w:tc>
          <w:tcPr>
            <w:tcW w:w="1984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44</w:t>
            </w:r>
          </w:p>
        </w:tc>
      </w:tr>
      <w:tr w:rsidR="00A057B3" w:rsidRPr="00A057B3" w:rsidTr="008C5395">
        <w:trPr>
          <w:trHeight w:val="454"/>
        </w:trPr>
        <w:tc>
          <w:tcPr>
            <w:tcW w:w="3085" w:type="dxa"/>
            <w:vAlign w:val="center"/>
          </w:tcPr>
          <w:p w:rsidR="00A057B3" w:rsidRPr="00A057B3" w:rsidRDefault="00A057B3" w:rsidP="008C5395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nově vzniklých</w:t>
            </w:r>
          </w:p>
        </w:tc>
        <w:tc>
          <w:tcPr>
            <w:tcW w:w="1701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0</w:t>
            </w:r>
          </w:p>
        </w:tc>
      </w:tr>
      <w:tr w:rsidR="00A057B3" w:rsidRPr="00A057B3" w:rsidTr="008C5395">
        <w:trPr>
          <w:trHeight w:val="454"/>
        </w:trPr>
        <w:tc>
          <w:tcPr>
            <w:tcW w:w="3085" w:type="dxa"/>
            <w:vAlign w:val="center"/>
          </w:tcPr>
          <w:p w:rsidR="00A057B3" w:rsidRPr="00A057B3" w:rsidRDefault="00A057B3" w:rsidP="008C5395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zaniklých</w:t>
            </w:r>
          </w:p>
        </w:tc>
        <w:tc>
          <w:tcPr>
            <w:tcW w:w="1701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</w:p>
        </w:tc>
      </w:tr>
      <w:tr w:rsidR="00A057B3" w:rsidRPr="00EF775C" w:rsidTr="008C5395">
        <w:trPr>
          <w:trHeight w:val="454"/>
        </w:trPr>
        <w:tc>
          <w:tcPr>
            <w:tcW w:w="8613" w:type="dxa"/>
            <w:gridSpan w:val="4"/>
            <w:vAlign w:val="center"/>
          </w:tcPr>
          <w:p w:rsidR="00A057B3" w:rsidRPr="00EF775C" w:rsidRDefault="00A057B3" w:rsidP="008C5395">
            <w:pPr>
              <w:jc w:val="center"/>
              <w:rPr>
                <w:b/>
                <w:sz w:val="24"/>
                <w:szCs w:val="24"/>
              </w:rPr>
            </w:pPr>
            <w:r w:rsidRPr="00EF775C">
              <w:rPr>
                <w:b/>
                <w:sz w:val="24"/>
                <w:szCs w:val="24"/>
              </w:rPr>
              <w:t>Struktura bank podle jejich vlastnictví</w:t>
            </w:r>
          </w:p>
        </w:tc>
      </w:tr>
      <w:tr w:rsidR="00A057B3" w:rsidRPr="00A057B3" w:rsidTr="008C5395">
        <w:trPr>
          <w:trHeight w:val="454"/>
        </w:trPr>
        <w:tc>
          <w:tcPr>
            <w:tcW w:w="3085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S rozhodující českou účasti</w:t>
            </w:r>
          </w:p>
        </w:tc>
        <w:tc>
          <w:tcPr>
            <w:tcW w:w="1701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6</w:t>
            </w:r>
          </w:p>
        </w:tc>
      </w:tr>
      <w:tr w:rsidR="00A057B3" w:rsidRPr="00A057B3" w:rsidTr="008C5395">
        <w:trPr>
          <w:trHeight w:val="454"/>
        </w:trPr>
        <w:tc>
          <w:tcPr>
            <w:tcW w:w="3085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S účastí českého státu</w:t>
            </w:r>
          </w:p>
        </w:tc>
        <w:tc>
          <w:tcPr>
            <w:tcW w:w="1701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2</w:t>
            </w:r>
          </w:p>
        </w:tc>
      </w:tr>
      <w:tr w:rsidR="00A057B3" w:rsidRPr="00A057B3" w:rsidTr="008C5395">
        <w:trPr>
          <w:trHeight w:val="454"/>
        </w:trPr>
        <w:tc>
          <w:tcPr>
            <w:tcW w:w="3085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S rozhodující zahraniční účasti</w:t>
            </w:r>
          </w:p>
        </w:tc>
        <w:tc>
          <w:tcPr>
            <w:tcW w:w="1701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15</w:t>
            </w:r>
          </w:p>
        </w:tc>
      </w:tr>
      <w:tr w:rsidR="00A057B3" w:rsidRPr="00A057B3" w:rsidTr="008C5395">
        <w:trPr>
          <w:trHeight w:val="454"/>
        </w:trPr>
        <w:tc>
          <w:tcPr>
            <w:tcW w:w="3085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Pobočky zahraničních bank</w:t>
            </w:r>
          </w:p>
        </w:tc>
        <w:tc>
          <w:tcPr>
            <w:tcW w:w="1701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A057B3" w:rsidRPr="00A057B3" w:rsidRDefault="00A057B3" w:rsidP="008C5395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21</w:t>
            </w:r>
          </w:p>
        </w:tc>
      </w:tr>
    </w:tbl>
    <w:p w:rsidR="008C5395" w:rsidRDefault="008C5395" w:rsidP="008C539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DA1C99" w:rsidRPr="000E5E5E" w:rsidRDefault="00DA1C99" w:rsidP="008C539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E5E5E">
        <w:rPr>
          <w:rFonts w:ascii="Times New Roman" w:hAnsi="Times New Roman"/>
          <w:i/>
          <w:sz w:val="20"/>
          <w:szCs w:val="20"/>
        </w:rPr>
        <w:t xml:space="preserve">Zdroj: Vlastní zpracování s využitím podkladů </w:t>
      </w:r>
      <w:hyperlink r:id="rId9" w:history="1">
        <w:r w:rsidRPr="000E5E5E">
          <w:rPr>
            <w:rStyle w:val="Hypertextovodkaz"/>
            <w:rFonts w:ascii="Times New Roman" w:hAnsi="Times New Roman"/>
            <w:i/>
            <w:sz w:val="20"/>
            <w:szCs w:val="20"/>
          </w:rPr>
          <w:t>http://www.cnb.cz/cs/dohled_financni_trh/souhrnne_informace_fin_trhy/zakladni_ukazatele_fin_trhu/banky/bs_ukazatele_tab01.html</w:t>
        </w:r>
      </w:hyperlink>
      <w:r w:rsidRPr="000E5E5E">
        <w:rPr>
          <w:rFonts w:ascii="Times New Roman" w:hAnsi="Times New Roman"/>
          <w:i/>
          <w:sz w:val="20"/>
          <w:szCs w:val="20"/>
        </w:rPr>
        <w:t xml:space="preserve"> [citováno: 26. 9. 2012]</w:t>
      </w:r>
    </w:p>
    <w:p w:rsidR="008C5395" w:rsidRDefault="008C5395" w:rsidP="000E5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805" w:rsidRPr="009F5805" w:rsidRDefault="009F5805" w:rsidP="009F5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805">
        <w:rPr>
          <w:rFonts w:ascii="Times New Roman" w:hAnsi="Times New Roman"/>
          <w:sz w:val="24"/>
          <w:szCs w:val="24"/>
        </w:rPr>
        <w:t>Stejně jako v České republice, tak i ve Slovenské republice, nedochází v posledních létech k statisticky významnému nárůstu bank.  Co je však možné považovat za signifikantní je nárůst poboček zahraničních bank. Svůj vliv zde sehrává</w:t>
      </w:r>
      <w:r>
        <w:rPr>
          <w:rFonts w:ascii="Times New Roman" w:hAnsi="Times New Roman"/>
          <w:sz w:val="24"/>
          <w:szCs w:val="24"/>
        </w:rPr>
        <w:t xml:space="preserve"> zejména</w:t>
      </w:r>
      <w:r w:rsidRPr="009F5805">
        <w:rPr>
          <w:rFonts w:ascii="Times New Roman" w:hAnsi="Times New Roman"/>
          <w:sz w:val="24"/>
          <w:szCs w:val="24"/>
        </w:rPr>
        <w:t>:</w:t>
      </w:r>
    </w:p>
    <w:p w:rsidR="00DE6158" w:rsidRDefault="009F5805" w:rsidP="009F5805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9F5805">
        <w:rPr>
          <w:rFonts w:ascii="Times New Roman" w:hAnsi="Times New Roman"/>
          <w:sz w:val="24"/>
          <w:szCs w:val="24"/>
        </w:rPr>
        <w:t>vrops</w:t>
      </w:r>
      <w:r>
        <w:rPr>
          <w:rFonts w:ascii="Times New Roman" w:hAnsi="Times New Roman"/>
          <w:sz w:val="24"/>
          <w:szCs w:val="24"/>
        </w:rPr>
        <w:t>ká legislativa – tzv. „jednotný pas“, který zjednodušil možnosti zakládání poboček bank v zahraničí,</w:t>
      </w:r>
    </w:p>
    <w:p w:rsidR="009F5805" w:rsidRDefault="009F5805" w:rsidP="009F5805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„jednotným pasem“</w:t>
      </w:r>
      <w:r w:rsidR="0086650C"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spojené i lepší využití bankovního kapitálu. Banky nemusí investovat kapitál na zakládání dceřiných bank.</w:t>
      </w:r>
    </w:p>
    <w:p w:rsidR="009F5805" w:rsidRDefault="009F5805" w:rsidP="009F5805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Změna bank na pobočky, kdy mateřská společnost získá kapitál své dceřiné společnosti, který může použít na úhradu ztrát.</w:t>
      </w:r>
    </w:p>
    <w:p w:rsidR="009F5805" w:rsidRDefault="009F5805" w:rsidP="009F5805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Možnost využiti pasiv pobočka ve svůj prospěch.</w:t>
      </w:r>
    </w:p>
    <w:p w:rsidR="009F5805" w:rsidRDefault="009F5805" w:rsidP="009F5805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Efektivnější přeshraniční a mezinárodní platební styk.</w:t>
      </w:r>
    </w:p>
    <w:p w:rsidR="009F5805" w:rsidRDefault="009F5805" w:rsidP="009F5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805" w:rsidRDefault="009F5805" w:rsidP="009F5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805" w:rsidRDefault="009F5805" w:rsidP="009F5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805" w:rsidRDefault="009F5805" w:rsidP="009F5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805" w:rsidRPr="009F5805" w:rsidRDefault="009F5805" w:rsidP="009F5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4FF" w:rsidRPr="000E5E5E" w:rsidRDefault="00BD14FF" w:rsidP="00BD14FF">
      <w:pPr>
        <w:pStyle w:val="Titulek"/>
        <w:keepNext/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0E5E5E">
        <w:rPr>
          <w:rFonts w:ascii="Times New Roman" w:hAnsi="Times New Roman"/>
          <w:b w:val="0"/>
          <w:sz w:val="24"/>
          <w:szCs w:val="24"/>
        </w:rPr>
        <w:t>Tabulka č. 1</w:t>
      </w:r>
      <w:r>
        <w:rPr>
          <w:rFonts w:ascii="Times New Roman" w:hAnsi="Times New Roman"/>
          <w:b w:val="0"/>
          <w:sz w:val="24"/>
          <w:szCs w:val="24"/>
        </w:rPr>
        <w:t>.3.2.1:</w:t>
      </w:r>
      <w:r w:rsidRPr="000E5E5E">
        <w:rPr>
          <w:rFonts w:ascii="Times New Roman" w:hAnsi="Times New Roman"/>
          <w:b w:val="0"/>
          <w:sz w:val="24"/>
          <w:szCs w:val="24"/>
        </w:rPr>
        <w:t xml:space="preserve"> Struktura bankovního sektoru</w:t>
      </w:r>
      <w:r>
        <w:rPr>
          <w:rFonts w:ascii="Times New Roman" w:hAnsi="Times New Roman"/>
          <w:b w:val="0"/>
          <w:sz w:val="24"/>
          <w:szCs w:val="24"/>
        </w:rPr>
        <w:t xml:space="preserve"> v Slovenské republice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701"/>
        <w:gridCol w:w="1843"/>
        <w:gridCol w:w="1984"/>
      </w:tblGrid>
      <w:tr w:rsidR="00BD14FF" w:rsidRPr="00EF775C" w:rsidTr="0086650C">
        <w:trPr>
          <w:trHeight w:val="454"/>
        </w:trPr>
        <w:tc>
          <w:tcPr>
            <w:tcW w:w="3085" w:type="dxa"/>
            <w:vAlign w:val="center"/>
          </w:tcPr>
          <w:p w:rsidR="00BD14FF" w:rsidRPr="00EF775C" w:rsidRDefault="00BD14FF" w:rsidP="008665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14FF" w:rsidRPr="00EF775C" w:rsidRDefault="00BD14FF" w:rsidP="0086650C">
            <w:pPr>
              <w:jc w:val="center"/>
              <w:rPr>
                <w:b/>
                <w:sz w:val="24"/>
                <w:szCs w:val="24"/>
              </w:rPr>
            </w:pPr>
            <w:r w:rsidRPr="00EF775C">
              <w:rPr>
                <w:b/>
                <w:sz w:val="24"/>
                <w:szCs w:val="24"/>
              </w:rPr>
              <w:t>31. 12. 2009</w:t>
            </w:r>
          </w:p>
        </w:tc>
        <w:tc>
          <w:tcPr>
            <w:tcW w:w="1843" w:type="dxa"/>
            <w:vAlign w:val="center"/>
          </w:tcPr>
          <w:p w:rsidR="00BD14FF" w:rsidRPr="00EF775C" w:rsidRDefault="00BD14FF" w:rsidP="0086650C">
            <w:pPr>
              <w:jc w:val="center"/>
              <w:rPr>
                <w:b/>
                <w:sz w:val="24"/>
                <w:szCs w:val="24"/>
              </w:rPr>
            </w:pPr>
            <w:r w:rsidRPr="00EF775C">
              <w:rPr>
                <w:b/>
                <w:sz w:val="24"/>
                <w:szCs w:val="24"/>
              </w:rPr>
              <w:t>31. 12. 2010</w:t>
            </w:r>
          </w:p>
        </w:tc>
        <w:tc>
          <w:tcPr>
            <w:tcW w:w="1984" w:type="dxa"/>
            <w:vAlign w:val="center"/>
          </w:tcPr>
          <w:p w:rsidR="00BD14FF" w:rsidRPr="00EF775C" w:rsidRDefault="00BD14FF" w:rsidP="0086650C">
            <w:pPr>
              <w:jc w:val="center"/>
              <w:rPr>
                <w:b/>
                <w:sz w:val="24"/>
                <w:szCs w:val="24"/>
              </w:rPr>
            </w:pPr>
            <w:r w:rsidRPr="00EF775C">
              <w:rPr>
                <w:b/>
                <w:sz w:val="24"/>
                <w:szCs w:val="24"/>
              </w:rPr>
              <w:t>31. 12. 2011</w:t>
            </w:r>
          </w:p>
        </w:tc>
      </w:tr>
      <w:tr w:rsidR="00BD14FF" w:rsidRPr="00A057B3" w:rsidTr="0086650C">
        <w:trPr>
          <w:trHeight w:val="365"/>
        </w:trPr>
        <w:tc>
          <w:tcPr>
            <w:tcW w:w="3085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Počet bank</w:t>
            </w:r>
            <w:r>
              <w:rPr>
                <w:sz w:val="24"/>
                <w:szCs w:val="24"/>
              </w:rPr>
              <w:t xml:space="preserve"> celkem</w:t>
            </w:r>
          </w:p>
        </w:tc>
        <w:tc>
          <w:tcPr>
            <w:tcW w:w="1701" w:type="dxa"/>
            <w:vAlign w:val="center"/>
          </w:tcPr>
          <w:p w:rsidR="00BD14FF" w:rsidRPr="00A057B3" w:rsidRDefault="00BD14FF" w:rsidP="00BD1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BD14FF" w:rsidRPr="00A057B3" w:rsidTr="0086650C">
        <w:trPr>
          <w:trHeight w:val="454"/>
        </w:trPr>
        <w:tc>
          <w:tcPr>
            <w:tcW w:w="3085" w:type="dxa"/>
            <w:vAlign w:val="center"/>
          </w:tcPr>
          <w:p w:rsidR="00BD14FF" w:rsidRPr="00A057B3" w:rsidRDefault="00BD14FF" w:rsidP="00BD14FF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nově vzniklých</w:t>
            </w:r>
          </w:p>
        </w:tc>
        <w:tc>
          <w:tcPr>
            <w:tcW w:w="1701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D14FF" w:rsidRPr="00A057B3" w:rsidRDefault="00BD14FF" w:rsidP="00BD1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4FF" w:rsidRPr="00A057B3" w:rsidTr="0086650C">
        <w:trPr>
          <w:trHeight w:val="454"/>
        </w:trPr>
        <w:tc>
          <w:tcPr>
            <w:tcW w:w="3085" w:type="dxa"/>
            <w:vAlign w:val="center"/>
          </w:tcPr>
          <w:p w:rsidR="00BD14FF" w:rsidRPr="00A057B3" w:rsidRDefault="00BD14FF" w:rsidP="00BD14FF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ind w:left="284" w:hanging="284"/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zaniklých</w:t>
            </w:r>
          </w:p>
        </w:tc>
        <w:tc>
          <w:tcPr>
            <w:tcW w:w="1701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D14FF" w:rsidRPr="00EF775C" w:rsidTr="0086650C">
        <w:trPr>
          <w:trHeight w:val="454"/>
        </w:trPr>
        <w:tc>
          <w:tcPr>
            <w:tcW w:w="8613" w:type="dxa"/>
            <w:gridSpan w:val="4"/>
            <w:vAlign w:val="center"/>
          </w:tcPr>
          <w:p w:rsidR="00BD14FF" w:rsidRPr="00EF775C" w:rsidRDefault="00BD14FF" w:rsidP="0086650C">
            <w:pPr>
              <w:jc w:val="center"/>
              <w:rPr>
                <w:b/>
                <w:sz w:val="24"/>
                <w:szCs w:val="24"/>
              </w:rPr>
            </w:pPr>
            <w:r w:rsidRPr="00EF775C">
              <w:rPr>
                <w:b/>
                <w:sz w:val="24"/>
                <w:szCs w:val="24"/>
              </w:rPr>
              <w:t>Struktura bank podle jejich vlastnictví</w:t>
            </w:r>
          </w:p>
        </w:tc>
      </w:tr>
      <w:tr w:rsidR="00BD14FF" w:rsidRPr="00A057B3" w:rsidTr="0086650C">
        <w:trPr>
          <w:trHeight w:val="454"/>
        </w:trPr>
        <w:tc>
          <w:tcPr>
            <w:tcW w:w="3085" w:type="dxa"/>
            <w:vAlign w:val="center"/>
          </w:tcPr>
          <w:p w:rsidR="00BD14FF" w:rsidRPr="00A057B3" w:rsidRDefault="00BD14FF" w:rsidP="00BD14FF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 xml:space="preserve">S rozhodující </w:t>
            </w:r>
            <w:r>
              <w:rPr>
                <w:sz w:val="24"/>
                <w:szCs w:val="24"/>
              </w:rPr>
              <w:t>slovenskou</w:t>
            </w:r>
            <w:r w:rsidRPr="00A057B3">
              <w:rPr>
                <w:sz w:val="24"/>
                <w:szCs w:val="24"/>
              </w:rPr>
              <w:t xml:space="preserve"> účasti</w:t>
            </w:r>
          </w:p>
        </w:tc>
        <w:tc>
          <w:tcPr>
            <w:tcW w:w="1701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D14FF" w:rsidRPr="00A057B3" w:rsidTr="0086650C">
        <w:trPr>
          <w:trHeight w:val="454"/>
        </w:trPr>
        <w:tc>
          <w:tcPr>
            <w:tcW w:w="3085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S účastí českého státu</w:t>
            </w:r>
          </w:p>
        </w:tc>
        <w:tc>
          <w:tcPr>
            <w:tcW w:w="1701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2</w:t>
            </w:r>
          </w:p>
        </w:tc>
      </w:tr>
      <w:tr w:rsidR="00BD14FF" w:rsidRPr="00A057B3" w:rsidTr="0086650C">
        <w:trPr>
          <w:trHeight w:val="454"/>
        </w:trPr>
        <w:tc>
          <w:tcPr>
            <w:tcW w:w="3085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S rozhodující zahraniční účasti</w:t>
            </w:r>
          </w:p>
        </w:tc>
        <w:tc>
          <w:tcPr>
            <w:tcW w:w="1701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D14FF" w:rsidRPr="00A057B3" w:rsidTr="0086650C">
        <w:trPr>
          <w:trHeight w:val="454"/>
        </w:trPr>
        <w:tc>
          <w:tcPr>
            <w:tcW w:w="3085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 w:rsidRPr="00A057B3">
              <w:rPr>
                <w:sz w:val="24"/>
                <w:szCs w:val="24"/>
              </w:rPr>
              <w:t>Pobočky zahraničních bank</w:t>
            </w:r>
          </w:p>
        </w:tc>
        <w:tc>
          <w:tcPr>
            <w:tcW w:w="1701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BD14FF" w:rsidRPr="00A057B3" w:rsidRDefault="00BD14FF" w:rsidP="00866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BD14FF" w:rsidRPr="000E5E5E" w:rsidRDefault="00BD14FF" w:rsidP="00BD14F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E5E5E">
        <w:rPr>
          <w:rFonts w:ascii="Times New Roman" w:hAnsi="Times New Roman"/>
          <w:i/>
          <w:sz w:val="20"/>
          <w:szCs w:val="20"/>
        </w:rPr>
        <w:t xml:space="preserve">Zdroj: Vlastní zpracování s využitím podkladů </w:t>
      </w:r>
      <w:hyperlink r:id="rId10" w:history="1">
        <w:r w:rsidRPr="00FC7BA0">
          <w:rPr>
            <w:rStyle w:val="Hypertextovodkaz"/>
            <w:rFonts w:ascii="Times New Roman" w:hAnsi="Times New Roman"/>
            <w:i/>
            <w:sz w:val="20"/>
            <w:szCs w:val="20"/>
          </w:rPr>
          <w:t>http://www.nbs.sk/sk/statisticke-udaje/prehlad-o-rozvoji-penazneho-sektora/rozvoj-bankoveho-sektora-sr/rozvoj-bankoveho-sektora-v-slovenskej-republike-v-rokoch-2009-az-2012</w:t>
        </w:r>
      </w:hyperlink>
      <w:r>
        <w:rPr>
          <w:rFonts w:ascii="Times New Roman" w:hAnsi="Times New Roman"/>
          <w:i/>
          <w:sz w:val="20"/>
          <w:szCs w:val="20"/>
        </w:rPr>
        <w:t xml:space="preserve">  </w:t>
      </w:r>
      <w:r w:rsidRPr="000E5E5E">
        <w:rPr>
          <w:rFonts w:ascii="Times New Roman" w:hAnsi="Times New Roman"/>
          <w:i/>
          <w:sz w:val="20"/>
          <w:szCs w:val="20"/>
        </w:rPr>
        <w:t xml:space="preserve">[citováno: </w:t>
      </w:r>
      <w:r>
        <w:rPr>
          <w:rFonts w:ascii="Times New Roman" w:hAnsi="Times New Roman"/>
          <w:i/>
          <w:sz w:val="20"/>
          <w:szCs w:val="20"/>
        </w:rPr>
        <w:t>7</w:t>
      </w:r>
      <w:r w:rsidRPr="000E5E5E"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i/>
          <w:sz w:val="20"/>
          <w:szCs w:val="20"/>
        </w:rPr>
        <w:t xml:space="preserve"> 12</w:t>
      </w:r>
      <w:r w:rsidRPr="000E5E5E">
        <w:rPr>
          <w:rFonts w:ascii="Times New Roman" w:hAnsi="Times New Roman"/>
          <w:i/>
          <w:sz w:val="20"/>
          <w:szCs w:val="20"/>
        </w:rPr>
        <w:t>. 201</w:t>
      </w:r>
      <w:r>
        <w:rPr>
          <w:rFonts w:ascii="Times New Roman" w:hAnsi="Times New Roman"/>
          <w:i/>
          <w:sz w:val="20"/>
          <w:szCs w:val="20"/>
        </w:rPr>
        <w:t>3</w:t>
      </w:r>
      <w:r w:rsidRPr="000E5E5E">
        <w:rPr>
          <w:rFonts w:ascii="Times New Roman" w:hAnsi="Times New Roman"/>
          <w:i/>
          <w:sz w:val="20"/>
          <w:szCs w:val="20"/>
        </w:rPr>
        <w:t>]</w:t>
      </w:r>
    </w:p>
    <w:p w:rsidR="00BD14FF" w:rsidRDefault="00BD14FF" w:rsidP="00BD1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395" w:rsidRDefault="008C5395" w:rsidP="00D65603">
      <w:pPr>
        <w:pStyle w:val="Titulek"/>
        <w:rPr>
          <w:rFonts w:ascii="Times New Roman" w:hAnsi="Times New Roman"/>
          <w:b w:val="0"/>
          <w:sz w:val="24"/>
          <w:szCs w:val="24"/>
        </w:rPr>
      </w:pPr>
    </w:p>
    <w:p w:rsidR="008C5395" w:rsidRDefault="008C5395" w:rsidP="00D65603">
      <w:pPr>
        <w:pStyle w:val="Titulek"/>
        <w:rPr>
          <w:rFonts w:ascii="Times New Roman" w:hAnsi="Times New Roman"/>
          <w:b w:val="0"/>
          <w:sz w:val="24"/>
          <w:szCs w:val="24"/>
        </w:rPr>
      </w:pPr>
    </w:p>
    <w:p w:rsidR="009F5805" w:rsidRPr="000E5E5E" w:rsidRDefault="009F5805" w:rsidP="009F5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5E5E">
        <w:rPr>
          <w:rFonts w:ascii="Times New Roman" w:hAnsi="Times New Roman"/>
          <w:sz w:val="24"/>
          <w:szCs w:val="24"/>
        </w:rPr>
        <w:t>pro posouzení vývoje Českého bankovního sektoru v posledních létech je</w:t>
      </w:r>
      <w:r>
        <w:rPr>
          <w:rFonts w:ascii="Times New Roman" w:hAnsi="Times New Roman"/>
          <w:sz w:val="24"/>
          <w:szCs w:val="24"/>
        </w:rPr>
        <w:t xml:space="preserve"> rozhodující</w:t>
      </w:r>
      <w:r w:rsidRPr="000E5E5E">
        <w:rPr>
          <w:rFonts w:ascii="Times New Roman" w:hAnsi="Times New Roman"/>
          <w:sz w:val="24"/>
          <w:szCs w:val="24"/>
        </w:rPr>
        <w:t xml:space="preserve"> krom jeho struktury i hodnocení jeho finančního zdraví. Ze zpráv ČNB je zřejmé, že finanční pozice bank v České republice je stabilní.</w:t>
      </w:r>
      <w:r>
        <w:rPr>
          <w:rFonts w:ascii="Times New Roman" w:hAnsi="Times New Roman"/>
          <w:sz w:val="24"/>
          <w:szCs w:val="24"/>
        </w:rPr>
        <w:t>, tak jak je zřejmé ze základního přehledu, uvedeného v následující tabulce.</w:t>
      </w:r>
    </w:p>
    <w:p w:rsidR="008C5395" w:rsidRDefault="008C5395" w:rsidP="00D65603">
      <w:pPr>
        <w:pStyle w:val="Titulek"/>
        <w:rPr>
          <w:rFonts w:ascii="Times New Roman" w:hAnsi="Times New Roman"/>
          <w:b w:val="0"/>
          <w:sz w:val="24"/>
          <w:szCs w:val="24"/>
        </w:rPr>
      </w:pPr>
    </w:p>
    <w:p w:rsidR="008C5395" w:rsidRDefault="008C5395" w:rsidP="00D65603">
      <w:pPr>
        <w:pStyle w:val="Titulek"/>
        <w:rPr>
          <w:rFonts w:ascii="Times New Roman" w:hAnsi="Times New Roman"/>
          <w:b w:val="0"/>
          <w:sz w:val="24"/>
          <w:szCs w:val="24"/>
        </w:rPr>
      </w:pPr>
    </w:p>
    <w:p w:rsidR="008C5395" w:rsidRDefault="008C5395" w:rsidP="00D65603">
      <w:pPr>
        <w:pStyle w:val="Titulek"/>
        <w:rPr>
          <w:rFonts w:ascii="Times New Roman" w:hAnsi="Times New Roman"/>
          <w:b w:val="0"/>
          <w:sz w:val="24"/>
          <w:szCs w:val="24"/>
        </w:rPr>
      </w:pPr>
    </w:p>
    <w:p w:rsidR="008C5395" w:rsidRPr="008C5395" w:rsidRDefault="008C5395" w:rsidP="008C5395"/>
    <w:p w:rsidR="008C5395" w:rsidRDefault="008C5395" w:rsidP="00D65603">
      <w:pPr>
        <w:pStyle w:val="Titulek"/>
        <w:rPr>
          <w:rFonts w:ascii="Times New Roman" w:hAnsi="Times New Roman"/>
          <w:b w:val="0"/>
          <w:sz w:val="24"/>
          <w:szCs w:val="24"/>
        </w:rPr>
      </w:pPr>
    </w:p>
    <w:p w:rsidR="009F5805" w:rsidRDefault="009F5805" w:rsidP="009F5805"/>
    <w:p w:rsidR="009F5805" w:rsidRDefault="009F5805" w:rsidP="009F5805"/>
    <w:p w:rsidR="009F5805" w:rsidRDefault="009F5805" w:rsidP="009F5805"/>
    <w:p w:rsidR="009F5805" w:rsidRDefault="009F5805" w:rsidP="009F5805"/>
    <w:p w:rsidR="009F5805" w:rsidRPr="009F5805" w:rsidRDefault="009F5805" w:rsidP="009F5805"/>
    <w:p w:rsidR="00D65603" w:rsidRPr="00AF2E15" w:rsidRDefault="00D65603" w:rsidP="008C5395">
      <w:pPr>
        <w:pStyle w:val="Titulek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AF2E15">
        <w:rPr>
          <w:rFonts w:ascii="Times New Roman" w:hAnsi="Times New Roman"/>
          <w:b w:val="0"/>
          <w:sz w:val="24"/>
          <w:szCs w:val="24"/>
        </w:rPr>
        <w:t>Tabulka č.</w:t>
      </w:r>
      <w:r w:rsidR="00AF2E15" w:rsidRPr="00AF2E15">
        <w:rPr>
          <w:rFonts w:ascii="Times New Roman" w:hAnsi="Times New Roman"/>
          <w:b w:val="0"/>
          <w:sz w:val="24"/>
          <w:szCs w:val="24"/>
        </w:rPr>
        <w:t xml:space="preserve"> </w:t>
      </w:r>
      <w:r w:rsidR="008C5395">
        <w:rPr>
          <w:rFonts w:ascii="Times New Roman" w:hAnsi="Times New Roman"/>
          <w:b w:val="0"/>
          <w:sz w:val="24"/>
          <w:szCs w:val="24"/>
        </w:rPr>
        <w:t>1.3.2.</w:t>
      </w:r>
      <w:r w:rsidR="00AF2E15" w:rsidRPr="00AF2E15">
        <w:rPr>
          <w:rFonts w:ascii="Times New Roman" w:hAnsi="Times New Roman"/>
          <w:b w:val="0"/>
          <w:sz w:val="24"/>
          <w:szCs w:val="24"/>
        </w:rPr>
        <w:t>2</w:t>
      </w:r>
      <w:r w:rsidR="008C5395">
        <w:rPr>
          <w:rFonts w:ascii="Times New Roman" w:hAnsi="Times New Roman"/>
          <w:b w:val="0"/>
          <w:sz w:val="24"/>
          <w:szCs w:val="24"/>
        </w:rPr>
        <w:t>:</w:t>
      </w:r>
      <w:r w:rsidR="00AF2E15" w:rsidRPr="00AF2E15">
        <w:rPr>
          <w:rFonts w:ascii="Times New Roman" w:hAnsi="Times New Roman"/>
          <w:b w:val="0"/>
          <w:sz w:val="24"/>
          <w:szCs w:val="24"/>
        </w:rPr>
        <w:t xml:space="preserve"> </w:t>
      </w:r>
      <w:r w:rsidRPr="00AF2E15">
        <w:rPr>
          <w:rFonts w:ascii="Times New Roman" w:hAnsi="Times New Roman"/>
          <w:b w:val="0"/>
          <w:sz w:val="24"/>
          <w:szCs w:val="24"/>
        </w:rPr>
        <w:t>Finanční zdraví bank v České republice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2"/>
        <w:gridCol w:w="1050"/>
        <w:gridCol w:w="1050"/>
        <w:gridCol w:w="1050"/>
        <w:gridCol w:w="1050"/>
      </w:tblGrid>
      <w:tr w:rsidR="00D65603" w:rsidRPr="00EF775C" w:rsidTr="00EF775C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603" w:rsidRPr="00EF775C" w:rsidRDefault="00F124B0" w:rsidP="00096C8A">
            <w:pPr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</w:pPr>
            <w:r w:rsidRPr="00EF775C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 xml:space="preserve">Ukazatel/Období </w:t>
            </w: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603" w:rsidRPr="00EF775C" w:rsidRDefault="00D65603" w:rsidP="00096C8A">
            <w:pPr>
              <w:jc w:val="right"/>
              <w:rPr>
                <w:rFonts w:ascii="Times New Roman" w:hAnsi="Times New Roman"/>
                <w:b/>
                <w:color w:val="333333"/>
                <w:sz w:val="18"/>
                <w:szCs w:val="18"/>
              </w:rPr>
            </w:pPr>
            <w:r w:rsidRPr="00EF775C">
              <w:rPr>
                <w:rFonts w:ascii="Times New Roman" w:hAnsi="Times New Roman"/>
                <w:b/>
                <w:color w:val="333333"/>
                <w:sz w:val="18"/>
                <w:szCs w:val="18"/>
              </w:rPr>
              <w:t>31. 12. 2008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603" w:rsidRPr="00EF775C" w:rsidRDefault="00D65603" w:rsidP="00096C8A">
            <w:pPr>
              <w:jc w:val="right"/>
              <w:rPr>
                <w:rFonts w:ascii="Times New Roman" w:hAnsi="Times New Roman"/>
                <w:b/>
                <w:color w:val="333333"/>
                <w:sz w:val="18"/>
                <w:szCs w:val="18"/>
              </w:rPr>
            </w:pPr>
            <w:r w:rsidRPr="00EF775C">
              <w:rPr>
                <w:rFonts w:ascii="Times New Roman" w:hAnsi="Times New Roman"/>
                <w:b/>
                <w:color w:val="333333"/>
                <w:sz w:val="18"/>
                <w:szCs w:val="18"/>
              </w:rPr>
              <w:t>31. 12. 2009</w:t>
            </w: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603" w:rsidRPr="00EF775C" w:rsidRDefault="00D65603" w:rsidP="00096C8A">
            <w:pPr>
              <w:jc w:val="right"/>
              <w:rPr>
                <w:rFonts w:ascii="Times New Roman" w:hAnsi="Times New Roman"/>
                <w:b/>
                <w:color w:val="333333"/>
                <w:sz w:val="18"/>
                <w:szCs w:val="18"/>
              </w:rPr>
            </w:pPr>
            <w:r w:rsidRPr="00EF775C">
              <w:rPr>
                <w:rFonts w:ascii="Times New Roman" w:hAnsi="Times New Roman"/>
                <w:b/>
                <w:color w:val="333333"/>
                <w:sz w:val="18"/>
                <w:szCs w:val="18"/>
              </w:rPr>
              <w:t>31. 12. 2010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5603" w:rsidRPr="00EF775C" w:rsidRDefault="00D65603" w:rsidP="00096C8A">
            <w:pPr>
              <w:jc w:val="right"/>
              <w:rPr>
                <w:rFonts w:ascii="Times New Roman" w:hAnsi="Times New Roman"/>
                <w:b/>
                <w:color w:val="333333"/>
                <w:sz w:val="18"/>
                <w:szCs w:val="18"/>
              </w:rPr>
            </w:pPr>
            <w:r w:rsidRPr="00EF775C">
              <w:rPr>
                <w:rFonts w:ascii="Times New Roman" w:hAnsi="Times New Roman"/>
                <w:b/>
                <w:color w:val="333333"/>
                <w:sz w:val="18"/>
                <w:szCs w:val="18"/>
              </w:rPr>
              <w:t>31. 12. 2011</w:t>
            </w:r>
          </w:p>
        </w:tc>
      </w:tr>
      <w:tr w:rsidR="00D65603" w:rsidRPr="00AA069C" w:rsidTr="00EF775C"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>Regulatorní kapitál k rizikově váženým aktivům 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11,57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13,97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15,27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14,97</w:t>
            </w:r>
          </w:p>
        </w:tc>
      </w:tr>
      <w:tr w:rsidR="00D65603" w:rsidRPr="00AA069C" w:rsidTr="00EF775C"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 xml:space="preserve">Regulatorní kapitál </w:t>
            </w:r>
            <w:proofErr w:type="spellStart"/>
            <w:r w:rsidRPr="00DE6158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>Tier</w:t>
            </w:r>
            <w:proofErr w:type="spellEnd"/>
            <w:r w:rsidRPr="00DE6158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 xml:space="preserve"> 1 k rizikově váženým aktivům (%)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11,10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12,57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13,86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13,86</w:t>
            </w:r>
          </w:p>
        </w:tc>
      </w:tr>
      <w:tr w:rsidR="00D65603" w:rsidRPr="00AA069C" w:rsidTr="00EF775C"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>Návratnost aktiv (%)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1,10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1,45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1,25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1,20</w:t>
            </w:r>
          </w:p>
        </w:tc>
      </w:tr>
      <w:tr w:rsidR="00D65603" w:rsidRPr="00AA069C" w:rsidTr="00EF775C"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>Návratnost kapitálu (%)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20,68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26,36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19,70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18,29</w:t>
            </w:r>
          </w:p>
        </w:tc>
      </w:tr>
      <w:tr w:rsidR="00D65603" w:rsidRPr="00AA069C" w:rsidTr="00EF775C"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>Úroková marže k hrubým výnosům (%)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64,96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55,79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63,12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64,45</w:t>
            </w:r>
          </w:p>
        </w:tc>
      </w:tr>
      <w:tr w:rsidR="00D65603" w:rsidRPr="00AA069C" w:rsidTr="00EF775C"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>Neúrokové náklady k hrubým výnosům (%)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51,24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41,96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46,79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47,24</w:t>
            </w:r>
          </w:p>
        </w:tc>
      </w:tr>
      <w:tr w:rsidR="00D65603" w:rsidRPr="00AA069C" w:rsidTr="00EF775C"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>Likvidní aktiva k aktivům celkem (%)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25,80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27,05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29,43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29,87</w:t>
            </w:r>
          </w:p>
        </w:tc>
      </w:tr>
      <w:tr w:rsidR="00D65603" w:rsidRPr="00AA069C" w:rsidTr="00EF775C"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>Likvidní aktiva ke krátkodobým závazkům (%)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70,30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69,97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71,12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72,23</w:t>
            </w:r>
          </w:p>
        </w:tc>
      </w:tr>
      <w:tr w:rsidR="00D65603" w:rsidRPr="00AA069C" w:rsidTr="00EF775C"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>Čistá otevřená pozice v cizích měnách ke kapitálu (%)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3,94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0,51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0,37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-3,16</w:t>
            </w:r>
          </w:p>
        </w:tc>
      </w:tr>
      <w:tr w:rsidR="00D65603" w:rsidRPr="00AA069C" w:rsidTr="00EF775C"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>Kapitál k aktivům celkem (%)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5,46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6,09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6,49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6,49</w:t>
            </w:r>
          </w:p>
        </w:tc>
      </w:tr>
      <w:tr w:rsidR="00D65603" w:rsidRPr="00AA069C" w:rsidTr="00EF775C"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>Hrubá aktivní pozice finančních derivátů ke kapitálu (%)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98,39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53,99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43,18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57,55</w:t>
            </w:r>
          </w:p>
        </w:tc>
      </w:tr>
      <w:tr w:rsidR="00D65603" w:rsidRPr="00AA069C" w:rsidTr="00EF775C"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>Hrubá pasivní pozice finančních derivátů ke kapitálu (%)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93,87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50,92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41,23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53,47</w:t>
            </w:r>
          </w:p>
        </w:tc>
      </w:tr>
      <w:tr w:rsidR="00D65603" w:rsidRPr="00AA069C" w:rsidTr="00EF775C"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>Zisk nebo ztráta z operací s finančními nástroji k hrubým výnosům (%)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-4,79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9,46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4,56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4,06</w:t>
            </w:r>
          </w:p>
        </w:tc>
      </w:tr>
      <w:tr w:rsidR="00D65603" w:rsidRPr="00AA069C" w:rsidTr="00EF775C"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>Náklady na zaměstnance k neúrokovým nákladům (%)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40,18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40,50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39,76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40,98</w:t>
            </w:r>
          </w:p>
        </w:tc>
      </w:tr>
      <w:tr w:rsidR="00D65603" w:rsidRPr="00AA069C" w:rsidTr="00EF775C"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>Klientské vklady ke klientským (jiným než mezibankovním) úvěrům celkem (%)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125,59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128,21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129,61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126,03</w:t>
            </w:r>
          </w:p>
        </w:tc>
      </w:tr>
      <w:tr w:rsidR="00D65603" w:rsidRPr="00AA069C" w:rsidTr="00EF775C"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>Úvěry v cizích měnách k celkovým úvěrům (%)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21,82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21,20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21,55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22,16</w:t>
            </w:r>
          </w:p>
        </w:tc>
      </w:tr>
      <w:tr w:rsidR="00D65603" w:rsidRPr="00AA069C" w:rsidTr="00EF775C"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t>Závazky v cizích měnách k závazkům celkem (%)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16,36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14,15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14,29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14,96</w:t>
            </w:r>
          </w:p>
        </w:tc>
      </w:tr>
      <w:tr w:rsidR="00D65603" w:rsidRPr="00AA069C" w:rsidTr="00EF775C">
        <w:tc>
          <w:tcPr>
            <w:tcW w:w="0" w:type="auto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b/>
                <w:bCs/>
                <w:color w:val="333333"/>
                <w:sz w:val="18"/>
                <w:szCs w:val="18"/>
              </w:rPr>
              <w:lastRenderedPageBreak/>
              <w:t>Čistá otevřená akciová pozice ke kapitálu (%)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15,67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8,26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8,08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5603" w:rsidRPr="00DE6158" w:rsidRDefault="00D65603" w:rsidP="00096C8A">
            <w:pPr>
              <w:jc w:val="right"/>
              <w:rPr>
                <w:rFonts w:ascii="Times New Roman" w:hAnsi="Times New Roman"/>
                <w:color w:val="333333"/>
                <w:sz w:val="18"/>
                <w:szCs w:val="18"/>
              </w:rPr>
            </w:pPr>
            <w:r w:rsidRPr="00DE6158">
              <w:rPr>
                <w:rFonts w:ascii="Times New Roman" w:hAnsi="Times New Roman"/>
                <w:color w:val="333333"/>
                <w:sz w:val="18"/>
                <w:szCs w:val="18"/>
              </w:rPr>
              <w:t>9,29</w:t>
            </w:r>
          </w:p>
        </w:tc>
      </w:tr>
    </w:tbl>
    <w:p w:rsidR="008C5395" w:rsidRDefault="008C5395" w:rsidP="008C5395">
      <w:pPr>
        <w:spacing w:after="0" w:line="240" w:lineRule="auto"/>
        <w:textAlignment w:val="top"/>
        <w:outlineLvl w:val="1"/>
        <w:rPr>
          <w:rFonts w:ascii="Times New Roman" w:hAnsi="Times New Roman"/>
          <w:i/>
          <w:sz w:val="20"/>
          <w:szCs w:val="20"/>
        </w:rPr>
      </w:pPr>
    </w:p>
    <w:p w:rsidR="00D65603" w:rsidRPr="00AF2E15" w:rsidRDefault="00D65603" w:rsidP="008C5395">
      <w:pPr>
        <w:spacing w:after="0" w:line="240" w:lineRule="auto"/>
        <w:textAlignment w:val="top"/>
        <w:outlineLvl w:val="1"/>
        <w:rPr>
          <w:rFonts w:ascii="Times New Roman" w:hAnsi="Times New Roman"/>
          <w:bCs/>
          <w:i/>
          <w:color w:val="333333"/>
          <w:kern w:val="36"/>
          <w:sz w:val="20"/>
          <w:szCs w:val="20"/>
        </w:rPr>
      </w:pPr>
      <w:r w:rsidRPr="00AF2E15">
        <w:rPr>
          <w:rFonts w:ascii="Times New Roman" w:hAnsi="Times New Roman"/>
          <w:i/>
          <w:sz w:val="20"/>
          <w:szCs w:val="20"/>
        </w:rPr>
        <w:t xml:space="preserve">Zdroj: Vlastní zpracování s využitím podkladů </w:t>
      </w:r>
      <w:hyperlink r:id="rId11" w:history="1">
        <w:r w:rsidRPr="00AF2E15">
          <w:rPr>
            <w:rStyle w:val="Hypertextovodkaz"/>
            <w:rFonts w:ascii="Times New Roman" w:hAnsi="Times New Roman"/>
            <w:i/>
            <w:kern w:val="36"/>
            <w:sz w:val="20"/>
            <w:szCs w:val="20"/>
          </w:rPr>
          <w:t>http://www.cnb.cz/cs/dohled_financni_trh/souhrnne_informace_fin_trhy/zakladni_ukazatele_fin_zdravi/fsi_ukazatele_kons.html</w:t>
        </w:r>
      </w:hyperlink>
      <w:r w:rsidRPr="00AF2E15">
        <w:rPr>
          <w:rFonts w:ascii="Times New Roman" w:hAnsi="Times New Roman"/>
          <w:bCs/>
          <w:i/>
          <w:color w:val="333333"/>
          <w:kern w:val="36"/>
          <w:sz w:val="20"/>
          <w:szCs w:val="20"/>
        </w:rPr>
        <w:t xml:space="preserve"> </w:t>
      </w:r>
      <w:r w:rsidRPr="00AF2E15">
        <w:rPr>
          <w:rFonts w:ascii="Times New Roman" w:hAnsi="Times New Roman"/>
          <w:i/>
          <w:sz w:val="20"/>
          <w:szCs w:val="20"/>
        </w:rPr>
        <w:t>[citováno: 26. 9. 2012]</w:t>
      </w:r>
    </w:p>
    <w:p w:rsidR="008C5395" w:rsidRDefault="008C5395" w:rsidP="00D656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5603" w:rsidRPr="001D4AA8" w:rsidRDefault="00D65603" w:rsidP="00D6560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1.3.3 Banky a veřejný sektor</w:t>
      </w:r>
    </w:p>
    <w:p w:rsidR="009017D2" w:rsidRPr="00EF775C" w:rsidRDefault="004A64A5" w:rsidP="00EF775C">
      <w:pPr>
        <w:pStyle w:val="Zkladntext"/>
      </w:pPr>
      <w:r w:rsidRPr="00EF775C">
        <w:t>Zejména v posledních létech se b</w:t>
      </w:r>
      <w:r w:rsidR="009017D2" w:rsidRPr="00EF775C">
        <w:t xml:space="preserve">anky se snaží získat nové klienty </w:t>
      </w:r>
      <w:r w:rsidRPr="00EF775C">
        <w:t>–</w:t>
      </w:r>
      <w:r w:rsidR="009017D2" w:rsidRPr="00EF775C">
        <w:t xml:space="preserve"> municipální a neziskové organizac</w:t>
      </w:r>
      <w:r w:rsidRPr="00EF775C">
        <w:t>e</w:t>
      </w:r>
      <w:r w:rsidR="009017D2" w:rsidRPr="00EF775C">
        <w:t>. Jejich cílem je zejména v případě municipálních í a neziskových organizací získání klientů, které jsou motivovány především následujícími faktory:</w:t>
      </w:r>
    </w:p>
    <w:p w:rsidR="009017D2" w:rsidRPr="00EF775C" w:rsidRDefault="009017D2" w:rsidP="00EF775C">
      <w:pPr>
        <w:pStyle w:val="Zkladntext"/>
        <w:numPr>
          <w:ilvl w:val="0"/>
          <w:numId w:val="1"/>
        </w:numPr>
        <w:tabs>
          <w:tab w:val="clear" w:pos="340"/>
          <w:tab w:val="num" w:pos="284"/>
        </w:tabs>
        <w:ind w:left="284" w:hanging="284"/>
      </w:pPr>
      <w:r w:rsidRPr="00EF775C">
        <w:t>Mají poměrně značný objem platebního styku – zejména municipální organizace, které zabezpečují výplaty nejrůznějších dávek a současně jsou i příjemci nejrůznějších poplatků.</w:t>
      </w:r>
    </w:p>
    <w:p w:rsidR="009017D2" w:rsidRPr="00EF775C" w:rsidRDefault="009017D2" w:rsidP="00EF775C">
      <w:pPr>
        <w:pStyle w:val="Zkladntext"/>
        <w:numPr>
          <w:ilvl w:val="0"/>
          <w:numId w:val="1"/>
        </w:numPr>
        <w:tabs>
          <w:tab w:val="clear" w:pos="340"/>
          <w:tab w:val="num" w:pos="284"/>
        </w:tabs>
        <w:ind w:left="284" w:hanging="284"/>
      </w:pPr>
      <w:r w:rsidRPr="00EF775C">
        <w:t>Mají vliv na rozvoj regionu. Zejména kraje mají krom vlády jeden z rozhodujících vlivů na další rozvoj regionu. Pouze zjednodušeně můžeme uvést – rozvoj pracovních příležitostí, čerpání dotací z Evropských fondů, životní prostřední, rozvoj infrastruktury.</w:t>
      </w:r>
    </w:p>
    <w:p w:rsidR="009017D2" w:rsidRPr="00EF775C" w:rsidRDefault="009017D2" w:rsidP="00EF775C">
      <w:pPr>
        <w:pStyle w:val="Zkladntext"/>
        <w:numPr>
          <w:ilvl w:val="0"/>
          <w:numId w:val="1"/>
        </w:numPr>
        <w:tabs>
          <w:tab w:val="clear" w:pos="340"/>
          <w:tab w:val="num" w:pos="284"/>
        </w:tabs>
        <w:ind w:left="284" w:hanging="284"/>
      </w:pPr>
      <w:r w:rsidRPr="00EF775C">
        <w:t>Jedná se pro banky o prestižní klienty, vedení jejich účtů a poskytování úvěrů signalizuje, že banka zájem o další rozvoj regionu.</w:t>
      </w:r>
    </w:p>
    <w:p w:rsidR="009017D2" w:rsidRPr="00EF775C" w:rsidRDefault="009017D2" w:rsidP="00EF775C">
      <w:pPr>
        <w:pStyle w:val="Zkladntext"/>
        <w:numPr>
          <w:ilvl w:val="0"/>
          <w:numId w:val="1"/>
        </w:numPr>
        <w:tabs>
          <w:tab w:val="clear" w:pos="340"/>
          <w:tab w:val="num" w:pos="284"/>
        </w:tabs>
        <w:ind w:left="284" w:hanging="284"/>
      </w:pPr>
      <w:r w:rsidRPr="00EF775C">
        <w:t>Získání dalších klientů, finančně napojených zejména na municipální organizace (v případě účtů obchodních parterů v jedné bance je podstatně zrychlen pro ně platební styk a současně banka má výhodu v tom, že platby mezi těmito klienty jsou z pohledu aktiv a pasiv bilančně neutrální.</w:t>
      </w:r>
    </w:p>
    <w:p w:rsidR="009017D2" w:rsidRPr="00EF775C" w:rsidRDefault="009017D2" w:rsidP="00EF775C">
      <w:pPr>
        <w:pStyle w:val="Zkladntext"/>
        <w:numPr>
          <w:ilvl w:val="0"/>
          <w:numId w:val="1"/>
        </w:numPr>
        <w:tabs>
          <w:tab w:val="clear" w:pos="340"/>
          <w:tab w:val="num" w:pos="284"/>
        </w:tabs>
        <w:ind w:left="284" w:hanging="284"/>
      </w:pPr>
      <w:r w:rsidRPr="00EF775C">
        <w:t>Banky mají zájem na získání nových klientů a municipální a neziskové organizace jsou pro ně nesmírně zajímavou cílovou skupinou, která jim umožňuje:</w:t>
      </w:r>
    </w:p>
    <w:p w:rsidR="009017D2" w:rsidRPr="00EF775C" w:rsidRDefault="009017D2" w:rsidP="00EF775C">
      <w:pPr>
        <w:pStyle w:val="Zkladntext"/>
        <w:numPr>
          <w:ilvl w:val="1"/>
          <w:numId w:val="9"/>
        </w:numPr>
        <w:tabs>
          <w:tab w:val="clear" w:pos="1440"/>
          <w:tab w:val="num" w:pos="567"/>
        </w:tabs>
        <w:ind w:left="567" w:hanging="283"/>
      </w:pPr>
      <w:r w:rsidRPr="00EF775C">
        <w:t>získat zajímavé klienty;</w:t>
      </w:r>
    </w:p>
    <w:p w:rsidR="009017D2" w:rsidRPr="00EF775C" w:rsidRDefault="009017D2" w:rsidP="00EF775C">
      <w:pPr>
        <w:pStyle w:val="Zkladntext"/>
        <w:numPr>
          <w:ilvl w:val="1"/>
          <w:numId w:val="9"/>
        </w:numPr>
        <w:tabs>
          <w:tab w:val="clear" w:pos="1440"/>
          <w:tab w:val="num" w:pos="567"/>
        </w:tabs>
        <w:ind w:left="567" w:hanging="283"/>
      </w:pPr>
      <w:r w:rsidRPr="00EF775C">
        <w:t>na základě klientů, které získají, mají možnost získat i další klienty, kteří jsou obchodně propojení s municipalitami a neziskovými organizacemi;</w:t>
      </w:r>
    </w:p>
    <w:p w:rsidR="009017D2" w:rsidRPr="00EF775C" w:rsidRDefault="009017D2" w:rsidP="00EF775C">
      <w:pPr>
        <w:pStyle w:val="Zkladntext"/>
        <w:numPr>
          <w:ilvl w:val="1"/>
          <w:numId w:val="9"/>
        </w:numPr>
        <w:tabs>
          <w:tab w:val="clear" w:pos="1440"/>
          <w:tab w:val="num" w:pos="567"/>
        </w:tabs>
        <w:ind w:left="567" w:hanging="283"/>
      </w:pPr>
      <w:r w:rsidRPr="00EF775C">
        <w:t>zvýšit svoji prestiž – vedením účtů municipalit a neziskových organizací.</w:t>
      </w:r>
    </w:p>
    <w:p w:rsidR="00153029" w:rsidRPr="00EF775C" w:rsidRDefault="00153029" w:rsidP="00EF775C">
      <w:pPr>
        <w:pStyle w:val="Zkladntext"/>
      </w:pPr>
    </w:p>
    <w:p w:rsidR="009017D2" w:rsidRPr="00EF775C" w:rsidRDefault="009017D2" w:rsidP="00EF775C">
      <w:pPr>
        <w:pStyle w:val="Zkladntext"/>
      </w:pPr>
      <w:r w:rsidRPr="00EF775C">
        <w:t>Municipální organizace a neziskový sektor mají svoje základní požadavky na bankovní služby. Jejich požadavky nejsou zaměřeny pouze na základní bankovní služby, ale mají zájem i o jejich nástavbu, která se následně promítá do regionálního rozvoje – zde se jedná především o služby spojené s vedením nejrůznějších fondů a čerpáním dotací z Evropských fondů.</w:t>
      </w:r>
    </w:p>
    <w:p w:rsidR="009017D2" w:rsidRPr="00EF775C" w:rsidRDefault="009017D2" w:rsidP="00EF775C">
      <w:pPr>
        <w:pStyle w:val="Zkladntext"/>
      </w:pPr>
    </w:p>
    <w:p w:rsidR="003E5BCE" w:rsidRPr="00EF775C" w:rsidRDefault="00F259A2" w:rsidP="00EF775C">
      <w:pPr>
        <w:pStyle w:val="Zkladntext"/>
      </w:pPr>
      <w:r w:rsidRPr="00EF775C">
        <w:t>Potřeby a p</w:t>
      </w:r>
      <w:r w:rsidR="003E5BCE" w:rsidRPr="00EF775C">
        <w:t xml:space="preserve">ožadavky </w:t>
      </w:r>
      <w:r w:rsidRPr="00EF775C">
        <w:t xml:space="preserve">veřejného sektoru </w:t>
      </w:r>
      <w:r w:rsidR="003E5BCE" w:rsidRPr="00EF775C">
        <w:t>nejsou zaměřeny pouze na základní bankovní služby, ale mají zájem i o jejich nástavbu, která se následně promítá do regionálního rozvoje – zde se jedná především o služby spojené s vedením nejrůznějších fondů a čerpáním dotací z Evropských fondů.</w:t>
      </w:r>
    </w:p>
    <w:p w:rsidR="00A16243" w:rsidRPr="00EF775C" w:rsidRDefault="00A16243" w:rsidP="00EF775C">
      <w:pPr>
        <w:pStyle w:val="Zkladntext"/>
      </w:pPr>
    </w:p>
    <w:p w:rsidR="003E5BCE" w:rsidRPr="00EF775C" w:rsidRDefault="003E5BCE" w:rsidP="00EF775C">
      <w:pPr>
        <w:pStyle w:val="Zkladntext"/>
        <w:rPr>
          <w:b/>
        </w:rPr>
      </w:pPr>
      <w:r w:rsidRPr="00EF775C">
        <w:rPr>
          <w:b/>
        </w:rPr>
        <w:t>Základní požadavky municipálních organizací a neziskového sektoru na bankovní služby:</w:t>
      </w:r>
    </w:p>
    <w:p w:rsidR="003E5BCE" w:rsidRPr="00EF775C" w:rsidRDefault="00DF59B7" w:rsidP="00EF775C">
      <w:pPr>
        <w:pStyle w:val="Zkladntext"/>
        <w:numPr>
          <w:ilvl w:val="0"/>
          <w:numId w:val="2"/>
        </w:numPr>
      </w:pPr>
      <w:r w:rsidRPr="00EF775C">
        <w:t>V</w:t>
      </w:r>
      <w:r w:rsidR="003E5BCE" w:rsidRPr="00EF775C">
        <w:t xml:space="preserve">edení běžných účtů – představuje komplexní nabídku cenově a úrokově zvýhodněných služeb k pokrytí základních potřeb v oblasti platebně-zúčtovacího styku pro potřeby příslušného regionu, obce, atd. Jedná se tedy zejména o následující služby: </w:t>
      </w:r>
    </w:p>
    <w:p w:rsidR="003E5BCE" w:rsidRPr="00EF775C" w:rsidRDefault="000F74B6" w:rsidP="00EF775C">
      <w:pPr>
        <w:pStyle w:val="Zkladntext"/>
        <w:numPr>
          <w:ilvl w:val="1"/>
          <w:numId w:val="4"/>
        </w:numPr>
        <w:tabs>
          <w:tab w:val="clear" w:pos="1420"/>
          <w:tab w:val="num" w:pos="720"/>
        </w:tabs>
        <w:ind w:hanging="1060"/>
      </w:pPr>
      <w:r w:rsidRPr="00EF775C">
        <w:t>zřízení a vedení běžného účtu</w:t>
      </w:r>
      <w:r w:rsidR="009017D2" w:rsidRPr="00EF775C">
        <w:t>;</w:t>
      </w:r>
    </w:p>
    <w:p w:rsidR="003E5BCE" w:rsidRPr="00EF775C" w:rsidRDefault="000F74B6" w:rsidP="00EF775C">
      <w:pPr>
        <w:pStyle w:val="Zkladntext"/>
        <w:numPr>
          <w:ilvl w:val="1"/>
          <w:numId w:val="4"/>
        </w:numPr>
        <w:tabs>
          <w:tab w:val="clear" w:pos="1420"/>
          <w:tab w:val="num" w:pos="720"/>
        </w:tabs>
        <w:ind w:hanging="1060"/>
      </w:pPr>
      <w:r w:rsidRPr="00EF775C">
        <w:t>zasílání výpisů</w:t>
      </w:r>
      <w:r w:rsidR="009017D2" w:rsidRPr="00EF775C">
        <w:t>;</w:t>
      </w:r>
    </w:p>
    <w:p w:rsidR="003E5BCE" w:rsidRPr="00EF775C" w:rsidRDefault="003E5BCE" w:rsidP="00EF775C">
      <w:pPr>
        <w:pStyle w:val="Zkladntext"/>
        <w:numPr>
          <w:ilvl w:val="1"/>
          <w:numId w:val="4"/>
        </w:numPr>
        <w:tabs>
          <w:tab w:val="clear" w:pos="1420"/>
          <w:tab w:val="num" w:pos="720"/>
        </w:tabs>
        <w:ind w:hanging="1060"/>
      </w:pPr>
      <w:r w:rsidRPr="00EF775C">
        <w:t>výhodné úročení zůstatku běžného účtu</w:t>
      </w:r>
      <w:r w:rsidR="009017D2" w:rsidRPr="00EF775C">
        <w:t>;</w:t>
      </w:r>
    </w:p>
    <w:p w:rsidR="003E5BCE" w:rsidRPr="00EF775C" w:rsidRDefault="003E5BCE" w:rsidP="00EF775C">
      <w:pPr>
        <w:pStyle w:val="Zkladntext"/>
        <w:numPr>
          <w:ilvl w:val="1"/>
          <w:numId w:val="4"/>
        </w:numPr>
        <w:tabs>
          <w:tab w:val="clear" w:pos="1420"/>
          <w:tab w:val="num" w:pos="720"/>
        </w:tabs>
        <w:ind w:hanging="1060"/>
      </w:pPr>
      <w:r w:rsidRPr="00EF775C">
        <w:lastRenderedPageBreak/>
        <w:t>zvýhodněné pásmové</w:t>
      </w:r>
      <w:r w:rsidR="000F74B6" w:rsidRPr="00EF775C">
        <w:t xml:space="preserve"> úročení zůstatku běžného účtu</w:t>
      </w:r>
      <w:r w:rsidR="009017D2" w:rsidRPr="00EF775C">
        <w:t>;</w:t>
      </w:r>
    </w:p>
    <w:p w:rsidR="003E5BCE" w:rsidRPr="00EF775C" w:rsidRDefault="003E5BCE" w:rsidP="00EF775C">
      <w:pPr>
        <w:pStyle w:val="Zkladntext"/>
        <w:numPr>
          <w:ilvl w:val="1"/>
          <w:numId w:val="4"/>
        </w:numPr>
        <w:tabs>
          <w:tab w:val="clear" w:pos="1420"/>
          <w:tab w:val="num" w:pos="720"/>
        </w:tabs>
        <w:ind w:hanging="1060"/>
      </w:pPr>
      <w:r w:rsidRPr="00EF775C">
        <w:t>elektronické bankovnictví</w:t>
      </w:r>
      <w:r w:rsidR="009017D2" w:rsidRPr="00EF775C">
        <w:t>;</w:t>
      </w:r>
    </w:p>
    <w:p w:rsidR="003E5BCE" w:rsidRPr="00EF775C" w:rsidRDefault="000F74B6" w:rsidP="00EF775C">
      <w:pPr>
        <w:pStyle w:val="Zkladntext"/>
        <w:numPr>
          <w:ilvl w:val="1"/>
          <w:numId w:val="4"/>
        </w:numPr>
        <w:tabs>
          <w:tab w:val="clear" w:pos="1420"/>
          <w:tab w:val="num" w:pos="720"/>
        </w:tabs>
        <w:ind w:hanging="1060"/>
      </w:pPr>
      <w:r w:rsidRPr="00EF775C">
        <w:t>embosovaná platební karta</w:t>
      </w:r>
      <w:r w:rsidR="009017D2" w:rsidRPr="00EF775C">
        <w:t>;</w:t>
      </w:r>
    </w:p>
    <w:p w:rsidR="003E5BCE" w:rsidRPr="00EF775C" w:rsidRDefault="003E5BCE" w:rsidP="00EF775C">
      <w:pPr>
        <w:pStyle w:val="Zkladntext"/>
        <w:numPr>
          <w:ilvl w:val="1"/>
          <w:numId w:val="4"/>
        </w:numPr>
        <w:tabs>
          <w:tab w:val="clear" w:pos="1420"/>
          <w:tab w:val="num" w:pos="720"/>
        </w:tabs>
        <w:ind w:hanging="1060"/>
      </w:pPr>
      <w:r w:rsidRPr="00EF775C">
        <w:t>možnost povoleného přečerpání běžného účtu</w:t>
      </w:r>
      <w:r w:rsidR="009017D2" w:rsidRPr="00EF775C">
        <w:t>;</w:t>
      </w:r>
    </w:p>
    <w:p w:rsidR="003E5BCE" w:rsidRPr="00EF775C" w:rsidRDefault="003E5BCE" w:rsidP="00EF775C">
      <w:pPr>
        <w:pStyle w:val="Zkladntext"/>
        <w:numPr>
          <w:ilvl w:val="1"/>
          <w:numId w:val="4"/>
        </w:numPr>
        <w:tabs>
          <w:tab w:val="clear" w:pos="1420"/>
          <w:tab w:val="num" w:pos="720"/>
        </w:tabs>
        <w:ind w:hanging="1060"/>
      </w:pPr>
      <w:r w:rsidRPr="00EF775C">
        <w:t>elektronická platební karta, atd.</w:t>
      </w:r>
    </w:p>
    <w:p w:rsidR="003E5BCE" w:rsidRPr="00EF775C" w:rsidRDefault="003E5BCE" w:rsidP="00EF775C">
      <w:pPr>
        <w:pStyle w:val="Zkladntext"/>
        <w:numPr>
          <w:ilvl w:val="0"/>
          <w:numId w:val="3"/>
        </w:numPr>
      </w:pPr>
      <w:r w:rsidRPr="00EF775C">
        <w:rPr>
          <w:bCs/>
        </w:rPr>
        <w:t xml:space="preserve">Cash </w:t>
      </w:r>
      <w:r w:rsidR="005A6316">
        <w:rPr>
          <w:bCs/>
        </w:rPr>
        <w:t>P</w:t>
      </w:r>
      <w:r w:rsidRPr="00EF775C">
        <w:rPr>
          <w:bCs/>
        </w:rPr>
        <w:t>ooling</w:t>
      </w:r>
      <w:r w:rsidRPr="00EF775C">
        <w:rPr>
          <w:b/>
          <w:bCs/>
        </w:rPr>
        <w:t xml:space="preserve"> </w:t>
      </w:r>
      <w:r w:rsidRPr="00EF775C">
        <w:t xml:space="preserve">– jako efektivní zhodnocení volných finančních prostředků uložených na netermínovaných účtech a na dalších netermínovaných </w:t>
      </w:r>
      <w:r w:rsidR="000F74B6" w:rsidRPr="00EF775C">
        <w:t>produktech</w:t>
      </w:r>
      <w:r w:rsidR="00DF59B7" w:rsidRPr="00EF775C">
        <w:t>.</w:t>
      </w:r>
    </w:p>
    <w:p w:rsidR="003E5BCE" w:rsidRPr="00EF775C" w:rsidRDefault="00DF59B7" w:rsidP="00EF775C">
      <w:pPr>
        <w:pStyle w:val="Zkladntext"/>
        <w:numPr>
          <w:ilvl w:val="0"/>
          <w:numId w:val="3"/>
        </w:numPr>
      </w:pPr>
      <w:r w:rsidRPr="00EF775C">
        <w:t>V</w:t>
      </w:r>
      <w:r w:rsidR="003E5BCE" w:rsidRPr="00EF775C">
        <w:t>edení účtů fondů (např. Rozvoje bydlení a dalších)</w:t>
      </w:r>
      <w:r w:rsidRPr="00EF775C">
        <w:t>.</w:t>
      </w:r>
    </w:p>
    <w:p w:rsidR="003E5BCE" w:rsidRPr="00EF775C" w:rsidRDefault="00DF59B7" w:rsidP="00EF775C">
      <w:pPr>
        <w:pStyle w:val="Zkladntext"/>
        <w:numPr>
          <w:ilvl w:val="0"/>
          <w:numId w:val="3"/>
        </w:numPr>
      </w:pPr>
      <w:r w:rsidRPr="00EF775C">
        <w:rPr>
          <w:bCs/>
        </w:rPr>
        <w:t>M</w:t>
      </w:r>
      <w:r w:rsidR="003E5BCE" w:rsidRPr="00EF775C">
        <w:rPr>
          <w:bCs/>
        </w:rPr>
        <w:t xml:space="preserve">unicipální (komunální) financování </w:t>
      </w:r>
      <w:r w:rsidR="003E5BCE" w:rsidRPr="00EF775C">
        <w:t>– portfolio úvěrových produktů pro zajištění financování rozvojových potřeb, zejména individuální přístup a využití všech dostupných podpůrných programů (vč. programů Evropské unie)</w:t>
      </w:r>
      <w:r w:rsidRPr="00EF775C">
        <w:t>.</w:t>
      </w:r>
    </w:p>
    <w:p w:rsidR="003E5BCE" w:rsidRPr="00EF775C" w:rsidRDefault="00DF59B7" w:rsidP="00EF775C">
      <w:pPr>
        <w:pStyle w:val="Zkladntext"/>
        <w:numPr>
          <w:ilvl w:val="0"/>
          <w:numId w:val="3"/>
        </w:numPr>
      </w:pPr>
      <w:r w:rsidRPr="00EF775C">
        <w:t>F</w:t>
      </w:r>
      <w:r w:rsidR="003E5BCE" w:rsidRPr="00EF775C">
        <w:t>inancování neziskových organizací</w:t>
      </w:r>
      <w:r w:rsidRPr="00EF775C">
        <w:t>.</w:t>
      </w:r>
    </w:p>
    <w:p w:rsidR="003E5BCE" w:rsidRPr="00EF775C" w:rsidRDefault="00DF59B7" w:rsidP="00EF775C">
      <w:pPr>
        <w:pStyle w:val="Zkladntext"/>
        <w:numPr>
          <w:ilvl w:val="0"/>
          <w:numId w:val="3"/>
        </w:numPr>
      </w:pPr>
      <w:r w:rsidRPr="00EF775C">
        <w:t>P</w:t>
      </w:r>
      <w:r w:rsidR="003E5BCE" w:rsidRPr="00EF775C">
        <w:t>rogramy na spolufinancování rozvojových programů z fondů Evropské unie.</w:t>
      </w:r>
    </w:p>
    <w:p w:rsidR="00F124B0" w:rsidRPr="00EF775C" w:rsidRDefault="00F124B0" w:rsidP="00EF775C">
      <w:pPr>
        <w:pStyle w:val="Nadpis1"/>
        <w:spacing w:before="0" w:after="0" w:line="240" w:lineRule="auto"/>
        <w:rPr>
          <w:rFonts w:ascii="Times New Roman" w:hAnsi="Times New Roman"/>
          <w:b w:val="0"/>
          <w:caps/>
          <w:sz w:val="24"/>
          <w:szCs w:val="24"/>
        </w:rPr>
      </w:pPr>
    </w:p>
    <w:p w:rsidR="008F6332" w:rsidRPr="00EF775C" w:rsidRDefault="00F124B0" w:rsidP="00EF775C">
      <w:pPr>
        <w:pStyle w:val="Nadpis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EF775C">
        <w:rPr>
          <w:rFonts w:ascii="Times New Roman" w:hAnsi="Times New Roman"/>
          <w:sz w:val="24"/>
          <w:szCs w:val="24"/>
        </w:rPr>
        <w:t>Speciální</w:t>
      </w:r>
      <w:r w:rsidR="00153029" w:rsidRPr="00EF775C">
        <w:rPr>
          <w:rFonts w:ascii="Times New Roman" w:hAnsi="Times New Roman"/>
          <w:sz w:val="24"/>
          <w:szCs w:val="24"/>
        </w:rPr>
        <w:t xml:space="preserve"> n</w:t>
      </w:r>
      <w:r w:rsidR="008F6332" w:rsidRPr="00EF775C">
        <w:rPr>
          <w:rFonts w:ascii="Times New Roman" w:hAnsi="Times New Roman"/>
          <w:sz w:val="24"/>
          <w:szCs w:val="24"/>
        </w:rPr>
        <w:t>abídky bank</w:t>
      </w:r>
      <w:r w:rsidR="009017D2" w:rsidRPr="00EF775C">
        <w:rPr>
          <w:rFonts w:ascii="Times New Roman" w:hAnsi="Times New Roman"/>
          <w:sz w:val="24"/>
          <w:szCs w:val="24"/>
        </w:rPr>
        <w:t xml:space="preserve"> na podporu regionálního rozvoje</w:t>
      </w:r>
    </w:p>
    <w:p w:rsidR="002D554E" w:rsidRPr="00EF775C" w:rsidRDefault="00762409" w:rsidP="00EF775C">
      <w:pPr>
        <w:pStyle w:val="Zkladntext"/>
        <w:numPr>
          <w:ilvl w:val="0"/>
          <w:numId w:val="12"/>
        </w:numPr>
      </w:pPr>
      <w:r w:rsidRPr="00EF775C">
        <w:t>V</w:t>
      </w:r>
      <w:r w:rsidR="002D554E" w:rsidRPr="00EF775C">
        <w:t>yhledávání možností dotaci z</w:t>
      </w:r>
      <w:r w:rsidRPr="00EF775C">
        <w:t> Evropské unie (</w:t>
      </w:r>
      <w:r w:rsidR="002D554E" w:rsidRPr="00EF775C">
        <w:t>EU</w:t>
      </w:r>
      <w:r w:rsidRPr="00EF775C">
        <w:t>).</w:t>
      </w:r>
    </w:p>
    <w:p w:rsidR="002D554E" w:rsidRPr="00EF775C" w:rsidRDefault="00762409" w:rsidP="00EF775C">
      <w:pPr>
        <w:pStyle w:val="Zkladntext"/>
        <w:numPr>
          <w:ilvl w:val="0"/>
          <w:numId w:val="12"/>
        </w:numPr>
      </w:pPr>
      <w:r w:rsidRPr="00EF775C">
        <w:t>P</w:t>
      </w:r>
      <w:r w:rsidR="002D554E" w:rsidRPr="00EF775C">
        <w:t>oradenství k</w:t>
      </w:r>
      <w:r w:rsidR="008206A3" w:rsidRPr="00EF775C">
        <w:t> </w:t>
      </w:r>
      <w:r w:rsidR="002D554E" w:rsidRPr="00EF775C">
        <w:t>dotacím</w:t>
      </w:r>
      <w:r w:rsidR="008206A3" w:rsidRPr="00EF775C">
        <w:t>.</w:t>
      </w:r>
    </w:p>
    <w:p w:rsidR="002D554E" w:rsidRPr="00EF775C" w:rsidRDefault="00DF59B7" w:rsidP="00EF775C">
      <w:pPr>
        <w:pStyle w:val="Zkladntext"/>
        <w:numPr>
          <w:ilvl w:val="0"/>
          <w:numId w:val="13"/>
        </w:numPr>
      </w:pPr>
      <w:r w:rsidRPr="00EF775C">
        <w:t>N</w:t>
      </w:r>
      <w:r w:rsidR="002D554E" w:rsidRPr="00EF775C">
        <w:t>adstandardní podmínky financování s výrazným zvýhodněním a přizpůsobením potřebám a finančním tokům jednotliv</w:t>
      </w:r>
      <w:r w:rsidRPr="00EF775C">
        <w:t>ých subjektů municipální sféry.</w:t>
      </w:r>
    </w:p>
    <w:p w:rsidR="002D554E" w:rsidRPr="00EF775C" w:rsidRDefault="00DF59B7" w:rsidP="00EF775C">
      <w:pPr>
        <w:pStyle w:val="Zkladntext"/>
        <w:numPr>
          <w:ilvl w:val="0"/>
          <w:numId w:val="13"/>
        </w:numPr>
      </w:pPr>
      <w:r w:rsidRPr="00EF775C">
        <w:t>Z</w:t>
      </w:r>
      <w:r w:rsidR="002D554E" w:rsidRPr="00EF775C">
        <w:t xml:space="preserve">výhodněné poplatky a úrokové sazby </w:t>
      </w:r>
      <w:r w:rsidR="00425A32" w:rsidRPr="00EF775C">
        <w:t>a</w:t>
      </w:r>
      <w:r w:rsidR="002D554E" w:rsidRPr="00EF775C">
        <w:t xml:space="preserve"> dalších vybraných produktů a služeb</w:t>
      </w:r>
      <w:r w:rsidRPr="00EF775C">
        <w:t xml:space="preserve"> pro klienty z komunální sféry.</w:t>
      </w:r>
    </w:p>
    <w:p w:rsidR="002D554E" w:rsidRPr="00EF775C" w:rsidRDefault="00DF59B7" w:rsidP="00EF775C">
      <w:pPr>
        <w:pStyle w:val="Zkladntext"/>
        <w:numPr>
          <w:ilvl w:val="0"/>
          <w:numId w:val="13"/>
        </w:numPr>
      </w:pPr>
      <w:r w:rsidRPr="00EF775C">
        <w:t>P</w:t>
      </w:r>
      <w:r w:rsidR="002D554E" w:rsidRPr="00EF775C">
        <w:t>oradenství v oblasti peněžních toků, správy volných finančních prostředků a op</w:t>
      </w:r>
      <w:r w:rsidRPr="00EF775C">
        <w:t>timalizace investičních záměrů.</w:t>
      </w:r>
    </w:p>
    <w:p w:rsidR="002D554E" w:rsidRPr="00EF775C" w:rsidRDefault="00DF59B7" w:rsidP="00EF775C">
      <w:pPr>
        <w:pStyle w:val="Zkladntext"/>
        <w:numPr>
          <w:ilvl w:val="0"/>
          <w:numId w:val="13"/>
        </w:numPr>
        <w:tabs>
          <w:tab w:val="clear" w:pos="340"/>
          <w:tab w:val="num" w:pos="0"/>
        </w:tabs>
      </w:pPr>
      <w:r w:rsidRPr="00EF775C">
        <w:t>P</w:t>
      </w:r>
      <w:r w:rsidR="002D554E" w:rsidRPr="00EF775C">
        <w:t>řístup ke zdrojům na financování provozních i investičních potřeb, včetně financování rozvojových program</w:t>
      </w:r>
      <w:r w:rsidRPr="00EF775C">
        <w:t>ů s využitím zdrojů EU a státu.</w:t>
      </w:r>
    </w:p>
    <w:p w:rsidR="002D554E" w:rsidRPr="00EF775C" w:rsidRDefault="00A762C4" w:rsidP="00EF775C">
      <w:pPr>
        <w:pStyle w:val="Zkladntext"/>
        <w:numPr>
          <w:ilvl w:val="0"/>
          <w:numId w:val="28"/>
        </w:numPr>
        <w:tabs>
          <w:tab w:val="num" w:pos="0"/>
        </w:tabs>
        <w:ind w:left="340"/>
      </w:pPr>
      <w:hyperlink r:id="rId12" w:history="1">
        <w:r w:rsidR="002D554E" w:rsidRPr="00EF775C">
          <w:rPr>
            <w:rStyle w:val="Hypertextovodkaz"/>
            <w:color w:val="auto"/>
            <w:u w:val="none"/>
          </w:rPr>
          <w:t xml:space="preserve"> Municipální konto</w:t>
        </w:r>
      </w:hyperlink>
      <w:r w:rsidR="002D554E" w:rsidRPr="00EF775C">
        <w:t xml:space="preserve"> – určené výhradně pro potřeby měst, obcí, svazků obcí a krajských úřadů k uskutečnění platebního styku. Představuje komplexní nabídku cenově a úrokově zvýhodněných služeb k pokrytí základních potřeb v oblasti platebně-zúčtovacího styku: </w:t>
      </w:r>
    </w:p>
    <w:p w:rsidR="002D554E" w:rsidRPr="00EF775C" w:rsidRDefault="00DF59B7" w:rsidP="00EF775C">
      <w:pPr>
        <w:pStyle w:val="Zkladntext"/>
        <w:numPr>
          <w:ilvl w:val="0"/>
          <w:numId w:val="14"/>
        </w:numPr>
        <w:tabs>
          <w:tab w:val="clear" w:pos="340"/>
          <w:tab w:val="num" w:pos="567"/>
        </w:tabs>
        <w:ind w:hanging="56"/>
      </w:pPr>
      <w:r w:rsidRPr="00EF775C">
        <w:t>zřízení a vedení běžného účtu</w:t>
      </w:r>
      <w:r w:rsidR="00762409" w:rsidRPr="00EF775C">
        <w:t>;</w:t>
      </w:r>
    </w:p>
    <w:p w:rsidR="002D554E" w:rsidRPr="00EF775C" w:rsidRDefault="00DF59B7" w:rsidP="00EF775C">
      <w:pPr>
        <w:pStyle w:val="Zkladntext"/>
        <w:numPr>
          <w:ilvl w:val="0"/>
          <w:numId w:val="14"/>
        </w:numPr>
        <w:tabs>
          <w:tab w:val="clear" w:pos="340"/>
          <w:tab w:val="num" w:pos="567"/>
        </w:tabs>
        <w:ind w:hanging="56"/>
      </w:pPr>
      <w:r w:rsidRPr="00EF775C">
        <w:t>zasílání výpisů</w:t>
      </w:r>
      <w:r w:rsidR="00762409" w:rsidRPr="00EF775C">
        <w:t>;</w:t>
      </w:r>
    </w:p>
    <w:p w:rsidR="002D554E" w:rsidRPr="00EF775C" w:rsidRDefault="002D554E" w:rsidP="00EF775C">
      <w:pPr>
        <w:pStyle w:val="Zkladntext"/>
        <w:numPr>
          <w:ilvl w:val="0"/>
          <w:numId w:val="14"/>
        </w:numPr>
        <w:tabs>
          <w:tab w:val="clear" w:pos="340"/>
          <w:tab w:val="num" w:pos="567"/>
        </w:tabs>
        <w:ind w:hanging="56"/>
      </w:pPr>
      <w:r w:rsidRPr="00EF775C">
        <w:t>zvýhodněné pásmové</w:t>
      </w:r>
      <w:r w:rsidR="00DF59B7" w:rsidRPr="00EF775C">
        <w:t xml:space="preserve"> úročení zůstatku běžného účtu</w:t>
      </w:r>
      <w:r w:rsidR="00762409" w:rsidRPr="00EF775C">
        <w:t>;</w:t>
      </w:r>
    </w:p>
    <w:p w:rsidR="00762409" w:rsidRPr="00EF775C" w:rsidRDefault="002D554E" w:rsidP="00EF775C">
      <w:pPr>
        <w:pStyle w:val="Zkladntext"/>
        <w:numPr>
          <w:ilvl w:val="0"/>
          <w:numId w:val="14"/>
        </w:numPr>
        <w:tabs>
          <w:tab w:val="clear" w:pos="340"/>
          <w:tab w:val="num" w:pos="567"/>
        </w:tabs>
        <w:ind w:hanging="56"/>
      </w:pPr>
      <w:r w:rsidRPr="00EF775C">
        <w:t>elektronické bankovnictví</w:t>
      </w:r>
      <w:r w:rsidR="00762409" w:rsidRPr="00EF775C">
        <w:t>;</w:t>
      </w:r>
    </w:p>
    <w:p w:rsidR="002D554E" w:rsidRPr="00EF775C" w:rsidRDefault="00DF59B7" w:rsidP="00EF775C">
      <w:pPr>
        <w:pStyle w:val="Zkladntext"/>
        <w:numPr>
          <w:ilvl w:val="0"/>
          <w:numId w:val="14"/>
        </w:numPr>
        <w:tabs>
          <w:tab w:val="clear" w:pos="340"/>
          <w:tab w:val="num" w:pos="567"/>
        </w:tabs>
        <w:ind w:hanging="56"/>
      </w:pPr>
      <w:r w:rsidRPr="00EF775C">
        <w:t>embosovaná platební karta</w:t>
      </w:r>
      <w:r w:rsidR="00762409" w:rsidRPr="00EF775C">
        <w:t>;</w:t>
      </w:r>
    </w:p>
    <w:p w:rsidR="002D554E" w:rsidRPr="00EF775C" w:rsidRDefault="00DF59B7" w:rsidP="00EF775C">
      <w:pPr>
        <w:pStyle w:val="Zkladntext"/>
        <w:numPr>
          <w:ilvl w:val="0"/>
          <w:numId w:val="14"/>
        </w:numPr>
        <w:tabs>
          <w:tab w:val="clear" w:pos="340"/>
          <w:tab w:val="num" w:pos="567"/>
        </w:tabs>
        <w:ind w:hanging="56"/>
      </w:pPr>
      <w:r w:rsidRPr="00EF775C">
        <w:t>možnost povoleného přečerpání.</w:t>
      </w:r>
    </w:p>
    <w:p w:rsidR="002D554E" w:rsidRPr="00EF775C" w:rsidRDefault="002D554E" w:rsidP="00EF775C">
      <w:pPr>
        <w:pStyle w:val="Zkladntext"/>
        <w:numPr>
          <w:ilvl w:val="0"/>
          <w:numId w:val="29"/>
        </w:numPr>
        <w:ind w:left="284" w:hanging="284"/>
      </w:pPr>
      <w:r w:rsidRPr="00EF775C">
        <w:rPr>
          <w:bCs/>
        </w:rPr>
        <w:t xml:space="preserve">Cash </w:t>
      </w:r>
      <w:r w:rsidR="009E0033" w:rsidRPr="00EF775C">
        <w:rPr>
          <w:bCs/>
        </w:rPr>
        <w:t>P</w:t>
      </w:r>
      <w:r w:rsidRPr="00EF775C">
        <w:rPr>
          <w:bCs/>
        </w:rPr>
        <w:t>ooling fiktivní</w:t>
      </w:r>
      <w:r w:rsidR="00F05238" w:rsidRPr="00EF775C">
        <w:rPr>
          <w:bCs/>
        </w:rPr>
        <w:t>, jako</w:t>
      </w:r>
      <w:r w:rsidRPr="00EF775C">
        <w:t xml:space="preserve"> efektivní zhodnocení volných finančních prostředků uložených na netermínovaných účtech města a také na dalších netermínovaných účtech organiz</w:t>
      </w:r>
      <w:r w:rsidR="00762409" w:rsidRPr="00EF775C">
        <w:t>ací, které jsou městem zřízeny.</w:t>
      </w:r>
    </w:p>
    <w:p w:rsidR="002D554E" w:rsidRPr="00EF775C" w:rsidRDefault="002D554E" w:rsidP="00EF775C">
      <w:pPr>
        <w:pStyle w:val="Zkladntext"/>
        <w:numPr>
          <w:ilvl w:val="0"/>
          <w:numId w:val="29"/>
        </w:numPr>
        <w:ind w:left="284" w:hanging="284"/>
      </w:pPr>
      <w:r w:rsidRPr="00EF775C">
        <w:t>V</w:t>
      </w:r>
      <w:hyperlink r:id="rId13" w:history="1">
        <w:r w:rsidRPr="00EF775C">
          <w:t xml:space="preserve">edení účtu Fondu rozvoje bydlení </w:t>
        </w:r>
        <w:r w:rsidR="00F05238" w:rsidRPr="00EF775C">
          <w:t xml:space="preserve">(FRB) </w:t>
        </w:r>
        <w:r w:rsidRPr="00EF775C">
          <w:t>obce a související služby</w:t>
        </w:r>
      </w:hyperlink>
      <w:r w:rsidRPr="00EF775C">
        <w:t xml:space="preserve"> – komplexní řešení určené obcím pro vedení účtu FRB obce na opravy a modernizaci bytů a současně i pro správu a vedení půjček z FRB, které obce poskytují fyzickým nebo právnickým osobám, </w:t>
      </w:r>
    </w:p>
    <w:p w:rsidR="002D554E" w:rsidRPr="00EF775C" w:rsidRDefault="002D554E" w:rsidP="00EF775C">
      <w:pPr>
        <w:pStyle w:val="Zkladntext"/>
        <w:numPr>
          <w:ilvl w:val="0"/>
          <w:numId w:val="30"/>
        </w:numPr>
        <w:tabs>
          <w:tab w:val="left" w:pos="284"/>
        </w:tabs>
        <w:ind w:left="284" w:hanging="284"/>
      </w:pPr>
      <w:r w:rsidRPr="00EF775C">
        <w:rPr>
          <w:bCs/>
        </w:rPr>
        <w:t>Zhodnocování volných finančních prostředků</w:t>
      </w:r>
      <w:r w:rsidRPr="00EF775C">
        <w:t xml:space="preserve"> prostřednictvím: </w:t>
      </w:r>
    </w:p>
    <w:p w:rsidR="002D554E" w:rsidRPr="00EF775C" w:rsidRDefault="00A762C4" w:rsidP="00EF775C">
      <w:pPr>
        <w:pStyle w:val="Zkladntext"/>
        <w:numPr>
          <w:ilvl w:val="0"/>
          <w:numId w:val="16"/>
        </w:numPr>
        <w:tabs>
          <w:tab w:val="clear" w:pos="340"/>
          <w:tab w:val="num" w:pos="567"/>
        </w:tabs>
        <w:ind w:hanging="56"/>
      </w:pPr>
      <w:hyperlink r:id="rId14" w:history="1">
        <w:r w:rsidR="002D554E" w:rsidRPr="00EF775C">
          <w:rPr>
            <w:rStyle w:val="Hypertextovodkaz"/>
            <w:color w:val="auto"/>
            <w:u w:val="none"/>
          </w:rPr>
          <w:t>termínovaného vkladu</w:t>
        </w:r>
      </w:hyperlink>
      <w:r w:rsidR="00762409" w:rsidRPr="00EF775C">
        <w:t>;</w:t>
      </w:r>
    </w:p>
    <w:p w:rsidR="002D554E" w:rsidRPr="00EF775C" w:rsidRDefault="00A762C4" w:rsidP="00EF775C">
      <w:pPr>
        <w:pStyle w:val="Zkladntext"/>
        <w:numPr>
          <w:ilvl w:val="0"/>
          <w:numId w:val="16"/>
        </w:numPr>
        <w:tabs>
          <w:tab w:val="clear" w:pos="340"/>
          <w:tab w:val="num" w:pos="567"/>
        </w:tabs>
        <w:ind w:hanging="56"/>
      </w:pPr>
      <w:hyperlink r:id="rId15" w:history="1">
        <w:r w:rsidR="002D554E" w:rsidRPr="00EF775C">
          <w:rPr>
            <w:rStyle w:val="Hypertextovodkaz"/>
            <w:color w:val="auto"/>
            <w:u w:val="none"/>
          </w:rPr>
          <w:t>spořicího účtu</w:t>
        </w:r>
      </w:hyperlink>
      <w:r w:rsidR="00762409" w:rsidRPr="00EF775C">
        <w:t>;</w:t>
      </w:r>
    </w:p>
    <w:p w:rsidR="002D554E" w:rsidRPr="00EF775C" w:rsidRDefault="00A762C4" w:rsidP="00EF775C">
      <w:pPr>
        <w:pStyle w:val="Zkladntext"/>
        <w:numPr>
          <w:ilvl w:val="0"/>
          <w:numId w:val="16"/>
        </w:numPr>
        <w:tabs>
          <w:tab w:val="clear" w:pos="340"/>
          <w:tab w:val="num" w:pos="567"/>
        </w:tabs>
        <w:ind w:hanging="56"/>
      </w:pPr>
      <w:hyperlink r:id="rId16" w:history="1">
        <w:r w:rsidR="002D554E" w:rsidRPr="00EF775C">
          <w:rPr>
            <w:rStyle w:val="Hypertextovodkaz"/>
            <w:color w:val="auto"/>
            <w:u w:val="none"/>
          </w:rPr>
          <w:t>podílových fondů</w:t>
        </w:r>
        <w:r w:rsidR="00762409" w:rsidRPr="00EF775C">
          <w:rPr>
            <w:rStyle w:val="Hypertextovodkaz"/>
            <w:color w:val="auto"/>
            <w:u w:val="none"/>
          </w:rPr>
          <w:t>;</w:t>
        </w:r>
      </w:hyperlink>
      <w:r w:rsidR="002D554E" w:rsidRPr="00EF775C">
        <w:t xml:space="preserve"> </w:t>
      </w:r>
    </w:p>
    <w:p w:rsidR="008206A3" w:rsidRPr="00EF775C" w:rsidRDefault="00762409" w:rsidP="00EF775C">
      <w:pPr>
        <w:pStyle w:val="Zkladntext"/>
        <w:numPr>
          <w:ilvl w:val="0"/>
          <w:numId w:val="16"/>
        </w:numPr>
        <w:tabs>
          <w:tab w:val="clear" w:pos="340"/>
          <w:tab w:val="num" w:pos="567"/>
        </w:tabs>
        <w:ind w:hanging="56"/>
        <w:rPr>
          <w:b/>
          <w:bCs/>
        </w:rPr>
      </w:pPr>
      <w:r w:rsidRPr="00EF775C">
        <w:t>individuálního investičního scénáře připraveného na míru specialistou.</w:t>
      </w:r>
      <w:r w:rsidRPr="00EF775C">
        <w:rPr>
          <w:b/>
          <w:bCs/>
        </w:rPr>
        <w:t xml:space="preserve"> </w:t>
      </w:r>
    </w:p>
    <w:p w:rsidR="002D554E" w:rsidRPr="00EF775C" w:rsidRDefault="002D554E" w:rsidP="00EF775C">
      <w:pPr>
        <w:pStyle w:val="Zkladntext"/>
        <w:numPr>
          <w:ilvl w:val="0"/>
          <w:numId w:val="21"/>
        </w:numPr>
        <w:tabs>
          <w:tab w:val="clear" w:pos="340"/>
        </w:tabs>
        <w:ind w:left="284" w:hanging="284"/>
      </w:pPr>
      <w:r w:rsidRPr="00EF775C">
        <w:t xml:space="preserve">Cash </w:t>
      </w:r>
      <w:r w:rsidR="009E0033" w:rsidRPr="00EF775C">
        <w:t>P</w:t>
      </w:r>
      <w:r w:rsidRPr="00EF775C">
        <w:t>ooling evidenční - umožňuje efektivněji zhodnocovat volné finanční prostředky na různých běžných účtech v rámci jednoho právního subjektu</w:t>
      </w:r>
      <w:r w:rsidR="00DF59B7" w:rsidRPr="00EF775C">
        <w:t>.</w:t>
      </w:r>
    </w:p>
    <w:p w:rsidR="002D554E" w:rsidRPr="00EF775C" w:rsidRDefault="00DF59B7" w:rsidP="00EF775C">
      <w:pPr>
        <w:pStyle w:val="Zkladntext"/>
        <w:numPr>
          <w:ilvl w:val="0"/>
          <w:numId w:val="21"/>
        </w:numPr>
        <w:tabs>
          <w:tab w:val="clear" w:pos="340"/>
        </w:tabs>
        <w:ind w:left="284" w:hanging="284"/>
      </w:pPr>
      <w:r w:rsidRPr="00EF775C">
        <w:t>T</w:t>
      </w:r>
      <w:r w:rsidR="002D554E" w:rsidRPr="00EF775C">
        <w:t>ermínovaný vklad v korunách v</w:t>
      </w:r>
      <w:r w:rsidR="009E0033" w:rsidRPr="00EF775C">
        <w:t> </w:t>
      </w:r>
      <w:proofErr w:type="gramStart"/>
      <w:r w:rsidR="002D554E" w:rsidRPr="00EF775C">
        <w:t>EUR</w:t>
      </w:r>
      <w:proofErr w:type="gramEnd"/>
      <w:r w:rsidR="009E0033" w:rsidRPr="00EF775C">
        <w:t>, nebo</w:t>
      </w:r>
      <w:r w:rsidR="002D554E" w:rsidRPr="00EF775C">
        <w:t xml:space="preserve"> USD </w:t>
      </w:r>
      <w:r w:rsidR="00376D3C" w:rsidRPr="00EF775C">
        <w:t xml:space="preserve">– </w:t>
      </w:r>
      <w:r w:rsidR="002D554E" w:rsidRPr="00EF775C">
        <w:t>jednorázový vklad na pevný termín s jednorázovou splatností nebo s automatickým obnovením</w:t>
      </w:r>
      <w:r w:rsidRPr="00EF775C">
        <w:t>.</w:t>
      </w:r>
    </w:p>
    <w:p w:rsidR="002D554E" w:rsidRPr="00EF775C" w:rsidRDefault="00DF59B7" w:rsidP="00EF775C">
      <w:pPr>
        <w:pStyle w:val="Zkladntext"/>
        <w:numPr>
          <w:ilvl w:val="0"/>
          <w:numId w:val="21"/>
        </w:numPr>
        <w:tabs>
          <w:tab w:val="clear" w:pos="340"/>
        </w:tabs>
        <w:ind w:left="284" w:hanging="284"/>
      </w:pPr>
      <w:r w:rsidRPr="00EF775C">
        <w:lastRenderedPageBreak/>
        <w:t>A</w:t>
      </w:r>
      <w:r w:rsidR="002D554E" w:rsidRPr="00EF775C">
        <w:t>utomatické overnight vklady v korunách (ATVIS) - termínované vklady přes noc, vytvářené automaticky z nadměrného zůstatku na běžném účtu po zaúčtování všech platebních operací dne</w:t>
      </w:r>
      <w:r w:rsidRPr="00EF775C">
        <w:t>.</w:t>
      </w:r>
    </w:p>
    <w:p w:rsidR="002D554E" w:rsidRPr="00EF775C" w:rsidRDefault="00DF59B7" w:rsidP="00EF775C">
      <w:pPr>
        <w:pStyle w:val="Zkladntext"/>
        <w:numPr>
          <w:ilvl w:val="0"/>
          <w:numId w:val="21"/>
        </w:numPr>
        <w:tabs>
          <w:tab w:val="clear" w:pos="340"/>
        </w:tabs>
        <w:ind w:left="284" w:hanging="284"/>
      </w:pPr>
      <w:r w:rsidRPr="00EF775C">
        <w:t>Bě</w:t>
      </w:r>
      <w:r w:rsidR="002D554E" w:rsidRPr="00EF775C">
        <w:t>žný účet s povoleným debetem</w:t>
      </w:r>
      <w:r w:rsidRPr="00EF775C">
        <w:t>.</w:t>
      </w:r>
    </w:p>
    <w:p w:rsidR="002D554E" w:rsidRPr="00EF775C" w:rsidRDefault="00DF59B7" w:rsidP="00EF775C">
      <w:pPr>
        <w:pStyle w:val="Zkladntext"/>
        <w:numPr>
          <w:ilvl w:val="0"/>
          <w:numId w:val="21"/>
        </w:numPr>
        <w:tabs>
          <w:tab w:val="clear" w:pos="340"/>
        </w:tabs>
        <w:ind w:left="284" w:hanging="284"/>
      </w:pPr>
      <w:r w:rsidRPr="00EF775C">
        <w:t>P</w:t>
      </w:r>
      <w:r w:rsidR="002D554E" w:rsidRPr="00EF775C">
        <w:t>odílové fondy - efektivní zhodnocení volných finančních prostředků</w:t>
      </w:r>
      <w:r w:rsidRPr="00EF775C">
        <w:t>.</w:t>
      </w:r>
    </w:p>
    <w:p w:rsidR="002D554E" w:rsidRPr="00EF775C" w:rsidRDefault="00DF59B7" w:rsidP="00EF775C">
      <w:pPr>
        <w:pStyle w:val="Zkladntext"/>
        <w:numPr>
          <w:ilvl w:val="0"/>
          <w:numId w:val="21"/>
        </w:numPr>
        <w:tabs>
          <w:tab w:val="clear" w:pos="340"/>
        </w:tabs>
        <w:ind w:left="284" w:hanging="284"/>
      </w:pPr>
      <w:r w:rsidRPr="00EF775C">
        <w:t>Ú</w:t>
      </w:r>
      <w:r w:rsidR="002D554E" w:rsidRPr="00EF775C">
        <w:t>věrování - úvěrové obchody za zvýhodněných podmínek</w:t>
      </w:r>
      <w:r w:rsidRPr="00EF775C">
        <w:t>.</w:t>
      </w:r>
    </w:p>
    <w:p w:rsidR="002D554E" w:rsidRPr="00EF775C" w:rsidRDefault="00DF59B7" w:rsidP="00EF775C">
      <w:pPr>
        <w:pStyle w:val="Zkladntext"/>
        <w:numPr>
          <w:ilvl w:val="0"/>
          <w:numId w:val="21"/>
        </w:numPr>
        <w:tabs>
          <w:tab w:val="clear" w:pos="340"/>
        </w:tabs>
        <w:ind w:left="284" w:hanging="284"/>
      </w:pPr>
      <w:r w:rsidRPr="00EF775C">
        <w:t>P</w:t>
      </w:r>
      <w:r w:rsidR="007A20CC" w:rsidRPr="00EF775C">
        <w:t>remium</w:t>
      </w:r>
      <w:r w:rsidR="002D554E" w:rsidRPr="00EF775C">
        <w:t xml:space="preserve"> konto, Extra konto nebo Perfekt konto - pro zaměstnance i management</w:t>
      </w:r>
      <w:r w:rsidRPr="00EF775C">
        <w:t>.</w:t>
      </w:r>
    </w:p>
    <w:p w:rsidR="002D554E" w:rsidRPr="00EF775C" w:rsidRDefault="00DF59B7" w:rsidP="00EF775C">
      <w:pPr>
        <w:pStyle w:val="Zkladntext"/>
        <w:numPr>
          <w:ilvl w:val="0"/>
          <w:numId w:val="21"/>
        </w:numPr>
        <w:tabs>
          <w:tab w:val="clear" w:pos="340"/>
        </w:tabs>
        <w:ind w:left="284" w:hanging="284"/>
      </w:pPr>
      <w:r w:rsidRPr="00EF775C">
        <w:t>P</w:t>
      </w:r>
      <w:r w:rsidR="002D554E" w:rsidRPr="00EF775C">
        <w:t>rogram zaměstnaneckých výhod - cenově zvýhodněné běžné účty, penzijní připojištění a životní pojištění</w:t>
      </w:r>
      <w:r w:rsidRPr="00EF775C">
        <w:t>.</w:t>
      </w:r>
    </w:p>
    <w:p w:rsidR="002D554E" w:rsidRPr="00EF775C" w:rsidRDefault="00DF59B7" w:rsidP="00EF775C">
      <w:pPr>
        <w:pStyle w:val="Zkladntext"/>
        <w:numPr>
          <w:ilvl w:val="0"/>
          <w:numId w:val="21"/>
        </w:numPr>
        <w:tabs>
          <w:tab w:val="clear" w:pos="340"/>
        </w:tabs>
        <w:ind w:left="284" w:hanging="284"/>
      </w:pPr>
      <w:r w:rsidRPr="00EF775C">
        <w:t>L</w:t>
      </w:r>
      <w:r w:rsidR="002D554E" w:rsidRPr="00EF775C">
        <w:t>easingové produkty - financování aut, dopravní nebo stavební techniky, technologických zařízení a nemovitostí</w:t>
      </w:r>
      <w:r w:rsidRPr="00EF775C">
        <w:t>.</w:t>
      </w:r>
    </w:p>
    <w:p w:rsidR="002D554E" w:rsidRPr="00EF775C" w:rsidRDefault="00DF59B7" w:rsidP="00EF775C">
      <w:pPr>
        <w:pStyle w:val="Zkladntext"/>
        <w:numPr>
          <w:ilvl w:val="0"/>
          <w:numId w:val="21"/>
        </w:numPr>
        <w:tabs>
          <w:tab w:val="clear" w:pos="340"/>
        </w:tabs>
        <w:ind w:left="284" w:hanging="284"/>
      </w:pPr>
      <w:r w:rsidRPr="00EF775C">
        <w:t>P</w:t>
      </w:r>
      <w:r w:rsidR="002D554E" w:rsidRPr="00EF775C">
        <w:t>ojištění</w:t>
      </w:r>
      <w:r w:rsidR="00762409" w:rsidRPr="00EF775C">
        <w:t>.</w:t>
      </w:r>
    </w:p>
    <w:p w:rsidR="002D554E" w:rsidRPr="00EF775C" w:rsidRDefault="002D554E" w:rsidP="00EF775C">
      <w:pPr>
        <w:pStyle w:val="Zkladntext"/>
        <w:numPr>
          <w:ilvl w:val="0"/>
          <w:numId w:val="31"/>
        </w:numPr>
        <w:tabs>
          <w:tab w:val="left" w:pos="284"/>
        </w:tabs>
        <w:ind w:left="284" w:hanging="284"/>
      </w:pPr>
      <w:r w:rsidRPr="00EF775C">
        <w:t>Úvěr na předfinancování grant</w:t>
      </w:r>
      <w:r w:rsidR="00425A32" w:rsidRPr="00EF775C">
        <w:t>ů</w:t>
      </w:r>
      <w:r w:rsidRPr="00EF775C">
        <w:t xml:space="preserve"> EU</w:t>
      </w:r>
      <w:r w:rsidR="00F05238" w:rsidRPr="00EF775C">
        <w:t>.</w:t>
      </w:r>
      <w:r w:rsidR="004A4826" w:rsidRPr="00EF775C">
        <w:t xml:space="preserve"> </w:t>
      </w:r>
      <w:r w:rsidRPr="00EF775C">
        <w:t xml:space="preserve">Jedná se o krátkodobý až střednědobý úvěr na řešení časového nesouladu mezi potřebou hradit způsobilé výdaje projektu a čerpáním dotace ze Strukturálních fondů EU. </w:t>
      </w:r>
    </w:p>
    <w:p w:rsidR="004A64A5" w:rsidRPr="00EF775C" w:rsidRDefault="004A64A5" w:rsidP="00EF775C">
      <w:pPr>
        <w:pStyle w:val="Zkladntext"/>
        <w:tabs>
          <w:tab w:val="left" w:pos="284"/>
        </w:tabs>
      </w:pPr>
    </w:p>
    <w:p w:rsidR="004A64A5" w:rsidRPr="00EF775C" w:rsidRDefault="004A64A5" w:rsidP="00EF7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75C">
        <w:rPr>
          <w:rFonts w:ascii="Times New Roman" w:hAnsi="Times New Roman"/>
          <w:sz w:val="24"/>
          <w:szCs w:val="24"/>
        </w:rPr>
        <w:t xml:space="preserve">Evropská investiční banka (EIB) – globální úvěr pro veřejný sektor </w:t>
      </w:r>
    </w:p>
    <w:p w:rsidR="004A64A5" w:rsidRPr="00EF775C" w:rsidRDefault="004A64A5" w:rsidP="00EF775C">
      <w:pPr>
        <w:pStyle w:val="Zkladntext"/>
      </w:pPr>
      <w:r w:rsidRPr="00EF775C">
        <w:t xml:space="preserve">Globální úvěr je jedním z nástrojů podpory malého a středního podnikání poskytovaných EIB. Zdroje EIB lze využít na realizaci projektů formou investičního úvěru a splňujících kritéria EIB. (náklady na projekt v rozmezí 40 tis. až </w:t>
      </w:r>
      <w:smartTag w:uri="urn:schemas-microsoft-com:office:smarttags" w:element="metricconverter">
        <w:smartTagPr>
          <w:attr w:name="ProductID" w:val="25 mil"/>
        </w:smartTagPr>
        <w:r w:rsidRPr="00EF775C">
          <w:t>25 mil</w:t>
        </w:r>
      </w:smartTag>
      <w:r w:rsidRPr="00EF775C">
        <w:t>. EUR, realizace projektu do 3 let, vyloučení některých oborů podnikání (např. spalování odpadu, výroba a distribuce tabákových výrobků, produkce mouky, sladování, zpracování lnu a konopí.)</w:t>
      </w:r>
    </w:p>
    <w:p w:rsidR="00A104F6" w:rsidRDefault="00A104F6" w:rsidP="004A64A5">
      <w:pPr>
        <w:pStyle w:val="Zkladntext"/>
        <w:spacing w:line="360" w:lineRule="auto"/>
      </w:pPr>
    </w:p>
    <w:p w:rsidR="00A104F6" w:rsidRPr="001D4AA8" w:rsidRDefault="00A104F6" w:rsidP="00A104F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Závěr</w:t>
      </w:r>
    </w:p>
    <w:p w:rsidR="00A104F6" w:rsidRDefault="00A104F6" w:rsidP="003C1677">
      <w:pPr>
        <w:pStyle w:val="Zkladntext"/>
      </w:pPr>
      <w:r>
        <w:t>Bankovní sektor se zejména v posledních létech dynamický vyvíjí. Rostoucí počet bank se projevuje zejména v tlaku udržení klientů a získaní nových klientů na úkor ostatních bank</w:t>
      </w:r>
      <w:r w:rsidR="00DE6158">
        <w:t xml:space="preserve">. </w:t>
      </w:r>
      <w:r w:rsidR="0086650C">
        <w:t xml:space="preserve">Dochází rovněž k postupné přeměně dceřiných společnosti bank na jejich pobočky s cílem zlepšit efektivitu bankovního hospodaření. </w:t>
      </w:r>
      <w:r w:rsidR="00DE6158">
        <w:t xml:space="preserve">Jednou z významných možností </w:t>
      </w:r>
      <w:r w:rsidR="0086650C">
        <w:t xml:space="preserve">banky </w:t>
      </w:r>
      <w:r w:rsidR="00DE6158">
        <w:t xml:space="preserve">je orientace na municipality a neziskové organizace a nabídka produktů, které jsou jim určeny. </w:t>
      </w:r>
    </w:p>
    <w:p w:rsidR="004A64A5" w:rsidRPr="004A4826" w:rsidRDefault="004A64A5" w:rsidP="003C1677">
      <w:pPr>
        <w:pStyle w:val="Zkladntext"/>
      </w:pPr>
    </w:p>
    <w:p w:rsidR="00EE6CC6" w:rsidRDefault="00EE6CC6" w:rsidP="00CD61E2">
      <w:pPr>
        <w:pStyle w:val="Odstavecseseznamem"/>
        <w:rPr>
          <w:b/>
          <w:caps/>
        </w:rPr>
      </w:pPr>
    </w:p>
    <w:p w:rsidR="00CD61E2" w:rsidRDefault="00CD61E2" w:rsidP="00CD61E2">
      <w:pPr>
        <w:pStyle w:val="Odstavecseseznamem"/>
        <w:spacing w:after="0" w:line="240" w:lineRule="auto"/>
        <w:ind w:left="0"/>
        <w:rPr>
          <w:rFonts w:ascii="Times New Roman" w:hAnsi="Times New Roman"/>
          <w:b/>
          <w:caps/>
          <w:sz w:val="24"/>
          <w:szCs w:val="24"/>
        </w:rPr>
      </w:pPr>
      <w:r w:rsidRPr="00CD61E2">
        <w:rPr>
          <w:rFonts w:ascii="Times New Roman" w:hAnsi="Times New Roman"/>
          <w:b/>
          <w:caps/>
          <w:sz w:val="24"/>
          <w:szCs w:val="24"/>
        </w:rPr>
        <w:t>Bibliografie</w:t>
      </w:r>
    </w:p>
    <w:p w:rsidR="00B7726D" w:rsidRPr="00A104F6" w:rsidRDefault="00B7726D" w:rsidP="00B7726D">
      <w:pPr>
        <w:pStyle w:val="Zkladntext"/>
        <w:tabs>
          <w:tab w:val="left" w:pos="426"/>
        </w:tabs>
        <w:rPr>
          <w:rFonts w:eastAsia="Arial Unicode MS"/>
        </w:rPr>
      </w:pPr>
      <w:r w:rsidRPr="00A104F6">
        <w:rPr>
          <w:rFonts w:eastAsia="Arial Unicode MS"/>
        </w:rPr>
        <w:t xml:space="preserve">JUŘÍK, P.: Historie bank a spořitelen v Čechách a na Moravě, 1. vyd. Praha, </w:t>
      </w:r>
      <w:proofErr w:type="spellStart"/>
      <w:r w:rsidRPr="00A104F6">
        <w:rPr>
          <w:rFonts w:eastAsia="Arial Unicode MS"/>
        </w:rPr>
        <w:t>Libri</w:t>
      </w:r>
      <w:proofErr w:type="spellEnd"/>
      <w:r w:rsidRPr="00A104F6">
        <w:rPr>
          <w:rFonts w:eastAsia="Arial Unicode MS"/>
        </w:rPr>
        <w:t xml:space="preserve">, 2011, ISBN </w:t>
      </w:r>
      <w:r w:rsidRPr="00A104F6">
        <w:rPr>
          <w:rStyle w:val="full-999-body-value"/>
          <w:rFonts w:eastAsia="Arial Unicode MS"/>
        </w:rPr>
        <w:t>9788072774883,</w:t>
      </w:r>
      <w:r w:rsidRPr="00A104F6">
        <w:rPr>
          <w:rFonts w:eastAsia="Arial Unicode MS"/>
        </w:rPr>
        <w:t xml:space="preserve"> 190 s.</w:t>
      </w:r>
    </w:p>
    <w:p w:rsidR="00B7726D" w:rsidRPr="00A104F6" w:rsidRDefault="00B7726D" w:rsidP="00B7726D">
      <w:pPr>
        <w:pStyle w:val="Zkladntext"/>
        <w:tabs>
          <w:tab w:val="left" w:pos="426"/>
        </w:tabs>
        <w:rPr>
          <w:rFonts w:eastAsia="Arial Unicode MS"/>
        </w:rPr>
      </w:pPr>
      <w:r w:rsidRPr="00A104F6">
        <w:rPr>
          <w:rFonts w:eastAsia="Arial Unicode MS"/>
          <w:caps/>
        </w:rPr>
        <w:t>Bartošek,</w:t>
      </w:r>
      <w:r w:rsidRPr="00A104F6">
        <w:rPr>
          <w:rFonts w:eastAsia="Arial Unicode MS"/>
        </w:rPr>
        <w:t xml:space="preserve"> K. a kol.: Bankovnictví v České republice, 3. přepracované vyd., Praha, Bankovní institut, 1998, 353 s.</w:t>
      </w:r>
    </w:p>
    <w:p w:rsidR="00B7726D" w:rsidRPr="00A104F6" w:rsidRDefault="00B7726D" w:rsidP="00B7726D">
      <w:pPr>
        <w:pStyle w:val="Zkladntext"/>
        <w:tabs>
          <w:tab w:val="left" w:pos="426"/>
        </w:tabs>
        <w:rPr>
          <w:rFonts w:eastAsia="Arial Unicode MS"/>
        </w:rPr>
      </w:pPr>
      <w:r w:rsidRPr="00A104F6">
        <w:rPr>
          <w:rFonts w:eastAsia="Arial Unicode MS"/>
          <w:caps/>
        </w:rPr>
        <w:t>Žídek</w:t>
      </w:r>
      <w:r w:rsidRPr="00A104F6">
        <w:rPr>
          <w:rFonts w:eastAsia="Arial Unicode MS"/>
        </w:rPr>
        <w:t>, L.:</w:t>
      </w:r>
      <w:r>
        <w:rPr>
          <w:rFonts w:eastAsia="Arial Unicode MS"/>
        </w:rPr>
        <w:t xml:space="preserve"> </w:t>
      </w:r>
      <w:r w:rsidRPr="00A104F6">
        <w:rPr>
          <w:rFonts w:eastAsia="Arial Unicode MS"/>
        </w:rPr>
        <w:t xml:space="preserve">Transformace české ekonomiky, 2. vyd., Praha, </w:t>
      </w:r>
      <w:proofErr w:type="spellStart"/>
      <w:proofErr w:type="gramStart"/>
      <w:r w:rsidRPr="00A104F6">
        <w:rPr>
          <w:rFonts w:eastAsia="Arial Unicode MS"/>
        </w:rPr>
        <w:t>C.H.</w:t>
      </w:r>
      <w:proofErr w:type="gramEnd"/>
      <w:r w:rsidRPr="00A104F6">
        <w:rPr>
          <w:rFonts w:eastAsia="Arial Unicode MS"/>
        </w:rPr>
        <w:t>Beck</w:t>
      </w:r>
      <w:proofErr w:type="spellEnd"/>
      <w:r w:rsidRPr="00A104F6">
        <w:rPr>
          <w:rFonts w:eastAsia="Arial Unicode MS"/>
        </w:rPr>
        <w:t xml:space="preserve">, 2006, ISBN </w:t>
      </w:r>
      <w:r w:rsidRPr="00A104F6">
        <w:rPr>
          <w:rStyle w:val="full-999-body-value"/>
          <w:rFonts w:eastAsia="Arial Unicode MS"/>
        </w:rPr>
        <w:t>807179922X</w:t>
      </w:r>
      <w:r w:rsidRPr="00A104F6">
        <w:rPr>
          <w:rFonts w:eastAsia="Arial Unicode MS"/>
        </w:rPr>
        <w:t>, 304 s.</w:t>
      </w:r>
    </w:p>
    <w:p w:rsidR="00937007" w:rsidRPr="00937007" w:rsidRDefault="00937007" w:rsidP="00937007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7007">
        <w:rPr>
          <w:rFonts w:ascii="Times New Roman" w:hAnsi="Times New Roman"/>
          <w:i/>
          <w:sz w:val="24"/>
          <w:szCs w:val="24"/>
        </w:rPr>
        <w:t>Česká spořitelna, a.s.</w:t>
      </w:r>
      <w:r w:rsidRPr="00937007">
        <w:rPr>
          <w:rFonts w:ascii="Times New Roman" w:hAnsi="Times New Roman"/>
          <w:sz w:val="24"/>
          <w:szCs w:val="24"/>
        </w:rPr>
        <w:t xml:space="preserve"> [online]. 2012 [citováno: 20. 03. 2012]. Dostupné z:</w:t>
      </w:r>
    </w:p>
    <w:p w:rsidR="00937007" w:rsidRPr="00937007" w:rsidRDefault="00A762C4" w:rsidP="00937007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hyperlink r:id="rId17" w:history="1">
        <w:r w:rsidR="00937007" w:rsidRPr="00937007">
          <w:rPr>
            <w:rStyle w:val="Hypertextovodkaz"/>
            <w:rFonts w:ascii="Times New Roman" w:hAnsi="Times New Roman"/>
            <w:sz w:val="24"/>
            <w:szCs w:val="24"/>
          </w:rPr>
          <w:t>http://www.csas.cz/banka/nav/o-nas/profil-ceske-sporitelny-d00014413</w:t>
        </w:r>
      </w:hyperlink>
      <w:r w:rsidR="00937007" w:rsidRPr="00937007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937007" w:rsidRPr="00937007" w:rsidRDefault="00937007" w:rsidP="0093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007">
        <w:rPr>
          <w:rFonts w:ascii="Times New Roman" w:eastAsia="Arial Unicode MS" w:hAnsi="Times New Roman"/>
          <w:i/>
          <w:sz w:val="24"/>
          <w:szCs w:val="24"/>
        </w:rPr>
        <w:t>Univerzita Palackého v Olomouci, Právnická fakulta</w:t>
      </w:r>
      <w:r w:rsidRPr="00937007">
        <w:rPr>
          <w:rFonts w:ascii="Times New Roman" w:hAnsi="Times New Roman"/>
          <w:sz w:val="24"/>
          <w:szCs w:val="24"/>
        </w:rPr>
        <w:t>[online]. 2012 [citováno: 26. 9. 2012]. Dostupné z:</w:t>
      </w:r>
    </w:p>
    <w:p w:rsidR="00937007" w:rsidRPr="00937007" w:rsidRDefault="00A762C4" w:rsidP="00937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hyperlink r:id="rId18" w:history="1">
        <w:r w:rsidR="00937007" w:rsidRPr="00937007">
          <w:rPr>
            <w:rStyle w:val="Hypertextovodkaz"/>
            <w:rFonts w:ascii="Times New Roman" w:hAnsi="Times New Roman"/>
            <w:sz w:val="24"/>
            <w:szCs w:val="24"/>
            <w:lang w:eastAsia="cs-CZ"/>
          </w:rPr>
          <w:t>http://www.upol.cz/fileadmin/user_upload/knihovna/Skripta_FF/finance_a_bankovnictvi.pdf</w:t>
        </w:r>
      </w:hyperlink>
      <w:r w:rsidR="00937007" w:rsidRPr="00937007">
        <w:rPr>
          <w:rFonts w:ascii="Times New Roman" w:hAnsi="Times New Roman"/>
          <w:color w:val="0000FF"/>
          <w:sz w:val="24"/>
          <w:szCs w:val="24"/>
          <w:u w:val="single"/>
          <w:lang w:eastAsia="cs-CZ"/>
        </w:rPr>
        <w:t xml:space="preserve">  </w:t>
      </w:r>
    </w:p>
    <w:p w:rsidR="00937007" w:rsidRPr="00937007" w:rsidRDefault="00937007" w:rsidP="00937007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7007">
        <w:rPr>
          <w:rFonts w:ascii="Times New Roman" w:hAnsi="Times New Roman"/>
          <w:i/>
          <w:sz w:val="24"/>
          <w:szCs w:val="24"/>
        </w:rPr>
        <w:t xml:space="preserve">Fond pojištění vkladů </w:t>
      </w:r>
      <w:r w:rsidRPr="00937007">
        <w:rPr>
          <w:rFonts w:ascii="Times New Roman" w:hAnsi="Times New Roman"/>
          <w:sz w:val="24"/>
          <w:szCs w:val="24"/>
        </w:rPr>
        <w:t>[online]. 2012 [citováno: 12. 02. 2012]. Dostupné z:</w:t>
      </w:r>
    </w:p>
    <w:p w:rsidR="00937007" w:rsidRPr="00937007" w:rsidRDefault="00A762C4" w:rsidP="009370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9" w:history="1">
        <w:r w:rsidR="00937007" w:rsidRPr="00937007">
          <w:rPr>
            <w:rStyle w:val="Hypertextovodkaz"/>
            <w:rFonts w:ascii="Times New Roman" w:hAnsi="Times New Roman"/>
            <w:sz w:val="24"/>
            <w:szCs w:val="24"/>
          </w:rPr>
          <w:t>www.fpv.cz</w:t>
        </w:r>
      </w:hyperlink>
      <w:r w:rsidR="00937007" w:rsidRPr="00937007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937007" w:rsidRPr="00937007" w:rsidRDefault="00937007" w:rsidP="00937007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7007">
        <w:rPr>
          <w:rFonts w:ascii="Times New Roman" w:hAnsi="Times New Roman"/>
          <w:i/>
          <w:sz w:val="24"/>
          <w:szCs w:val="24"/>
        </w:rPr>
        <w:t xml:space="preserve">Hospodářské noviny </w:t>
      </w:r>
      <w:r w:rsidRPr="00937007">
        <w:rPr>
          <w:rFonts w:ascii="Times New Roman" w:hAnsi="Times New Roman"/>
          <w:sz w:val="24"/>
          <w:szCs w:val="24"/>
        </w:rPr>
        <w:t>[online]. 2012 [citováno: 12. 02. 2012]. Dostupné z:</w:t>
      </w:r>
    </w:p>
    <w:p w:rsidR="00937007" w:rsidRPr="00937007" w:rsidRDefault="00A762C4" w:rsidP="009370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0" w:history="1">
        <w:r w:rsidR="00937007" w:rsidRPr="00937007">
          <w:rPr>
            <w:rStyle w:val="Hypertextovodkaz"/>
            <w:rFonts w:ascii="Times New Roman" w:hAnsi="Times New Roman"/>
            <w:sz w:val="24"/>
            <w:szCs w:val="24"/>
          </w:rPr>
          <w:t>http://hn.ihned.cz/?p=500000_d&amp;article[id]=1007263</w:t>
        </w:r>
      </w:hyperlink>
      <w:r w:rsidR="00937007" w:rsidRPr="00937007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937007" w:rsidRPr="00937007" w:rsidRDefault="00937007" w:rsidP="009370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7007">
        <w:rPr>
          <w:rFonts w:ascii="Times New Roman" w:hAnsi="Times New Roman"/>
          <w:i/>
          <w:sz w:val="24"/>
          <w:szCs w:val="24"/>
        </w:rPr>
        <w:t xml:space="preserve">Česká národní banka </w:t>
      </w:r>
      <w:r w:rsidRPr="00937007">
        <w:rPr>
          <w:rFonts w:ascii="Times New Roman" w:hAnsi="Times New Roman"/>
          <w:sz w:val="24"/>
          <w:szCs w:val="24"/>
        </w:rPr>
        <w:t>[online]. 2012 [citováno: 26. 9. 2012]. Dostupné z:</w:t>
      </w:r>
    </w:p>
    <w:p w:rsidR="00937007" w:rsidRPr="00937007" w:rsidRDefault="00A762C4" w:rsidP="0093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937007" w:rsidRPr="00937007">
          <w:rPr>
            <w:rStyle w:val="Hypertextovodkaz"/>
            <w:rFonts w:ascii="Times New Roman" w:hAnsi="Times New Roman"/>
            <w:sz w:val="24"/>
            <w:szCs w:val="24"/>
          </w:rPr>
          <w:t>http://www.cnb.cz/cs/dohled_financni_trh/souhrnne_informace_fin_trhy/zakladni_ukazatele_fin_trhu/banky/bs_ukazatele_tab01.html</w:t>
        </w:r>
      </w:hyperlink>
      <w:r w:rsidR="00937007" w:rsidRPr="00937007">
        <w:rPr>
          <w:rFonts w:ascii="Times New Roman" w:hAnsi="Times New Roman"/>
          <w:sz w:val="24"/>
          <w:szCs w:val="24"/>
        </w:rPr>
        <w:t xml:space="preserve"> </w:t>
      </w:r>
    </w:p>
    <w:p w:rsidR="00937007" w:rsidRPr="00937007" w:rsidRDefault="00937007" w:rsidP="009370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7007">
        <w:rPr>
          <w:rFonts w:ascii="Times New Roman" w:hAnsi="Times New Roman"/>
          <w:i/>
          <w:sz w:val="24"/>
          <w:szCs w:val="24"/>
        </w:rPr>
        <w:t xml:space="preserve">Česká národní banka </w:t>
      </w:r>
      <w:r w:rsidRPr="00937007">
        <w:rPr>
          <w:rFonts w:ascii="Times New Roman" w:hAnsi="Times New Roman"/>
          <w:sz w:val="24"/>
          <w:szCs w:val="24"/>
        </w:rPr>
        <w:t>[online]. 2012 [citováno: 26. 9. 2012]. Dostupné z:</w:t>
      </w:r>
    </w:p>
    <w:p w:rsidR="00937007" w:rsidRPr="00937007" w:rsidRDefault="00A762C4" w:rsidP="0093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937007" w:rsidRPr="00937007">
          <w:rPr>
            <w:rStyle w:val="Hypertextovodkaz"/>
            <w:rFonts w:ascii="Times New Roman" w:hAnsi="Times New Roman"/>
            <w:sz w:val="24"/>
            <w:szCs w:val="24"/>
          </w:rPr>
          <w:t>http://www.cnb.cz/miranda2/export/sites/www.cnb.cz/cs/dohled_financni_trh/souhrnne_informace_fin_trhy/zpravy_o_vykonu_dohledu/download/dnft_2009_cz.pdf</w:t>
        </w:r>
      </w:hyperlink>
      <w:r w:rsidR="00937007" w:rsidRPr="00937007">
        <w:rPr>
          <w:rFonts w:ascii="Times New Roman" w:hAnsi="Times New Roman"/>
          <w:sz w:val="24"/>
          <w:szCs w:val="24"/>
        </w:rPr>
        <w:t xml:space="preserve">, s. 67. </w:t>
      </w:r>
    </w:p>
    <w:p w:rsidR="00937007" w:rsidRPr="00937007" w:rsidRDefault="00937007" w:rsidP="0093700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37007">
        <w:rPr>
          <w:rFonts w:ascii="Times New Roman" w:hAnsi="Times New Roman"/>
          <w:i/>
          <w:sz w:val="24"/>
          <w:szCs w:val="24"/>
        </w:rPr>
        <w:t>Národná</w:t>
      </w:r>
      <w:proofErr w:type="spellEnd"/>
      <w:r w:rsidRPr="00937007">
        <w:rPr>
          <w:rFonts w:ascii="Times New Roman" w:hAnsi="Times New Roman"/>
          <w:i/>
          <w:sz w:val="24"/>
          <w:szCs w:val="24"/>
        </w:rPr>
        <w:t xml:space="preserve"> banka </w:t>
      </w:r>
      <w:proofErr w:type="spellStart"/>
      <w:r w:rsidRPr="00937007">
        <w:rPr>
          <w:rFonts w:ascii="Times New Roman" w:hAnsi="Times New Roman"/>
          <w:i/>
          <w:sz w:val="24"/>
          <w:szCs w:val="24"/>
        </w:rPr>
        <w:t>slovenska</w:t>
      </w:r>
      <w:proofErr w:type="spellEnd"/>
      <w:r w:rsidRPr="00937007">
        <w:rPr>
          <w:rFonts w:ascii="Times New Roman" w:hAnsi="Times New Roman"/>
          <w:i/>
          <w:sz w:val="24"/>
          <w:szCs w:val="24"/>
        </w:rPr>
        <w:t xml:space="preserve"> </w:t>
      </w:r>
      <w:r w:rsidRPr="00937007">
        <w:rPr>
          <w:rFonts w:ascii="Times New Roman" w:hAnsi="Times New Roman"/>
          <w:sz w:val="24"/>
          <w:szCs w:val="24"/>
        </w:rPr>
        <w:t xml:space="preserve">[online]. </w:t>
      </w:r>
      <w:r w:rsidRPr="00937007">
        <w:rPr>
          <w:rFonts w:ascii="Times New Roman" w:hAnsi="Times New Roman"/>
          <w:i/>
          <w:sz w:val="24"/>
          <w:szCs w:val="24"/>
        </w:rPr>
        <w:t>[</w:t>
      </w:r>
      <w:r w:rsidRPr="00937007">
        <w:rPr>
          <w:rFonts w:ascii="Times New Roman" w:hAnsi="Times New Roman"/>
          <w:sz w:val="24"/>
          <w:szCs w:val="24"/>
        </w:rPr>
        <w:t>citováno: 7. 12. 2013].</w:t>
      </w:r>
      <w:r w:rsidRPr="00937007">
        <w:rPr>
          <w:rFonts w:ascii="Times New Roman" w:hAnsi="Times New Roman"/>
          <w:i/>
          <w:sz w:val="24"/>
          <w:szCs w:val="24"/>
        </w:rPr>
        <w:t xml:space="preserve"> </w:t>
      </w:r>
      <w:r w:rsidRPr="00937007">
        <w:rPr>
          <w:rFonts w:ascii="Times New Roman" w:hAnsi="Times New Roman"/>
          <w:sz w:val="24"/>
          <w:szCs w:val="24"/>
        </w:rPr>
        <w:t>Dostupné z:</w:t>
      </w:r>
    </w:p>
    <w:p w:rsidR="00937007" w:rsidRPr="00937007" w:rsidRDefault="00A762C4" w:rsidP="0093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937007" w:rsidRPr="00937007">
          <w:rPr>
            <w:rStyle w:val="Hypertextovodkaz"/>
            <w:rFonts w:ascii="Times New Roman" w:hAnsi="Times New Roman"/>
            <w:sz w:val="24"/>
            <w:szCs w:val="24"/>
          </w:rPr>
          <w:t>http://www.nbs.sk/sk/statisticke-udaje/prehlad-o-rozvoji-penazneho-sektora/rozvoj-bankoveho-sektora-sr/rozvoj-bankoveho-sektora-v-slovenskej-republike-v-rokoch-2009-az-2012</w:t>
        </w:r>
      </w:hyperlink>
      <w:r w:rsidR="00937007" w:rsidRPr="00937007">
        <w:rPr>
          <w:rFonts w:ascii="Times New Roman" w:hAnsi="Times New Roman"/>
          <w:sz w:val="24"/>
          <w:szCs w:val="24"/>
        </w:rPr>
        <w:t xml:space="preserve">  </w:t>
      </w:r>
    </w:p>
    <w:p w:rsidR="00937007" w:rsidRPr="00937007" w:rsidRDefault="00937007" w:rsidP="009370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7007">
        <w:rPr>
          <w:rFonts w:ascii="Times New Roman" w:hAnsi="Times New Roman"/>
          <w:i/>
          <w:sz w:val="24"/>
          <w:szCs w:val="24"/>
        </w:rPr>
        <w:t xml:space="preserve">Česká národní banka </w:t>
      </w:r>
      <w:r w:rsidRPr="00937007">
        <w:rPr>
          <w:rFonts w:ascii="Times New Roman" w:hAnsi="Times New Roman"/>
          <w:sz w:val="24"/>
          <w:szCs w:val="24"/>
        </w:rPr>
        <w:t>[online]. 2012 [citováno: 26. 9. 2012]. Dostupné z:</w:t>
      </w:r>
    </w:p>
    <w:p w:rsidR="00937007" w:rsidRPr="00937007" w:rsidRDefault="00A762C4" w:rsidP="0093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="00937007" w:rsidRPr="00937007">
          <w:rPr>
            <w:rStyle w:val="Hypertextovodkaz"/>
            <w:rFonts w:ascii="Times New Roman" w:hAnsi="Times New Roman"/>
            <w:kern w:val="36"/>
            <w:sz w:val="24"/>
            <w:szCs w:val="24"/>
          </w:rPr>
          <w:t>http://www.cnb.cz/cs/dohled_financni_trh/souhrnne_informace_fin_trhy/zakladni_ukazatele_fin_zdravi/fsi_ukazatele_kons.html</w:t>
        </w:r>
      </w:hyperlink>
      <w:r w:rsidR="00937007" w:rsidRPr="00937007">
        <w:rPr>
          <w:rFonts w:ascii="Times New Roman" w:hAnsi="Times New Roman"/>
          <w:bCs/>
          <w:color w:val="333333"/>
          <w:kern w:val="36"/>
          <w:sz w:val="24"/>
          <w:szCs w:val="24"/>
        </w:rPr>
        <w:t xml:space="preserve"> </w:t>
      </w:r>
    </w:p>
    <w:p w:rsidR="00CD61E2" w:rsidRDefault="00CD61E2" w:rsidP="00CD61E2">
      <w:pPr>
        <w:pStyle w:val="Zkladntext"/>
        <w:tabs>
          <w:tab w:val="left" w:pos="426"/>
        </w:tabs>
        <w:rPr>
          <w:rFonts w:eastAsia="Arial Unicode MS"/>
          <w:color w:val="212063"/>
        </w:rPr>
      </w:pPr>
    </w:p>
    <w:p w:rsidR="00CD61E2" w:rsidRPr="00CD61E2" w:rsidRDefault="00CD61E2" w:rsidP="00CD61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D61E2">
        <w:rPr>
          <w:rFonts w:ascii="Times New Roman" w:hAnsi="Times New Roman"/>
          <w:b/>
          <w:sz w:val="24"/>
          <w:szCs w:val="24"/>
        </w:rPr>
        <w:t>SEZNAM ZKRATEK</w:t>
      </w:r>
    </w:p>
    <w:p w:rsidR="0086650C" w:rsidRPr="00937007" w:rsidRDefault="0086650C" w:rsidP="00CD61E2">
      <w:pPr>
        <w:pStyle w:val="Zkladntext"/>
        <w:tabs>
          <w:tab w:val="left" w:pos="426"/>
        </w:tabs>
      </w:pPr>
      <w:r w:rsidRPr="00937007">
        <w:t>ATVIS – Automatické overnight vklady v korunách</w:t>
      </w:r>
    </w:p>
    <w:p w:rsidR="0086650C" w:rsidRDefault="0086650C" w:rsidP="00CD61E2">
      <w:pPr>
        <w:pStyle w:val="Zkladntext"/>
        <w:tabs>
          <w:tab w:val="left" w:pos="426"/>
        </w:tabs>
        <w:rPr>
          <w:color w:val="000000"/>
        </w:rPr>
      </w:pPr>
      <w:r>
        <w:rPr>
          <w:color w:val="000000"/>
        </w:rPr>
        <w:t>ČKA</w:t>
      </w:r>
      <w:r w:rsidRPr="00E67178">
        <w:rPr>
          <w:color w:val="000000"/>
        </w:rPr>
        <w:t xml:space="preserve"> </w:t>
      </w:r>
      <w:r>
        <w:rPr>
          <w:color w:val="000000"/>
        </w:rPr>
        <w:t>– Česká konsolidační agentura</w:t>
      </w:r>
    </w:p>
    <w:p w:rsidR="0086650C" w:rsidRPr="00CD61E2" w:rsidRDefault="0086650C" w:rsidP="00CD6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61E2">
        <w:rPr>
          <w:rFonts w:ascii="Times New Roman" w:hAnsi="Times New Roman"/>
          <w:sz w:val="24"/>
          <w:szCs w:val="24"/>
        </w:rPr>
        <w:t>ČNB – Česká národní banka</w:t>
      </w:r>
    </w:p>
    <w:p w:rsidR="0086650C" w:rsidRPr="00CD61E2" w:rsidRDefault="0086650C" w:rsidP="00CD6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61E2">
        <w:rPr>
          <w:rFonts w:ascii="Times New Roman" w:hAnsi="Times New Roman"/>
          <w:sz w:val="24"/>
          <w:szCs w:val="24"/>
        </w:rPr>
        <w:t>ČR – Česká republika</w:t>
      </w:r>
    </w:p>
    <w:p w:rsidR="0086650C" w:rsidRDefault="0086650C" w:rsidP="00CD61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ČSAS – Česká spořitelna, a.s.</w:t>
      </w:r>
    </w:p>
    <w:p w:rsidR="0086650C" w:rsidRPr="00CD61E2" w:rsidRDefault="0086650C" w:rsidP="00CD6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61E2">
        <w:rPr>
          <w:rFonts w:ascii="Times New Roman" w:hAnsi="Times New Roman"/>
          <w:sz w:val="24"/>
          <w:szCs w:val="24"/>
        </w:rPr>
        <w:t>ECB – Evropská centrální banka</w:t>
      </w:r>
    </w:p>
    <w:p w:rsidR="0086650C" w:rsidRPr="00937007" w:rsidRDefault="0086650C" w:rsidP="00CD6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7007">
        <w:rPr>
          <w:rFonts w:ascii="Times New Roman" w:hAnsi="Times New Roman"/>
          <w:sz w:val="24"/>
          <w:szCs w:val="24"/>
        </w:rPr>
        <w:t>EIB – Evropská investiční banka</w:t>
      </w:r>
    </w:p>
    <w:p w:rsidR="0086650C" w:rsidRDefault="0086650C" w:rsidP="00CD61E2">
      <w:pPr>
        <w:pStyle w:val="Zkladntext"/>
        <w:tabs>
          <w:tab w:val="left" w:pos="426"/>
        </w:tabs>
        <w:rPr>
          <w:color w:val="000000"/>
        </w:rPr>
      </w:pPr>
      <w:r>
        <w:rPr>
          <w:color w:val="000000"/>
        </w:rPr>
        <w:t>ES – Evropské společenství</w:t>
      </w:r>
    </w:p>
    <w:p w:rsidR="0086650C" w:rsidRPr="00CD61E2" w:rsidRDefault="0086650C" w:rsidP="00CD6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61E2">
        <w:rPr>
          <w:rFonts w:ascii="Times New Roman" w:hAnsi="Times New Roman"/>
          <w:sz w:val="24"/>
          <w:szCs w:val="24"/>
        </w:rPr>
        <w:t>EU – Evropská unie</w:t>
      </w:r>
    </w:p>
    <w:p w:rsidR="0086650C" w:rsidRPr="00937007" w:rsidRDefault="0086650C" w:rsidP="00CD61E2">
      <w:pPr>
        <w:pStyle w:val="Zkladntext"/>
        <w:tabs>
          <w:tab w:val="left" w:pos="426"/>
        </w:tabs>
        <w:rPr>
          <w:rFonts w:eastAsia="Arial Unicode MS"/>
        </w:rPr>
      </w:pPr>
      <w:r w:rsidRPr="00937007">
        <w:rPr>
          <w:rFonts w:eastAsia="Arial Unicode MS"/>
        </w:rPr>
        <w:t>EUR – Měnová jednotka eurozóny</w:t>
      </w:r>
    </w:p>
    <w:p w:rsidR="0086650C" w:rsidRPr="00937007" w:rsidRDefault="0086650C" w:rsidP="00CD61E2">
      <w:pPr>
        <w:pStyle w:val="Zkladntext"/>
        <w:tabs>
          <w:tab w:val="left" w:pos="426"/>
        </w:tabs>
        <w:rPr>
          <w:rFonts w:eastAsia="Arial Unicode MS"/>
        </w:rPr>
      </w:pPr>
      <w:r w:rsidRPr="00937007">
        <w:rPr>
          <w:rFonts w:eastAsia="Arial Unicode MS"/>
        </w:rPr>
        <w:t>FRB – Fond rozvoje bydlení</w:t>
      </w:r>
    </w:p>
    <w:p w:rsidR="0086650C" w:rsidRDefault="0086650C" w:rsidP="00CD61E2">
      <w:pPr>
        <w:pStyle w:val="Zkladntext"/>
        <w:tabs>
          <w:tab w:val="left" w:pos="426"/>
        </w:tabs>
        <w:rPr>
          <w:color w:val="000000"/>
        </w:rPr>
      </w:pPr>
      <w:r>
        <w:rPr>
          <w:color w:val="000000"/>
        </w:rPr>
        <w:t xml:space="preserve">GE – General Electric </w:t>
      </w:r>
    </w:p>
    <w:p w:rsidR="0086650C" w:rsidRPr="00CD61E2" w:rsidRDefault="0086650C" w:rsidP="00CD6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61E2">
        <w:rPr>
          <w:rFonts w:ascii="Times New Roman" w:hAnsi="Times New Roman"/>
          <w:sz w:val="24"/>
          <w:szCs w:val="24"/>
        </w:rPr>
        <w:t xml:space="preserve">NBS – </w:t>
      </w:r>
      <w:proofErr w:type="spellStart"/>
      <w:r w:rsidRPr="00CD61E2">
        <w:rPr>
          <w:rFonts w:ascii="Times New Roman" w:hAnsi="Times New Roman"/>
          <w:sz w:val="24"/>
          <w:szCs w:val="24"/>
        </w:rPr>
        <w:t>Národná</w:t>
      </w:r>
      <w:proofErr w:type="spellEnd"/>
      <w:r w:rsidRPr="00CD61E2">
        <w:rPr>
          <w:rFonts w:ascii="Times New Roman" w:hAnsi="Times New Roman"/>
          <w:sz w:val="24"/>
          <w:szCs w:val="24"/>
        </w:rPr>
        <w:t xml:space="preserve"> banka Slovenska</w:t>
      </w:r>
    </w:p>
    <w:p w:rsidR="0086650C" w:rsidRDefault="0086650C" w:rsidP="00CD61E2">
      <w:pPr>
        <w:pStyle w:val="Zkladntext"/>
        <w:tabs>
          <w:tab w:val="left" w:pos="426"/>
        </w:tabs>
        <w:rPr>
          <w:color w:val="000000"/>
        </w:rPr>
      </w:pPr>
      <w:r>
        <w:rPr>
          <w:color w:val="000000"/>
        </w:rPr>
        <w:t>SBČS – Státní banka československá</w:t>
      </w:r>
    </w:p>
    <w:p w:rsidR="0086650C" w:rsidRDefault="0086650C" w:rsidP="00CD6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61E2">
        <w:rPr>
          <w:rFonts w:ascii="Times New Roman" w:hAnsi="Times New Roman"/>
          <w:sz w:val="24"/>
          <w:szCs w:val="24"/>
        </w:rPr>
        <w:t>SR – Slovenská republika</w:t>
      </w:r>
    </w:p>
    <w:p w:rsidR="0086650C" w:rsidRDefault="0086650C" w:rsidP="00CD61E2">
      <w:pPr>
        <w:pStyle w:val="Zkladntext"/>
        <w:tabs>
          <w:tab w:val="left" w:pos="426"/>
        </w:tabs>
        <w:rPr>
          <w:rFonts w:eastAsia="Arial Unicode MS"/>
        </w:rPr>
      </w:pPr>
      <w:r w:rsidRPr="00937007">
        <w:rPr>
          <w:rFonts w:eastAsia="Arial Unicode MS"/>
        </w:rPr>
        <w:t xml:space="preserve">USD – Měnová jednotka spojených států amerických (Americký dolar) </w:t>
      </w:r>
    </w:p>
    <w:p w:rsidR="0086650C" w:rsidRDefault="0086650C" w:rsidP="00CD61E2">
      <w:pPr>
        <w:pStyle w:val="Zkladntext"/>
        <w:tabs>
          <w:tab w:val="left" w:pos="426"/>
        </w:tabs>
        <w:rPr>
          <w:color w:val="000000"/>
        </w:rPr>
      </w:pPr>
      <w:r>
        <w:rPr>
          <w:color w:val="000000"/>
        </w:rPr>
        <w:t xml:space="preserve">VÚB – Všeobecná </w:t>
      </w:r>
      <w:proofErr w:type="spellStart"/>
      <w:r>
        <w:rPr>
          <w:color w:val="000000"/>
        </w:rPr>
        <w:t>úverová</w:t>
      </w:r>
      <w:proofErr w:type="spellEnd"/>
      <w:r>
        <w:rPr>
          <w:color w:val="000000"/>
        </w:rPr>
        <w:t xml:space="preserve"> banka</w:t>
      </w:r>
    </w:p>
    <w:p w:rsidR="00937007" w:rsidRDefault="00937007" w:rsidP="00CD61E2">
      <w:pPr>
        <w:pStyle w:val="Zkladntext"/>
        <w:tabs>
          <w:tab w:val="left" w:pos="426"/>
        </w:tabs>
        <w:rPr>
          <w:rFonts w:eastAsia="Arial Unicode MS"/>
        </w:rPr>
      </w:pPr>
    </w:p>
    <w:p w:rsidR="00937007" w:rsidRPr="00937007" w:rsidRDefault="00937007" w:rsidP="00CD61E2">
      <w:pPr>
        <w:pStyle w:val="Zkladntext"/>
        <w:tabs>
          <w:tab w:val="left" w:pos="426"/>
        </w:tabs>
        <w:rPr>
          <w:rFonts w:eastAsia="Arial Unicode MS"/>
        </w:rPr>
      </w:pPr>
    </w:p>
    <w:sectPr w:rsidR="00937007" w:rsidRPr="00937007" w:rsidSect="00676CA7">
      <w:footerReference w:type="even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C4" w:rsidRDefault="00A762C4">
      <w:r>
        <w:separator/>
      </w:r>
    </w:p>
  </w:endnote>
  <w:endnote w:type="continuationSeparator" w:id="0">
    <w:p w:rsidR="00A762C4" w:rsidRDefault="00A7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RePublic Book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50C" w:rsidRDefault="0086650C" w:rsidP="00972B4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6650C" w:rsidRDefault="0086650C" w:rsidP="00C960A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10878"/>
      <w:docPartObj>
        <w:docPartGallery w:val="Page Numbers (Bottom of Page)"/>
        <w:docPartUnique/>
      </w:docPartObj>
    </w:sdtPr>
    <w:sdtEndPr/>
    <w:sdtContent>
      <w:p w:rsidR="0086650C" w:rsidRDefault="008665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40F">
          <w:rPr>
            <w:noProof/>
          </w:rPr>
          <w:t>1</w:t>
        </w:r>
        <w:r>
          <w:fldChar w:fldCharType="end"/>
        </w:r>
      </w:p>
    </w:sdtContent>
  </w:sdt>
  <w:p w:rsidR="0086650C" w:rsidRDefault="0086650C" w:rsidP="00C960A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C4" w:rsidRDefault="00A762C4">
      <w:r>
        <w:separator/>
      </w:r>
    </w:p>
  </w:footnote>
  <w:footnote w:type="continuationSeparator" w:id="0">
    <w:p w:rsidR="00A762C4" w:rsidRDefault="00A762C4">
      <w:r>
        <w:continuationSeparator/>
      </w:r>
    </w:p>
  </w:footnote>
  <w:footnote w:id="1">
    <w:p w:rsidR="0086650C" w:rsidRDefault="008665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color w:val="000000"/>
        </w:rPr>
        <w:t>Pavel Ju</w:t>
      </w:r>
      <w:r>
        <w:rPr>
          <w:rFonts w:ascii="TimesNewRoman" w:hAnsi="TimesNewRoman" w:cs="TimesNewRoman"/>
          <w:color w:val="000000"/>
        </w:rPr>
        <w:t>ř</w:t>
      </w:r>
      <w:r>
        <w:rPr>
          <w:color w:val="000000"/>
        </w:rPr>
        <w:t>ík- Historie bank a spo</w:t>
      </w:r>
      <w:r>
        <w:rPr>
          <w:rFonts w:ascii="TimesNewRoman" w:hAnsi="TimesNewRoman" w:cs="TimesNewRoman"/>
          <w:color w:val="000000"/>
        </w:rPr>
        <w:t>ř</w:t>
      </w:r>
      <w:r>
        <w:rPr>
          <w:color w:val="000000"/>
        </w:rPr>
        <w:t xml:space="preserve">itelen v </w:t>
      </w:r>
      <w:r>
        <w:rPr>
          <w:rFonts w:ascii="TimesNewRoman" w:hAnsi="TimesNewRoman" w:cs="TimesNewRoman"/>
          <w:color w:val="000000"/>
        </w:rPr>
        <w:t>Č</w:t>
      </w:r>
      <w:r>
        <w:rPr>
          <w:color w:val="000000"/>
        </w:rPr>
        <w:t>echách a na Morav</w:t>
      </w:r>
      <w:r>
        <w:rPr>
          <w:rFonts w:ascii="TimesNewRoman" w:hAnsi="TimesNewRoman" w:cs="TimesNewRoman"/>
          <w:color w:val="000000"/>
        </w:rPr>
        <w:t xml:space="preserve">ě </w:t>
      </w:r>
      <w:r>
        <w:rPr>
          <w:color w:val="000000"/>
        </w:rPr>
        <w:t>str. 44</w:t>
      </w:r>
    </w:p>
  </w:footnote>
  <w:footnote w:id="2">
    <w:p w:rsidR="0086650C" w:rsidRPr="00C302F9" w:rsidRDefault="0086650C" w:rsidP="006823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DF121A">
          <w:rPr>
            <w:rStyle w:val="Hypertextovodkaz"/>
          </w:rPr>
          <w:t>http://www.csas.cz/banka/nav/o-nas/profil-ceske-sporitelny-d00014413</w:t>
        </w:r>
      </w:hyperlink>
      <w:r>
        <w:rPr>
          <w:color w:val="0000FF"/>
        </w:rPr>
        <w:t xml:space="preserve"> </w:t>
      </w:r>
      <w:r w:rsidRPr="00C302F9">
        <w:t>[citováno20. 03. 2012]</w:t>
      </w:r>
    </w:p>
  </w:footnote>
  <w:footnote w:id="3">
    <w:p w:rsidR="0086650C" w:rsidRDefault="008665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color w:val="000000"/>
        </w:rPr>
        <w:t>Pavel Ju</w:t>
      </w:r>
      <w:r>
        <w:rPr>
          <w:rFonts w:ascii="TimesNewRoman" w:hAnsi="TimesNewRoman" w:cs="TimesNewRoman"/>
          <w:color w:val="000000"/>
        </w:rPr>
        <w:t>ř</w:t>
      </w:r>
      <w:r>
        <w:rPr>
          <w:color w:val="000000"/>
        </w:rPr>
        <w:t>ík- Historie bank a spo</w:t>
      </w:r>
      <w:r>
        <w:rPr>
          <w:rFonts w:ascii="TimesNewRoman" w:hAnsi="TimesNewRoman" w:cs="TimesNewRoman"/>
          <w:color w:val="000000"/>
        </w:rPr>
        <w:t>ř</w:t>
      </w:r>
      <w:r>
        <w:rPr>
          <w:color w:val="000000"/>
        </w:rPr>
        <w:t xml:space="preserve">itelen v </w:t>
      </w:r>
      <w:r>
        <w:rPr>
          <w:rFonts w:ascii="TimesNewRoman" w:hAnsi="TimesNewRoman" w:cs="TimesNewRoman"/>
          <w:color w:val="000000"/>
        </w:rPr>
        <w:t>Č</w:t>
      </w:r>
      <w:r>
        <w:rPr>
          <w:color w:val="000000"/>
        </w:rPr>
        <w:t>echách a na Morav</w:t>
      </w:r>
      <w:r>
        <w:rPr>
          <w:rFonts w:ascii="TimesNewRoman" w:hAnsi="TimesNewRoman" w:cs="TimesNewRoman"/>
          <w:color w:val="000000"/>
        </w:rPr>
        <w:t xml:space="preserve">ě </w:t>
      </w:r>
      <w:r>
        <w:rPr>
          <w:color w:val="000000"/>
        </w:rPr>
        <w:t>str. 128</w:t>
      </w:r>
    </w:p>
  </w:footnote>
  <w:footnote w:id="4">
    <w:p w:rsidR="0086650C" w:rsidRDefault="0086650C" w:rsidP="004628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F01FC">
        <w:rPr>
          <w:color w:val="000000"/>
        </w:rPr>
        <w:t>Státní banka československá</w:t>
      </w:r>
    </w:p>
  </w:footnote>
  <w:footnote w:id="5">
    <w:p w:rsidR="0086650C" w:rsidRDefault="0086650C">
      <w:pPr>
        <w:pStyle w:val="Textpoznpodarou"/>
      </w:pPr>
      <w:r>
        <w:rPr>
          <w:rStyle w:val="Znakapoznpodarou"/>
        </w:rPr>
        <w:footnoteRef/>
      </w:r>
      <w:r>
        <w:t xml:space="preserve"> Všeobecná </w:t>
      </w:r>
      <w:proofErr w:type="spellStart"/>
      <w:r>
        <w:t>úverová</w:t>
      </w:r>
      <w:proofErr w:type="spellEnd"/>
      <w:r>
        <w:t xml:space="preserve"> banka Bratislava, a.s.</w:t>
      </w:r>
    </w:p>
  </w:footnote>
  <w:footnote w:id="6">
    <w:p w:rsidR="0086650C" w:rsidRDefault="008665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</w:rPr>
        <w:t>Č</w:t>
      </w:r>
      <w:r>
        <w:t>eskoslovenská obchodní banka, a.s.</w:t>
      </w:r>
    </w:p>
  </w:footnote>
  <w:footnote w:id="7">
    <w:p w:rsidR="0086650C" w:rsidRDefault="0086650C" w:rsidP="00E67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  <w:sz w:val="20"/>
          <w:szCs w:val="20"/>
          <w:lang w:eastAsia="cs-CZ"/>
        </w:rPr>
        <w:t xml:space="preserve">BARTOŠEK, K., FELSBERGOVÁ, D., JAROŠ P. Bankovnictví v </w:t>
      </w:r>
      <w:r>
        <w:rPr>
          <w:rFonts w:ascii="TimesNewRoman" w:hAnsi="TimesNewRoman" w:cs="TimesNewRoman"/>
          <w:sz w:val="20"/>
          <w:szCs w:val="20"/>
          <w:lang w:eastAsia="cs-CZ"/>
        </w:rPr>
        <w:t>Č</w:t>
      </w:r>
      <w:r>
        <w:rPr>
          <w:rFonts w:ascii="Times New Roman" w:hAnsi="Times New Roman"/>
          <w:sz w:val="20"/>
          <w:szCs w:val="20"/>
          <w:lang w:eastAsia="cs-CZ"/>
        </w:rPr>
        <w:t>eské republice, 3. p</w:t>
      </w:r>
      <w:r>
        <w:rPr>
          <w:rFonts w:ascii="TimesNewRoman" w:hAnsi="TimesNewRoman" w:cs="TimesNewRoman"/>
          <w:sz w:val="20"/>
          <w:szCs w:val="20"/>
          <w:lang w:eastAsia="cs-CZ"/>
        </w:rPr>
        <w:t>ř</w:t>
      </w:r>
      <w:r>
        <w:rPr>
          <w:rFonts w:ascii="Times New Roman" w:hAnsi="Times New Roman"/>
          <w:sz w:val="20"/>
          <w:szCs w:val="20"/>
          <w:lang w:eastAsia="cs-CZ"/>
        </w:rPr>
        <w:t>epracované vydání,</w:t>
      </w:r>
    </w:p>
    <w:p w:rsidR="0086650C" w:rsidRDefault="0086650C" w:rsidP="00E67178">
      <w:pPr>
        <w:pStyle w:val="Textpoznpodarou"/>
      </w:pPr>
      <w:r>
        <w:t>Praha: Bankovní institut a.s., 1998, s. 15-16</w:t>
      </w:r>
    </w:p>
  </w:footnote>
  <w:footnote w:id="8">
    <w:p w:rsidR="0086650C" w:rsidRDefault="0086650C">
      <w:pPr>
        <w:pStyle w:val="Textpoznpodarou"/>
      </w:pPr>
      <w:r>
        <w:rPr>
          <w:rStyle w:val="Znakapoznpodarou"/>
        </w:rPr>
        <w:footnoteRef/>
      </w:r>
      <w:r>
        <w:t xml:space="preserve"> Žídek Libor: Transformace </w:t>
      </w:r>
      <w:r>
        <w:rPr>
          <w:rFonts w:ascii="TimesNewRoman" w:hAnsi="TimesNewRoman" w:cs="TimesNewRoman"/>
        </w:rPr>
        <w:t>č</w:t>
      </w:r>
      <w:r>
        <w:t>eské ekonomiky str. 206-7</w:t>
      </w:r>
    </w:p>
  </w:footnote>
  <w:footnote w:id="9">
    <w:p w:rsidR="0086650C" w:rsidRDefault="0086650C" w:rsidP="00C453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hyperlink r:id="rId2" w:history="1">
        <w:r w:rsidRPr="00DF121A">
          <w:rPr>
            <w:rStyle w:val="Hypertextovodkaz"/>
            <w:rFonts w:ascii="Times New Roman" w:hAnsi="Times New Roman"/>
            <w:sz w:val="20"/>
            <w:szCs w:val="20"/>
            <w:lang w:eastAsia="cs-CZ"/>
          </w:rPr>
          <w:t>http://www.upol.cz/fileadmin/user_upload/knihovna/Skripta_FF/finance_a_bankovnictvi.pdf</w:t>
        </w:r>
      </w:hyperlink>
      <w:r>
        <w:rPr>
          <w:rFonts w:ascii="Times New Roman" w:hAnsi="Times New Roman"/>
          <w:color w:val="0000FF"/>
          <w:sz w:val="20"/>
          <w:szCs w:val="20"/>
          <w:lang w:eastAsia="cs-CZ"/>
        </w:rPr>
        <w:t xml:space="preserve">  </w:t>
      </w:r>
      <w:r w:rsidRPr="00C4539E">
        <w:rPr>
          <w:rFonts w:ascii="Times New Roman" w:hAnsi="Times New Roman"/>
          <w:sz w:val="20"/>
          <w:szCs w:val="20"/>
          <w:lang w:eastAsia="cs-CZ"/>
        </w:rPr>
        <w:t>[</w:t>
      </w:r>
      <w:r>
        <w:rPr>
          <w:rFonts w:ascii="Times New Roman" w:hAnsi="Times New Roman"/>
          <w:color w:val="000000"/>
          <w:sz w:val="20"/>
          <w:szCs w:val="20"/>
          <w:lang w:eastAsia="cs-CZ"/>
        </w:rPr>
        <w:t xml:space="preserve">citováno 12. 02. </w:t>
      </w:r>
    </w:p>
    <w:p w:rsidR="0086650C" w:rsidRDefault="0086650C" w:rsidP="00C4539E">
      <w:pPr>
        <w:pStyle w:val="Textpoznpodarou"/>
      </w:pPr>
      <w:r>
        <w:rPr>
          <w:color w:val="000000"/>
        </w:rPr>
        <w:t>2012]</w:t>
      </w:r>
    </w:p>
  </w:footnote>
  <w:footnote w:id="10">
    <w:p w:rsidR="0086650C" w:rsidRDefault="008665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Pr="00DF121A">
          <w:rPr>
            <w:rStyle w:val="Hypertextovodkaz"/>
          </w:rPr>
          <w:t>www.fpv.cz</w:t>
        </w:r>
      </w:hyperlink>
      <w:r>
        <w:rPr>
          <w:color w:val="0000FF"/>
        </w:rPr>
        <w:t xml:space="preserve"> </w:t>
      </w:r>
      <w:r>
        <w:rPr>
          <w:color w:val="000000"/>
        </w:rPr>
        <w:t>[citováno 12. 02. 2012]</w:t>
      </w:r>
    </w:p>
  </w:footnote>
  <w:footnote w:id="11">
    <w:p w:rsidR="0086650C" w:rsidRDefault="0086650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4" w:history="1">
        <w:r w:rsidRPr="00DF121A">
          <w:rPr>
            <w:rStyle w:val="Hypertextovodkaz"/>
          </w:rPr>
          <w:t>http://hn.ihned.cz/?p=500000_d&amp;article[id]=1007263</w:t>
        </w:r>
      </w:hyperlink>
      <w:r>
        <w:rPr>
          <w:color w:val="0000FF"/>
        </w:rPr>
        <w:t xml:space="preserve"> </w:t>
      </w:r>
      <w:r>
        <w:rPr>
          <w:color w:val="000000"/>
        </w:rPr>
        <w:t>[citováno 12. 02. 2012]</w:t>
      </w:r>
    </w:p>
  </w:footnote>
  <w:footnote w:id="12">
    <w:p w:rsidR="0086650C" w:rsidRDefault="0086650C" w:rsidP="001D4AA8">
      <w:pPr>
        <w:pStyle w:val="Textpoznpodarou"/>
      </w:pPr>
      <w:r w:rsidRPr="00501ED7">
        <w:rPr>
          <w:rStyle w:val="Znakapoznpodarou"/>
        </w:rPr>
        <w:footnoteRef/>
      </w:r>
      <w:r>
        <w:t xml:space="preserve"> </w:t>
      </w:r>
    </w:p>
    <w:p w:rsidR="0086650C" w:rsidRPr="00501ED7" w:rsidRDefault="00A762C4" w:rsidP="001D4AA8">
      <w:pPr>
        <w:pStyle w:val="Textpoznpodarou"/>
      </w:pPr>
      <w:hyperlink r:id="rId5" w:history="1">
        <w:r w:rsidR="0086650C" w:rsidRPr="00501ED7">
          <w:rPr>
            <w:rStyle w:val="Hypertextovodkaz"/>
          </w:rPr>
          <w:t>http://www.cnb.cz/miranda2/export/sites/www.cnb.cz/cs/dohled_financni_trh/souhrnne_informace_fin_trhy/zpravy_o_vykonu_dohledu/download/dnft_2009_cz.pdf</w:t>
        </w:r>
      </w:hyperlink>
      <w:r w:rsidR="0086650C" w:rsidRPr="00501ED7">
        <w:t>, s. 67.</w:t>
      </w:r>
      <w:r w:rsidR="0086650C">
        <w:t xml:space="preserve"> </w:t>
      </w:r>
      <w:r w:rsidR="0086650C" w:rsidRPr="000E5E5E">
        <w:rPr>
          <w:i/>
        </w:rPr>
        <w:t>[citováno: 26. 9. 2012]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150"/>
    <w:multiLevelType w:val="hybridMultilevel"/>
    <w:tmpl w:val="CB54138C"/>
    <w:lvl w:ilvl="0" w:tplc="E7EE377A">
      <w:start w:val="1"/>
      <w:numFmt w:val="decimal"/>
      <w:lvlText w:val="[%1]"/>
      <w:lvlJc w:val="left"/>
      <w:pPr>
        <w:ind w:left="720" w:hanging="360"/>
      </w:pPr>
      <w:rPr>
        <w:rFonts w:ascii="Verdana" w:hAnsi="Verdan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76A9"/>
    <w:multiLevelType w:val="hybridMultilevel"/>
    <w:tmpl w:val="00786678"/>
    <w:lvl w:ilvl="0" w:tplc="572E0BA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C4316"/>
    <w:multiLevelType w:val="hybridMultilevel"/>
    <w:tmpl w:val="21B6A06A"/>
    <w:lvl w:ilvl="0" w:tplc="8CB44E4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F00A5"/>
    <w:multiLevelType w:val="hybridMultilevel"/>
    <w:tmpl w:val="F6023B16"/>
    <w:lvl w:ilvl="0" w:tplc="B9B02AC4">
      <w:start w:val="199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7451C"/>
    <w:multiLevelType w:val="hybridMultilevel"/>
    <w:tmpl w:val="00F069A2"/>
    <w:lvl w:ilvl="0" w:tplc="572E0BA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06BE4"/>
    <w:multiLevelType w:val="multilevel"/>
    <w:tmpl w:val="CBC4AA0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>
    <w:nsid w:val="1A68362E"/>
    <w:multiLevelType w:val="hybridMultilevel"/>
    <w:tmpl w:val="8CB43FCC"/>
    <w:lvl w:ilvl="0" w:tplc="572E0BA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35B58"/>
    <w:multiLevelType w:val="hybridMultilevel"/>
    <w:tmpl w:val="F74A781A"/>
    <w:lvl w:ilvl="0" w:tplc="75420054">
      <w:start w:val="1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1458A"/>
    <w:multiLevelType w:val="hybridMultilevel"/>
    <w:tmpl w:val="18667E3E"/>
    <w:lvl w:ilvl="0" w:tplc="B11E767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DF4A23"/>
    <w:multiLevelType w:val="hybridMultilevel"/>
    <w:tmpl w:val="A6A82EDA"/>
    <w:lvl w:ilvl="0" w:tplc="5916366A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EE1E54"/>
    <w:multiLevelType w:val="multilevel"/>
    <w:tmpl w:val="3E0E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1">
    <w:nsid w:val="29391CDE"/>
    <w:multiLevelType w:val="hybridMultilevel"/>
    <w:tmpl w:val="5D783030"/>
    <w:lvl w:ilvl="0" w:tplc="572E0BA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833F91"/>
    <w:multiLevelType w:val="hybridMultilevel"/>
    <w:tmpl w:val="B9DE2C7E"/>
    <w:lvl w:ilvl="0" w:tplc="75420054">
      <w:start w:val="1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B4589"/>
    <w:multiLevelType w:val="hybridMultilevel"/>
    <w:tmpl w:val="9D80CD4C"/>
    <w:lvl w:ilvl="0" w:tplc="572E0BA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6E1D57"/>
    <w:multiLevelType w:val="hybridMultilevel"/>
    <w:tmpl w:val="B6A8C51C"/>
    <w:lvl w:ilvl="0" w:tplc="75420054">
      <w:start w:val="1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739A0"/>
    <w:multiLevelType w:val="hybridMultilevel"/>
    <w:tmpl w:val="F508EE80"/>
    <w:lvl w:ilvl="0" w:tplc="572E0BA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3509B"/>
    <w:multiLevelType w:val="hybridMultilevel"/>
    <w:tmpl w:val="1242F130"/>
    <w:lvl w:ilvl="0" w:tplc="BBCE4A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C8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8EA3FA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CED442B2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6B7F56"/>
    <w:multiLevelType w:val="hybridMultilevel"/>
    <w:tmpl w:val="C008A364"/>
    <w:lvl w:ilvl="0" w:tplc="572E0BA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78EA3F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F2C4E"/>
    <w:multiLevelType w:val="hybridMultilevel"/>
    <w:tmpl w:val="BCC09E2E"/>
    <w:lvl w:ilvl="0" w:tplc="BBCE4A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E0BA8"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78EA3FA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CED442B2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C3114E"/>
    <w:multiLevelType w:val="hybridMultilevel"/>
    <w:tmpl w:val="196A6840"/>
    <w:lvl w:ilvl="0" w:tplc="572E0BA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BE3177"/>
    <w:multiLevelType w:val="hybridMultilevel"/>
    <w:tmpl w:val="B3ECE22C"/>
    <w:lvl w:ilvl="0" w:tplc="1FB81C4E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64067F"/>
    <w:multiLevelType w:val="hybridMultilevel"/>
    <w:tmpl w:val="E14A88C0"/>
    <w:lvl w:ilvl="0" w:tplc="75420054">
      <w:start w:val="1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157C8"/>
    <w:multiLevelType w:val="hybridMultilevel"/>
    <w:tmpl w:val="BEDEE108"/>
    <w:lvl w:ilvl="0" w:tplc="572E0BA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7C642D"/>
    <w:multiLevelType w:val="hybridMultilevel"/>
    <w:tmpl w:val="CE6EF828"/>
    <w:lvl w:ilvl="0" w:tplc="572E0BA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95F13"/>
    <w:multiLevelType w:val="hybridMultilevel"/>
    <w:tmpl w:val="728C02FA"/>
    <w:lvl w:ilvl="0" w:tplc="572E0BA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8F54DF"/>
    <w:multiLevelType w:val="hybridMultilevel"/>
    <w:tmpl w:val="52A8662E"/>
    <w:lvl w:ilvl="0" w:tplc="572E0BA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785319"/>
    <w:multiLevelType w:val="hybridMultilevel"/>
    <w:tmpl w:val="355A1C9E"/>
    <w:lvl w:ilvl="0" w:tplc="CDD4C22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EA3FA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CED442B2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0C70EF"/>
    <w:multiLevelType w:val="multilevel"/>
    <w:tmpl w:val="7E3889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EF8283C"/>
    <w:multiLevelType w:val="hybridMultilevel"/>
    <w:tmpl w:val="89808258"/>
    <w:lvl w:ilvl="0" w:tplc="572E0BA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AC6D34"/>
    <w:multiLevelType w:val="hybridMultilevel"/>
    <w:tmpl w:val="6C043A40"/>
    <w:lvl w:ilvl="0" w:tplc="572E0BA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3C0434"/>
    <w:multiLevelType w:val="hybridMultilevel"/>
    <w:tmpl w:val="CE9A629C"/>
    <w:lvl w:ilvl="0" w:tplc="572E0BA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CA3837"/>
    <w:multiLevelType w:val="hybridMultilevel"/>
    <w:tmpl w:val="95D802F8"/>
    <w:lvl w:ilvl="0" w:tplc="572E0BA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95666F"/>
    <w:multiLevelType w:val="hybridMultilevel"/>
    <w:tmpl w:val="FE441916"/>
    <w:lvl w:ilvl="0" w:tplc="75420054">
      <w:start w:val="1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A074F6"/>
    <w:multiLevelType w:val="hybridMultilevel"/>
    <w:tmpl w:val="AD146664"/>
    <w:lvl w:ilvl="0" w:tplc="572E0BA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78EA3F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82384"/>
    <w:multiLevelType w:val="hybridMultilevel"/>
    <w:tmpl w:val="838889AC"/>
    <w:lvl w:ilvl="0" w:tplc="179E7D4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8F7FEE"/>
    <w:multiLevelType w:val="hybridMultilevel"/>
    <w:tmpl w:val="37529F4C"/>
    <w:lvl w:ilvl="0" w:tplc="572E0BA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754200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eastAsia="Sylfaen" w:hAnsi="Sylfaen" w:cs="Sylfae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6A05B3"/>
    <w:multiLevelType w:val="hybridMultilevel"/>
    <w:tmpl w:val="5330F128"/>
    <w:lvl w:ilvl="0" w:tplc="75420054">
      <w:start w:val="1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565B58"/>
    <w:multiLevelType w:val="hybridMultilevel"/>
    <w:tmpl w:val="23EA20FE"/>
    <w:lvl w:ilvl="0" w:tplc="572E0BA8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6"/>
  </w:num>
  <w:num w:numId="4">
    <w:abstractNumId w:val="18"/>
  </w:num>
  <w:num w:numId="5">
    <w:abstractNumId w:val="29"/>
  </w:num>
  <w:num w:numId="6">
    <w:abstractNumId w:val="13"/>
  </w:num>
  <w:num w:numId="7">
    <w:abstractNumId w:val="9"/>
  </w:num>
  <w:num w:numId="8">
    <w:abstractNumId w:val="27"/>
  </w:num>
  <w:num w:numId="9">
    <w:abstractNumId w:val="35"/>
  </w:num>
  <w:num w:numId="10">
    <w:abstractNumId w:val="34"/>
  </w:num>
  <w:num w:numId="11">
    <w:abstractNumId w:val="8"/>
  </w:num>
  <w:num w:numId="12">
    <w:abstractNumId w:val="19"/>
  </w:num>
  <w:num w:numId="13">
    <w:abstractNumId w:val="25"/>
  </w:num>
  <w:num w:numId="14">
    <w:abstractNumId w:val="30"/>
  </w:num>
  <w:num w:numId="15">
    <w:abstractNumId w:val="31"/>
  </w:num>
  <w:num w:numId="16">
    <w:abstractNumId w:val="37"/>
  </w:num>
  <w:num w:numId="17">
    <w:abstractNumId w:val="11"/>
  </w:num>
  <w:num w:numId="18">
    <w:abstractNumId w:val="4"/>
  </w:num>
  <w:num w:numId="19">
    <w:abstractNumId w:val="6"/>
  </w:num>
  <w:num w:numId="20">
    <w:abstractNumId w:val="24"/>
  </w:num>
  <w:num w:numId="21">
    <w:abstractNumId w:val="17"/>
  </w:num>
  <w:num w:numId="22">
    <w:abstractNumId w:val="33"/>
  </w:num>
  <w:num w:numId="23">
    <w:abstractNumId w:val="15"/>
  </w:num>
  <w:num w:numId="24">
    <w:abstractNumId w:val="22"/>
  </w:num>
  <w:num w:numId="25">
    <w:abstractNumId w:val="28"/>
  </w:num>
  <w:num w:numId="26">
    <w:abstractNumId w:val="23"/>
  </w:num>
  <w:num w:numId="27">
    <w:abstractNumId w:val="16"/>
  </w:num>
  <w:num w:numId="28">
    <w:abstractNumId w:val="7"/>
  </w:num>
  <w:num w:numId="29">
    <w:abstractNumId w:val="14"/>
  </w:num>
  <w:num w:numId="30">
    <w:abstractNumId w:val="36"/>
  </w:num>
  <w:num w:numId="31">
    <w:abstractNumId w:val="32"/>
  </w:num>
  <w:num w:numId="32">
    <w:abstractNumId w:val="5"/>
  </w:num>
  <w:num w:numId="33">
    <w:abstractNumId w:val="10"/>
  </w:num>
  <w:num w:numId="34">
    <w:abstractNumId w:val="3"/>
  </w:num>
  <w:num w:numId="35">
    <w:abstractNumId w:val="12"/>
  </w:num>
  <w:num w:numId="36">
    <w:abstractNumId w:val="21"/>
  </w:num>
  <w:num w:numId="37">
    <w:abstractNumId w:val="2"/>
  </w:num>
  <w:num w:numId="38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E5"/>
    <w:rsid w:val="00006618"/>
    <w:rsid w:val="00096C8A"/>
    <w:rsid w:val="000B5827"/>
    <w:rsid w:val="000C0AF1"/>
    <w:rsid w:val="000E5E5E"/>
    <w:rsid w:val="000F01FC"/>
    <w:rsid w:val="000F74B6"/>
    <w:rsid w:val="00126545"/>
    <w:rsid w:val="00153029"/>
    <w:rsid w:val="00153ADB"/>
    <w:rsid w:val="0017066E"/>
    <w:rsid w:val="00185432"/>
    <w:rsid w:val="001A2740"/>
    <w:rsid w:val="001C0B71"/>
    <w:rsid w:val="001C21F5"/>
    <w:rsid w:val="001D313E"/>
    <w:rsid w:val="001D4AA8"/>
    <w:rsid w:val="001E7167"/>
    <w:rsid w:val="00233A6A"/>
    <w:rsid w:val="00235878"/>
    <w:rsid w:val="00241D78"/>
    <w:rsid w:val="002441E5"/>
    <w:rsid w:val="0025140F"/>
    <w:rsid w:val="0028747C"/>
    <w:rsid w:val="002A0A6C"/>
    <w:rsid w:val="002A6E96"/>
    <w:rsid w:val="002B63CF"/>
    <w:rsid w:val="002D554E"/>
    <w:rsid w:val="002E77F5"/>
    <w:rsid w:val="002F1EE9"/>
    <w:rsid w:val="003131D2"/>
    <w:rsid w:val="003169A4"/>
    <w:rsid w:val="003209A8"/>
    <w:rsid w:val="00330F8A"/>
    <w:rsid w:val="003335AD"/>
    <w:rsid w:val="00356BF6"/>
    <w:rsid w:val="00376D3C"/>
    <w:rsid w:val="00381912"/>
    <w:rsid w:val="003C042C"/>
    <w:rsid w:val="003C1677"/>
    <w:rsid w:val="003E5BCE"/>
    <w:rsid w:val="003F6FEA"/>
    <w:rsid w:val="004228E4"/>
    <w:rsid w:val="00425A32"/>
    <w:rsid w:val="004417D3"/>
    <w:rsid w:val="00447DDE"/>
    <w:rsid w:val="00461FBA"/>
    <w:rsid w:val="004628B8"/>
    <w:rsid w:val="00480550"/>
    <w:rsid w:val="00485395"/>
    <w:rsid w:val="004A4826"/>
    <w:rsid w:val="004A64A5"/>
    <w:rsid w:val="004C3096"/>
    <w:rsid w:val="004C34ED"/>
    <w:rsid w:val="00506A4B"/>
    <w:rsid w:val="0053253A"/>
    <w:rsid w:val="00581887"/>
    <w:rsid w:val="005A61A3"/>
    <w:rsid w:val="005A6316"/>
    <w:rsid w:val="006123FF"/>
    <w:rsid w:val="006426C9"/>
    <w:rsid w:val="00676CA7"/>
    <w:rsid w:val="00682385"/>
    <w:rsid w:val="006C3867"/>
    <w:rsid w:val="006E1C11"/>
    <w:rsid w:val="007110B4"/>
    <w:rsid w:val="00762409"/>
    <w:rsid w:val="007843D3"/>
    <w:rsid w:val="00796C0A"/>
    <w:rsid w:val="007A20CC"/>
    <w:rsid w:val="007D2F75"/>
    <w:rsid w:val="0080785D"/>
    <w:rsid w:val="008175A7"/>
    <w:rsid w:val="008206A3"/>
    <w:rsid w:val="008407B5"/>
    <w:rsid w:val="00865E6E"/>
    <w:rsid w:val="0086650C"/>
    <w:rsid w:val="0087760A"/>
    <w:rsid w:val="0089052F"/>
    <w:rsid w:val="008C5395"/>
    <w:rsid w:val="008F462E"/>
    <w:rsid w:val="008F6332"/>
    <w:rsid w:val="009017D2"/>
    <w:rsid w:val="00937007"/>
    <w:rsid w:val="00972B49"/>
    <w:rsid w:val="009A39E7"/>
    <w:rsid w:val="009E0033"/>
    <w:rsid w:val="009F1A32"/>
    <w:rsid w:val="009F5805"/>
    <w:rsid w:val="00A057B3"/>
    <w:rsid w:val="00A104F6"/>
    <w:rsid w:val="00A16243"/>
    <w:rsid w:val="00A249A6"/>
    <w:rsid w:val="00A3170F"/>
    <w:rsid w:val="00A762C4"/>
    <w:rsid w:val="00AF2E15"/>
    <w:rsid w:val="00B00952"/>
    <w:rsid w:val="00B43053"/>
    <w:rsid w:val="00B435E3"/>
    <w:rsid w:val="00B47E22"/>
    <w:rsid w:val="00B762FD"/>
    <w:rsid w:val="00B7726D"/>
    <w:rsid w:val="00B82124"/>
    <w:rsid w:val="00BB6515"/>
    <w:rsid w:val="00BC2866"/>
    <w:rsid w:val="00BD13BA"/>
    <w:rsid w:val="00BD14FF"/>
    <w:rsid w:val="00C06D7B"/>
    <w:rsid w:val="00C221E0"/>
    <w:rsid w:val="00C302F9"/>
    <w:rsid w:val="00C4539E"/>
    <w:rsid w:val="00C473F7"/>
    <w:rsid w:val="00C546E9"/>
    <w:rsid w:val="00C62CF0"/>
    <w:rsid w:val="00C8316B"/>
    <w:rsid w:val="00C960A3"/>
    <w:rsid w:val="00CA3DAF"/>
    <w:rsid w:val="00CD61E2"/>
    <w:rsid w:val="00CE12BA"/>
    <w:rsid w:val="00D04B3A"/>
    <w:rsid w:val="00D3388B"/>
    <w:rsid w:val="00D55130"/>
    <w:rsid w:val="00D65603"/>
    <w:rsid w:val="00DA1C99"/>
    <w:rsid w:val="00DC6F1D"/>
    <w:rsid w:val="00DE6158"/>
    <w:rsid w:val="00DF20E4"/>
    <w:rsid w:val="00DF59B7"/>
    <w:rsid w:val="00DF7AA5"/>
    <w:rsid w:val="00E0392B"/>
    <w:rsid w:val="00E30723"/>
    <w:rsid w:val="00E43D1E"/>
    <w:rsid w:val="00E522B2"/>
    <w:rsid w:val="00E5583E"/>
    <w:rsid w:val="00E67178"/>
    <w:rsid w:val="00E95F0A"/>
    <w:rsid w:val="00EE3A12"/>
    <w:rsid w:val="00EE6CC6"/>
    <w:rsid w:val="00EF775C"/>
    <w:rsid w:val="00F05238"/>
    <w:rsid w:val="00F124B0"/>
    <w:rsid w:val="00F259A2"/>
    <w:rsid w:val="00F920A1"/>
    <w:rsid w:val="00F96AA0"/>
    <w:rsid w:val="00FC4673"/>
    <w:rsid w:val="00F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31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0095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3D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CA3D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095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kladntext">
    <w:name w:val="Body Text"/>
    <w:basedOn w:val="Normln"/>
    <w:link w:val="ZkladntextChar"/>
    <w:rsid w:val="00E5583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583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960A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60A3"/>
  </w:style>
  <w:style w:type="character" w:styleId="Hypertextovodkaz">
    <w:name w:val="Hyperlink"/>
    <w:basedOn w:val="Standardnpsmoodstavce"/>
    <w:uiPriority w:val="99"/>
    <w:rsid w:val="006C386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43D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4417D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417D3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rsid w:val="004417D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33A6A"/>
    <w:pPr>
      <w:ind w:left="720"/>
      <w:contextualSpacing/>
    </w:pPr>
  </w:style>
  <w:style w:type="character" w:customStyle="1" w:styleId="hps">
    <w:name w:val="hps"/>
    <w:basedOn w:val="Standardnpsmoodstavce"/>
    <w:rsid w:val="00A16243"/>
  </w:style>
  <w:style w:type="paragraph" w:customStyle="1" w:styleId="Pa5">
    <w:name w:val="Pa5"/>
    <w:basedOn w:val="Normln"/>
    <w:next w:val="Normln"/>
    <w:uiPriority w:val="99"/>
    <w:rsid w:val="00CE12BA"/>
    <w:pPr>
      <w:autoSpaceDE w:val="0"/>
      <w:autoSpaceDN w:val="0"/>
      <w:adjustRightInd w:val="0"/>
      <w:spacing w:after="0" w:line="181" w:lineRule="atLeast"/>
    </w:pPr>
    <w:rPr>
      <w:rFonts w:ascii="RePublic Book" w:eastAsiaTheme="minorHAnsi" w:hAnsi="RePublic Book" w:cstheme="minorBidi"/>
      <w:sz w:val="24"/>
      <w:szCs w:val="24"/>
    </w:rPr>
  </w:style>
  <w:style w:type="paragraph" w:styleId="Titulek">
    <w:name w:val="caption"/>
    <w:basedOn w:val="Normln"/>
    <w:next w:val="Normln"/>
    <w:qFormat/>
    <w:rsid w:val="001D4A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AA8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209A8"/>
    <w:rPr>
      <w:color w:val="800080" w:themeColor="followedHyperlink"/>
      <w:u w:val="single"/>
    </w:rPr>
  </w:style>
  <w:style w:type="table" w:styleId="Mkatabulky">
    <w:name w:val="Table Grid"/>
    <w:basedOn w:val="Normlntabulka"/>
    <w:rsid w:val="00DA1C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ll-999-body-value">
    <w:name w:val="full-999-body-value"/>
    <w:basedOn w:val="Standardnpsmoodstavce"/>
    <w:rsid w:val="004A64A5"/>
  </w:style>
  <w:style w:type="paragraph" w:styleId="Zhlav">
    <w:name w:val="header"/>
    <w:basedOn w:val="Normln"/>
    <w:link w:val="ZhlavChar"/>
    <w:uiPriority w:val="99"/>
    <w:unhideWhenUsed/>
    <w:rsid w:val="00866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50C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6650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31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0095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3D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CA3D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095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kladntext">
    <w:name w:val="Body Text"/>
    <w:basedOn w:val="Normln"/>
    <w:link w:val="ZkladntextChar"/>
    <w:rsid w:val="00E5583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583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960A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60A3"/>
  </w:style>
  <w:style w:type="character" w:styleId="Hypertextovodkaz">
    <w:name w:val="Hyperlink"/>
    <w:basedOn w:val="Standardnpsmoodstavce"/>
    <w:uiPriority w:val="99"/>
    <w:rsid w:val="006C386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43D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4417D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417D3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rsid w:val="004417D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33A6A"/>
    <w:pPr>
      <w:ind w:left="720"/>
      <w:contextualSpacing/>
    </w:pPr>
  </w:style>
  <w:style w:type="character" w:customStyle="1" w:styleId="hps">
    <w:name w:val="hps"/>
    <w:basedOn w:val="Standardnpsmoodstavce"/>
    <w:rsid w:val="00A16243"/>
  </w:style>
  <w:style w:type="paragraph" w:customStyle="1" w:styleId="Pa5">
    <w:name w:val="Pa5"/>
    <w:basedOn w:val="Normln"/>
    <w:next w:val="Normln"/>
    <w:uiPriority w:val="99"/>
    <w:rsid w:val="00CE12BA"/>
    <w:pPr>
      <w:autoSpaceDE w:val="0"/>
      <w:autoSpaceDN w:val="0"/>
      <w:adjustRightInd w:val="0"/>
      <w:spacing w:after="0" w:line="181" w:lineRule="atLeast"/>
    </w:pPr>
    <w:rPr>
      <w:rFonts w:ascii="RePublic Book" w:eastAsiaTheme="minorHAnsi" w:hAnsi="RePublic Book" w:cstheme="minorBidi"/>
      <w:sz w:val="24"/>
      <w:szCs w:val="24"/>
    </w:rPr>
  </w:style>
  <w:style w:type="paragraph" w:styleId="Titulek">
    <w:name w:val="caption"/>
    <w:basedOn w:val="Normln"/>
    <w:next w:val="Normln"/>
    <w:qFormat/>
    <w:rsid w:val="001D4A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AA8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3209A8"/>
    <w:rPr>
      <w:color w:val="800080" w:themeColor="followedHyperlink"/>
      <w:u w:val="single"/>
    </w:rPr>
  </w:style>
  <w:style w:type="table" w:styleId="Mkatabulky">
    <w:name w:val="Table Grid"/>
    <w:basedOn w:val="Normlntabulka"/>
    <w:rsid w:val="00DA1C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ll-999-body-value">
    <w:name w:val="full-999-body-value"/>
    <w:basedOn w:val="Standardnpsmoodstavce"/>
    <w:rsid w:val="004A64A5"/>
  </w:style>
  <w:style w:type="paragraph" w:styleId="Zhlav">
    <w:name w:val="header"/>
    <w:basedOn w:val="Normln"/>
    <w:link w:val="ZhlavChar"/>
    <w:uiPriority w:val="99"/>
    <w:unhideWhenUsed/>
    <w:rsid w:val="00866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50C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665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9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6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663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5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4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3391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4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896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4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sob.cz/cz/Firmy/Municipality-a-neziskove-organizace/Ucty-a-platebni-styk/Stranky/Vedeni-uctu-Fondu-rozvoje-bydleni-obce-a-souvisejici-sluzby.aspx" TargetMode="External"/><Relationship Id="rId18" Type="http://schemas.openxmlformats.org/officeDocument/2006/relationships/hyperlink" Target="http://www.upol.cz/fileadmin/user_upload/knihovna/Skripta_FF/finance_a_bankovnictvi.pd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cnb.cz/cs/dohled_financni_trh/souhrnne_informace_fin_trhy/zakladni_ukazatele_fin_trhu/banky/bs_ukazatele_tab01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sob.cz/cz/Firmy/Municipality-a-neziskove-organizace/Ucty-a-platebni-styk/Stranky/CSOB-Municipalni-konto.aspx" TargetMode="External"/><Relationship Id="rId17" Type="http://schemas.openxmlformats.org/officeDocument/2006/relationships/hyperlink" Target="http://www.csas.cz/banka/nav/o-nas/profil-ceske-sporitelny-d00014413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sob.cz/cz/Firmy/Municipality-a-neziskove-organizace/Zhodnocovani-financnich-prostredku/Stranky/KBC-CSOB-Podilove-fondy-pro-podnikatele-a-pravnicke-osoby.aspx" TargetMode="External"/><Relationship Id="rId20" Type="http://schemas.openxmlformats.org/officeDocument/2006/relationships/hyperlink" Target="http://hn.ihned.cz/?p=500000_d&amp;article%5bid%5d=100726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nb.cz/cs/dohled_financni_trh/souhrnne_informace_fin_trhy/zakladni_ukazatele_fin_zdravi/fsi_ukazatele_kons.html" TargetMode="External"/><Relationship Id="rId24" Type="http://schemas.openxmlformats.org/officeDocument/2006/relationships/hyperlink" Target="http://www.cnb.cz/cs/dohled_financni_trh/souhrnne_informace_fin_trhy/zakladni_ukazatele_fin_zdravi/fsi_ukazatele_kons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sob.cz/cz/Firmy/Municipality-a-neziskove-organizace/Zhodnocovani-financnich-prostredku/Stranky/CSOB-Sporici-ucet-pro-podnikatele.aspx" TargetMode="External"/><Relationship Id="rId23" Type="http://schemas.openxmlformats.org/officeDocument/2006/relationships/hyperlink" Target="http://www.nbs.sk/sk/statisticke-udaje/prehlad-o-rozvoji-penazneho-sektora/rozvoj-bankoveho-sektora-sr/rozvoj-bankoveho-sektora-v-slovenskej-republike-v-rokoch-2009-az-201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bs.sk/sk/statisticke-udaje/prehlad-o-rozvoji-penazneho-sektora/rozvoj-bankoveho-sektora-sr/rozvoj-bankoveho-sektora-v-slovenskej-republike-v-rokoch-2009-az-2012" TargetMode="External"/><Relationship Id="rId19" Type="http://schemas.openxmlformats.org/officeDocument/2006/relationships/hyperlink" Target="http://www.fp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nb.cz/cs/dohled_financni_trh/souhrnne_informace_fin_trhy/zakladni_ukazatele_fin_trhu/banky/bs_ukazatele_tab01.html" TargetMode="External"/><Relationship Id="rId14" Type="http://schemas.openxmlformats.org/officeDocument/2006/relationships/hyperlink" Target="http://www.csob.cz/cz/Firmy/Municipality-a-neziskove-organizace/Zhodnocovani-financnich-prostredku/Stranky/CSOB-Terminovany-vklad-pro-podnikatele.aspx" TargetMode="External"/><Relationship Id="rId22" Type="http://schemas.openxmlformats.org/officeDocument/2006/relationships/hyperlink" Target="http://www.cnb.cz/miranda2/export/sites/www.cnb.cz/cs/dohled_financni_trh/souhrnne_informace_fin_trhy/zpravy_o_vykonu_dohledu/download/dnft_2009_cz.pdf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pv.cz" TargetMode="External"/><Relationship Id="rId2" Type="http://schemas.openxmlformats.org/officeDocument/2006/relationships/hyperlink" Target="http://www.upol.cz/fileadmin/user_upload/knihovna/Skripta_FF/finance_a_bankovnictvi.pdf" TargetMode="External"/><Relationship Id="rId1" Type="http://schemas.openxmlformats.org/officeDocument/2006/relationships/hyperlink" Target="http://www.csas.cz/banka/nav/o-nas/profil-ceske-sporitelny-d00014413" TargetMode="External"/><Relationship Id="rId5" Type="http://schemas.openxmlformats.org/officeDocument/2006/relationships/hyperlink" Target="http://www.cnb.cz/miranda2/export/sites/www.cnb.cz/cs/dohled_financni_trh/souhrnne_informace_fin_trhy/zpravy_o_vykonu_dohledu/download/dnft_2009_cz.pdf" TargetMode="External"/><Relationship Id="rId4" Type="http://schemas.openxmlformats.org/officeDocument/2006/relationships/hyperlink" Target="http://hn.ihned.cz/?p=500000_d&amp;article%5bid%5d=100726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E3571-6AB0-4079-8D6E-71C68192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3058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21065</CharactersWithSpaces>
  <SharedDoc>false</SharedDoc>
  <HLinks>
    <vt:vector size="54" baseType="variant">
      <vt:variant>
        <vt:i4>6684778</vt:i4>
      </vt:variant>
      <vt:variant>
        <vt:i4>24</vt:i4>
      </vt:variant>
      <vt:variant>
        <vt:i4>0</vt:i4>
      </vt:variant>
      <vt:variant>
        <vt:i4>5</vt:i4>
      </vt:variant>
      <vt:variant>
        <vt:lpwstr>http://www.cnb.cz/</vt:lpwstr>
      </vt:variant>
      <vt:variant>
        <vt:lpwstr/>
      </vt:variant>
      <vt:variant>
        <vt:i4>1835035</vt:i4>
      </vt:variant>
      <vt:variant>
        <vt:i4>21</vt:i4>
      </vt:variant>
      <vt:variant>
        <vt:i4>0</vt:i4>
      </vt:variant>
      <vt:variant>
        <vt:i4>5</vt:i4>
      </vt:variant>
      <vt:variant>
        <vt:lpwstr>http://www.cmzrb.cz/</vt:lpwstr>
      </vt:variant>
      <vt:variant>
        <vt:lpwstr/>
      </vt:variant>
      <vt:variant>
        <vt:i4>1245193</vt:i4>
      </vt:variant>
      <vt:variant>
        <vt:i4>18</vt:i4>
      </vt:variant>
      <vt:variant>
        <vt:i4>0</vt:i4>
      </vt:variant>
      <vt:variant>
        <vt:i4>5</vt:i4>
      </vt:variant>
      <vt:variant>
        <vt:lpwstr>http://www.unicreditbank.cz/</vt:lpwstr>
      </vt:variant>
      <vt:variant>
        <vt:lpwstr/>
      </vt:variant>
      <vt:variant>
        <vt:i4>1310801</vt:i4>
      </vt:variant>
      <vt:variant>
        <vt:i4>15</vt:i4>
      </vt:variant>
      <vt:variant>
        <vt:i4>0</vt:i4>
      </vt:variant>
      <vt:variant>
        <vt:i4>5</vt:i4>
      </vt:variant>
      <vt:variant>
        <vt:lpwstr>http://www.kb.cz/</vt:lpwstr>
      </vt:variant>
      <vt:variant>
        <vt:lpwstr/>
      </vt:variant>
      <vt:variant>
        <vt:i4>7536674</vt:i4>
      </vt:variant>
      <vt:variant>
        <vt:i4>12</vt:i4>
      </vt:variant>
      <vt:variant>
        <vt:i4>0</vt:i4>
      </vt:variant>
      <vt:variant>
        <vt:i4>5</vt:i4>
      </vt:variant>
      <vt:variant>
        <vt:lpwstr>http://www.csob.cz/</vt:lpwstr>
      </vt:variant>
      <vt:variant>
        <vt:lpwstr/>
      </vt:variant>
      <vt:variant>
        <vt:i4>8192051</vt:i4>
      </vt:variant>
      <vt:variant>
        <vt:i4>9</vt:i4>
      </vt:variant>
      <vt:variant>
        <vt:i4>0</vt:i4>
      </vt:variant>
      <vt:variant>
        <vt:i4>5</vt:i4>
      </vt:variant>
      <vt:variant>
        <vt:lpwstr>http://www.csas.cz/</vt:lpwstr>
      </vt:variant>
      <vt:variant>
        <vt:lpwstr/>
      </vt:variant>
      <vt:variant>
        <vt:i4>1703982</vt:i4>
      </vt:variant>
      <vt:variant>
        <vt:i4>6</vt:i4>
      </vt:variant>
      <vt:variant>
        <vt:i4>0</vt:i4>
      </vt:variant>
      <vt:variant>
        <vt:i4>5</vt:i4>
      </vt:variant>
      <vt:variant>
        <vt:lpwstr>https://is.muni.cz/auth/publikace/publikace_simple.pl?id=721243</vt:lpwstr>
      </vt:variant>
      <vt:variant>
        <vt:lpwstr/>
      </vt:variant>
      <vt:variant>
        <vt:i4>6750321</vt:i4>
      </vt:variant>
      <vt:variant>
        <vt:i4>3</vt:i4>
      </vt:variant>
      <vt:variant>
        <vt:i4>0</vt:i4>
      </vt:variant>
      <vt:variant>
        <vt:i4>5</vt:i4>
      </vt:variant>
      <vt:variant>
        <vt:lpwstr>https://is.muni.cz/auth/lide/?uco=27420</vt:lpwstr>
      </vt:variant>
      <vt:variant>
        <vt:lpwstr/>
      </vt:variant>
      <vt:variant>
        <vt:i4>6750321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https://is.muni.cz/auth/lide/?uco=27420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2010-11-15T10:37:00Z</cp:lastPrinted>
  <dcterms:created xsi:type="dcterms:W3CDTF">2013-09-21T14:56:00Z</dcterms:created>
  <dcterms:modified xsi:type="dcterms:W3CDTF">2013-09-21T14:56:00Z</dcterms:modified>
</cp:coreProperties>
</file>