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C9176" w14:textId="77777777" w:rsidR="00B70868" w:rsidRPr="004B2B22" w:rsidRDefault="00B70868" w:rsidP="006F30EE">
      <w:pPr>
        <w:spacing w:line="480" w:lineRule="auto"/>
        <w:rPr>
          <w:lang w:val="en-US"/>
        </w:rPr>
      </w:pPr>
      <w:bookmarkStart w:id="0" w:name="_GoBack"/>
      <w:r w:rsidRPr="004B2B22">
        <w:rPr>
          <w:b/>
          <w:lang w:val="en-US"/>
        </w:rPr>
        <w:t xml:space="preserve">Does </w:t>
      </w:r>
      <w:r>
        <w:rPr>
          <w:b/>
          <w:lang w:val="en-US"/>
        </w:rPr>
        <w:t>coresi</w:t>
      </w:r>
      <w:r w:rsidRPr="004B2B22">
        <w:rPr>
          <w:b/>
          <w:lang w:val="en-US"/>
        </w:rPr>
        <w:t xml:space="preserve">dence with grandparents </w:t>
      </w:r>
      <w:r>
        <w:rPr>
          <w:b/>
          <w:lang w:val="en-US"/>
        </w:rPr>
        <w:t xml:space="preserve">reduce </w:t>
      </w:r>
      <w:r w:rsidRPr="004B2B22">
        <w:rPr>
          <w:b/>
          <w:lang w:val="en-US"/>
        </w:rPr>
        <w:t xml:space="preserve">the negative </w:t>
      </w:r>
      <w:r>
        <w:rPr>
          <w:b/>
          <w:lang w:val="en-US"/>
        </w:rPr>
        <w:t xml:space="preserve">association between </w:t>
      </w:r>
      <w:r w:rsidR="001B5660">
        <w:rPr>
          <w:b/>
          <w:lang w:val="en-US"/>
        </w:rPr>
        <w:t>sibship</w:t>
      </w:r>
      <w:r w:rsidRPr="004B2B22">
        <w:rPr>
          <w:b/>
          <w:lang w:val="en-US"/>
        </w:rPr>
        <w:t xml:space="preserve"> size </w:t>
      </w:r>
      <w:r>
        <w:rPr>
          <w:b/>
          <w:lang w:val="en-US"/>
        </w:rPr>
        <w:t xml:space="preserve">and </w:t>
      </w:r>
      <w:r w:rsidRPr="004B2B22">
        <w:rPr>
          <w:b/>
          <w:lang w:val="en-US"/>
        </w:rPr>
        <w:t>reading test scores?</w:t>
      </w:r>
      <w:r>
        <w:rPr>
          <w:b/>
          <w:lang w:val="en-US"/>
        </w:rPr>
        <w:t xml:space="preserve"> </w:t>
      </w:r>
      <w:bookmarkEnd w:id="0"/>
      <w:r>
        <w:rPr>
          <w:b/>
          <w:lang w:val="en-US"/>
        </w:rPr>
        <w:t>Evidence from 40 countries.</w:t>
      </w:r>
    </w:p>
    <w:p w14:paraId="70053DA5" w14:textId="77777777" w:rsidR="00B70868" w:rsidRDefault="00B70868" w:rsidP="006F30EE">
      <w:pPr>
        <w:spacing w:line="480" w:lineRule="auto"/>
        <w:rPr>
          <w:b/>
          <w:szCs w:val="24"/>
          <w:lang w:val="en-US"/>
        </w:rPr>
      </w:pPr>
    </w:p>
    <w:p w14:paraId="141AE4CC" w14:textId="77777777" w:rsidR="00DD7611" w:rsidRPr="00DD7611" w:rsidRDefault="00DD7611" w:rsidP="006F30EE">
      <w:pPr>
        <w:spacing w:line="480" w:lineRule="auto"/>
        <w:rPr>
          <w:b/>
          <w:szCs w:val="24"/>
          <w:lang w:val="en-US"/>
        </w:rPr>
      </w:pPr>
      <w:r w:rsidRPr="00DD7611">
        <w:rPr>
          <w:b/>
          <w:szCs w:val="24"/>
          <w:lang w:val="en-US"/>
        </w:rPr>
        <w:t>Abstract</w:t>
      </w:r>
    </w:p>
    <w:p w14:paraId="66C81157" w14:textId="0594EB47" w:rsidR="00DD7611" w:rsidRDefault="00DD7611" w:rsidP="006F30EE">
      <w:pPr>
        <w:spacing w:line="480" w:lineRule="auto"/>
        <w:rPr>
          <w:szCs w:val="24"/>
          <w:lang w:val="en-US"/>
        </w:rPr>
      </w:pPr>
      <w:r>
        <w:rPr>
          <w:szCs w:val="24"/>
          <w:lang w:val="en-US"/>
        </w:rPr>
        <w:t>Th</w:t>
      </w:r>
      <w:r w:rsidR="00E83C78">
        <w:rPr>
          <w:szCs w:val="24"/>
          <w:lang w:val="en-US"/>
        </w:rPr>
        <w:t>is</w:t>
      </w:r>
      <w:r>
        <w:rPr>
          <w:szCs w:val="24"/>
          <w:lang w:val="en-US"/>
        </w:rPr>
        <w:t xml:space="preserve"> paper investigates the effect </w:t>
      </w:r>
      <w:r w:rsidR="00E83C78">
        <w:rPr>
          <w:szCs w:val="24"/>
          <w:lang w:val="en-US"/>
        </w:rPr>
        <w:t>of</w:t>
      </w:r>
      <w:r>
        <w:rPr>
          <w:szCs w:val="24"/>
          <w:lang w:val="en-US"/>
        </w:rPr>
        <w:t xml:space="preserve"> </w:t>
      </w:r>
      <w:r w:rsidR="00731759">
        <w:rPr>
          <w:szCs w:val="24"/>
          <w:lang w:val="en-US"/>
        </w:rPr>
        <w:t>cores</w:t>
      </w:r>
      <w:r>
        <w:rPr>
          <w:szCs w:val="24"/>
          <w:lang w:val="en-US"/>
        </w:rPr>
        <w:t xml:space="preserve">idence with grandparents in three-generation households on the nature and size of the association between sibship size and reading test scores. </w:t>
      </w:r>
      <w:r w:rsidR="00F5125A">
        <w:rPr>
          <w:szCs w:val="24"/>
          <w:lang w:val="en-US"/>
        </w:rPr>
        <w:t>It</w:t>
      </w:r>
      <w:r w:rsidR="000234D9">
        <w:rPr>
          <w:szCs w:val="24"/>
          <w:lang w:val="en-US"/>
        </w:rPr>
        <w:t xml:space="preserve"> also </w:t>
      </w:r>
      <w:r>
        <w:rPr>
          <w:szCs w:val="24"/>
          <w:lang w:val="en-US"/>
        </w:rPr>
        <w:t>explore</w:t>
      </w:r>
      <w:r w:rsidR="00F5125A">
        <w:rPr>
          <w:szCs w:val="24"/>
          <w:lang w:val="en-US"/>
        </w:rPr>
        <w:t>s</w:t>
      </w:r>
      <w:r>
        <w:rPr>
          <w:szCs w:val="24"/>
          <w:lang w:val="en-US"/>
        </w:rPr>
        <w:t xml:space="preserve"> whether this interaction changes with the level of socioeconomic development of a society. We argue that </w:t>
      </w:r>
      <w:r w:rsidR="00731759">
        <w:rPr>
          <w:szCs w:val="24"/>
          <w:lang w:val="en-US"/>
        </w:rPr>
        <w:t>cores</w:t>
      </w:r>
      <w:r>
        <w:rPr>
          <w:szCs w:val="24"/>
          <w:lang w:val="en-US"/>
        </w:rPr>
        <w:t>idence in traditional three-generation households has a protective e</w:t>
      </w:r>
      <w:r w:rsidR="00FE6017">
        <w:rPr>
          <w:szCs w:val="24"/>
          <w:lang w:val="en-US"/>
        </w:rPr>
        <w:t>ffect against resource dilution</w:t>
      </w:r>
      <w:r>
        <w:rPr>
          <w:szCs w:val="24"/>
          <w:lang w:val="en-US"/>
        </w:rPr>
        <w:t xml:space="preserve"> and thus decreases the magnitude of the negative association between family size and test scores. We also </w:t>
      </w:r>
      <w:r w:rsidR="001C2090">
        <w:rPr>
          <w:szCs w:val="24"/>
          <w:lang w:val="en-US"/>
        </w:rPr>
        <w:t xml:space="preserve">suggest </w:t>
      </w:r>
      <w:r>
        <w:rPr>
          <w:szCs w:val="24"/>
          <w:lang w:val="en-US"/>
        </w:rPr>
        <w:t xml:space="preserve">that coresidence in more modern contexts magnifies the degree of this negative association, since modern families form three-generation households only when severely destabilized. We apply 3-level regression models to the PISA 2000 data to examine our hypotheses and use </w:t>
      </w:r>
      <w:r w:rsidR="00E83C78">
        <w:rPr>
          <w:szCs w:val="24"/>
          <w:lang w:val="en-US"/>
        </w:rPr>
        <w:t xml:space="preserve">the </w:t>
      </w:r>
      <w:r>
        <w:rPr>
          <w:szCs w:val="24"/>
          <w:lang w:val="en-US"/>
        </w:rPr>
        <w:t xml:space="preserve">Human </w:t>
      </w:r>
      <w:r w:rsidR="00E83C78">
        <w:rPr>
          <w:szCs w:val="24"/>
          <w:lang w:val="en-US"/>
        </w:rPr>
        <w:t>D</w:t>
      </w:r>
      <w:r>
        <w:rPr>
          <w:szCs w:val="24"/>
          <w:lang w:val="en-US"/>
        </w:rPr>
        <w:t xml:space="preserve">evelopment </w:t>
      </w:r>
      <w:r w:rsidR="00E83C78">
        <w:rPr>
          <w:szCs w:val="24"/>
          <w:lang w:val="en-US"/>
        </w:rPr>
        <w:t>I</w:t>
      </w:r>
      <w:r>
        <w:rPr>
          <w:szCs w:val="24"/>
          <w:lang w:val="en-US"/>
        </w:rPr>
        <w:t xml:space="preserve">ndex as a measure of development. We find that the negative association between family size and test scores increases at higher levels of development and does so more strongly when students </w:t>
      </w:r>
      <w:r w:rsidR="00731759">
        <w:rPr>
          <w:szCs w:val="24"/>
          <w:lang w:val="en-US"/>
        </w:rPr>
        <w:t>cores</w:t>
      </w:r>
      <w:r>
        <w:rPr>
          <w:szCs w:val="24"/>
          <w:lang w:val="en-US"/>
        </w:rPr>
        <w:t>ide with grandparents.</w:t>
      </w:r>
      <w:r w:rsidR="00F5125A">
        <w:rPr>
          <w:szCs w:val="24"/>
          <w:lang w:val="en-US"/>
        </w:rPr>
        <w:t xml:space="preserve"> </w:t>
      </w:r>
      <w:r w:rsidR="001756ED">
        <w:rPr>
          <w:szCs w:val="24"/>
          <w:lang w:val="en-US"/>
        </w:rPr>
        <w:t xml:space="preserve">We, however, find no context, in which </w:t>
      </w:r>
      <w:r w:rsidR="00731759">
        <w:rPr>
          <w:szCs w:val="24"/>
          <w:lang w:val="en-US"/>
        </w:rPr>
        <w:t>cores</w:t>
      </w:r>
      <w:r w:rsidR="001756ED">
        <w:rPr>
          <w:szCs w:val="24"/>
          <w:lang w:val="en-US"/>
        </w:rPr>
        <w:t xml:space="preserve">idence would erase the negative consequences of having many brothers and sisters on one’s own school test scores. </w:t>
      </w:r>
      <w:r w:rsidR="00F5125A">
        <w:rPr>
          <w:szCs w:val="24"/>
          <w:lang w:val="en-US"/>
        </w:rPr>
        <w:t>The</w:t>
      </w:r>
      <w:r w:rsidR="001756ED">
        <w:rPr>
          <w:szCs w:val="24"/>
          <w:lang w:val="en-US"/>
        </w:rPr>
        <w:t xml:space="preserve">se </w:t>
      </w:r>
      <w:r w:rsidR="00F5125A">
        <w:rPr>
          <w:szCs w:val="24"/>
          <w:lang w:val="en-US"/>
        </w:rPr>
        <w:t>finding</w:t>
      </w:r>
      <w:r w:rsidR="001756ED">
        <w:rPr>
          <w:szCs w:val="24"/>
          <w:lang w:val="en-US"/>
        </w:rPr>
        <w:t>s hold</w:t>
      </w:r>
      <w:r w:rsidR="00F5125A">
        <w:rPr>
          <w:szCs w:val="24"/>
          <w:lang w:val="en-US"/>
        </w:rPr>
        <w:t xml:space="preserve"> even when controlling statistically for </w:t>
      </w:r>
      <w:r w:rsidR="00FE6017">
        <w:rPr>
          <w:szCs w:val="24"/>
          <w:lang w:val="en-US"/>
        </w:rPr>
        <w:t xml:space="preserve">the effects of </w:t>
      </w:r>
      <w:r w:rsidR="00F5125A">
        <w:rPr>
          <w:szCs w:val="24"/>
          <w:lang w:val="en-US"/>
        </w:rPr>
        <w:t>public expenditure on education, public social security expenditure, and crude divorce rate</w:t>
      </w:r>
      <w:r w:rsidR="00FE6017">
        <w:rPr>
          <w:szCs w:val="24"/>
          <w:lang w:val="en-US"/>
        </w:rPr>
        <w:t xml:space="preserve"> as well as for the interactions of these variables with sibship size</w:t>
      </w:r>
      <w:r w:rsidR="00F5125A">
        <w:rPr>
          <w:szCs w:val="24"/>
          <w:lang w:val="en-US"/>
        </w:rPr>
        <w:t>.</w:t>
      </w:r>
    </w:p>
    <w:p w14:paraId="667CE1AC" w14:textId="77777777" w:rsidR="00D664E8" w:rsidRDefault="00D664E8" w:rsidP="006F30EE">
      <w:pPr>
        <w:spacing w:line="480" w:lineRule="auto"/>
        <w:rPr>
          <w:lang w:val="en-US"/>
        </w:rPr>
      </w:pPr>
      <w:r>
        <w:rPr>
          <w:b/>
          <w:lang w:val="en-US"/>
        </w:rPr>
        <w:t xml:space="preserve">Keywords: </w:t>
      </w:r>
      <w:r w:rsidR="00777020">
        <w:rPr>
          <w:lang w:val="en-US"/>
        </w:rPr>
        <w:t>sibship</w:t>
      </w:r>
      <w:r>
        <w:rPr>
          <w:lang w:val="en-US"/>
        </w:rPr>
        <w:t xml:space="preserve"> size; school achievement; reading literacy; development; three-generation households; </w:t>
      </w:r>
      <w:r w:rsidR="00731759">
        <w:rPr>
          <w:lang w:val="en-US"/>
        </w:rPr>
        <w:t>cores</w:t>
      </w:r>
      <w:r>
        <w:rPr>
          <w:lang w:val="en-US"/>
        </w:rPr>
        <w:t>idence</w:t>
      </w:r>
    </w:p>
    <w:p w14:paraId="5FEA7539" w14:textId="77777777" w:rsidR="00A07959" w:rsidRPr="00975C68" w:rsidRDefault="00D664E8" w:rsidP="006F30EE">
      <w:pPr>
        <w:pStyle w:val="Nadpis1"/>
      </w:pPr>
      <w:r>
        <w:br w:type="page"/>
      </w:r>
      <w:r w:rsidR="008A0CD7">
        <w:lastRenderedPageBreak/>
        <w:t>Introduction: f</w:t>
      </w:r>
      <w:r w:rsidR="008A0CD7" w:rsidRPr="00975C68">
        <w:t>amily size and education</w:t>
      </w:r>
      <w:r w:rsidR="008A0CD7">
        <w:t>al achievement</w:t>
      </w:r>
    </w:p>
    <w:p w14:paraId="40A00192" w14:textId="3D12B7EB" w:rsidR="000A3C33" w:rsidRDefault="00962D0F" w:rsidP="006F30EE">
      <w:pPr>
        <w:spacing w:line="480" w:lineRule="auto"/>
        <w:rPr>
          <w:color w:val="000000"/>
          <w:szCs w:val="24"/>
          <w:lang w:val="en-US"/>
        </w:rPr>
      </w:pPr>
      <w:r>
        <w:rPr>
          <w:lang w:val="en-US"/>
        </w:rPr>
        <w:t xml:space="preserve">The </w:t>
      </w:r>
      <w:r w:rsidRPr="004B2B22">
        <w:rPr>
          <w:lang w:val="en-US"/>
        </w:rPr>
        <w:t xml:space="preserve">number </w:t>
      </w:r>
      <w:r w:rsidR="00D518D7" w:rsidRPr="004B2B22">
        <w:rPr>
          <w:lang w:val="en-US"/>
        </w:rPr>
        <w:t>of siblings</w:t>
      </w:r>
      <w:r w:rsidR="009F758B">
        <w:rPr>
          <w:lang w:val="en-US"/>
        </w:rPr>
        <w:t xml:space="preserve"> (</w:t>
      </w:r>
      <w:r w:rsidR="00D518D7" w:rsidRPr="004B2B22">
        <w:rPr>
          <w:lang w:val="en-US"/>
        </w:rPr>
        <w:t>or family size</w:t>
      </w:r>
      <w:r w:rsidR="009F758B">
        <w:rPr>
          <w:lang w:val="en-US"/>
        </w:rPr>
        <w:t>, which is often used as a synonym for number of siblings)</w:t>
      </w:r>
      <w:r w:rsidR="00EC67CE" w:rsidRPr="004B2B22">
        <w:rPr>
          <w:lang w:val="en-US"/>
        </w:rPr>
        <w:t>,</w:t>
      </w:r>
      <w:r w:rsidR="00D518D7" w:rsidRPr="004B2B22">
        <w:rPr>
          <w:lang w:val="en-US"/>
        </w:rPr>
        <w:t xml:space="preserve"> has traditionally been </w:t>
      </w:r>
      <w:r w:rsidR="00EC67CE" w:rsidRPr="004B2B22">
        <w:rPr>
          <w:lang w:val="en-US"/>
        </w:rPr>
        <w:t xml:space="preserve">one of the exogenous variables in </w:t>
      </w:r>
      <w:r w:rsidR="00D518D7" w:rsidRPr="004B2B22">
        <w:rPr>
          <w:lang w:val="en-US"/>
        </w:rPr>
        <w:t>the status attainment model</w:t>
      </w:r>
      <w:r w:rsidR="00EC67CE" w:rsidRPr="004B2B22">
        <w:rPr>
          <w:lang w:val="en-US"/>
        </w:rPr>
        <w:t xml:space="preserve">. </w:t>
      </w:r>
      <w:r w:rsidR="009F758B">
        <w:rPr>
          <w:lang w:val="en-US"/>
        </w:rPr>
        <w:t>While various aspect</w:t>
      </w:r>
      <w:r w:rsidR="007F790B">
        <w:rPr>
          <w:lang w:val="en-US"/>
        </w:rPr>
        <w:t>s</w:t>
      </w:r>
      <w:r w:rsidR="009F758B">
        <w:rPr>
          <w:lang w:val="en-US"/>
        </w:rPr>
        <w:t xml:space="preserve"> of the sibship configuration have attracted scholarly attention at least since the late 19</w:t>
      </w:r>
      <w:r w:rsidR="009F758B" w:rsidRPr="009F758B">
        <w:rPr>
          <w:vertAlign w:val="superscript"/>
          <w:lang w:val="en-US"/>
        </w:rPr>
        <w:t>th</w:t>
      </w:r>
      <w:r w:rsidR="009F758B">
        <w:rPr>
          <w:lang w:val="en-US"/>
        </w:rPr>
        <w:t xml:space="preserve"> century </w:t>
      </w:r>
      <w:r w:rsidR="00390FBD">
        <w:rPr>
          <w:lang w:val="en-US"/>
        </w:rPr>
        <w:t>(s</w:t>
      </w:r>
      <w:r w:rsidR="00AF0540">
        <w:rPr>
          <w:lang w:val="en-US"/>
        </w:rPr>
        <w:t xml:space="preserve">ee examples provided by </w:t>
      </w:r>
      <w:r w:rsidR="009F758B">
        <w:rPr>
          <w:lang w:val="en-US"/>
        </w:rPr>
        <w:t>Steelman et al.</w:t>
      </w:r>
      <w:r w:rsidR="00390FBD">
        <w:rPr>
          <w:lang w:val="en-US"/>
        </w:rPr>
        <w:t>,</w:t>
      </w:r>
      <w:r w:rsidR="009F758B">
        <w:rPr>
          <w:lang w:val="en-US"/>
        </w:rPr>
        <w:t xml:space="preserve"> 2002</w:t>
      </w:r>
      <w:r w:rsidR="00390FBD">
        <w:rPr>
          <w:lang w:val="en-US"/>
        </w:rPr>
        <w:t>)</w:t>
      </w:r>
      <w:r w:rsidR="009F758B">
        <w:rPr>
          <w:lang w:val="en-US"/>
        </w:rPr>
        <w:t xml:space="preserve">, family size </w:t>
      </w:r>
      <w:r w:rsidR="00C15974">
        <w:rPr>
          <w:lang w:val="en-US"/>
        </w:rPr>
        <w:t xml:space="preserve">was not </w:t>
      </w:r>
      <w:r>
        <w:rPr>
          <w:lang w:val="en-US"/>
        </w:rPr>
        <w:t xml:space="preserve">standard part of </w:t>
      </w:r>
      <w:r w:rsidR="009F758B">
        <w:rPr>
          <w:lang w:val="en-US"/>
        </w:rPr>
        <w:t>research on social stratification and mobility until the fie</w:t>
      </w:r>
      <w:r w:rsidR="00C15974">
        <w:rPr>
          <w:lang w:val="en-US"/>
        </w:rPr>
        <w:t>l</w:t>
      </w:r>
      <w:r w:rsidR="009F758B">
        <w:rPr>
          <w:lang w:val="en-US"/>
        </w:rPr>
        <w:t>d entere</w:t>
      </w:r>
      <w:r w:rsidR="00D06E80">
        <w:rPr>
          <w:lang w:val="en-US"/>
        </w:rPr>
        <w:t>d its ‘second generation’ (Ganzeboom, Treiman</w:t>
      </w:r>
      <w:r w:rsidR="00390FBD">
        <w:rPr>
          <w:lang w:val="en-US"/>
        </w:rPr>
        <w:t>,</w:t>
      </w:r>
      <w:r w:rsidR="00D06E80">
        <w:rPr>
          <w:lang w:val="en-US"/>
        </w:rPr>
        <w:t xml:space="preserve"> &amp;</w:t>
      </w:r>
      <w:r w:rsidR="009F758B">
        <w:rPr>
          <w:lang w:val="en-US"/>
        </w:rPr>
        <w:t xml:space="preserve"> Ultee</w:t>
      </w:r>
      <w:r w:rsidR="00D06E80">
        <w:rPr>
          <w:lang w:val="en-US"/>
        </w:rPr>
        <w:t>,</w:t>
      </w:r>
      <w:r w:rsidR="009F758B">
        <w:rPr>
          <w:lang w:val="en-US"/>
        </w:rPr>
        <w:t xml:space="preserve"> 1991</w:t>
      </w:r>
      <w:r w:rsidR="00D06E80">
        <w:rPr>
          <w:lang w:val="en-US"/>
        </w:rPr>
        <w:t>)</w:t>
      </w:r>
      <w:r w:rsidR="009F758B">
        <w:rPr>
          <w:lang w:val="en-US"/>
        </w:rPr>
        <w:t xml:space="preserve">. </w:t>
      </w:r>
      <w:r w:rsidR="00C15974">
        <w:rPr>
          <w:lang w:val="en-GB"/>
        </w:rPr>
        <w:t xml:space="preserve">Blau and Duncan’s classic study </w:t>
      </w:r>
      <w:r w:rsidR="00C15974" w:rsidRPr="00C15974">
        <w:rPr>
          <w:i/>
          <w:lang w:val="en-GB"/>
        </w:rPr>
        <w:t xml:space="preserve">The American Occupational Structure </w:t>
      </w:r>
      <w:r w:rsidR="00D06E80">
        <w:rPr>
          <w:lang w:val="en-GB"/>
        </w:rPr>
        <w:t>(</w:t>
      </w:r>
      <w:r w:rsidR="00C15974" w:rsidRPr="00C15974">
        <w:rPr>
          <w:lang w:val="en-GB"/>
        </w:rPr>
        <w:t>1967</w:t>
      </w:r>
      <w:r w:rsidR="00D06E80">
        <w:rPr>
          <w:lang w:val="en-GB"/>
        </w:rPr>
        <w:t xml:space="preserve">) </w:t>
      </w:r>
      <w:r w:rsidR="00C15974">
        <w:rPr>
          <w:lang w:val="en-GB"/>
        </w:rPr>
        <w:t xml:space="preserve">showed that </w:t>
      </w:r>
      <w:r w:rsidR="00C15974" w:rsidRPr="00C15974">
        <w:rPr>
          <w:lang w:val="en-GB"/>
        </w:rPr>
        <w:t xml:space="preserve">men from smaller families </w:t>
      </w:r>
      <w:r w:rsidR="00C15974">
        <w:rPr>
          <w:lang w:val="en-GB"/>
        </w:rPr>
        <w:t>attained</w:t>
      </w:r>
      <w:r>
        <w:rPr>
          <w:lang w:val="en-GB"/>
        </w:rPr>
        <w:t xml:space="preserve">, </w:t>
      </w:r>
      <w:r w:rsidR="00C15974">
        <w:rPr>
          <w:lang w:val="en-GB"/>
        </w:rPr>
        <w:t>on average</w:t>
      </w:r>
      <w:r>
        <w:rPr>
          <w:lang w:val="en-GB"/>
        </w:rPr>
        <w:t xml:space="preserve">, </w:t>
      </w:r>
      <w:r w:rsidR="00C15974">
        <w:rPr>
          <w:lang w:val="en-GB"/>
        </w:rPr>
        <w:t xml:space="preserve">more education than men from larger families, presumably due to the dilution of </w:t>
      </w:r>
      <w:r w:rsidR="00C15974" w:rsidRPr="00C15974">
        <w:rPr>
          <w:lang w:val="en-GB"/>
        </w:rPr>
        <w:t xml:space="preserve">parental resources. </w:t>
      </w:r>
      <w:r w:rsidR="00296AC3">
        <w:rPr>
          <w:lang w:val="en-GB"/>
        </w:rPr>
        <w:t xml:space="preserve">A number of later studies </w:t>
      </w:r>
      <w:r w:rsidR="00D06E80">
        <w:rPr>
          <w:lang w:val="en-GB"/>
        </w:rPr>
        <w:t>(</w:t>
      </w:r>
      <w:r w:rsidR="00C15974" w:rsidRPr="00C15974">
        <w:rPr>
          <w:lang w:val="en-GB"/>
        </w:rPr>
        <w:t xml:space="preserve">Featherman </w:t>
      </w:r>
      <w:r w:rsidR="00D06E80">
        <w:rPr>
          <w:lang w:val="en-GB"/>
        </w:rPr>
        <w:t>&amp;</w:t>
      </w:r>
      <w:r w:rsidR="00C15974" w:rsidRPr="00C15974">
        <w:rPr>
          <w:lang w:val="en-GB"/>
        </w:rPr>
        <w:t xml:space="preserve"> Carter</w:t>
      </w:r>
      <w:r w:rsidR="00D06E80">
        <w:rPr>
          <w:lang w:val="en-GB"/>
        </w:rPr>
        <w:t>,</w:t>
      </w:r>
      <w:r w:rsidR="00C15974" w:rsidRPr="00C15974">
        <w:rPr>
          <w:lang w:val="en-GB"/>
        </w:rPr>
        <w:t xml:space="preserve"> 1976</w:t>
      </w:r>
      <w:r w:rsidR="00B95D34">
        <w:rPr>
          <w:lang w:val="en-GB"/>
        </w:rPr>
        <w:t xml:space="preserve">; </w:t>
      </w:r>
      <w:r w:rsidR="00B95D34" w:rsidRPr="00C15974">
        <w:rPr>
          <w:lang w:val="en-GB"/>
        </w:rPr>
        <w:t xml:space="preserve">Featherman </w:t>
      </w:r>
      <w:r w:rsidR="00B95D34">
        <w:rPr>
          <w:lang w:val="en-GB"/>
        </w:rPr>
        <w:t>&amp;</w:t>
      </w:r>
      <w:r w:rsidR="00B95D34" w:rsidRPr="00C15974">
        <w:rPr>
          <w:lang w:val="en-GB"/>
        </w:rPr>
        <w:t xml:space="preserve"> Hauser</w:t>
      </w:r>
      <w:r w:rsidR="00B95D34">
        <w:rPr>
          <w:lang w:val="en-GB"/>
        </w:rPr>
        <w:t>,</w:t>
      </w:r>
      <w:r w:rsidR="00B95D34" w:rsidRPr="00C15974">
        <w:rPr>
          <w:lang w:val="en-GB"/>
        </w:rPr>
        <w:t xml:space="preserve"> 1978</w:t>
      </w:r>
      <w:r w:rsidR="00296AC3">
        <w:rPr>
          <w:lang w:val="en-GB"/>
        </w:rPr>
        <w:t xml:space="preserve">; Hauser </w:t>
      </w:r>
      <w:r w:rsidR="00D06E80">
        <w:rPr>
          <w:lang w:val="en-GB"/>
        </w:rPr>
        <w:t>&amp;</w:t>
      </w:r>
      <w:r w:rsidR="00296AC3">
        <w:rPr>
          <w:lang w:val="en-GB"/>
        </w:rPr>
        <w:t xml:space="preserve"> Featherman</w:t>
      </w:r>
      <w:r w:rsidR="00D06E80">
        <w:rPr>
          <w:lang w:val="en-GB"/>
        </w:rPr>
        <w:t>,</w:t>
      </w:r>
      <w:r w:rsidR="00296AC3">
        <w:rPr>
          <w:lang w:val="en-GB"/>
        </w:rPr>
        <w:t xml:space="preserve"> </w:t>
      </w:r>
      <w:r w:rsidR="00C15974" w:rsidRPr="00C15974">
        <w:rPr>
          <w:lang w:val="en-GB"/>
        </w:rPr>
        <w:t>1977</w:t>
      </w:r>
      <w:r w:rsidR="00502D66">
        <w:rPr>
          <w:lang w:val="en-GB"/>
        </w:rPr>
        <w:t>)</w:t>
      </w:r>
      <w:r w:rsidR="00C15974" w:rsidRPr="00C15974">
        <w:rPr>
          <w:lang w:val="en-GB"/>
        </w:rPr>
        <w:t xml:space="preserve"> </w:t>
      </w:r>
      <w:r w:rsidR="00296AC3">
        <w:rPr>
          <w:lang w:val="en-GB"/>
        </w:rPr>
        <w:t xml:space="preserve">were consistent in revealing a </w:t>
      </w:r>
      <w:r w:rsidR="00C15974" w:rsidRPr="00C15974">
        <w:rPr>
          <w:lang w:val="en-GB"/>
        </w:rPr>
        <w:t xml:space="preserve">negative </w:t>
      </w:r>
      <w:r w:rsidR="00296AC3">
        <w:rPr>
          <w:lang w:val="en-GB"/>
        </w:rPr>
        <w:t>association</w:t>
      </w:r>
      <w:r w:rsidR="00580E16">
        <w:rPr>
          <w:lang w:val="en-GB"/>
        </w:rPr>
        <w:t xml:space="preserve"> between </w:t>
      </w:r>
      <w:r w:rsidR="00C15974" w:rsidRPr="00C15974">
        <w:rPr>
          <w:lang w:val="en-GB"/>
        </w:rPr>
        <w:t xml:space="preserve">number </w:t>
      </w:r>
      <w:r w:rsidR="00AF0540">
        <w:rPr>
          <w:lang w:val="en-GB"/>
        </w:rPr>
        <w:t xml:space="preserve">of </w:t>
      </w:r>
      <w:r w:rsidR="00C15974" w:rsidRPr="00C15974">
        <w:rPr>
          <w:lang w:val="en-GB"/>
        </w:rPr>
        <w:t>sibling</w:t>
      </w:r>
      <w:r w:rsidR="00AF0540">
        <w:rPr>
          <w:lang w:val="en-GB"/>
        </w:rPr>
        <w:t>s</w:t>
      </w:r>
      <w:r w:rsidR="00C15974" w:rsidRPr="00C15974">
        <w:rPr>
          <w:lang w:val="en-GB"/>
        </w:rPr>
        <w:t xml:space="preserve"> </w:t>
      </w:r>
      <w:r w:rsidR="00580E16">
        <w:rPr>
          <w:lang w:val="en-GB"/>
        </w:rPr>
        <w:t xml:space="preserve">and </w:t>
      </w:r>
      <w:r w:rsidR="00C15974" w:rsidRPr="00C15974">
        <w:rPr>
          <w:lang w:val="en-GB"/>
        </w:rPr>
        <w:t>educational attainment</w:t>
      </w:r>
      <w:r w:rsidR="00296AC3">
        <w:rPr>
          <w:lang w:val="en-GB"/>
        </w:rPr>
        <w:t xml:space="preserve"> and attribut</w:t>
      </w:r>
      <w:r w:rsidR="00580E16">
        <w:rPr>
          <w:lang w:val="en-GB"/>
        </w:rPr>
        <w:t>ed this</w:t>
      </w:r>
      <w:r w:rsidR="00296AC3">
        <w:rPr>
          <w:lang w:val="en-GB"/>
        </w:rPr>
        <w:t xml:space="preserve"> to resource dilution</w:t>
      </w:r>
      <w:r w:rsidR="00537AA5">
        <w:rPr>
          <w:lang w:val="en-GB"/>
        </w:rPr>
        <w:t>.</w:t>
      </w:r>
    </w:p>
    <w:p w14:paraId="55690D2A" w14:textId="122683E5" w:rsidR="00F60932" w:rsidRDefault="00A374F2" w:rsidP="006F30EE">
      <w:pPr>
        <w:spacing w:line="480" w:lineRule="auto"/>
        <w:rPr>
          <w:lang w:val="en-GB"/>
        </w:rPr>
      </w:pPr>
      <w:r w:rsidRPr="000A3C33">
        <w:rPr>
          <w:color w:val="000000"/>
          <w:szCs w:val="24"/>
          <w:lang w:val="en-US"/>
        </w:rPr>
        <w:t>T</w:t>
      </w:r>
      <w:r w:rsidR="000A3C33" w:rsidRPr="000A3C33">
        <w:rPr>
          <w:color w:val="000000"/>
          <w:szCs w:val="24"/>
          <w:lang w:val="en-US"/>
        </w:rPr>
        <w:t xml:space="preserve">he </w:t>
      </w:r>
      <w:r w:rsidR="00580E16">
        <w:rPr>
          <w:color w:val="000000"/>
          <w:szCs w:val="24"/>
          <w:lang w:val="en-US"/>
        </w:rPr>
        <w:t xml:space="preserve">reasons for </w:t>
      </w:r>
      <w:r w:rsidR="000A3C33" w:rsidRPr="000A3C33">
        <w:rPr>
          <w:color w:val="000000"/>
          <w:szCs w:val="24"/>
          <w:lang w:val="en-US"/>
        </w:rPr>
        <w:t>the</w:t>
      </w:r>
      <w:r w:rsidRPr="000A3C33">
        <w:rPr>
          <w:color w:val="000000"/>
          <w:szCs w:val="24"/>
          <w:lang w:val="en-US"/>
        </w:rPr>
        <w:t xml:space="preserve"> negative association </w:t>
      </w:r>
      <w:r w:rsidR="000A3C33" w:rsidRPr="000A3C33">
        <w:rPr>
          <w:color w:val="000000"/>
          <w:szCs w:val="24"/>
          <w:lang w:val="en-US"/>
        </w:rPr>
        <w:t xml:space="preserve">between family size and educational achievement </w:t>
      </w:r>
      <w:r w:rsidR="00580E16">
        <w:rPr>
          <w:color w:val="000000"/>
          <w:szCs w:val="24"/>
          <w:lang w:val="en-US"/>
        </w:rPr>
        <w:t>are</w:t>
      </w:r>
      <w:r w:rsidRPr="000A3C33">
        <w:rPr>
          <w:color w:val="000000"/>
          <w:szCs w:val="24"/>
          <w:lang w:val="en-US"/>
        </w:rPr>
        <w:t xml:space="preserve">, however, </w:t>
      </w:r>
      <w:r w:rsidR="00AF0540">
        <w:rPr>
          <w:color w:val="000000"/>
          <w:szCs w:val="24"/>
          <w:lang w:val="en-US"/>
        </w:rPr>
        <w:t xml:space="preserve">a </w:t>
      </w:r>
      <w:r w:rsidR="00992394">
        <w:rPr>
          <w:color w:val="000000"/>
          <w:szCs w:val="24"/>
          <w:lang w:val="en-US"/>
        </w:rPr>
        <w:t>frequently</w:t>
      </w:r>
      <w:r w:rsidR="00580E16">
        <w:rPr>
          <w:color w:val="000000"/>
          <w:szCs w:val="24"/>
          <w:lang w:val="en-US"/>
        </w:rPr>
        <w:t>-</w:t>
      </w:r>
      <w:r w:rsidRPr="000A3C33">
        <w:rPr>
          <w:color w:val="000000"/>
          <w:szCs w:val="24"/>
          <w:lang w:val="en-US"/>
        </w:rPr>
        <w:t xml:space="preserve">debated </w:t>
      </w:r>
      <w:r w:rsidR="00AF0540">
        <w:rPr>
          <w:color w:val="000000"/>
          <w:szCs w:val="24"/>
          <w:lang w:val="en-US"/>
        </w:rPr>
        <w:t xml:space="preserve">issue in current sociological research </w:t>
      </w:r>
      <w:r w:rsidR="006938A5">
        <w:rPr>
          <w:color w:val="000000"/>
          <w:szCs w:val="24"/>
          <w:lang w:val="en-US"/>
        </w:rPr>
        <w:t>(</w:t>
      </w:r>
      <w:r w:rsidRPr="000A3C33">
        <w:rPr>
          <w:color w:val="000000"/>
          <w:szCs w:val="24"/>
          <w:lang w:val="en-US"/>
        </w:rPr>
        <w:t>Guo</w:t>
      </w:r>
      <w:r w:rsidR="00D06E80">
        <w:rPr>
          <w:color w:val="000000"/>
          <w:szCs w:val="24"/>
          <w:lang w:val="en-US"/>
        </w:rPr>
        <w:t xml:space="preserve"> &amp;</w:t>
      </w:r>
      <w:r w:rsidRPr="000A3C33">
        <w:rPr>
          <w:color w:val="000000"/>
          <w:szCs w:val="24"/>
          <w:lang w:val="en-US"/>
        </w:rPr>
        <w:t xml:space="preserve"> VanWey</w:t>
      </w:r>
      <w:r w:rsidR="00D06E80">
        <w:rPr>
          <w:color w:val="000000"/>
          <w:szCs w:val="24"/>
          <w:lang w:val="en-US"/>
        </w:rPr>
        <w:t>,</w:t>
      </w:r>
      <w:r w:rsidRPr="000A3C33">
        <w:rPr>
          <w:color w:val="000000"/>
          <w:szCs w:val="24"/>
          <w:lang w:val="en-US"/>
        </w:rPr>
        <w:t xml:space="preserve"> 1999; Jaeger</w:t>
      </w:r>
      <w:r w:rsidR="00D06E80">
        <w:rPr>
          <w:color w:val="000000"/>
          <w:szCs w:val="24"/>
          <w:lang w:val="en-US"/>
        </w:rPr>
        <w:t>,</w:t>
      </w:r>
      <w:r w:rsidRPr="000A3C33">
        <w:rPr>
          <w:color w:val="000000"/>
          <w:szCs w:val="24"/>
          <w:lang w:val="en-US"/>
        </w:rPr>
        <w:t xml:space="preserve"> 2008, 2009; Steelman et al.</w:t>
      </w:r>
      <w:r w:rsidR="006938A5">
        <w:rPr>
          <w:color w:val="000000"/>
          <w:szCs w:val="24"/>
          <w:lang w:val="en-US"/>
        </w:rPr>
        <w:t>, 2002)</w:t>
      </w:r>
      <w:r w:rsidR="000A3C33" w:rsidRPr="000A3C33">
        <w:rPr>
          <w:color w:val="000000"/>
          <w:szCs w:val="24"/>
          <w:lang w:val="en-US"/>
        </w:rPr>
        <w:t xml:space="preserve">. </w:t>
      </w:r>
      <w:r w:rsidR="00FC796F" w:rsidRPr="000A3C33">
        <w:rPr>
          <w:color w:val="000000"/>
          <w:szCs w:val="24"/>
          <w:lang w:val="en-US"/>
        </w:rPr>
        <w:t xml:space="preserve">The literature offers </w:t>
      </w:r>
      <w:r w:rsidR="00BB6D53">
        <w:rPr>
          <w:color w:val="000000"/>
          <w:szCs w:val="24"/>
          <w:lang w:val="en-US"/>
        </w:rPr>
        <w:t xml:space="preserve">four </w:t>
      </w:r>
      <w:r w:rsidR="00AF0540">
        <w:rPr>
          <w:color w:val="000000"/>
          <w:szCs w:val="24"/>
          <w:lang w:val="en-US"/>
        </w:rPr>
        <w:t xml:space="preserve">alternative </w:t>
      </w:r>
      <w:r w:rsidR="006C019C" w:rsidRPr="000A3C33">
        <w:rPr>
          <w:color w:val="000000"/>
          <w:szCs w:val="24"/>
          <w:lang w:val="en-US"/>
        </w:rPr>
        <w:t xml:space="preserve">explanations. First, the confluence model posits that each additional birth into </w:t>
      </w:r>
      <w:r w:rsidR="00992394">
        <w:rPr>
          <w:color w:val="000000"/>
          <w:szCs w:val="24"/>
          <w:lang w:val="en-US"/>
        </w:rPr>
        <w:t>a</w:t>
      </w:r>
      <w:r w:rsidR="006C019C" w:rsidRPr="000A3C33">
        <w:rPr>
          <w:color w:val="000000"/>
          <w:szCs w:val="24"/>
          <w:lang w:val="en-US"/>
        </w:rPr>
        <w:t xml:space="preserve"> family changes the interpersonal dynamics and intellectual level of the family environment. Each child</w:t>
      </w:r>
      <w:r w:rsidR="00962D0F">
        <w:rPr>
          <w:color w:val="000000"/>
          <w:szCs w:val="24"/>
          <w:lang w:val="en-US"/>
        </w:rPr>
        <w:t>,</w:t>
      </w:r>
      <w:r w:rsidR="006C019C" w:rsidRPr="000A3C33">
        <w:rPr>
          <w:color w:val="000000"/>
          <w:szCs w:val="24"/>
          <w:lang w:val="en-US"/>
        </w:rPr>
        <w:t xml:space="preserve"> then</w:t>
      </w:r>
      <w:r w:rsidR="00962D0F">
        <w:rPr>
          <w:color w:val="000000"/>
          <w:szCs w:val="24"/>
          <w:lang w:val="en-US"/>
        </w:rPr>
        <w:t>, is</w:t>
      </w:r>
      <w:r w:rsidR="006C019C" w:rsidRPr="000A3C33">
        <w:rPr>
          <w:color w:val="000000"/>
          <w:szCs w:val="24"/>
          <w:lang w:val="en-US"/>
        </w:rPr>
        <w:t xml:space="preserve"> exposed to more or less advantageous environments for shorter or longer periods of his/her life, which cumulatively produces different </w:t>
      </w:r>
      <w:r w:rsidR="00A1688E" w:rsidRPr="000A3C33">
        <w:rPr>
          <w:color w:val="000000"/>
          <w:szCs w:val="24"/>
          <w:lang w:val="en-US"/>
        </w:rPr>
        <w:t xml:space="preserve">cognitive as well as school </w:t>
      </w:r>
      <w:r w:rsidR="006938A5">
        <w:rPr>
          <w:color w:val="000000"/>
          <w:szCs w:val="24"/>
          <w:lang w:val="en-US"/>
        </w:rPr>
        <w:t>outcomes (</w:t>
      </w:r>
      <w:r w:rsidR="006C019C" w:rsidRPr="000A3C33">
        <w:rPr>
          <w:color w:val="000000"/>
          <w:szCs w:val="24"/>
          <w:lang w:val="en-US"/>
        </w:rPr>
        <w:t>Guo</w:t>
      </w:r>
      <w:r w:rsidR="006938A5">
        <w:rPr>
          <w:color w:val="000000"/>
          <w:szCs w:val="24"/>
          <w:lang w:val="en-US"/>
        </w:rPr>
        <w:t xml:space="preserve"> &amp;</w:t>
      </w:r>
      <w:r w:rsidR="006C019C" w:rsidRPr="000A3C33">
        <w:rPr>
          <w:color w:val="000000"/>
          <w:szCs w:val="24"/>
          <w:lang w:val="en-US"/>
        </w:rPr>
        <w:t xml:space="preserve"> VanWey</w:t>
      </w:r>
      <w:r w:rsidR="006938A5">
        <w:rPr>
          <w:color w:val="000000"/>
          <w:szCs w:val="24"/>
          <w:lang w:val="en-US"/>
        </w:rPr>
        <w:t>,</w:t>
      </w:r>
      <w:r w:rsidR="006C019C" w:rsidRPr="000A3C33">
        <w:rPr>
          <w:color w:val="000000"/>
          <w:szCs w:val="24"/>
          <w:lang w:val="en-US"/>
        </w:rPr>
        <w:t xml:space="preserve"> 1999; Jaeger</w:t>
      </w:r>
      <w:r w:rsidR="006938A5">
        <w:rPr>
          <w:color w:val="000000"/>
          <w:szCs w:val="24"/>
          <w:lang w:val="en-US"/>
        </w:rPr>
        <w:t>,</w:t>
      </w:r>
      <w:r w:rsidR="006C019C" w:rsidRPr="000A3C33">
        <w:rPr>
          <w:color w:val="000000"/>
          <w:szCs w:val="24"/>
          <w:lang w:val="en-US"/>
        </w:rPr>
        <w:t xml:space="preserve"> 2009; Steelman</w:t>
      </w:r>
      <w:r w:rsidR="006938A5">
        <w:rPr>
          <w:color w:val="000000"/>
          <w:szCs w:val="24"/>
          <w:lang w:val="en-US"/>
        </w:rPr>
        <w:t>,</w:t>
      </w:r>
      <w:r w:rsidR="006C019C" w:rsidRPr="000A3C33">
        <w:rPr>
          <w:color w:val="000000"/>
          <w:szCs w:val="24"/>
          <w:lang w:val="en-US"/>
        </w:rPr>
        <w:t xml:space="preserve"> 1985; Zajonc</w:t>
      </w:r>
      <w:r w:rsidR="006938A5">
        <w:rPr>
          <w:color w:val="000000"/>
          <w:szCs w:val="24"/>
          <w:lang w:val="en-US"/>
        </w:rPr>
        <w:t xml:space="preserve"> &amp;</w:t>
      </w:r>
      <w:r w:rsidR="006C019C" w:rsidRPr="000A3C33">
        <w:rPr>
          <w:color w:val="000000"/>
          <w:szCs w:val="24"/>
          <w:lang w:val="en-US"/>
        </w:rPr>
        <w:t xml:space="preserve"> Marcus</w:t>
      </w:r>
      <w:r w:rsidR="006938A5">
        <w:rPr>
          <w:color w:val="000000"/>
          <w:szCs w:val="24"/>
          <w:lang w:val="en-US"/>
        </w:rPr>
        <w:t>, 1975</w:t>
      </w:r>
      <w:r w:rsidR="006938A5">
        <w:rPr>
          <w:color w:val="000000"/>
          <w:szCs w:val="24"/>
        </w:rPr>
        <w:t>)</w:t>
      </w:r>
      <w:r w:rsidR="006C019C" w:rsidRPr="000A3C33">
        <w:rPr>
          <w:color w:val="000000"/>
          <w:szCs w:val="24"/>
          <w:lang w:val="en-US"/>
        </w:rPr>
        <w:t xml:space="preserve">. </w:t>
      </w:r>
      <w:r w:rsidR="00A1688E" w:rsidRPr="000A3C33">
        <w:rPr>
          <w:color w:val="000000"/>
          <w:szCs w:val="24"/>
          <w:lang w:val="en-US"/>
        </w:rPr>
        <w:t xml:space="preserve">Second, the </w:t>
      </w:r>
      <w:r w:rsidR="006C019C" w:rsidRPr="000A3C33">
        <w:rPr>
          <w:color w:val="000000"/>
          <w:szCs w:val="24"/>
          <w:lang w:val="en-US"/>
        </w:rPr>
        <w:t xml:space="preserve">resource dilution model assumes that the family has only a limited amount of economic and non-economic resources that can be used for the benefit of the children. Therefore, the more children there are in the family, the lower the share </w:t>
      </w:r>
      <w:r w:rsidR="00F60932" w:rsidRPr="000A3C33">
        <w:rPr>
          <w:color w:val="000000"/>
          <w:szCs w:val="24"/>
          <w:lang w:val="en-US"/>
        </w:rPr>
        <w:t xml:space="preserve">of available resources </w:t>
      </w:r>
      <w:r w:rsidR="006C019C" w:rsidRPr="000A3C33">
        <w:rPr>
          <w:color w:val="000000"/>
          <w:szCs w:val="24"/>
          <w:lang w:val="en-US"/>
        </w:rPr>
        <w:lastRenderedPageBreak/>
        <w:t xml:space="preserve">each child can </w:t>
      </w:r>
      <w:r w:rsidR="00F60932" w:rsidRPr="000A3C33">
        <w:rPr>
          <w:color w:val="000000"/>
          <w:szCs w:val="24"/>
          <w:lang w:val="en-US"/>
        </w:rPr>
        <w:t xml:space="preserve">claim </w:t>
      </w:r>
      <w:r w:rsidR="006C019C" w:rsidRPr="000A3C33">
        <w:rPr>
          <w:color w:val="000000"/>
          <w:szCs w:val="24"/>
          <w:lang w:val="en-US"/>
        </w:rPr>
        <w:t xml:space="preserve">and </w:t>
      </w:r>
      <w:r w:rsidR="00F60932" w:rsidRPr="000A3C33">
        <w:rPr>
          <w:color w:val="000000"/>
          <w:szCs w:val="24"/>
          <w:lang w:val="en-US"/>
        </w:rPr>
        <w:t xml:space="preserve">the less </w:t>
      </w:r>
      <w:r w:rsidR="006C019C" w:rsidRPr="000A3C33">
        <w:rPr>
          <w:color w:val="000000"/>
          <w:szCs w:val="24"/>
          <w:lang w:val="en-US"/>
        </w:rPr>
        <w:t xml:space="preserve">education </w:t>
      </w:r>
      <w:r w:rsidR="002C56BF">
        <w:rPr>
          <w:color w:val="000000"/>
          <w:szCs w:val="24"/>
          <w:lang w:val="en-US"/>
        </w:rPr>
        <w:t>he</w:t>
      </w:r>
      <w:r w:rsidR="00F60932" w:rsidRPr="000A3C33">
        <w:rPr>
          <w:color w:val="000000"/>
          <w:szCs w:val="24"/>
          <w:lang w:val="en-US"/>
        </w:rPr>
        <w:t xml:space="preserve">/she obtains </w:t>
      </w:r>
      <w:r w:rsidR="006938A5">
        <w:rPr>
          <w:color w:val="000000"/>
          <w:szCs w:val="24"/>
          <w:lang w:val="en-US"/>
        </w:rPr>
        <w:t>(</w:t>
      </w:r>
      <w:r w:rsidR="006C019C" w:rsidRPr="000A3C33">
        <w:rPr>
          <w:color w:val="000000"/>
          <w:szCs w:val="24"/>
          <w:lang w:val="en-US"/>
        </w:rPr>
        <w:t>Downey</w:t>
      </w:r>
      <w:r w:rsidR="006938A5">
        <w:rPr>
          <w:color w:val="000000"/>
          <w:szCs w:val="24"/>
          <w:lang w:val="en-US"/>
        </w:rPr>
        <w:t>, 1995</w:t>
      </w:r>
      <w:r w:rsidR="00B95D34" w:rsidRPr="000A3C33">
        <w:rPr>
          <w:color w:val="000000"/>
          <w:szCs w:val="24"/>
          <w:lang w:val="en-US"/>
        </w:rPr>
        <w:t>; Jaeger</w:t>
      </w:r>
      <w:r w:rsidR="00B95D34">
        <w:rPr>
          <w:color w:val="000000"/>
          <w:szCs w:val="24"/>
          <w:lang w:val="en-US"/>
        </w:rPr>
        <w:t>,</w:t>
      </w:r>
      <w:r w:rsidR="00B95D34" w:rsidRPr="000A3C33">
        <w:rPr>
          <w:color w:val="000000"/>
          <w:szCs w:val="24"/>
          <w:lang w:val="en-US"/>
        </w:rPr>
        <w:t xml:space="preserve"> 2008, 2009</w:t>
      </w:r>
      <w:r w:rsidR="006938A5">
        <w:rPr>
          <w:color w:val="000000"/>
          <w:szCs w:val="24"/>
          <w:lang w:val="en-US"/>
        </w:rPr>
        <w:t xml:space="preserve">; </w:t>
      </w:r>
      <w:r w:rsidR="00BA25FB">
        <w:rPr>
          <w:color w:val="000000"/>
          <w:szCs w:val="24"/>
          <w:lang w:val="en-US"/>
        </w:rPr>
        <w:t xml:space="preserve">van </w:t>
      </w:r>
      <w:r w:rsidR="006938A5">
        <w:rPr>
          <w:color w:val="000000"/>
          <w:szCs w:val="24"/>
          <w:lang w:val="en-US"/>
        </w:rPr>
        <w:t>Eijck &amp;</w:t>
      </w:r>
      <w:r w:rsidR="006C019C" w:rsidRPr="000A3C33">
        <w:rPr>
          <w:color w:val="000000"/>
          <w:szCs w:val="24"/>
          <w:lang w:val="en-US"/>
        </w:rPr>
        <w:t xml:space="preserve"> de Graaf</w:t>
      </w:r>
      <w:r w:rsidR="006938A5">
        <w:rPr>
          <w:color w:val="000000"/>
          <w:szCs w:val="24"/>
          <w:lang w:val="en-US"/>
        </w:rPr>
        <w:t>,</w:t>
      </w:r>
      <w:r w:rsidR="006C019C" w:rsidRPr="000A3C33">
        <w:rPr>
          <w:color w:val="000000"/>
          <w:szCs w:val="24"/>
          <w:lang w:val="en-US"/>
        </w:rPr>
        <w:t xml:space="preserve"> 1995</w:t>
      </w:r>
      <w:r w:rsidR="006938A5">
        <w:rPr>
          <w:color w:val="000000"/>
          <w:szCs w:val="24"/>
          <w:lang w:val="en-US"/>
        </w:rPr>
        <w:t>)</w:t>
      </w:r>
      <w:r w:rsidR="00A1688E" w:rsidRPr="000A3C33">
        <w:rPr>
          <w:color w:val="000000"/>
          <w:szCs w:val="24"/>
          <w:lang w:val="en-US"/>
        </w:rPr>
        <w:t>. Third</w:t>
      </w:r>
      <w:r w:rsidR="006C019C" w:rsidRPr="000A3C33">
        <w:rPr>
          <w:color w:val="000000"/>
          <w:szCs w:val="24"/>
          <w:lang w:val="en-US"/>
        </w:rPr>
        <w:t xml:space="preserve">, </w:t>
      </w:r>
      <w:r w:rsidR="00BB6D53">
        <w:rPr>
          <w:color w:val="000000"/>
          <w:szCs w:val="24"/>
          <w:lang w:val="en-US"/>
        </w:rPr>
        <w:t>the economic literature postulates that both the number of children and the investment per child are chosen by parents and, as a consequence, there is a trade-off between the quality and quantity of children resulting in the observed negative association between sibship size and school outcomes (</w:t>
      </w:r>
      <w:r w:rsidR="00EB0CFC">
        <w:rPr>
          <w:color w:val="000000"/>
          <w:szCs w:val="24"/>
          <w:lang w:val="en-US"/>
        </w:rPr>
        <w:t xml:space="preserve">Angrist et al., 2010; </w:t>
      </w:r>
      <w:r w:rsidR="00BB6D53">
        <w:rPr>
          <w:color w:val="000000"/>
          <w:szCs w:val="24"/>
          <w:lang w:val="en-US"/>
        </w:rPr>
        <w:t>Becker &amp; Lewis, 1973; Becker &amp;Tomes, 1976</w:t>
      </w:r>
      <w:r w:rsidR="00EB0CFC">
        <w:rPr>
          <w:color w:val="000000"/>
          <w:szCs w:val="24"/>
          <w:lang w:val="en-US"/>
        </w:rPr>
        <w:t xml:space="preserve">). Fourth, </w:t>
      </w:r>
      <w:r w:rsidR="006C019C" w:rsidRPr="000A3C33">
        <w:rPr>
          <w:color w:val="000000"/>
          <w:szCs w:val="24"/>
          <w:lang w:val="en-US"/>
        </w:rPr>
        <w:t>some authors propose that the association between family size and schooling is spurious</w:t>
      </w:r>
      <w:r w:rsidR="00992394">
        <w:rPr>
          <w:color w:val="000000"/>
          <w:szCs w:val="24"/>
          <w:lang w:val="en-US"/>
        </w:rPr>
        <w:t xml:space="preserve"> and does not reflect a true causal link</w:t>
      </w:r>
      <w:r w:rsidR="006C019C" w:rsidRPr="000A3C33">
        <w:rPr>
          <w:color w:val="000000"/>
          <w:szCs w:val="24"/>
          <w:lang w:val="en-US"/>
        </w:rPr>
        <w:t xml:space="preserve">, since fertility and children’s schooling may be jointly determined </w:t>
      </w:r>
      <w:r w:rsidR="002C56BF">
        <w:rPr>
          <w:color w:val="000000"/>
          <w:szCs w:val="24"/>
          <w:lang w:val="en-US"/>
        </w:rPr>
        <w:t xml:space="preserve">by some third variable(s) </w:t>
      </w:r>
      <w:r w:rsidR="008473BA">
        <w:rPr>
          <w:color w:val="000000"/>
          <w:szCs w:val="24"/>
          <w:lang w:val="en-US"/>
        </w:rPr>
        <w:t>(Guo &amp;</w:t>
      </w:r>
      <w:r w:rsidR="00C16F49" w:rsidRPr="000A3C33">
        <w:rPr>
          <w:color w:val="000000"/>
          <w:szCs w:val="24"/>
          <w:lang w:val="en-US"/>
        </w:rPr>
        <w:t xml:space="preserve"> VanWey</w:t>
      </w:r>
      <w:r w:rsidR="008473BA">
        <w:rPr>
          <w:color w:val="000000"/>
          <w:szCs w:val="24"/>
          <w:lang w:val="en-US"/>
        </w:rPr>
        <w:t>,</w:t>
      </w:r>
      <w:r w:rsidR="00C16F49" w:rsidRPr="000A3C33">
        <w:rPr>
          <w:color w:val="000000"/>
          <w:szCs w:val="24"/>
          <w:lang w:val="en-US"/>
        </w:rPr>
        <w:t xml:space="preserve"> 1999</w:t>
      </w:r>
      <w:r w:rsidR="008473BA">
        <w:rPr>
          <w:color w:val="000000"/>
          <w:szCs w:val="24"/>
          <w:lang w:val="en-US"/>
        </w:rPr>
        <w:t>)</w:t>
      </w:r>
      <w:r w:rsidR="00C16F49" w:rsidRPr="000A3C33">
        <w:rPr>
          <w:color w:val="000000"/>
          <w:szCs w:val="24"/>
          <w:lang w:val="en-US"/>
        </w:rPr>
        <w:t>.</w:t>
      </w:r>
      <w:r w:rsidR="00F60932" w:rsidRPr="000A3C33">
        <w:rPr>
          <w:color w:val="000000"/>
          <w:szCs w:val="24"/>
          <w:lang w:val="en-US"/>
        </w:rPr>
        <w:t xml:space="preserve"> As summarized by Jaeger </w:t>
      </w:r>
      <w:r w:rsidR="008473BA">
        <w:rPr>
          <w:color w:val="000000"/>
          <w:szCs w:val="24"/>
          <w:lang w:val="en-US"/>
        </w:rPr>
        <w:t>(</w:t>
      </w:r>
      <w:r w:rsidR="00F60932" w:rsidRPr="000A3C33">
        <w:rPr>
          <w:color w:val="000000"/>
          <w:szCs w:val="24"/>
          <w:lang w:val="en-US"/>
        </w:rPr>
        <w:t>2008</w:t>
      </w:r>
      <w:r w:rsidR="00DE4055">
        <w:rPr>
          <w:color w:val="000000"/>
          <w:szCs w:val="24"/>
          <w:lang w:val="en-US"/>
        </w:rPr>
        <w:t>, p.</w:t>
      </w:r>
      <w:r w:rsidR="00F60932" w:rsidRPr="000A3C33">
        <w:rPr>
          <w:color w:val="000000"/>
          <w:szCs w:val="24"/>
          <w:lang w:val="en-US"/>
        </w:rPr>
        <w:t xml:space="preserve"> 217</w:t>
      </w:r>
      <w:r w:rsidR="008473BA">
        <w:rPr>
          <w:color w:val="000000"/>
          <w:szCs w:val="24"/>
          <w:lang w:val="en-US"/>
        </w:rPr>
        <w:t>)</w:t>
      </w:r>
      <w:r w:rsidR="00F60932" w:rsidRPr="000A3C33">
        <w:rPr>
          <w:color w:val="000000"/>
          <w:szCs w:val="24"/>
          <w:lang w:val="en-US"/>
        </w:rPr>
        <w:t>, “i</w:t>
      </w:r>
      <w:r w:rsidR="00F60932" w:rsidRPr="000A3C33">
        <w:rPr>
          <w:lang w:val="en-US"/>
        </w:rPr>
        <w:t>t</w:t>
      </w:r>
      <w:r w:rsidR="00F60932" w:rsidRPr="000A3C33">
        <w:rPr>
          <w:lang w:val="en-GB"/>
        </w:rPr>
        <w:t xml:space="preserve"> might be that sibship size captures the inﬂuence of </w:t>
      </w:r>
      <w:r w:rsidRPr="000A3C33">
        <w:rPr>
          <w:lang w:val="en-GB"/>
        </w:rPr>
        <w:t>(</w:t>
      </w:r>
      <w:r w:rsidR="00F60932" w:rsidRPr="000A3C33">
        <w:rPr>
          <w:lang w:val="en-GB"/>
        </w:rPr>
        <w:t>…</w:t>
      </w:r>
      <w:r w:rsidRPr="000A3C33">
        <w:rPr>
          <w:lang w:val="en-GB"/>
        </w:rPr>
        <w:t>)</w:t>
      </w:r>
      <w:r w:rsidR="00F60932" w:rsidRPr="000A3C33">
        <w:rPr>
          <w:lang w:val="en-GB"/>
        </w:rPr>
        <w:t xml:space="preserve"> socio-economic or other unmeasured family characteristics indirectly rather than having an independent causal effect on schooling outcomes”. </w:t>
      </w:r>
      <w:r w:rsidR="00962D0F">
        <w:rPr>
          <w:lang w:val="en-GB"/>
        </w:rPr>
        <w:t xml:space="preserve">Although </w:t>
      </w:r>
      <w:r w:rsidR="00F60932" w:rsidRPr="000A3C33">
        <w:rPr>
          <w:lang w:val="en-GB"/>
        </w:rPr>
        <w:t>many different analytical strategies</w:t>
      </w:r>
      <w:r w:rsidR="00140727">
        <w:rPr>
          <w:lang w:val="en-GB"/>
        </w:rPr>
        <w:t>–</w:t>
      </w:r>
      <w:r w:rsidR="00962D0F">
        <w:rPr>
          <w:lang w:val="en-GB"/>
        </w:rPr>
        <w:t>including fixed-effect models</w:t>
      </w:r>
      <w:r w:rsidR="00F60932" w:rsidRPr="000A3C33">
        <w:rPr>
          <w:lang w:val="en-GB"/>
        </w:rPr>
        <w:t xml:space="preserve"> </w:t>
      </w:r>
      <w:r w:rsidR="008473BA">
        <w:rPr>
          <w:lang w:val="en-GB"/>
        </w:rPr>
        <w:t>(</w:t>
      </w:r>
      <w:r w:rsidR="00A5744D" w:rsidRPr="000A3C33">
        <w:rPr>
          <w:lang w:val="en-GB"/>
        </w:rPr>
        <w:t xml:space="preserve">Guo </w:t>
      </w:r>
      <w:r w:rsidR="008473BA">
        <w:rPr>
          <w:lang w:val="en-GB"/>
        </w:rPr>
        <w:t>&amp;</w:t>
      </w:r>
      <w:r w:rsidR="00A5744D" w:rsidRPr="000A3C33">
        <w:rPr>
          <w:lang w:val="en-GB"/>
        </w:rPr>
        <w:t xml:space="preserve"> VanWey</w:t>
      </w:r>
      <w:r w:rsidR="008473BA">
        <w:rPr>
          <w:lang w:val="en-GB"/>
        </w:rPr>
        <w:t>,</w:t>
      </w:r>
      <w:r w:rsidR="00A5744D" w:rsidRPr="000A3C33">
        <w:rPr>
          <w:lang w:val="en-GB"/>
        </w:rPr>
        <w:t xml:space="preserve"> 1999; Lindert</w:t>
      </w:r>
      <w:r w:rsidR="008473BA">
        <w:rPr>
          <w:lang w:val="en-GB"/>
        </w:rPr>
        <w:t>,</w:t>
      </w:r>
      <w:r w:rsidR="00A5744D" w:rsidRPr="000A3C33">
        <w:rPr>
          <w:lang w:val="en-GB"/>
        </w:rPr>
        <w:t xml:space="preserve"> 1977; Olneck </w:t>
      </w:r>
      <w:r w:rsidR="008473BA">
        <w:rPr>
          <w:lang w:val="en-GB"/>
        </w:rPr>
        <w:t>&amp;</w:t>
      </w:r>
      <w:r w:rsidR="00A5744D" w:rsidRPr="000A3C33">
        <w:rPr>
          <w:lang w:val="en-GB"/>
        </w:rPr>
        <w:t xml:space="preserve"> Bills</w:t>
      </w:r>
      <w:r w:rsidR="008473BA">
        <w:rPr>
          <w:lang w:val="en-GB"/>
        </w:rPr>
        <w:t>,</w:t>
      </w:r>
      <w:r w:rsidR="00A5744D" w:rsidRPr="000A3C33">
        <w:rPr>
          <w:lang w:val="en-GB"/>
        </w:rPr>
        <w:t xml:space="preserve"> 1979</w:t>
      </w:r>
      <w:r w:rsidR="00962D0F">
        <w:rPr>
          <w:lang w:val="en-GB"/>
        </w:rPr>
        <w:t>) and random-effect models</w:t>
      </w:r>
      <w:r w:rsidR="008473BA">
        <w:rPr>
          <w:lang w:val="en-GB"/>
        </w:rPr>
        <w:t xml:space="preserve"> (</w:t>
      </w:r>
      <w:r w:rsidR="00A5744D" w:rsidRPr="000A3C33">
        <w:rPr>
          <w:lang w:val="en-GB"/>
        </w:rPr>
        <w:t xml:space="preserve">de Graaf </w:t>
      </w:r>
      <w:r w:rsidR="008473BA">
        <w:rPr>
          <w:lang w:val="en-GB"/>
        </w:rPr>
        <w:t>&amp;</w:t>
      </w:r>
      <w:r w:rsidR="00A5744D" w:rsidRPr="000A3C33">
        <w:rPr>
          <w:lang w:val="en-GB"/>
        </w:rPr>
        <w:t xml:space="preserve"> Huinink</w:t>
      </w:r>
      <w:r w:rsidR="008473BA">
        <w:rPr>
          <w:lang w:val="en-GB"/>
        </w:rPr>
        <w:t>,</w:t>
      </w:r>
      <w:r w:rsidR="00A5744D" w:rsidRPr="000A3C33">
        <w:rPr>
          <w:lang w:val="en-GB"/>
        </w:rPr>
        <w:t xml:space="preserve"> 1992; Sandefur </w:t>
      </w:r>
      <w:r w:rsidR="008473BA">
        <w:rPr>
          <w:lang w:val="en-GB"/>
        </w:rPr>
        <w:t>&amp;</w:t>
      </w:r>
      <w:r w:rsidR="00A5744D" w:rsidRPr="000A3C33">
        <w:rPr>
          <w:lang w:val="en-GB"/>
        </w:rPr>
        <w:t xml:space="preserve"> Wells</w:t>
      </w:r>
      <w:r w:rsidR="008473BA">
        <w:rPr>
          <w:lang w:val="en-GB"/>
        </w:rPr>
        <w:t>,</w:t>
      </w:r>
      <w:r w:rsidR="00A5744D" w:rsidRPr="000A3C33">
        <w:rPr>
          <w:lang w:val="en-GB"/>
        </w:rPr>
        <w:t xml:space="preserve"> 1999; Sieben et al.</w:t>
      </w:r>
      <w:r w:rsidR="008473BA">
        <w:rPr>
          <w:lang w:val="en-GB"/>
        </w:rPr>
        <w:t>,</w:t>
      </w:r>
      <w:r w:rsidR="00A5744D" w:rsidRPr="000A3C33">
        <w:rPr>
          <w:lang w:val="en-GB"/>
        </w:rPr>
        <w:t xml:space="preserve"> 2001</w:t>
      </w:r>
      <w:r w:rsidR="008473BA">
        <w:rPr>
          <w:lang w:val="en-GB"/>
        </w:rPr>
        <w:t>)</w:t>
      </w:r>
      <w:r w:rsidR="00A5744D" w:rsidRPr="000A3C33">
        <w:rPr>
          <w:lang w:val="en-GB"/>
        </w:rPr>
        <w:t xml:space="preserve"> applied to sibling data and/or panel data as well as instrumental variable estimators applied to (quasi)-ex</w:t>
      </w:r>
      <w:r w:rsidR="008473BA">
        <w:rPr>
          <w:lang w:val="en-GB"/>
        </w:rPr>
        <w:t>perimental data on twin-births (</w:t>
      </w:r>
      <w:r w:rsidR="00A5744D" w:rsidRPr="000A3C33">
        <w:rPr>
          <w:lang w:val="en-GB"/>
        </w:rPr>
        <w:t>Black et al.</w:t>
      </w:r>
      <w:r w:rsidR="008473BA">
        <w:rPr>
          <w:lang w:val="en-GB"/>
        </w:rPr>
        <w:t>,</w:t>
      </w:r>
      <w:r w:rsidR="00A5744D" w:rsidRPr="000A3C33">
        <w:rPr>
          <w:lang w:val="en-GB"/>
        </w:rPr>
        <w:t xml:space="preserve"> 2005; Cáceras-Delpiano</w:t>
      </w:r>
      <w:r w:rsidR="008473BA">
        <w:rPr>
          <w:lang w:val="en-GB"/>
        </w:rPr>
        <w:t>,</w:t>
      </w:r>
      <w:r w:rsidR="00A5744D" w:rsidRPr="000A3C33">
        <w:rPr>
          <w:lang w:val="en-GB"/>
        </w:rPr>
        <w:t xml:space="preserve"> 2006</w:t>
      </w:r>
      <w:r w:rsidR="008473BA">
        <w:rPr>
          <w:lang w:val="en-GB"/>
        </w:rPr>
        <w:t>)</w:t>
      </w:r>
      <w:r w:rsidR="00A5744D" w:rsidRPr="000A3C33">
        <w:rPr>
          <w:lang w:val="en-GB"/>
        </w:rPr>
        <w:t xml:space="preserve"> </w:t>
      </w:r>
      <w:r w:rsidRPr="000A3C33">
        <w:rPr>
          <w:lang w:val="en-GB"/>
        </w:rPr>
        <w:t xml:space="preserve">or </w:t>
      </w:r>
      <w:r w:rsidR="00A5744D" w:rsidRPr="000A3C33">
        <w:rPr>
          <w:lang w:val="en-GB"/>
        </w:rPr>
        <w:t>sibshi</w:t>
      </w:r>
      <w:r w:rsidR="0012212C">
        <w:rPr>
          <w:lang w:val="en-GB"/>
        </w:rPr>
        <w:t>p</w:t>
      </w:r>
      <w:r w:rsidR="008473BA">
        <w:rPr>
          <w:lang w:val="en-GB"/>
        </w:rPr>
        <w:t xml:space="preserve"> sex composition (</w:t>
      </w:r>
      <w:r w:rsidR="00A5744D" w:rsidRPr="000A3C33">
        <w:rPr>
          <w:lang w:val="en-GB"/>
        </w:rPr>
        <w:t>Angrist et al.</w:t>
      </w:r>
      <w:r w:rsidR="008473BA">
        <w:rPr>
          <w:lang w:val="en-GB"/>
        </w:rPr>
        <w:t>,</w:t>
      </w:r>
      <w:r w:rsidR="00A5744D" w:rsidRPr="000A3C33">
        <w:rPr>
          <w:lang w:val="en-GB"/>
        </w:rPr>
        <w:t xml:space="preserve"> 20</w:t>
      </w:r>
      <w:r w:rsidR="00EB0CFC">
        <w:rPr>
          <w:lang w:val="en-GB"/>
        </w:rPr>
        <w:t>10</w:t>
      </w:r>
      <w:r w:rsidR="00A5744D" w:rsidRPr="000A3C33">
        <w:rPr>
          <w:lang w:val="en-GB"/>
        </w:rPr>
        <w:t xml:space="preserve">; Conley </w:t>
      </w:r>
      <w:r w:rsidR="008473BA">
        <w:rPr>
          <w:lang w:val="en-GB"/>
        </w:rPr>
        <w:t>&amp;</w:t>
      </w:r>
      <w:r w:rsidR="00A5744D" w:rsidRPr="000A3C33">
        <w:rPr>
          <w:lang w:val="en-GB"/>
        </w:rPr>
        <w:t xml:space="preserve"> Glauber</w:t>
      </w:r>
      <w:r w:rsidR="008473BA">
        <w:rPr>
          <w:lang w:val="en-GB"/>
        </w:rPr>
        <w:t>,</w:t>
      </w:r>
      <w:r w:rsidR="00A5744D" w:rsidRPr="000A3C33">
        <w:rPr>
          <w:lang w:val="en-GB"/>
        </w:rPr>
        <w:t xml:space="preserve"> 2006</w:t>
      </w:r>
      <w:r w:rsidR="00390FBD">
        <w:rPr>
          <w:lang w:val="en-GB"/>
        </w:rPr>
        <w:t>)</w:t>
      </w:r>
      <w:r w:rsidR="00140727">
        <w:rPr>
          <w:lang w:val="en-GB"/>
        </w:rPr>
        <w:t>–</w:t>
      </w:r>
      <w:r w:rsidR="00F60932" w:rsidRPr="000A3C33">
        <w:rPr>
          <w:lang w:val="en-GB"/>
        </w:rPr>
        <w:t>have</w:t>
      </w:r>
      <w:r w:rsidR="00A5744D" w:rsidRPr="000A3C33">
        <w:rPr>
          <w:lang w:val="en-GB"/>
        </w:rPr>
        <w:t xml:space="preserve"> </w:t>
      </w:r>
      <w:r w:rsidR="00F60932" w:rsidRPr="000A3C33">
        <w:rPr>
          <w:lang w:val="en-GB"/>
        </w:rPr>
        <w:t>been employed to assess the validity of this last claim</w:t>
      </w:r>
      <w:r w:rsidRPr="000A3C33">
        <w:rPr>
          <w:lang w:val="en-GB"/>
        </w:rPr>
        <w:t>, the literature is</w:t>
      </w:r>
      <w:r w:rsidR="0012212C">
        <w:rPr>
          <w:lang w:val="en-GB"/>
        </w:rPr>
        <w:t xml:space="preserve"> still somewhat</w:t>
      </w:r>
      <w:r w:rsidRPr="000A3C33">
        <w:rPr>
          <w:lang w:val="en-GB"/>
        </w:rPr>
        <w:t xml:space="preserve"> inconclusive with regards to whether there </w:t>
      </w:r>
      <w:r w:rsidR="00962D0F">
        <w:rPr>
          <w:lang w:val="en-GB"/>
        </w:rPr>
        <w:t xml:space="preserve">is </w:t>
      </w:r>
      <w:r w:rsidRPr="000A3C33">
        <w:rPr>
          <w:lang w:val="en-GB"/>
        </w:rPr>
        <w:t xml:space="preserve">indeed a causal effect of family size on school outcomes </w:t>
      </w:r>
      <w:r w:rsidR="008473BA">
        <w:rPr>
          <w:lang w:val="en-GB"/>
        </w:rPr>
        <w:t>(</w:t>
      </w:r>
      <w:r w:rsidRPr="000A3C33">
        <w:rPr>
          <w:lang w:val="en-GB"/>
        </w:rPr>
        <w:t>Jaeger</w:t>
      </w:r>
      <w:r w:rsidR="008473BA">
        <w:rPr>
          <w:lang w:val="en-GB"/>
        </w:rPr>
        <w:t>,</w:t>
      </w:r>
      <w:r w:rsidRPr="000A3C33">
        <w:rPr>
          <w:lang w:val="en-GB"/>
        </w:rPr>
        <w:t xml:space="preserve"> 2008</w:t>
      </w:r>
      <w:r w:rsidR="008473BA">
        <w:rPr>
          <w:lang w:val="en-GB"/>
        </w:rPr>
        <w:t>)</w:t>
      </w:r>
      <w:r w:rsidRPr="000A3C33">
        <w:rPr>
          <w:lang w:val="en-GB"/>
        </w:rPr>
        <w:t>.</w:t>
      </w:r>
    </w:p>
    <w:p w14:paraId="3A2AD6E8" w14:textId="18606862" w:rsidR="00992394" w:rsidRDefault="000A3C33" w:rsidP="006F30EE">
      <w:pPr>
        <w:spacing w:line="480" w:lineRule="auto"/>
        <w:rPr>
          <w:color w:val="000000"/>
          <w:szCs w:val="24"/>
          <w:lang w:val="en-US"/>
        </w:rPr>
      </w:pPr>
      <w:r>
        <w:rPr>
          <w:color w:val="000000"/>
          <w:szCs w:val="24"/>
          <w:lang w:val="en-US"/>
        </w:rPr>
        <w:t xml:space="preserve">A further dispute is related to the role of socioeconomic context in shaping the nature and size of the association between number of siblings and socioeconomic outcomes. </w:t>
      </w:r>
      <w:r w:rsidR="00537AA5" w:rsidRPr="004B2B22">
        <w:rPr>
          <w:color w:val="000000"/>
          <w:szCs w:val="24"/>
          <w:lang w:val="en-US"/>
        </w:rPr>
        <w:t xml:space="preserve">The </w:t>
      </w:r>
      <w:r w:rsidR="00136CF7">
        <w:rPr>
          <w:color w:val="000000"/>
          <w:szCs w:val="24"/>
          <w:lang w:val="en-US"/>
        </w:rPr>
        <w:t>existence of th</w:t>
      </w:r>
      <w:r w:rsidR="00992394">
        <w:rPr>
          <w:color w:val="000000"/>
          <w:szCs w:val="24"/>
          <w:lang w:val="en-US"/>
        </w:rPr>
        <w:t>is</w:t>
      </w:r>
      <w:r w:rsidR="00136CF7">
        <w:rPr>
          <w:color w:val="000000"/>
          <w:szCs w:val="24"/>
          <w:lang w:val="en-US"/>
        </w:rPr>
        <w:t xml:space="preserve"> </w:t>
      </w:r>
      <w:r w:rsidR="00537AA5" w:rsidRPr="004B2B22">
        <w:rPr>
          <w:color w:val="000000"/>
          <w:szCs w:val="24"/>
          <w:lang w:val="en-US"/>
        </w:rPr>
        <w:t xml:space="preserve">negative association </w:t>
      </w:r>
      <w:r w:rsidR="00136CF7">
        <w:rPr>
          <w:color w:val="000000"/>
          <w:szCs w:val="24"/>
          <w:lang w:val="en-US"/>
        </w:rPr>
        <w:t xml:space="preserve">has been </w:t>
      </w:r>
      <w:r w:rsidR="00537AA5" w:rsidRPr="004B2B22">
        <w:rPr>
          <w:color w:val="000000"/>
          <w:szCs w:val="24"/>
          <w:lang w:val="en-US"/>
        </w:rPr>
        <w:t xml:space="preserve">robustly and convincingly documented </w:t>
      </w:r>
      <w:r w:rsidR="00136CF7">
        <w:rPr>
          <w:color w:val="000000"/>
          <w:szCs w:val="24"/>
          <w:lang w:val="en-US"/>
        </w:rPr>
        <w:t xml:space="preserve">in many populations of </w:t>
      </w:r>
      <w:r w:rsidR="002E5036">
        <w:rPr>
          <w:color w:val="000000"/>
          <w:szCs w:val="24"/>
          <w:lang w:val="en-US"/>
        </w:rPr>
        <w:t xml:space="preserve">Europe and North America </w:t>
      </w:r>
      <w:r w:rsidR="008473BA">
        <w:rPr>
          <w:color w:val="000000"/>
          <w:szCs w:val="24"/>
          <w:lang w:val="en-US"/>
        </w:rPr>
        <w:t>(see also Booth &amp;</w:t>
      </w:r>
      <w:r w:rsidR="00537AA5" w:rsidRPr="004B2B22">
        <w:rPr>
          <w:color w:val="000000"/>
          <w:szCs w:val="24"/>
          <w:lang w:val="en-US"/>
        </w:rPr>
        <w:t xml:space="preserve"> Kee</w:t>
      </w:r>
      <w:r w:rsidR="008473BA">
        <w:rPr>
          <w:color w:val="000000"/>
          <w:szCs w:val="24"/>
          <w:lang w:val="en-US"/>
        </w:rPr>
        <w:t>,</w:t>
      </w:r>
      <w:r w:rsidR="00537AA5" w:rsidRPr="004B2B22">
        <w:rPr>
          <w:color w:val="000000"/>
          <w:szCs w:val="24"/>
          <w:lang w:val="en-US"/>
        </w:rPr>
        <w:t xml:space="preserve"> 2005; </w:t>
      </w:r>
      <w:r w:rsidR="00136CF7">
        <w:rPr>
          <w:color w:val="000000"/>
          <w:szCs w:val="24"/>
          <w:lang w:val="en-US"/>
        </w:rPr>
        <w:t>Heer</w:t>
      </w:r>
      <w:r w:rsidR="008473BA">
        <w:rPr>
          <w:color w:val="000000"/>
          <w:szCs w:val="24"/>
          <w:lang w:val="en-US"/>
        </w:rPr>
        <w:t>,</w:t>
      </w:r>
      <w:r w:rsidR="00136CF7">
        <w:rPr>
          <w:color w:val="000000"/>
          <w:szCs w:val="24"/>
          <w:lang w:val="en-US"/>
        </w:rPr>
        <w:t xml:space="preserve"> 1985, 1986; </w:t>
      </w:r>
      <w:r w:rsidR="00537AA5" w:rsidRPr="004B2B22">
        <w:rPr>
          <w:color w:val="000000"/>
          <w:szCs w:val="24"/>
          <w:lang w:val="en-US"/>
        </w:rPr>
        <w:t>Jaeger</w:t>
      </w:r>
      <w:r w:rsidR="008473BA">
        <w:rPr>
          <w:color w:val="000000"/>
          <w:szCs w:val="24"/>
          <w:lang w:val="en-US"/>
        </w:rPr>
        <w:t>,</w:t>
      </w:r>
      <w:r w:rsidR="00537AA5" w:rsidRPr="004B2B22">
        <w:rPr>
          <w:color w:val="000000"/>
          <w:szCs w:val="24"/>
          <w:lang w:val="en-US"/>
        </w:rPr>
        <w:t xml:space="preserve"> 2008; </w:t>
      </w:r>
      <w:r w:rsidR="00FE6017">
        <w:rPr>
          <w:color w:val="000000"/>
          <w:szCs w:val="24"/>
          <w:lang w:val="en-US"/>
        </w:rPr>
        <w:t xml:space="preserve">Hirschová &amp; Kreidl, 2012; </w:t>
      </w:r>
      <w:r w:rsidR="008473BA">
        <w:rPr>
          <w:color w:val="000000"/>
          <w:szCs w:val="24"/>
          <w:lang w:val="en-US"/>
        </w:rPr>
        <w:t>Kuo &amp;</w:t>
      </w:r>
      <w:r w:rsidR="00992F40">
        <w:rPr>
          <w:color w:val="000000"/>
          <w:szCs w:val="24"/>
          <w:lang w:val="en-US"/>
        </w:rPr>
        <w:t xml:space="preserve"> Hauser</w:t>
      </w:r>
      <w:r w:rsidR="008473BA">
        <w:rPr>
          <w:color w:val="000000"/>
          <w:szCs w:val="24"/>
          <w:lang w:val="en-US"/>
        </w:rPr>
        <w:t>,</w:t>
      </w:r>
      <w:r w:rsidR="00992F40">
        <w:rPr>
          <w:color w:val="000000"/>
          <w:szCs w:val="24"/>
          <w:lang w:val="en-US"/>
        </w:rPr>
        <w:t xml:space="preserve"> 1997; </w:t>
      </w:r>
      <w:r w:rsidR="00537AA5" w:rsidRPr="004B2B22">
        <w:rPr>
          <w:color w:val="000000"/>
          <w:szCs w:val="24"/>
          <w:lang w:val="en-US"/>
        </w:rPr>
        <w:t>Olneck</w:t>
      </w:r>
      <w:r w:rsidR="008473BA">
        <w:rPr>
          <w:color w:val="000000"/>
          <w:szCs w:val="24"/>
          <w:lang w:val="en-US"/>
        </w:rPr>
        <w:t xml:space="preserve"> &amp;</w:t>
      </w:r>
      <w:r w:rsidR="00537AA5" w:rsidRPr="004B2B22">
        <w:rPr>
          <w:color w:val="000000"/>
          <w:szCs w:val="24"/>
          <w:lang w:val="en-US"/>
        </w:rPr>
        <w:t xml:space="preserve"> Bills</w:t>
      </w:r>
      <w:r w:rsidR="008473BA">
        <w:rPr>
          <w:color w:val="000000"/>
          <w:szCs w:val="24"/>
          <w:lang w:val="en-US"/>
        </w:rPr>
        <w:t>,</w:t>
      </w:r>
      <w:r w:rsidR="00537AA5" w:rsidRPr="004B2B22">
        <w:rPr>
          <w:color w:val="000000"/>
          <w:szCs w:val="24"/>
          <w:lang w:val="en-US"/>
        </w:rPr>
        <w:t xml:space="preserve"> 1979; Park</w:t>
      </w:r>
      <w:r w:rsidR="008473BA">
        <w:rPr>
          <w:color w:val="000000"/>
          <w:szCs w:val="24"/>
          <w:lang w:val="en-US"/>
        </w:rPr>
        <w:t>,</w:t>
      </w:r>
      <w:r w:rsidR="00537AA5" w:rsidRPr="004B2B22">
        <w:rPr>
          <w:color w:val="000000"/>
          <w:szCs w:val="24"/>
          <w:lang w:val="en-US"/>
        </w:rPr>
        <w:t xml:space="preserve"> </w:t>
      </w:r>
      <w:r w:rsidR="00AC1D3E">
        <w:rPr>
          <w:color w:val="000000"/>
          <w:szCs w:val="24"/>
          <w:lang w:val="en-US"/>
        </w:rPr>
        <w:t>2008</w:t>
      </w:r>
      <w:r w:rsidR="008473BA">
        <w:rPr>
          <w:color w:val="000000"/>
          <w:szCs w:val="24"/>
          <w:lang w:val="en-US"/>
        </w:rPr>
        <w:t>; van Eijck &amp;</w:t>
      </w:r>
      <w:r w:rsidR="00537AA5" w:rsidRPr="004B2B22">
        <w:rPr>
          <w:color w:val="000000"/>
          <w:szCs w:val="24"/>
          <w:lang w:val="en-US"/>
        </w:rPr>
        <w:t xml:space="preserve"> de Graaf</w:t>
      </w:r>
      <w:r w:rsidR="008473BA">
        <w:rPr>
          <w:color w:val="000000"/>
          <w:szCs w:val="24"/>
          <w:lang w:val="en-US"/>
        </w:rPr>
        <w:t>,</w:t>
      </w:r>
      <w:r w:rsidR="00537AA5" w:rsidRPr="004B2B22">
        <w:rPr>
          <w:color w:val="000000"/>
          <w:szCs w:val="24"/>
          <w:lang w:val="en-US"/>
        </w:rPr>
        <w:t xml:space="preserve"> 1995; Steelman et al.</w:t>
      </w:r>
      <w:r w:rsidR="008473BA">
        <w:rPr>
          <w:color w:val="000000"/>
          <w:szCs w:val="24"/>
          <w:lang w:val="en-US"/>
        </w:rPr>
        <w:t>,</w:t>
      </w:r>
      <w:r w:rsidR="00537AA5" w:rsidRPr="004B2B22">
        <w:rPr>
          <w:color w:val="000000"/>
          <w:szCs w:val="24"/>
          <w:lang w:val="en-US"/>
        </w:rPr>
        <w:t xml:space="preserve"> 2002 offer a comprehensiv</w:t>
      </w:r>
      <w:r w:rsidR="008473BA">
        <w:rPr>
          <w:color w:val="000000"/>
          <w:szCs w:val="24"/>
          <w:lang w:val="en-US"/>
        </w:rPr>
        <w:t>e review of this literature)</w:t>
      </w:r>
      <w:r w:rsidR="00537AA5" w:rsidRPr="004B2B22">
        <w:rPr>
          <w:color w:val="000000"/>
          <w:szCs w:val="24"/>
          <w:lang w:val="en-US"/>
        </w:rPr>
        <w:t>.</w:t>
      </w:r>
    </w:p>
    <w:p w14:paraId="1883432C" w14:textId="77777777" w:rsidR="00EC67CE" w:rsidRPr="004B2B22" w:rsidRDefault="003352BA" w:rsidP="006F30EE">
      <w:pPr>
        <w:spacing w:line="480" w:lineRule="auto"/>
        <w:rPr>
          <w:lang w:val="en-US"/>
        </w:rPr>
      </w:pPr>
      <w:r w:rsidRPr="004B2B22">
        <w:rPr>
          <w:lang w:val="en-US"/>
        </w:rPr>
        <w:lastRenderedPageBreak/>
        <w:t>The empirical evidence</w:t>
      </w:r>
      <w:r w:rsidR="00C16F49">
        <w:rPr>
          <w:lang w:val="en-US"/>
        </w:rPr>
        <w:t xml:space="preserve"> </w:t>
      </w:r>
      <w:r w:rsidRPr="004B2B22">
        <w:rPr>
          <w:lang w:val="en-US"/>
        </w:rPr>
        <w:t xml:space="preserve">is far less consistent </w:t>
      </w:r>
      <w:r w:rsidR="00992394">
        <w:rPr>
          <w:lang w:val="en-US"/>
        </w:rPr>
        <w:t xml:space="preserve">and persuasive </w:t>
      </w:r>
      <w:r w:rsidR="00DF6D3D" w:rsidRPr="004B2B22">
        <w:rPr>
          <w:lang w:val="en-US"/>
        </w:rPr>
        <w:t xml:space="preserve">when we look </w:t>
      </w:r>
      <w:r w:rsidR="000A3C33">
        <w:rPr>
          <w:lang w:val="en-US"/>
        </w:rPr>
        <w:t>beyond</w:t>
      </w:r>
      <w:r w:rsidR="00580E16">
        <w:rPr>
          <w:lang w:val="en-US"/>
        </w:rPr>
        <w:t xml:space="preserve"> the</w:t>
      </w:r>
      <w:r w:rsidR="000A3C33">
        <w:rPr>
          <w:lang w:val="en-US"/>
        </w:rPr>
        <w:t xml:space="preserve"> advanced industrialized democracies or look </w:t>
      </w:r>
      <w:r w:rsidR="00DF6D3D" w:rsidRPr="004B2B22">
        <w:rPr>
          <w:lang w:val="en-US"/>
        </w:rPr>
        <w:t>at specific subpopulations</w:t>
      </w:r>
      <w:r w:rsidRPr="004B2B22">
        <w:rPr>
          <w:lang w:val="en-US"/>
        </w:rPr>
        <w:t xml:space="preserve">. </w:t>
      </w:r>
      <w:r w:rsidR="00DF6D3D" w:rsidRPr="004B2B22">
        <w:rPr>
          <w:lang w:val="en-US"/>
        </w:rPr>
        <w:t xml:space="preserve">For instance Shavit and Pierce </w:t>
      </w:r>
      <w:r w:rsidR="008473BA">
        <w:rPr>
          <w:lang w:val="en-US"/>
        </w:rPr>
        <w:t>(</w:t>
      </w:r>
      <w:r w:rsidR="00DF6D3D" w:rsidRPr="004B2B22">
        <w:rPr>
          <w:lang w:val="en-US"/>
        </w:rPr>
        <w:t>1991</w:t>
      </w:r>
      <w:r w:rsidR="008473BA">
        <w:rPr>
          <w:lang w:val="en-US"/>
        </w:rPr>
        <w:t>)</w:t>
      </w:r>
      <w:r w:rsidR="00DF6D3D" w:rsidRPr="004B2B22">
        <w:rPr>
          <w:lang w:val="en-US"/>
        </w:rPr>
        <w:t xml:space="preserve"> found that number of siblings has a negative effect on</w:t>
      </w:r>
      <w:r w:rsidR="00580E16">
        <w:rPr>
          <w:lang w:val="en-US"/>
        </w:rPr>
        <w:t xml:space="preserve"> the</w:t>
      </w:r>
      <w:r w:rsidR="00DF6D3D" w:rsidRPr="004B2B22">
        <w:rPr>
          <w:lang w:val="en-US"/>
        </w:rPr>
        <w:t xml:space="preserve"> educational attainment of Jews in Israel, but has no effect on education among the Arabs.</w:t>
      </w:r>
      <w:r w:rsidR="00B33322" w:rsidRPr="004B2B22">
        <w:rPr>
          <w:lang w:val="en-US"/>
        </w:rPr>
        <w:t xml:space="preserve"> The authors argued that</w:t>
      </w:r>
      <w:r w:rsidR="00A1688E">
        <w:rPr>
          <w:lang w:val="en-US"/>
        </w:rPr>
        <w:t>, among other things,</w:t>
      </w:r>
      <w:r w:rsidR="00B33322" w:rsidRPr="004B2B22">
        <w:rPr>
          <w:lang w:val="en-US"/>
        </w:rPr>
        <w:t xml:space="preserve"> the Arabs can rely on the help of the extended family (the </w:t>
      </w:r>
      <w:r w:rsidR="00B33322" w:rsidRPr="004B2B22">
        <w:rPr>
          <w:i/>
          <w:lang w:val="en-US"/>
        </w:rPr>
        <w:t>hamula</w:t>
      </w:r>
      <w:r w:rsidR="00B33322" w:rsidRPr="004B2B22">
        <w:rPr>
          <w:lang w:val="en-US"/>
        </w:rPr>
        <w:t>) to share</w:t>
      </w:r>
      <w:r w:rsidR="00580E16">
        <w:rPr>
          <w:lang w:val="en-US"/>
        </w:rPr>
        <w:t xml:space="preserve"> in</w:t>
      </w:r>
      <w:r w:rsidR="00B33322" w:rsidRPr="004B2B22">
        <w:rPr>
          <w:lang w:val="en-US"/>
        </w:rPr>
        <w:t xml:space="preserve"> the cost of child rearing</w:t>
      </w:r>
      <w:r w:rsidR="002C56BF">
        <w:rPr>
          <w:lang w:val="en-US"/>
        </w:rPr>
        <w:t xml:space="preserve"> and thus prevent undesirable resource dilution</w:t>
      </w:r>
      <w:r w:rsidR="00B33322" w:rsidRPr="004B2B22">
        <w:rPr>
          <w:lang w:val="en-US"/>
        </w:rPr>
        <w:t xml:space="preserve">. </w:t>
      </w:r>
      <w:r w:rsidR="00A1688E">
        <w:rPr>
          <w:lang w:val="en-US"/>
        </w:rPr>
        <w:t>Then</w:t>
      </w:r>
      <w:r w:rsidR="00B33322" w:rsidRPr="004B2B22">
        <w:rPr>
          <w:lang w:val="en-US"/>
        </w:rPr>
        <w:t xml:space="preserve">, family size has no detrimental consequences for </w:t>
      </w:r>
      <w:r w:rsidR="002C56BF">
        <w:rPr>
          <w:lang w:val="en-US"/>
        </w:rPr>
        <w:t xml:space="preserve">the child’s </w:t>
      </w:r>
      <w:r w:rsidR="00B33322" w:rsidRPr="004B2B22">
        <w:rPr>
          <w:lang w:val="en-US"/>
        </w:rPr>
        <w:t xml:space="preserve">education. </w:t>
      </w:r>
      <w:r w:rsidR="001756ED">
        <w:rPr>
          <w:lang w:val="en-US"/>
        </w:rPr>
        <w:t xml:space="preserve">Also Lu (2009) found a negative effect of the number of siblings among whites in South Africa, but no similar effect among the blacks. She offered differences in kin systems and family organization as an explanation. </w:t>
      </w:r>
      <w:r w:rsidR="00335DB4">
        <w:rPr>
          <w:lang w:val="en-US"/>
        </w:rPr>
        <w:t xml:space="preserve">Similarly, Sudha (1997) reported </w:t>
      </w:r>
      <w:r w:rsidR="00B33322" w:rsidRPr="004B2B22">
        <w:rPr>
          <w:lang w:val="en-US"/>
        </w:rPr>
        <w:t>a negative effect of sibship size among the Chinese and Indians in Malaysia, but no effect among the Malays, whose education</w:t>
      </w:r>
      <w:r w:rsidR="00992394">
        <w:rPr>
          <w:lang w:val="en-US"/>
        </w:rPr>
        <w:t>, as the author pointed</w:t>
      </w:r>
      <w:r w:rsidR="007B3EE6" w:rsidRPr="004B2B22">
        <w:rPr>
          <w:lang w:val="en-US"/>
        </w:rPr>
        <w:t xml:space="preserve"> out,</w:t>
      </w:r>
      <w:r w:rsidR="00B33322" w:rsidRPr="004B2B22">
        <w:rPr>
          <w:lang w:val="en-US"/>
        </w:rPr>
        <w:t xml:space="preserve"> </w:t>
      </w:r>
      <w:r w:rsidR="00580E16">
        <w:rPr>
          <w:lang w:val="en-US"/>
        </w:rPr>
        <w:t>was</w:t>
      </w:r>
      <w:r w:rsidR="00B33322" w:rsidRPr="004B2B22">
        <w:rPr>
          <w:lang w:val="en-US"/>
        </w:rPr>
        <w:t xml:space="preserve"> subsidized by the state for several decades. </w:t>
      </w:r>
      <w:r w:rsidR="00E82965">
        <w:rPr>
          <w:lang w:val="en-US"/>
        </w:rPr>
        <w:t>A</w:t>
      </w:r>
      <w:r w:rsidR="00E82965" w:rsidRPr="004B2B22">
        <w:rPr>
          <w:lang w:val="en-US"/>
        </w:rPr>
        <w:t>n</w:t>
      </w:r>
      <w:r w:rsidR="00E82965">
        <w:rPr>
          <w:lang w:val="en-US"/>
        </w:rPr>
        <w:t>h</w:t>
      </w:r>
      <w:r w:rsidR="00E82965" w:rsidRPr="004B2B22">
        <w:rPr>
          <w:lang w:val="en-US"/>
        </w:rPr>
        <w:t xml:space="preserve"> et al.</w:t>
      </w:r>
      <w:r w:rsidR="00E82965">
        <w:rPr>
          <w:lang w:val="en-US"/>
        </w:rPr>
        <w:t xml:space="preserve"> (</w:t>
      </w:r>
      <w:r w:rsidR="00E82965" w:rsidRPr="004B2B22">
        <w:rPr>
          <w:lang w:val="en-US"/>
        </w:rPr>
        <w:t>1998</w:t>
      </w:r>
      <w:r w:rsidR="00E82965">
        <w:rPr>
          <w:lang w:val="en-US"/>
        </w:rPr>
        <w:t>)</w:t>
      </w:r>
      <w:r w:rsidR="00E82965" w:rsidRPr="004B2B22">
        <w:rPr>
          <w:lang w:val="en-US"/>
        </w:rPr>
        <w:t xml:space="preserve"> </w:t>
      </w:r>
      <w:r w:rsidR="00E82965">
        <w:rPr>
          <w:lang w:val="en-US"/>
        </w:rPr>
        <w:t>found</w:t>
      </w:r>
      <w:r w:rsidR="00E82965" w:rsidRPr="004B2B22">
        <w:rPr>
          <w:lang w:val="en-US"/>
        </w:rPr>
        <w:t xml:space="preserve"> </w:t>
      </w:r>
      <w:r w:rsidR="00E82965">
        <w:rPr>
          <w:lang w:val="en-US"/>
        </w:rPr>
        <w:t>a</w:t>
      </w:r>
      <w:r w:rsidR="00E82965" w:rsidRPr="004B2B22">
        <w:rPr>
          <w:lang w:val="en-US"/>
        </w:rPr>
        <w:t xml:space="preserve"> negative association only in very large families (with at least 6 children) in Vietnam.</w:t>
      </w:r>
      <w:r w:rsidR="00E82965">
        <w:rPr>
          <w:lang w:val="en-US"/>
        </w:rPr>
        <w:t xml:space="preserve"> </w:t>
      </w:r>
      <w:r w:rsidR="00B33322" w:rsidRPr="004B2B22">
        <w:rPr>
          <w:lang w:val="en-US"/>
        </w:rPr>
        <w:t xml:space="preserve">Gomes (1984) </w:t>
      </w:r>
      <w:r w:rsidR="00335DB4">
        <w:rPr>
          <w:lang w:val="en-US"/>
        </w:rPr>
        <w:t>found</w:t>
      </w:r>
      <w:r w:rsidR="00B33322" w:rsidRPr="004B2B22">
        <w:rPr>
          <w:lang w:val="en-US"/>
        </w:rPr>
        <w:t xml:space="preserve"> a positive effect of family size (particularly among the largest families with 7 or more kids) in Kenya, where parents maintain control over the earnings of the eldest child and can use it for the benefit of the younger siblings (see also Buchmann</w:t>
      </w:r>
      <w:r w:rsidR="008473BA">
        <w:rPr>
          <w:lang w:val="en-US"/>
        </w:rPr>
        <w:t>, 2000</w:t>
      </w:r>
      <w:r w:rsidR="00B33322" w:rsidRPr="004B2B22">
        <w:rPr>
          <w:lang w:val="en-US"/>
        </w:rPr>
        <w:t xml:space="preserve">). </w:t>
      </w:r>
      <w:r w:rsidR="00992394">
        <w:rPr>
          <w:lang w:val="en-US"/>
        </w:rPr>
        <w:t xml:space="preserve">Positive </w:t>
      </w:r>
      <w:r w:rsidR="00A1688E">
        <w:rPr>
          <w:lang w:val="en-US"/>
        </w:rPr>
        <w:t xml:space="preserve">consequences of family size </w:t>
      </w:r>
      <w:r w:rsidR="008473BA">
        <w:rPr>
          <w:lang w:val="en-US"/>
        </w:rPr>
        <w:t xml:space="preserve">have been </w:t>
      </w:r>
      <w:r w:rsidR="00992394">
        <w:rPr>
          <w:lang w:val="en-US"/>
        </w:rPr>
        <w:t xml:space="preserve">similarly </w:t>
      </w:r>
      <w:r w:rsidR="008473BA">
        <w:rPr>
          <w:lang w:val="en-US"/>
        </w:rPr>
        <w:t>reported in Botswana (</w:t>
      </w:r>
      <w:r w:rsidR="00B33322" w:rsidRPr="004B2B22">
        <w:rPr>
          <w:lang w:val="en-US"/>
        </w:rPr>
        <w:t>Chernicho</w:t>
      </w:r>
      <w:r w:rsidR="00AC1D3E">
        <w:rPr>
          <w:lang w:val="en-US"/>
        </w:rPr>
        <w:t>v</w:t>
      </w:r>
      <w:r w:rsidR="00B33322" w:rsidRPr="004B2B22">
        <w:rPr>
          <w:lang w:val="en-US"/>
        </w:rPr>
        <w:t>sky</w:t>
      </w:r>
      <w:r w:rsidR="008473BA">
        <w:rPr>
          <w:lang w:val="en-US"/>
        </w:rPr>
        <w:t>,</w:t>
      </w:r>
      <w:r w:rsidR="00B33322" w:rsidRPr="004B2B22">
        <w:rPr>
          <w:lang w:val="en-US"/>
        </w:rPr>
        <w:t xml:space="preserve"> 1985</w:t>
      </w:r>
      <w:r w:rsidR="008473BA">
        <w:rPr>
          <w:lang w:val="en-US"/>
        </w:rPr>
        <w:t>)</w:t>
      </w:r>
      <w:r w:rsidR="00B33322" w:rsidRPr="004B2B22">
        <w:rPr>
          <w:lang w:val="en-US"/>
        </w:rPr>
        <w:t>.</w:t>
      </w:r>
      <w:r w:rsidR="00E82965">
        <w:rPr>
          <w:lang w:val="en-US"/>
        </w:rPr>
        <w:t xml:space="preserve"> </w:t>
      </w:r>
    </w:p>
    <w:p w14:paraId="7EB4ADFF" w14:textId="77777777" w:rsidR="00B33322" w:rsidRDefault="00992394" w:rsidP="006F30EE">
      <w:pPr>
        <w:spacing w:line="480" w:lineRule="auto"/>
        <w:rPr>
          <w:lang w:val="en-US"/>
        </w:rPr>
      </w:pPr>
      <w:r>
        <w:rPr>
          <w:lang w:val="en-US"/>
        </w:rPr>
        <w:t>T</w:t>
      </w:r>
      <w:r w:rsidR="00B33322" w:rsidRPr="004B2B22">
        <w:rPr>
          <w:lang w:val="en-US"/>
        </w:rPr>
        <w:t xml:space="preserve">he effect of the number of siblings </w:t>
      </w:r>
      <w:r>
        <w:rPr>
          <w:lang w:val="en-US"/>
        </w:rPr>
        <w:t xml:space="preserve">often </w:t>
      </w:r>
      <w:r w:rsidR="00B33322" w:rsidRPr="004B2B22">
        <w:rPr>
          <w:lang w:val="en-US"/>
        </w:rPr>
        <w:t>var</w:t>
      </w:r>
      <w:r w:rsidR="00A1688E">
        <w:rPr>
          <w:lang w:val="en-US"/>
        </w:rPr>
        <w:t>ies</w:t>
      </w:r>
      <w:r w:rsidR="00B33322" w:rsidRPr="004B2B22">
        <w:rPr>
          <w:lang w:val="en-US"/>
        </w:rPr>
        <w:t xml:space="preserve"> across cohort</w:t>
      </w:r>
      <w:r w:rsidR="006529FF">
        <w:rPr>
          <w:lang w:val="en-US"/>
        </w:rPr>
        <w:t xml:space="preserve">s within </w:t>
      </w:r>
      <w:r w:rsidR="00580E16">
        <w:rPr>
          <w:lang w:val="en-US"/>
        </w:rPr>
        <w:t>a single</w:t>
      </w:r>
      <w:r w:rsidR="006529FF">
        <w:rPr>
          <w:lang w:val="en-US"/>
        </w:rPr>
        <w:t xml:space="preserve"> society. Maralani (</w:t>
      </w:r>
      <w:r w:rsidR="00B33322" w:rsidRPr="004B2B22">
        <w:rPr>
          <w:lang w:val="en-US"/>
        </w:rPr>
        <w:t>200</w:t>
      </w:r>
      <w:r w:rsidR="00B83A37">
        <w:rPr>
          <w:lang w:val="en-US"/>
        </w:rPr>
        <w:t>8</w:t>
      </w:r>
      <w:r w:rsidR="006529FF">
        <w:rPr>
          <w:lang w:val="en-US"/>
        </w:rPr>
        <w:t>)</w:t>
      </w:r>
      <w:r w:rsidR="00367B9F" w:rsidRPr="004B2B22">
        <w:rPr>
          <w:lang w:val="en-US"/>
        </w:rPr>
        <w:t>, for example,</w:t>
      </w:r>
      <w:r w:rsidR="00105DD8">
        <w:rPr>
          <w:lang w:val="en-US"/>
        </w:rPr>
        <w:t xml:space="preserve"> reported</w:t>
      </w:r>
      <w:r w:rsidR="00B33322" w:rsidRPr="004B2B22">
        <w:rPr>
          <w:lang w:val="en-US"/>
        </w:rPr>
        <w:t xml:space="preserve"> </w:t>
      </w:r>
      <w:r w:rsidR="00580E16">
        <w:rPr>
          <w:lang w:val="en-US"/>
        </w:rPr>
        <w:t xml:space="preserve">a </w:t>
      </w:r>
      <w:r w:rsidR="00B33322" w:rsidRPr="004B2B22">
        <w:rPr>
          <w:lang w:val="en-US"/>
        </w:rPr>
        <w:t xml:space="preserve">strong positive </w:t>
      </w:r>
      <w:r w:rsidR="00A3011E">
        <w:rPr>
          <w:lang w:val="en-US"/>
        </w:rPr>
        <w:t>association</w:t>
      </w:r>
      <w:r w:rsidR="00367B9F" w:rsidRPr="004B2B22">
        <w:rPr>
          <w:lang w:val="en-US"/>
        </w:rPr>
        <w:t xml:space="preserve"> </w:t>
      </w:r>
      <w:r w:rsidR="00962D0F">
        <w:rPr>
          <w:lang w:val="en-US"/>
        </w:rPr>
        <w:t xml:space="preserve">between </w:t>
      </w:r>
      <w:r w:rsidR="00367B9F" w:rsidRPr="004B2B22">
        <w:rPr>
          <w:lang w:val="en-US"/>
        </w:rPr>
        <w:t xml:space="preserve">family size </w:t>
      </w:r>
      <w:r w:rsidR="00A3011E">
        <w:rPr>
          <w:lang w:val="en-US"/>
        </w:rPr>
        <w:t xml:space="preserve">and </w:t>
      </w:r>
      <w:r w:rsidR="00367B9F" w:rsidRPr="004B2B22">
        <w:rPr>
          <w:lang w:val="en-US"/>
        </w:rPr>
        <w:t>schooling in early urban cohorts in Indonesia</w:t>
      </w:r>
      <w:r w:rsidR="00580E16">
        <w:rPr>
          <w:lang w:val="en-US"/>
        </w:rPr>
        <w:t>, but</w:t>
      </w:r>
      <w:r w:rsidR="00A1688E">
        <w:rPr>
          <w:lang w:val="en-US"/>
        </w:rPr>
        <w:t xml:space="preserve"> </w:t>
      </w:r>
      <w:r w:rsidR="00367B9F" w:rsidRPr="004B2B22">
        <w:rPr>
          <w:lang w:val="en-US"/>
        </w:rPr>
        <w:t xml:space="preserve">negative </w:t>
      </w:r>
      <w:r w:rsidR="00A3011E">
        <w:rPr>
          <w:lang w:val="en-US"/>
        </w:rPr>
        <w:t xml:space="preserve">associations </w:t>
      </w:r>
      <w:r w:rsidR="00367B9F" w:rsidRPr="004B2B22">
        <w:rPr>
          <w:lang w:val="en-US"/>
        </w:rPr>
        <w:t xml:space="preserve">in </w:t>
      </w:r>
      <w:r w:rsidR="00A1688E">
        <w:rPr>
          <w:lang w:val="en-US"/>
        </w:rPr>
        <w:t xml:space="preserve">more recent urban </w:t>
      </w:r>
      <w:r w:rsidR="00367B9F" w:rsidRPr="004B2B22">
        <w:rPr>
          <w:lang w:val="en-US"/>
        </w:rPr>
        <w:t>cohorts</w:t>
      </w:r>
      <w:r w:rsidR="00105DD8">
        <w:rPr>
          <w:lang w:val="en-US"/>
        </w:rPr>
        <w:t>. Moreover, her analysis revealed</w:t>
      </w:r>
      <w:r w:rsidR="00367B9F" w:rsidRPr="004B2B22">
        <w:rPr>
          <w:lang w:val="en-US"/>
        </w:rPr>
        <w:t xml:space="preserve"> no association between family size and children’s schooling for any cohort</w:t>
      </w:r>
      <w:r w:rsidR="00A1688E">
        <w:rPr>
          <w:lang w:val="en-US"/>
        </w:rPr>
        <w:t xml:space="preserve"> of rural children</w:t>
      </w:r>
      <w:r w:rsidR="00367B9F" w:rsidRPr="004B2B22">
        <w:rPr>
          <w:lang w:val="en-US"/>
        </w:rPr>
        <w:t xml:space="preserve">. Similarly, Lu and Treiman </w:t>
      </w:r>
      <w:r w:rsidR="006529FF">
        <w:rPr>
          <w:lang w:val="en-US"/>
        </w:rPr>
        <w:t>(2008)</w:t>
      </w:r>
      <w:r w:rsidR="00367B9F" w:rsidRPr="004B2B22">
        <w:rPr>
          <w:lang w:val="en-US"/>
        </w:rPr>
        <w:t xml:space="preserve"> also </w:t>
      </w:r>
      <w:r w:rsidR="00105DD8">
        <w:rPr>
          <w:lang w:val="en-US"/>
        </w:rPr>
        <w:t>identified</w:t>
      </w:r>
      <w:r w:rsidR="00367B9F" w:rsidRPr="004B2B22">
        <w:rPr>
          <w:lang w:val="en-US"/>
        </w:rPr>
        <w:t xml:space="preserve"> variations in the association between family size and education across cohorts in China.</w:t>
      </w:r>
    </w:p>
    <w:p w14:paraId="7484069F" w14:textId="37D0A0B0" w:rsidR="00E4654B" w:rsidRDefault="00E4654B" w:rsidP="006F30EE">
      <w:pPr>
        <w:spacing w:line="480" w:lineRule="auto"/>
        <w:rPr>
          <w:lang w:val="en-US"/>
        </w:rPr>
      </w:pPr>
      <w:r>
        <w:rPr>
          <w:lang w:val="en-US"/>
        </w:rPr>
        <w:lastRenderedPageBreak/>
        <w:t>In this paper, we extend</w:t>
      </w:r>
      <w:r w:rsidR="00962D0F">
        <w:rPr>
          <w:lang w:val="en-US"/>
        </w:rPr>
        <w:t xml:space="preserve"> the literature on the varying</w:t>
      </w:r>
      <w:r>
        <w:rPr>
          <w:lang w:val="en-US"/>
        </w:rPr>
        <w:t xml:space="preserve"> </w:t>
      </w:r>
      <w:r w:rsidR="00A10F51">
        <w:rPr>
          <w:lang w:val="en-US"/>
        </w:rPr>
        <w:t xml:space="preserve">association between </w:t>
      </w:r>
      <w:r>
        <w:rPr>
          <w:lang w:val="en-US"/>
        </w:rPr>
        <w:t xml:space="preserve">sibship size </w:t>
      </w:r>
      <w:r w:rsidR="00A10F51">
        <w:rPr>
          <w:lang w:val="en-US"/>
        </w:rPr>
        <w:t>and educational achievement by comparing 40 countries participating in the 2000 PISA survey of 15</w:t>
      </w:r>
      <w:r w:rsidR="00962D0F">
        <w:rPr>
          <w:lang w:val="en-US"/>
        </w:rPr>
        <w:t>-</w:t>
      </w:r>
      <w:r w:rsidR="00A10F51">
        <w:rPr>
          <w:lang w:val="en-US"/>
        </w:rPr>
        <w:t>year</w:t>
      </w:r>
      <w:r w:rsidR="00962D0F">
        <w:rPr>
          <w:lang w:val="en-US"/>
        </w:rPr>
        <w:t>-</w:t>
      </w:r>
      <w:r w:rsidR="00A10F51">
        <w:rPr>
          <w:lang w:val="en-US"/>
        </w:rPr>
        <w:t>old students. After reviewing arguments explaining this cross-country variation, we propose a specific measure</w:t>
      </w:r>
      <w:r w:rsidR="00420322">
        <w:rPr>
          <w:lang w:val="en-US"/>
        </w:rPr>
        <w:t xml:space="preserve">: </w:t>
      </w:r>
      <w:r w:rsidR="00731759">
        <w:rPr>
          <w:lang w:val="en-US"/>
        </w:rPr>
        <w:t>cores</w:t>
      </w:r>
      <w:r w:rsidR="00A10F51">
        <w:rPr>
          <w:lang w:val="en-US"/>
        </w:rPr>
        <w:t xml:space="preserve">idence with </w:t>
      </w:r>
      <w:r w:rsidR="00420322">
        <w:rPr>
          <w:lang w:val="en-US"/>
        </w:rPr>
        <w:t xml:space="preserve">a </w:t>
      </w:r>
      <w:r w:rsidR="00A10F51">
        <w:rPr>
          <w:lang w:val="en-US"/>
        </w:rPr>
        <w:t>grandparent in a three-generation household</w:t>
      </w:r>
      <w:r w:rsidR="00420322">
        <w:rPr>
          <w:lang w:val="en-US"/>
        </w:rPr>
        <w:t xml:space="preserve"> </w:t>
      </w:r>
      <w:r w:rsidR="00A10F51">
        <w:rPr>
          <w:lang w:val="en-US"/>
        </w:rPr>
        <w:t>that</w:t>
      </w:r>
      <w:r w:rsidR="00580E16">
        <w:rPr>
          <w:lang w:val="en-US"/>
        </w:rPr>
        <w:t xml:space="preserve"> </w:t>
      </w:r>
      <w:r w:rsidR="0080581D">
        <w:rPr>
          <w:lang w:val="en-US"/>
        </w:rPr>
        <w:t xml:space="preserve">shall </w:t>
      </w:r>
      <w:r w:rsidR="00A10F51">
        <w:rPr>
          <w:lang w:val="en-US"/>
        </w:rPr>
        <w:t xml:space="preserve">modify the relationship between </w:t>
      </w:r>
      <w:r w:rsidR="0080581D">
        <w:rPr>
          <w:lang w:val="en-US"/>
        </w:rPr>
        <w:t xml:space="preserve">sibship </w:t>
      </w:r>
      <w:r w:rsidR="00A10F51">
        <w:rPr>
          <w:lang w:val="en-US"/>
        </w:rPr>
        <w:t>size and standardize</w:t>
      </w:r>
      <w:r w:rsidR="002C56BF">
        <w:rPr>
          <w:lang w:val="en-US"/>
        </w:rPr>
        <w:t>d</w:t>
      </w:r>
      <w:r w:rsidR="00A10F51">
        <w:rPr>
          <w:lang w:val="en-US"/>
        </w:rPr>
        <w:t xml:space="preserve"> test scores. We argue that the association between </w:t>
      </w:r>
      <w:r w:rsidR="0080581D">
        <w:rPr>
          <w:lang w:val="en-US"/>
        </w:rPr>
        <w:t xml:space="preserve">sibship </w:t>
      </w:r>
      <w:r w:rsidR="00A10F51">
        <w:rPr>
          <w:lang w:val="en-US"/>
        </w:rPr>
        <w:t xml:space="preserve">size and test scores changes in a predictable way with level of socioeconomic development </w:t>
      </w:r>
      <w:r w:rsidR="00B6116E">
        <w:rPr>
          <w:lang w:val="en-US"/>
        </w:rPr>
        <w:t xml:space="preserve">being </w:t>
      </w:r>
      <w:r w:rsidR="00A10F51">
        <w:rPr>
          <w:lang w:val="en-US"/>
        </w:rPr>
        <w:t>more negative in the mo</w:t>
      </w:r>
      <w:r w:rsidR="00B6116E">
        <w:rPr>
          <w:lang w:val="en-US"/>
        </w:rPr>
        <w:t>re</w:t>
      </w:r>
      <w:r w:rsidR="00A10F51">
        <w:rPr>
          <w:lang w:val="en-US"/>
        </w:rPr>
        <w:t xml:space="preserve"> advanced nations. Furthermore, we </w:t>
      </w:r>
      <w:r w:rsidR="00624568">
        <w:rPr>
          <w:lang w:val="en-US"/>
        </w:rPr>
        <w:t xml:space="preserve">propose that there is a three-way interaction between </w:t>
      </w:r>
      <w:r w:rsidR="001B5660">
        <w:rPr>
          <w:lang w:val="en-US"/>
        </w:rPr>
        <w:t>sibship</w:t>
      </w:r>
      <w:r w:rsidR="00624568">
        <w:rPr>
          <w:lang w:val="en-US"/>
        </w:rPr>
        <w:t xml:space="preserve"> size, three-generation </w:t>
      </w:r>
      <w:r w:rsidR="00731759">
        <w:rPr>
          <w:lang w:val="en-US"/>
        </w:rPr>
        <w:t>cores</w:t>
      </w:r>
      <w:r w:rsidR="00251BAD">
        <w:rPr>
          <w:lang w:val="en-US"/>
        </w:rPr>
        <w:t>i</w:t>
      </w:r>
      <w:r w:rsidR="00624568">
        <w:rPr>
          <w:lang w:val="en-US"/>
        </w:rPr>
        <w:t>dence</w:t>
      </w:r>
      <w:r w:rsidR="00992394">
        <w:rPr>
          <w:lang w:val="en-US"/>
        </w:rPr>
        <w:t>,</w:t>
      </w:r>
      <w:r w:rsidR="00624568">
        <w:rPr>
          <w:lang w:val="en-US"/>
        </w:rPr>
        <w:t xml:space="preserve"> and level of development. We </w:t>
      </w:r>
      <w:r w:rsidR="00A10F51">
        <w:rPr>
          <w:lang w:val="en-US"/>
        </w:rPr>
        <w:t>suggest that</w:t>
      </w:r>
      <w:r w:rsidR="00624568">
        <w:rPr>
          <w:lang w:val="en-US"/>
        </w:rPr>
        <w:t xml:space="preserve"> </w:t>
      </w:r>
      <w:r w:rsidR="00731759">
        <w:rPr>
          <w:lang w:val="en-US"/>
        </w:rPr>
        <w:t>cores</w:t>
      </w:r>
      <w:r w:rsidR="00251BAD">
        <w:rPr>
          <w:lang w:val="en-US"/>
        </w:rPr>
        <w:t>i</w:t>
      </w:r>
      <w:r w:rsidR="00624568">
        <w:rPr>
          <w:lang w:val="en-US"/>
        </w:rPr>
        <w:t xml:space="preserve">dence with grandparents may serve as a buffer against resource dilution in more traditional societies, but </w:t>
      </w:r>
      <w:r w:rsidR="00420322">
        <w:rPr>
          <w:lang w:val="en-US"/>
        </w:rPr>
        <w:t>does</w:t>
      </w:r>
      <w:r w:rsidR="00624568">
        <w:rPr>
          <w:lang w:val="en-US"/>
        </w:rPr>
        <w:t xml:space="preserve"> not have this protective effect in more socioeconomically advanced societies, where three-generation households are not formed out of tradition, but out of necessity in response to some serious problem such as teenage pregnancy, criminal activity, drug addiction, and poor health.</w:t>
      </w:r>
      <w:r w:rsidR="00FD5D30">
        <w:rPr>
          <w:lang w:val="en-US"/>
        </w:rPr>
        <w:t xml:space="preserve"> In doing so, we link two important recent streams of </w:t>
      </w:r>
      <w:r w:rsidR="00992394">
        <w:rPr>
          <w:lang w:val="en-US"/>
        </w:rPr>
        <w:t xml:space="preserve">population </w:t>
      </w:r>
      <w:r w:rsidR="00FD5D30">
        <w:rPr>
          <w:lang w:val="en-US"/>
        </w:rPr>
        <w:t>research</w:t>
      </w:r>
      <w:r w:rsidR="00140727">
        <w:rPr>
          <w:lang w:val="en-US"/>
        </w:rPr>
        <w:t>–</w:t>
      </w:r>
      <w:r w:rsidR="005A6732">
        <w:rPr>
          <w:lang w:val="en-US"/>
        </w:rPr>
        <w:t xml:space="preserve">literature </w:t>
      </w:r>
      <w:r w:rsidR="00FD5D30">
        <w:rPr>
          <w:lang w:val="en-US"/>
        </w:rPr>
        <w:t>on sibship size effects (Steelman et al.</w:t>
      </w:r>
      <w:r w:rsidR="006529FF">
        <w:rPr>
          <w:lang w:val="en-US"/>
        </w:rPr>
        <w:t>, 2002</w:t>
      </w:r>
      <w:r w:rsidR="00FD5D30">
        <w:rPr>
          <w:lang w:val="en-US"/>
        </w:rPr>
        <w:t>; Jaeger</w:t>
      </w:r>
      <w:r w:rsidR="006529FF">
        <w:rPr>
          <w:lang w:val="en-US"/>
        </w:rPr>
        <w:t>,</w:t>
      </w:r>
      <w:r w:rsidR="00FD5D30">
        <w:rPr>
          <w:lang w:val="en-US"/>
        </w:rPr>
        <w:t xml:space="preserve"> 2008) and </w:t>
      </w:r>
      <w:r w:rsidR="005A6732">
        <w:rPr>
          <w:lang w:val="en-US"/>
        </w:rPr>
        <w:t xml:space="preserve">literature </w:t>
      </w:r>
      <w:r w:rsidR="00FD5D30">
        <w:rPr>
          <w:lang w:val="en-US"/>
        </w:rPr>
        <w:t xml:space="preserve">on social stratification across multiple generations </w:t>
      </w:r>
      <w:r w:rsidR="006529FF">
        <w:rPr>
          <w:lang w:val="en-US"/>
        </w:rPr>
        <w:t>(Mare, 2011)</w:t>
      </w:r>
      <w:r w:rsidR="005A6732">
        <w:rPr>
          <w:lang w:val="en-US"/>
        </w:rPr>
        <w:t>, which has recently</w:t>
      </w:r>
      <w:r w:rsidR="006221E5">
        <w:rPr>
          <w:lang w:val="en-US"/>
        </w:rPr>
        <w:t xml:space="preserve"> been</w:t>
      </w:r>
      <w:r w:rsidR="005A6732">
        <w:rPr>
          <w:lang w:val="en-US"/>
        </w:rPr>
        <w:t xml:space="preserve"> </w:t>
      </w:r>
      <w:r w:rsidR="00E4245F">
        <w:rPr>
          <w:lang w:val="en-US"/>
        </w:rPr>
        <w:t xml:space="preserve">attracting increasing attention </w:t>
      </w:r>
      <w:r w:rsidR="001B5660">
        <w:rPr>
          <w:lang w:val="en-US"/>
        </w:rPr>
        <w:t xml:space="preserve">(see e.g. </w:t>
      </w:r>
      <w:r w:rsidR="00D40D07">
        <w:rPr>
          <w:lang w:val="en-US"/>
        </w:rPr>
        <w:t>Chan &amp;</w:t>
      </w:r>
      <w:r w:rsidR="00E4245F">
        <w:rPr>
          <w:lang w:val="en-US"/>
        </w:rPr>
        <w:t xml:space="preserve"> Boliv</w:t>
      </w:r>
      <w:r w:rsidR="00521B8C">
        <w:rPr>
          <w:lang w:val="en-US"/>
        </w:rPr>
        <w:t>e</w:t>
      </w:r>
      <w:r w:rsidR="00E4245F">
        <w:rPr>
          <w:lang w:val="en-US"/>
        </w:rPr>
        <w:t xml:space="preserve">r, 2013; </w:t>
      </w:r>
      <w:r w:rsidR="000E634B" w:rsidRPr="00AB4E26">
        <w:rPr>
          <w:szCs w:val="18"/>
          <w:lang w:val="en-US"/>
        </w:rPr>
        <w:t>Hällsten</w:t>
      </w:r>
      <w:r w:rsidR="000E634B">
        <w:rPr>
          <w:szCs w:val="18"/>
          <w:lang w:val="en-US"/>
        </w:rPr>
        <w:t>, 2013;</w:t>
      </w:r>
      <w:r w:rsidR="000E634B">
        <w:rPr>
          <w:lang w:val="en-US"/>
        </w:rPr>
        <w:t xml:space="preserve"> </w:t>
      </w:r>
      <w:r w:rsidR="00B6116E">
        <w:rPr>
          <w:lang w:val="en-US"/>
        </w:rPr>
        <w:t>Hertel &amp; Groh-Samberg, 201</w:t>
      </w:r>
      <w:r w:rsidR="00D14189">
        <w:rPr>
          <w:lang w:val="en-US"/>
        </w:rPr>
        <w:t>3</w:t>
      </w:r>
      <w:r w:rsidR="00B6116E">
        <w:rPr>
          <w:lang w:val="en-US"/>
        </w:rPr>
        <w:t xml:space="preserve">; </w:t>
      </w:r>
      <w:r w:rsidR="00E4245F">
        <w:rPr>
          <w:lang w:val="en-US"/>
        </w:rPr>
        <w:t xml:space="preserve">Jaeger, 2012; </w:t>
      </w:r>
      <w:r w:rsidR="00B6116E">
        <w:rPr>
          <w:lang w:val="en-US"/>
        </w:rPr>
        <w:t xml:space="preserve">Mare, 2014; Pfeffer, 2014; </w:t>
      </w:r>
      <w:r w:rsidR="00E4245F" w:rsidRPr="00E4245F">
        <w:rPr>
          <w:szCs w:val="20"/>
          <w:lang w:eastAsia="cs-CZ"/>
        </w:rPr>
        <w:t>Sharkey</w:t>
      </w:r>
      <w:r w:rsidR="00D40D07">
        <w:rPr>
          <w:szCs w:val="20"/>
          <w:lang w:eastAsia="cs-CZ"/>
        </w:rPr>
        <w:t xml:space="preserve"> &amp;</w:t>
      </w:r>
      <w:r w:rsidR="00E4245F" w:rsidRPr="00E4245F">
        <w:rPr>
          <w:szCs w:val="20"/>
          <w:lang w:eastAsia="cs-CZ"/>
        </w:rPr>
        <w:t xml:space="preserve"> Elwert, 2011;</w:t>
      </w:r>
      <w:r w:rsidR="00E4245F" w:rsidRPr="00E4245F">
        <w:rPr>
          <w:sz w:val="32"/>
          <w:lang w:val="en-US"/>
        </w:rPr>
        <w:t xml:space="preserve"> </w:t>
      </w:r>
      <w:r w:rsidR="001B5660">
        <w:rPr>
          <w:lang w:val="en-US"/>
        </w:rPr>
        <w:t>Zeng</w:t>
      </w:r>
      <w:r w:rsidR="00D40D07">
        <w:rPr>
          <w:lang w:val="en-US"/>
        </w:rPr>
        <w:t xml:space="preserve"> &amp;</w:t>
      </w:r>
      <w:r w:rsidR="001B5660">
        <w:rPr>
          <w:lang w:val="en-US"/>
        </w:rPr>
        <w:t xml:space="preserve"> Xie, 2011)</w:t>
      </w:r>
      <w:r w:rsidR="00FD5D30">
        <w:rPr>
          <w:lang w:val="en-US"/>
        </w:rPr>
        <w:t>.</w:t>
      </w:r>
    </w:p>
    <w:p w14:paraId="07FEECB0" w14:textId="77777777" w:rsidR="00E4654B" w:rsidRPr="004B2B22" w:rsidRDefault="00E4654B" w:rsidP="006F30EE">
      <w:pPr>
        <w:pStyle w:val="Nadpis1"/>
      </w:pPr>
      <w:r>
        <w:t>Explaining the variation in the association between family size and educational achievement</w:t>
      </w:r>
    </w:p>
    <w:p w14:paraId="59CAD734" w14:textId="77777777" w:rsidR="007B3EE6" w:rsidRPr="004B2B22" w:rsidRDefault="007B3EE6" w:rsidP="006F30EE">
      <w:pPr>
        <w:spacing w:line="480" w:lineRule="auto"/>
        <w:rPr>
          <w:lang w:val="en-US"/>
        </w:rPr>
      </w:pPr>
      <w:r w:rsidRPr="004B2B22">
        <w:rPr>
          <w:lang w:val="en-US"/>
        </w:rPr>
        <w:t xml:space="preserve">Many explanations have been proposed to account for the variability in </w:t>
      </w:r>
      <w:r w:rsidR="000837B3">
        <w:rPr>
          <w:lang w:val="en-US"/>
        </w:rPr>
        <w:t xml:space="preserve">the association between </w:t>
      </w:r>
      <w:r w:rsidRPr="004B2B22">
        <w:rPr>
          <w:lang w:val="en-US"/>
        </w:rPr>
        <w:t xml:space="preserve">sibship size </w:t>
      </w:r>
      <w:r w:rsidR="000837B3">
        <w:rPr>
          <w:lang w:val="en-US"/>
        </w:rPr>
        <w:t>and stratification</w:t>
      </w:r>
      <w:r w:rsidR="00646512">
        <w:rPr>
          <w:lang w:val="en-US"/>
        </w:rPr>
        <w:t xml:space="preserve"> variables </w:t>
      </w:r>
      <w:r w:rsidRPr="004B2B22">
        <w:rPr>
          <w:lang w:val="en-US"/>
        </w:rPr>
        <w:t>across contexts reaching from family organization, cultural roles, and intergenerational wealth flows</w:t>
      </w:r>
      <w:r w:rsidR="00790FFD">
        <w:rPr>
          <w:lang w:val="en-US"/>
        </w:rPr>
        <w:t>,</w:t>
      </w:r>
      <w:r w:rsidRPr="004B2B22">
        <w:rPr>
          <w:lang w:val="en-US"/>
        </w:rPr>
        <w:t xml:space="preserve"> to the cost of education, demand for education, and mode of production </w:t>
      </w:r>
      <w:r w:rsidR="00B641A1" w:rsidRPr="004B2B22">
        <w:rPr>
          <w:lang w:val="en-US"/>
        </w:rPr>
        <w:t xml:space="preserve">in a given society/historical period </w:t>
      </w:r>
      <w:r w:rsidR="006529FF">
        <w:rPr>
          <w:lang w:val="en-US"/>
        </w:rPr>
        <w:t>(</w:t>
      </w:r>
      <w:r w:rsidRPr="004B2B22">
        <w:rPr>
          <w:lang w:val="en-US"/>
        </w:rPr>
        <w:t>Maralani</w:t>
      </w:r>
      <w:r w:rsidR="006529FF">
        <w:rPr>
          <w:lang w:val="en-US"/>
        </w:rPr>
        <w:t>,</w:t>
      </w:r>
      <w:r w:rsidR="00B83A37">
        <w:rPr>
          <w:lang w:val="en-US"/>
        </w:rPr>
        <w:t xml:space="preserve"> </w:t>
      </w:r>
      <w:r w:rsidR="00B83A37">
        <w:rPr>
          <w:lang w:val="en-US"/>
        </w:rPr>
        <w:lastRenderedPageBreak/>
        <w:t>2008</w:t>
      </w:r>
      <w:r w:rsidRPr="004B2B22">
        <w:rPr>
          <w:lang w:val="en-US"/>
        </w:rPr>
        <w:t>; Sudha</w:t>
      </w:r>
      <w:r w:rsidR="006529FF">
        <w:rPr>
          <w:lang w:val="en-US"/>
        </w:rPr>
        <w:t>, 1997)</w:t>
      </w:r>
      <w:r w:rsidR="00B641A1" w:rsidRPr="004B2B22">
        <w:rPr>
          <w:lang w:val="en-US"/>
        </w:rPr>
        <w:t>. Generally, the list of explananda consists of factors that “influence both the availability of resources and their intern</w:t>
      </w:r>
      <w:r w:rsidR="006529FF">
        <w:rPr>
          <w:lang w:val="en-US"/>
        </w:rPr>
        <w:t>al allocation within a family” (Lu &amp;</w:t>
      </w:r>
      <w:r w:rsidR="00B641A1" w:rsidRPr="004B2B22">
        <w:rPr>
          <w:lang w:val="en-US"/>
        </w:rPr>
        <w:t xml:space="preserve"> Treiman</w:t>
      </w:r>
      <w:r w:rsidR="006529FF">
        <w:rPr>
          <w:lang w:val="en-US"/>
        </w:rPr>
        <w:t>,</w:t>
      </w:r>
      <w:r w:rsidR="00621DD0">
        <w:rPr>
          <w:lang w:val="en-US"/>
        </w:rPr>
        <w:t xml:space="preserve"> 2008</w:t>
      </w:r>
      <w:r w:rsidR="00DE4055">
        <w:rPr>
          <w:lang w:val="en-US"/>
        </w:rPr>
        <w:t>, p.</w:t>
      </w:r>
      <w:r w:rsidR="00621DD0">
        <w:rPr>
          <w:lang w:val="en-US"/>
        </w:rPr>
        <w:t xml:space="preserve"> 813)</w:t>
      </w:r>
      <w:r w:rsidR="00B641A1" w:rsidRPr="004B2B22">
        <w:rPr>
          <w:lang w:val="en-US"/>
        </w:rPr>
        <w:t>.</w:t>
      </w:r>
    </w:p>
    <w:p w14:paraId="55AED9BB" w14:textId="77777777" w:rsidR="00E169A1" w:rsidRDefault="00B641A1" w:rsidP="006F30EE">
      <w:pPr>
        <w:spacing w:line="480" w:lineRule="auto"/>
        <w:rPr>
          <w:lang w:val="en-GB"/>
        </w:rPr>
      </w:pPr>
      <w:r w:rsidRPr="004B2B22">
        <w:rPr>
          <w:lang w:val="en-US"/>
        </w:rPr>
        <w:t xml:space="preserve">Family organization and cultural roles that </w:t>
      </w:r>
      <w:r w:rsidR="005157D2" w:rsidRPr="004B2B22">
        <w:rPr>
          <w:lang w:val="en-US"/>
        </w:rPr>
        <w:t xml:space="preserve">influence </w:t>
      </w:r>
      <w:r w:rsidRPr="004B2B22">
        <w:rPr>
          <w:lang w:val="en-US"/>
        </w:rPr>
        <w:t>the amount and/or direction of wealth flow</w:t>
      </w:r>
      <w:r w:rsidR="005157D2" w:rsidRPr="004B2B22">
        <w:rPr>
          <w:lang w:val="en-US"/>
        </w:rPr>
        <w:t>s</w:t>
      </w:r>
      <w:r w:rsidRPr="004B2B22">
        <w:rPr>
          <w:lang w:val="en-US"/>
        </w:rPr>
        <w:t xml:space="preserve"> between </w:t>
      </w:r>
      <w:r w:rsidR="00790FFD">
        <w:rPr>
          <w:lang w:val="en-US"/>
        </w:rPr>
        <w:t xml:space="preserve">the </w:t>
      </w:r>
      <w:r w:rsidR="005157D2" w:rsidRPr="004B2B22">
        <w:rPr>
          <w:lang w:val="en-US"/>
        </w:rPr>
        <w:t>generations are particularly interesting to study</w:t>
      </w:r>
      <w:r w:rsidR="00790FFD">
        <w:rPr>
          <w:lang w:val="en-US"/>
        </w:rPr>
        <w:t>,</w:t>
      </w:r>
      <w:r w:rsidR="005157D2" w:rsidRPr="004B2B22">
        <w:rPr>
          <w:lang w:val="en-US"/>
        </w:rPr>
        <w:t xml:space="preserve"> since they determine “</w:t>
      </w:r>
      <w:r w:rsidR="005157D2" w:rsidRPr="004B2B22">
        <w:rPr>
          <w:lang w:val="en-GB"/>
        </w:rPr>
        <w:t>whether the burden of child rearing is limited to the nuclear family or extended across broader kin networks, whether and how much school-aged children work inside and outside t</w:t>
      </w:r>
      <w:r w:rsidR="00A1688E">
        <w:rPr>
          <w:lang w:val="en-GB"/>
        </w:rPr>
        <w:t xml:space="preserve">he home” </w:t>
      </w:r>
      <w:r w:rsidR="006529FF">
        <w:rPr>
          <w:lang w:val="en-GB"/>
        </w:rPr>
        <w:t>(</w:t>
      </w:r>
      <w:r w:rsidR="00A1688E">
        <w:rPr>
          <w:lang w:val="en-GB"/>
        </w:rPr>
        <w:t>Maralani</w:t>
      </w:r>
      <w:r w:rsidR="006529FF">
        <w:rPr>
          <w:lang w:val="en-GB"/>
        </w:rPr>
        <w:t>,</w:t>
      </w:r>
      <w:r w:rsidR="00B83A37">
        <w:rPr>
          <w:lang w:val="en-GB"/>
        </w:rPr>
        <w:t xml:space="preserve"> 2008</w:t>
      </w:r>
      <w:r w:rsidR="00DE4055">
        <w:rPr>
          <w:lang w:val="en-GB"/>
        </w:rPr>
        <w:t>, p.</w:t>
      </w:r>
      <w:r w:rsidR="006529FF">
        <w:rPr>
          <w:lang w:val="en-GB"/>
        </w:rPr>
        <w:t xml:space="preserve"> 694)</w:t>
      </w:r>
      <w:r w:rsidR="00A1688E">
        <w:rPr>
          <w:lang w:val="en-GB"/>
        </w:rPr>
        <w:t xml:space="preserve">. </w:t>
      </w:r>
      <w:r w:rsidR="006529FF">
        <w:rPr>
          <w:lang w:val="en-GB"/>
        </w:rPr>
        <w:t>Maralani (</w:t>
      </w:r>
      <w:r w:rsidR="005157D2" w:rsidRPr="004B2B22">
        <w:rPr>
          <w:lang w:val="en-GB"/>
        </w:rPr>
        <w:t>200</w:t>
      </w:r>
      <w:r w:rsidR="00B83A37">
        <w:rPr>
          <w:lang w:val="en-GB"/>
        </w:rPr>
        <w:t>8</w:t>
      </w:r>
      <w:r w:rsidR="00DE4055">
        <w:rPr>
          <w:lang w:val="en-GB"/>
        </w:rPr>
        <w:t>, p.</w:t>
      </w:r>
      <w:r w:rsidR="005157D2" w:rsidRPr="004B2B22">
        <w:rPr>
          <w:lang w:val="en-GB"/>
        </w:rPr>
        <w:t xml:space="preserve"> 695</w:t>
      </w:r>
      <w:r w:rsidR="006529FF">
        <w:rPr>
          <w:lang w:val="en-GB"/>
        </w:rPr>
        <w:t>)</w:t>
      </w:r>
      <w:r w:rsidR="005157D2" w:rsidRPr="004B2B22">
        <w:rPr>
          <w:lang w:val="en-GB"/>
        </w:rPr>
        <w:t xml:space="preserve"> concludes that “(i)n societies where parents bear most of the cost of schooling and where the costs are high, we might expect a negative relationship between family size and educational attainment. In societies with extended kinship networks and lower schooling costs, the relationship may be neutral or positive”.</w:t>
      </w:r>
    </w:p>
    <w:p w14:paraId="2FE3ADBB" w14:textId="59B152BB" w:rsidR="00B641A1" w:rsidRPr="00F4350E" w:rsidRDefault="006529FF" w:rsidP="006F30EE">
      <w:pPr>
        <w:spacing w:line="480" w:lineRule="auto"/>
        <w:rPr>
          <w:lang w:val="en-US"/>
        </w:rPr>
      </w:pPr>
      <w:r>
        <w:rPr>
          <w:lang w:val="en-GB"/>
        </w:rPr>
        <w:t>Sudha (</w:t>
      </w:r>
      <w:r w:rsidR="00FF525A" w:rsidRPr="004B2B22">
        <w:rPr>
          <w:lang w:val="en-GB"/>
        </w:rPr>
        <w:t>1997</w:t>
      </w:r>
      <w:r>
        <w:rPr>
          <w:lang w:val="en-GB"/>
        </w:rPr>
        <w:t>)</w:t>
      </w:r>
      <w:r w:rsidR="00FF525A" w:rsidRPr="004B2B22">
        <w:rPr>
          <w:lang w:val="en-GB"/>
        </w:rPr>
        <w:t xml:space="preserve"> </w:t>
      </w:r>
      <w:r w:rsidR="00E169A1">
        <w:rPr>
          <w:lang w:val="en-GB"/>
        </w:rPr>
        <w:t xml:space="preserve">claims that </w:t>
      </w:r>
      <w:r w:rsidR="00FF525A" w:rsidRPr="004B2B22">
        <w:rPr>
          <w:lang w:val="en-GB"/>
        </w:rPr>
        <w:t xml:space="preserve">resource-distribution and family-planning processes </w:t>
      </w:r>
      <w:r w:rsidR="00E169A1">
        <w:rPr>
          <w:lang w:val="en-GB"/>
        </w:rPr>
        <w:t xml:space="preserve">occur </w:t>
      </w:r>
      <w:r w:rsidR="00FF525A" w:rsidRPr="004B2B22">
        <w:rPr>
          <w:lang w:val="en-GB"/>
        </w:rPr>
        <w:t xml:space="preserve">at higher levels of development </w:t>
      </w:r>
      <w:r w:rsidR="00FE7957">
        <w:rPr>
          <w:lang w:val="en-GB"/>
        </w:rPr>
        <w:t xml:space="preserve">as a consequence of </w:t>
      </w:r>
      <w:r w:rsidR="00790FFD">
        <w:rPr>
          <w:lang w:val="en-GB"/>
        </w:rPr>
        <w:t xml:space="preserve">the </w:t>
      </w:r>
      <w:r w:rsidR="00FE7957">
        <w:rPr>
          <w:lang w:val="en-GB"/>
        </w:rPr>
        <w:t xml:space="preserve">rising </w:t>
      </w:r>
      <w:r w:rsidR="00FF525A" w:rsidRPr="004B2B22">
        <w:rPr>
          <w:lang w:val="en-GB"/>
        </w:rPr>
        <w:t xml:space="preserve">importance of schooling for socioeconomic achievement. </w:t>
      </w:r>
      <w:r w:rsidR="00E169A1">
        <w:rPr>
          <w:lang w:val="en-GB"/>
        </w:rPr>
        <w:t xml:space="preserve">Hence, </w:t>
      </w:r>
      <w:r w:rsidR="00E169A1" w:rsidRPr="004B2B22">
        <w:rPr>
          <w:lang w:val="en-GB"/>
        </w:rPr>
        <w:t xml:space="preserve">a </w:t>
      </w:r>
      <w:r w:rsidR="00FF525A" w:rsidRPr="004B2B22">
        <w:rPr>
          <w:lang w:val="en-GB"/>
        </w:rPr>
        <w:t>negative association between family size and schooling emerge</w:t>
      </w:r>
      <w:r w:rsidR="00FE7957">
        <w:rPr>
          <w:lang w:val="en-GB"/>
        </w:rPr>
        <w:t>s</w:t>
      </w:r>
      <w:r w:rsidR="00FF525A" w:rsidRPr="004B2B22">
        <w:rPr>
          <w:lang w:val="en-GB"/>
        </w:rPr>
        <w:t xml:space="preserve"> </w:t>
      </w:r>
      <w:r w:rsidR="00E169A1">
        <w:rPr>
          <w:lang w:val="en-GB"/>
        </w:rPr>
        <w:t xml:space="preserve">in the course of </w:t>
      </w:r>
      <w:r w:rsidR="00536502">
        <w:rPr>
          <w:lang w:val="en-GB"/>
        </w:rPr>
        <w:t>socioeconomic development</w:t>
      </w:r>
      <w:r w:rsidR="00E169A1">
        <w:rPr>
          <w:lang w:val="en-GB"/>
        </w:rPr>
        <w:t xml:space="preserve"> and strengthen</w:t>
      </w:r>
      <w:r w:rsidR="00FE7957">
        <w:rPr>
          <w:lang w:val="en-GB"/>
        </w:rPr>
        <w:t>s</w:t>
      </w:r>
      <w:r w:rsidR="00E169A1">
        <w:rPr>
          <w:lang w:val="en-GB"/>
        </w:rPr>
        <w:t xml:space="preserve"> with continuing modernization</w:t>
      </w:r>
      <w:r w:rsidR="00FF525A" w:rsidRPr="004B2B22">
        <w:rPr>
          <w:lang w:val="en-GB"/>
        </w:rPr>
        <w:t>.</w:t>
      </w:r>
      <w:r w:rsidR="00723825">
        <w:rPr>
          <w:lang w:val="en-GB"/>
        </w:rPr>
        <w:t xml:space="preserve"> </w:t>
      </w:r>
      <w:r w:rsidR="00F4350E">
        <w:rPr>
          <w:lang w:val="en-GB"/>
        </w:rPr>
        <w:t xml:space="preserve">Desai </w:t>
      </w:r>
      <w:r w:rsidR="00F4350E">
        <w:rPr>
          <w:lang w:val="en-US"/>
        </w:rPr>
        <w:t xml:space="preserve">(1995) similarly proposed </w:t>
      </w:r>
      <w:r w:rsidR="00536502">
        <w:rPr>
          <w:lang w:val="en-US"/>
        </w:rPr>
        <w:t xml:space="preserve">that variations in the </w:t>
      </w:r>
      <w:r w:rsidR="00E169A1">
        <w:rPr>
          <w:lang w:val="en-US"/>
        </w:rPr>
        <w:t xml:space="preserve">negative correlation between parental resources (and their increasing dilution with growing family size) and </w:t>
      </w:r>
      <w:r w:rsidR="00F4350E">
        <w:rPr>
          <w:lang w:val="en-US"/>
        </w:rPr>
        <w:t>child development (</w:t>
      </w:r>
      <w:r w:rsidR="00E169A1">
        <w:rPr>
          <w:lang w:val="en-US"/>
        </w:rPr>
        <w:t xml:space="preserve">measured as </w:t>
      </w:r>
      <w:r w:rsidR="00F4350E">
        <w:rPr>
          <w:lang w:val="en-US"/>
        </w:rPr>
        <w:t xml:space="preserve">height-for-age) </w:t>
      </w:r>
      <w:r w:rsidR="00FE7957">
        <w:rPr>
          <w:lang w:val="en-US"/>
        </w:rPr>
        <w:t xml:space="preserve">are </w:t>
      </w:r>
      <w:r w:rsidR="00E169A1">
        <w:rPr>
          <w:lang w:val="en-US"/>
        </w:rPr>
        <w:t xml:space="preserve">linked to level of </w:t>
      </w:r>
      <w:r w:rsidR="00FE7957">
        <w:rPr>
          <w:lang w:val="en-US"/>
        </w:rPr>
        <w:t>development. She argue</w:t>
      </w:r>
      <w:r w:rsidR="00105DD8">
        <w:rPr>
          <w:lang w:val="en-US"/>
        </w:rPr>
        <w:t>d</w:t>
      </w:r>
      <w:r w:rsidR="00FE7957">
        <w:rPr>
          <w:lang w:val="en-US"/>
        </w:rPr>
        <w:t xml:space="preserve"> that this</w:t>
      </w:r>
      <w:r w:rsidR="00E169A1">
        <w:rPr>
          <w:lang w:val="en-US"/>
        </w:rPr>
        <w:t xml:space="preserve"> correlation </w:t>
      </w:r>
      <w:r w:rsidR="00790FFD">
        <w:rPr>
          <w:lang w:val="en-US"/>
        </w:rPr>
        <w:t xml:space="preserve">is </w:t>
      </w:r>
      <w:r w:rsidR="00FE7957">
        <w:rPr>
          <w:lang w:val="en-US"/>
        </w:rPr>
        <w:t>magnifie</w:t>
      </w:r>
      <w:r w:rsidR="00790FFD">
        <w:rPr>
          <w:lang w:val="en-US"/>
        </w:rPr>
        <w:t>d</w:t>
      </w:r>
      <w:r w:rsidR="00F4350E">
        <w:rPr>
          <w:lang w:val="en-US"/>
        </w:rPr>
        <w:t xml:space="preserve"> as countries move from very low to moderate levels</w:t>
      </w:r>
      <w:r w:rsidR="00E169A1">
        <w:rPr>
          <w:lang w:val="en-US"/>
        </w:rPr>
        <w:t xml:space="preserve"> of socioeconomic development, since community resources and infrastructure (such as access to drinking water) matter much more than family resources at the lowest levels of development</w:t>
      </w:r>
      <w:r w:rsidR="00F4350E">
        <w:rPr>
          <w:lang w:val="en-US"/>
        </w:rPr>
        <w:t>.</w:t>
      </w:r>
    </w:p>
    <w:p w14:paraId="4C8CADC2" w14:textId="77777777" w:rsidR="00FD4157" w:rsidRPr="004B2B22" w:rsidRDefault="00094477" w:rsidP="006F30EE">
      <w:pPr>
        <w:spacing w:line="480" w:lineRule="auto"/>
        <w:rPr>
          <w:lang w:val="en-GB"/>
        </w:rPr>
      </w:pPr>
      <w:r w:rsidRPr="004B2B22">
        <w:rPr>
          <w:lang w:val="en-GB"/>
        </w:rPr>
        <w:t xml:space="preserve">While there are </w:t>
      </w:r>
      <w:r w:rsidR="00FF525A" w:rsidRPr="004B2B22">
        <w:rPr>
          <w:lang w:val="en-GB"/>
        </w:rPr>
        <w:t xml:space="preserve">many </w:t>
      </w:r>
      <w:r w:rsidR="00C23FB5">
        <w:rPr>
          <w:lang w:val="en-GB"/>
        </w:rPr>
        <w:t>arguments</w:t>
      </w:r>
      <w:r w:rsidRPr="004B2B22">
        <w:rPr>
          <w:lang w:val="en-GB"/>
        </w:rPr>
        <w:t xml:space="preserve"> </w:t>
      </w:r>
      <w:r w:rsidR="000837B3">
        <w:rPr>
          <w:lang w:val="en-GB"/>
        </w:rPr>
        <w:t>operating with macro-level explanatory variables</w:t>
      </w:r>
      <w:r w:rsidRPr="004B2B22">
        <w:rPr>
          <w:lang w:val="en-GB"/>
        </w:rPr>
        <w:t xml:space="preserve">, there is surprisingly little empirical comparative research in this area. Most published papers are </w:t>
      </w:r>
      <w:r w:rsidRPr="004B2B22">
        <w:rPr>
          <w:lang w:val="en-GB"/>
        </w:rPr>
        <w:lastRenderedPageBreak/>
        <w:t>single</w:t>
      </w:r>
      <w:r w:rsidR="00790FFD">
        <w:rPr>
          <w:lang w:val="en-GB"/>
        </w:rPr>
        <w:t>-</w:t>
      </w:r>
      <w:r w:rsidRPr="004B2B22">
        <w:rPr>
          <w:lang w:val="en-GB"/>
        </w:rPr>
        <w:t xml:space="preserve">country studies. These </w:t>
      </w:r>
      <w:r w:rsidR="00A1688E">
        <w:rPr>
          <w:lang w:val="en-GB"/>
        </w:rPr>
        <w:t>sometimes</w:t>
      </w:r>
      <w:r w:rsidRPr="004B2B22">
        <w:rPr>
          <w:lang w:val="en-GB"/>
        </w:rPr>
        <w:t xml:space="preserve"> make comparisons across cohorts or historical periods </w:t>
      </w:r>
      <w:r w:rsidR="006529FF">
        <w:rPr>
          <w:lang w:val="en-GB"/>
        </w:rPr>
        <w:t>(</w:t>
      </w:r>
      <w:r w:rsidR="002C6484">
        <w:rPr>
          <w:lang w:val="en-GB"/>
        </w:rPr>
        <w:t>e.g.</w:t>
      </w:r>
      <w:r w:rsidR="006529FF">
        <w:rPr>
          <w:lang w:val="en-GB"/>
        </w:rPr>
        <w:t>,</w:t>
      </w:r>
      <w:r w:rsidR="002C6484">
        <w:rPr>
          <w:lang w:val="en-GB"/>
        </w:rPr>
        <w:t xml:space="preserve"> </w:t>
      </w:r>
      <w:r w:rsidR="006529FF">
        <w:rPr>
          <w:lang w:val="en-GB"/>
        </w:rPr>
        <w:t>Lu &amp;</w:t>
      </w:r>
      <w:r w:rsidR="000837B3">
        <w:rPr>
          <w:lang w:val="en-GB"/>
        </w:rPr>
        <w:t xml:space="preserve"> Treiman</w:t>
      </w:r>
      <w:r w:rsidR="006529FF">
        <w:rPr>
          <w:lang w:val="en-GB"/>
        </w:rPr>
        <w:t>,</w:t>
      </w:r>
      <w:r w:rsidR="000837B3">
        <w:rPr>
          <w:lang w:val="en-GB"/>
        </w:rPr>
        <w:t xml:space="preserve"> 2008; Maralani</w:t>
      </w:r>
      <w:r w:rsidR="006529FF">
        <w:rPr>
          <w:lang w:val="en-GB"/>
        </w:rPr>
        <w:t>,</w:t>
      </w:r>
      <w:r w:rsidR="000837B3">
        <w:rPr>
          <w:lang w:val="en-GB"/>
        </w:rPr>
        <w:t xml:space="preserve"> 2008</w:t>
      </w:r>
      <w:r w:rsidR="003470C2">
        <w:rPr>
          <w:lang w:val="en-GB"/>
        </w:rPr>
        <w:t>)</w:t>
      </w:r>
      <w:r w:rsidRPr="004B2B22">
        <w:rPr>
          <w:lang w:val="en-GB"/>
        </w:rPr>
        <w:t>, or across v</w:t>
      </w:r>
      <w:r w:rsidR="003470C2">
        <w:rPr>
          <w:lang w:val="en-GB"/>
        </w:rPr>
        <w:t>arious segments of one society (</w:t>
      </w:r>
      <w:r w:rsidR="006529FF">
        <w:rPr>
          <w:lang w:val="en-GB"/>
        </w:rPr>
        <w:t>Lu &amp;</w:t>
      </w:r>
      <w:r w:rsidR="000837B3">
        <w:rPr>
          <w:lang w:val="en-GB"/>
        </w:rPr>
        <w:t xml:space="preserve"> Treiman</w:t>
      </w:r>
      <w:r w:rsidR="006529FF">
        <w:rPr>
          <w:lang w:val="en-GB"/>
        </w:rPr>
        <w:t>,</w:t>
      </w:r>
      <w:r w:rsidR="000837B3">
        <w:rPr>
          <w:lang w:val="en-GB"/>
        </w:rPr>
        <w:t xml:space="preserve"> 2008; </w:t>
      </w:r>
      <w:r w:rsidR="002C6484">
        <w:rPr>
          <w:lang w:val="en-GB"/>
        </w:rPr>
        <w:t>Maralani</w:t>
      </w:r>
      <w:r w:rsidR="006529FF">
        <w:rPr>
          <w:lang w:val="en-GB"/>
        </w:rPr>
        <w:t>,</w:t>
      </w:r>
      <w:r w:rsidR="002C6484">
        <w:rPr>
          <w:lang w:val="en-GB"/>
        </w:rPr>
        <w:t xml:space="preserve"> 2008; Shavit</w:t>
      </w:r>
      <w:r w:rsidR="006529FF">
        <w:rPr>
          <w:lang w:val="en-GB"/>
        </w:rPr>
        <w:t xml:space="preserve"> &amp;</w:t>
      </w:r>
      <w:r w:rsidR="002C6484">
        <w:rPr>
          <w:lang w:val="en-GB"/>
        </w:rPr>
        <w:t xml:space="preserve"> Pierce</w:t>
      </w:r>
      <w:r w:rsidR="006529FF">
        <w:rPr>
          <w:lang w:val="en-GB"/>
        </w:rPr>
        <w:t>,</w:t>
      </w:r>
      <w:r w:rsidR="002C6484">
        <w:rPr>
          <w:lang w:val="en-GB"/>
        </w:rPr>
        <w:t xml:space="preserve"> 1991</w:t>
      </w:r>
      <w:r w:rsidR="003470C2">
        <w:rPr>
          <w:lang w:val="en-GB"/>
        </w:rPr>
        <w:t>)</w:t>
      </w:r>
      <w:r w:rsidR="00A1688E">
        <w:rPr>
          <w:lang w:val="en-GB"/>
        </w:rPr>
        <w:t>.</w:t>
      </w:r>
      <w:r w:rsidR="002C6484">
        <w:rPr>
          <w:lang w:val="en-GB"/>
        </w:rPr>
        <w:t xml:space="preserve"> </w:t>
      </w:r>
      <w:r w:rsidR="00A1688E">
        <w:rPr>
          <w:lang w:val="en-GB"/>
        </w:rPr>
        <w:t>Comparis</w:t>
      </w:r>
      <w:r w:rsidR="00A1688E" w:rsidRPr="004B2B22">
        <w:rPr>
          <w:lang w:val="en-GB"/>
        </w:rPr>
        <w:t xml:space="preserve">ons </w:t>
      </w:r>
      <w:r w:rsidR="00503FE0" w:rsidRPr="004B2B22">
        <w:rPr>
          <w:lang w:val="en-GB"/>
        </w:rPr>
        <w:t>across societies are very uncommon</w:t>
      </w:r>
      <w:r w:rsidR="00B7517F">
        <w:rPr>
          <w:lang w:val="en-GB"/>
        </w:rPr>
        <w:t xml:space="preserve">, which is surprising since the persisting </w:t>
      </w:r>
      <w:r w:rsidR="002531D8">
        <w:rPr>
          <w:lang w:val="en-GB"/>
        </w:rPr>
        <w:t xml:space="preserve">theoretical </w:t>
      </w:r>
      <w:r w:rsidR="00B7517F">
        <w:rPr>
          <w:lang w:val="en-GB"/>
        </w:rPr>
        <w:t xml:space="preserve">puzzles in this area call for </w:t>
      </w:r>
      <w:r w:rsidR="000837B3">
        <w:rPr>
          <w:lang w:val="en-GB"/>
        </w:rPr>
        <w:t xml:space="preserve">more comprehensive </w:t>
      </w:r>
      <w:r w:rsidR="00B7517F">
        <w:rPr>
          <w:lang w:val="en-GB"/>
        </w:rPr>
        <w:t>comparative designs.</w:t>
      </w:r>
      <w:r w:rsidR="002531D8">
        <w:rPr>
          <w:lang w:val="en-GB"/>
        </w:rPr>
        <w:t xml:space="preserve"> Moreover, p</w:t>
      </w:r>
      <w:r w:rsidR="00CE0E43">
        <w:rPr>
          <w:lang w:val="en-GB"/>
        </w:rPr>
        <w:t xml:space="preserve">roposed </w:t>
      </w:r>
      <w:r w:rsidR="00CE0E43" w:rsidRPr="004B2B22">
        <w:rPr>
          <w:lang w:val="en-GB"/>
        </w:rPr>
        <w:t xml:space="preserve">explanatory </w:t>
      </w:r>
      <w:r w:rsidR="00C23FB5">
        <w:rPr>
          <w:lang w:val="en-GB"/>
        </w:rPr>
        <w:t>macro-</w:t>
      </w:r>
      <w:r w:rsidR="00FD4157" w:rsidRPr="004B2B22">
        <w:rPr>
          <w:lang w:val="en-GB"/>
        </w:rPr>
        <w:t xml:space="preserve">variables are seldom measured explicitly. Rather, speculative statements about the sources and nature of the differences between contexts are offered. These </w:t>
      </w:r>
      <w:r w:rsidR="00FD4157">
        <w:rPr>
          <w:lang w:val="en-GB"/>
        </w:rPr>
        <w:t>tentative interpretations</w:t>
      </w:r>
      <w:r w:rsidR="00FD4157" w:rsidRPr="004B2B22">
        <w:rPr>
          <w:lang w:val="en-GB"/>
        </w:rPr>
        <w:t>, while often very enlightening</w:t>
      </w:r>
      <w:r w:rsidR="00FD4157">
        <w:rPr>
          <w:lang w:val="en-GB"/>
        </w:rPr>
        <w:t xml:space="preserve"> and instructive</w:t>
      </w:r>
      <w:r w:rsidR="00FD4157" w:rsidRPr="004B2B22">
        <w:rPr>
          <w:lang w:val="en-GB"/>
        </w:rPr>
        <w:t xml:space="preserve">, </w:t>
      </w:r>
      <w:r w:rsidR="00FD4157">
        <w:rPr>
          <w:lang w:val="en-GB"/>
        </w:rPr>
        <w:t xml:space="preserve">are not </w:t>
      </w:r>
      <w:r w:rsidR="00FD4157" w:rsidRPr="004B2B22">
        <w:rPr>
          <w:lang w:val="en-GB"/>
        </w:rPr>
        <w:t xml:space="preserve">explicit </w:t>
      </w:r>
      <w:r w:rsidR="00FD4157">
        <w:rPr>
          <w:lang w:val="en-GB"/>
        </w:rPr>
        <w:t xml:space="preserve">empirical tests. More rigorous </w:t>
      </w:r>
      <w:r w:rsidR="000837B3">
        <w:rPr>
          <w:lang w:val="en-GB"/>
        </w:rPr>
        <w:t>investigations</w:t>
      </w:r>
      <w:r w:rsidR="00FD4157">
        <w:rPr>
          <w:lang w:val="en-GB"/>
        </w:rPr>
        <w:t xml:space="preserve"> would require finding measures </w:t>
      </w:r>
      <w:r w:rsidR="000837B3">
        <w:rPr>
          <w:lang w:val="en-GB"/>
        </w:rPr>
        <w:t>of key explanatory variables,</w:t>
      </w:r>
      <w:r w:rsidR="00FD4157">
        <w:rPr>
          <w:lang w:val="en-GB"/>
        </w:rPr>
        <w:t xml:space="preserve"> finding contexts with sufficient variation of these variables</w:t>
      </w:r>
      <w:r w:rsidR="00C23FB5">
        <w:rPr>
          <w:lang w:val="en-GB"/>
        </w:rPr>
        <w:t>,</w:t>
      </w:r>
      <w:r w:rsidR="000837B3">
        <w:rPr>
          <w:lang w:val="en-GB"/>
        </w:rPr>
        <w:t xml:space="preserve"> and identifying interactions between sibship size and these other predictors</w:t>
      </w:r>
      <w:r w:rsidR="00FD4157">
        <w:rPr>
          <w:lang w:val="en-GB"/>
        </w:rPr>
        <w:t xml:space="preserve">. </w:t>
      </w:r>
      <w:r w:rsidR="00FD4157" w:rsidRPr="004B2B22">
        <w:rPr>
          <w:lang w:val="en-GB"/>
        </w:rPr>
        <w:t>Gi</w:t>
      </w:r>
      <w:r w:rsidR="00420322">
        <w:rPr>
          <w:lang w:val="en-GB"/>
        </w:rPr>
        <w:t>ven the enormous importance of</w:t>
      </w:r>
      <w:r w:rsidR="00FD4157" w:rsidRPr="004B2B22">
        <w:rPr>
          <w:lang w:val="en-GB"/>
        </w:rPr>
        <w:t xml:space="preserve"> family and family organization for social stratification, this lack of explicit </w:t>
      </w:r>
      <w:r w:rsidR="00FD4157">
        <w:rPr>
          <w:lang w:val="en-GB"/>
        </w:rPr>
        <w:t>test</w:t>
      </w:r>
      <w:r w:rsidR="00C23FB5">
        <w:rPr>
          <w:lang w:val="en-GB"/>
        </w:rPr>
        <w:t>s</w:t>
      </w:r>
      <w:r w:rsidR="00FD4157">
        <w:rPr>
          <w:lang w:val="en-GB"/>
        </w:rPr>
        <w:t xml:space="preserve"> and </w:t>
      </w:r>
      <w:r w:rsidR="00B7517F">
        <w:rPr>
          <w:lang w:val="en-GB"/>
        </w:rPr>
        <w:t>larger-scale</w:t>
      </w:r>
      <w:r w:rsidR="00FD4157">
        <w:rPr>
          <w:lang w:val="en-GB"/>
        </w:rPr>
        <w:t xml:space="preserve"> quantitative </w:t>
      </w:r>
      <w:r w:rsidR="00FD4157" w:rsidRPr="004B2B22">
        <w:rPr>
          <w:lang w:val="en-GB"/>
        </w:rPr>
        <w:t>comparisons is striking.</w:t>
      </w:r>
    </w:p>
    <w:p w14:paraId="4BF2C89D" w14:textId="02BFC520" w:rsidR="00FD4157" w:rsidRPr="004B2B22" w:rsidRDefault="00FD4157" w:rsidP="006F30EE">
      <w:pPr>
        <w:spacing w:line="480" w:lineRule="auto"/>
        <w:rPr>
          <w:lang w:val="en-GB"/>
        </w:rPr>
      </w:pPr>
      <w:r w:rsidRPr="004B2B22">
        <w:rPr>
          <w:lang w:val="en-GB"/>
        </w:rPr>
        <w:t>There are, nevertheless, a few e</w:t>
      </w:r>
      <w:r w:rsidR="003470C2">
        <w:rPr>
          <w:lang w:val="en-GB"/>
        </w:rPr>
        <w:t>xceptions to this rule. Wolter (2003)</w:t>
      </w:r>
      <w:r w:rsidRPr="004B2B22">
        <w:rPr>
          <w:lang w:val="en-GB"/>
        </w:rPr>
        <w:t xml:space="preserve"> used PISA 2000 data </w:t>
      </w:r>
      <w:r w:rsidR="00B7517F">
        <w:rPr>
          <w:lang w:val="en-GB"/>
        </w:rPr>
        <w:t>from</w:t>
      </w:r>
      <w:r w:rsidRPr="004B2B22">
        <w:rPr>
          <w:lang w:val="en-GB"/>
        </w:rPr>
        <w:t xml:space="preserve"> six countries (Belgium, Germany, Switzerland, Canada, Finland, </w:t>
      </w:r>
      <w:r w:rsidR="00C23FB5">
        <w:rPr>
          <w:lang w:val="en-GB"/>
        </w:rPr>
        <w:t xml:space="preserve">and </w:t>
      </w:r>
      <w:r w:rsidRPr="004B2B22">
        <w:rPr>
          <w:lang w:val="en-GB"/>
        </w:rPr>
        <w:t>France) to explore the size of the effect of sibship size on reading literacy test scores. While this effect turned out to be negative in all countries, its size varied significantly</w:t>
      </w:r>
      <w:r w:rsidR="004E2006">
        <w:rPr>
          <w:lang w:val="en-GB"/>
        </w:rPr>
        <w:t xml:space="preserve">: it was </w:t>
      </w:r>
      <w:r w:rsidRPr="004B2B22">
        <w:rPr>
          <w:lang w:val="en-GB"/>
        </w:rPr>
        <w:t>strongest a</w:t>
      </w:r>
      <w:r>
        <w:rPr>
          <w:lang w:val="en-GB"/>
        </w:rPr>
        <w:t>nd</w:t>
      </w:r>
      <w:r w:rsidRPr="004B2B22">
        <w:rPr>
          <w:lang w:val="en-GB"/>
        </w:rPr>
        <w:t xml:space="preserve"> very pervasive in Belgium and weakest in Finland, where only children from very large families faced any disadvantages. </w:t>
      </w:r>
      <w:r w:rsidR="00420322">
        <w:rPr>
          <w:lang w:val="en-GB"/>
        </w:rPr>
        <w:t>In a post hoc interpretation,</w:t>
      </w:r>
      <w:r w:rsidR="00420322" w:rsidRPr="004B2B22">
        <w:rPr>
          <w:lang w:val="en-GB"/>
        </w:rPr>
        <w:t xml:space="preserve"> </w:t>
      </w:r>
      <w:r w:rsidRPr="004B2B22">
        <w:rPr>
          <w:lang w:val="en-GB"/>
        </w:rPr>
        <w:t>Wolter attributed cross-country differences to differ</w:t>
      </w:r>
      <w:r w:rsidR="004E2006">
        <w:rPr>
          <w:lang w:val="en-GB"/>
        </w:rPr>
        <w:t>ing</w:t>
      </w:r>
      <w:r w:rsidRPr="004B2B22">
        <w:rPr>
          <w:lang w:val="en-GB"/>
        </w:rPr>
        <w:t xml:space="preserve"> policies</w:t>
      </w:r>
      <w:r w:rsidR="003470C2">
        <w:rPr>
          <w:lang w:val="en-GB"/>
        </w:rPr>
        <w:t>. Park (</w:t>
      </w:r>
      <w:r w:rsidRPr="004B2B22">
        <w:rPr>
          <w:lang w:val="en-GB"/>
        </w:rPr>
        <w:t>200</w:t>
      </w:r>
      <w:r w:rsidR="00AC1D3E">
        <w:rPr>
          <w:lang w:val="en-GB"/>
        </w:rPr>
        <w:t>8</w:t>
      </w:r>
      <w:r w:rsidR="003470C2">
        <w:rPr>
          <w:lang w:val="en-GB"/>
        </w:rPr>
        <w:t>)</w:t>
      </w:r>
      <w:r w:rsidRPr="004B2B22">
        <w:rPr>
          <w:lang w:val="en-GB"/>
        </w:rPr>
        <w:t xml:space="preserve"> took this issue a step further and included several country-level quantitative measures of public welfare provisions for families with children </w:t>
      </w:r>
      <w:r w:rsidR="004E2006">
        <w:rPr>
          <w:lang w:val="en-GB"/>
        </w:rPr>
        <w:t xml:space="preserve">and </w:t>
      </w:r>
      <w:r w:rsidRPr="004B2B22">
        <w:rPr>
          <w:lang w:val="en-GB"/>
        </w:rPr>
        <w:t xml:space="preserve">public spending on family policies and education into his multi-level model of reading literacy test scores across 20 </w:t>
      </w:r>
      <w:r w:rsidR="002668A2">
        <w:rPr>
          <w:lang w:val="en-GB"/>
        </w:rPr>
        <w:t xml:space="preserve">OECD </w:t>
      </w:r>
      <w:r w:rsidRPr="004B2B22">
        <w:rPr>
          <w:lang w:val="en-GB"/>
        </w:rPr>
        <w:t>countries selected from the PISA 2000 database. He found that the negative effect of sibship size was indeed lessened by strong and deepened by weak public (family-oriented) policies.</w:t>
      </w:r>
    </w:p>
    <w:p w14:paraId="3C070068" w14:textId="77777777" w:rsidR="00A07959" w:rsidRPr="004B2B22" w:rsidRDefault="004E2006" w:rsidP="006F30EE">
      <w:pPr>
        <w:pStyle w:val="Nadpis1"/>
      </w:pPr>
      <w:r>
        <w:lastRenderedPageBreak/>
        <w:t>T</w:t>
      </w:r>
      <w:r w:rsidR="007634E9">
        <w:t>he effect</w:t>
      </w:r>
      <w:r w:rsidR="007634E9" w:rsidRPr="004B2B22">
        <w:t xml:space="preserve"> </w:t>
      </w:r>
      <w:r w:rsidR="00A07959" w:rsidRPr="004B2B22">
        <w:t xml:space="preserve">of </w:t>
      </w:r>
      <w:r w:rsidR="00731759">
        <w:t>cores</w:t>
      </w:r>
      <w:r w:rsidR="00251BAD">
        <w:t>i</w:t>
      </w:r>
      <w:r w:rsidR="00A07959" w:rsidRPr="004B2B22">
        <w:t>dence with grandparents</w:t>
      </w:r>
      <w:r w:rsidR="007634E9">
        <w:t xml:space="preserve"> on school outcomes</w:t>
      </w:r>
    </w:p>
    <w:p w14:paraId="73A779A8" w14:textId="11FA1367" w:rsidR="00ED0FF6" w:rsidRDefault="00943B25" w:rsidP="006F30EE">
      <w:pPr>
        <w:spacing w:line="480" w:lineRule="auto"/>
        <w:rPr>
          <w:lang w:val="en-US"/>
        </w:rPr>
      </w:pPr>
      <w:r>
        <w:rPr>
          <w:lang w:val="en-GB"/>
        </w:rPr>
        <w:t>There has</w:t>
      </w:r>
      <w:r w:rsidR="00766130" w:rsidRPr="004B2B22">
        <w:rPr>
          <w:lang w:val="en-GB"/>
        </w:rPr>
        <w:t xml:space="preserve"> been </w:t>
      </w:r>
      <w:r w:rsidR="00DA373C">
        <w:rPr>
          <w:lang w:val="en-GB"/>
        </w:rPr>
        <w:t xml:space="preserve">little effort </w:t>
      </w:r>
      <w:r w:rsidR="00766130" w:rsidRPr="004B2B22">
        <w:rPr>
          <w:lang w:val="en-GB"/>
        </w:rPr>
        <w:t xml:space="preserve">to </w:t>
      </w:r>
      <w:r w:rsidR="00DA373C" w:rsidRPr="004B2B22">
        <w:rPr>
          <w:lang w:val="en-GB"/>
        </w:rPr>
        <w:t>systematic</w:t>
      </w:r>
      <w:r w:rsidR="00DA373C">
        <w:rPr>
          <w:lang w:val="en-GB"/>
        </w:rPr>
        <w:t>ally</w:t>
      </w:r>
      <w:r w:rsidR="00DA373C" w:rsidRPr="004B2B22">
        <w:rPr>
          <w:lang w:val="en-GB"/>
        </w:rPr>
        <w:t xml:space="preserve"> </w:t>
      </w:r>
      <w:r w:rsidR="00766130" w:rsidRPr="004B2B22">
        <w:rPr>
          <w:lang w:val="en-GB"/>
        </w:rPr>
        <w:t>explore and describe the circumstances that lead to</w:t>
      </w:r>
      <w:r w:rsidR="00EF44E1">
        <w:rPr>
          <w:lang w:val="en-GB"/>
        </w:rPr>
        <w:t>,</w:t>
      </w:r>
      <w:r w:rsidR="00766130" w:rsidRPr="004B2B22">
        <w:rPr>
          <w:lang w:val="en-GB"/>
        </w:rPr>
        <w:t xml:space="preserve"> and the consequences of</w:t>
      </w:r>
      <w:r w:rsidR="00EF44E1">
        <w:rPr>
          <w:lang w:val="en-GB"/>
        </w:rPr>
        <w:t>,</w:t>
      </w:r>
      <w:r w:rsidR="00766130" w:rsidRPr="004B2B22">
        <w:rPr>
          <w:lang w:val="en-GB"/>
        </w:rPr>
        <w:t xml:space="preserve"> </w:t>
      </w:r>
      <w:r w:rsidR="00731759">
        <w:rPr>
          <w:lang w:val="en-GB"/>
        </w:rPr>
        <w:t>cores</w:t>
      </w:r>
      <w:r w:rsidR="00251BAD">
        <w:rPr>
          <w:lang w:val="en-GB"/>
        </w:rPr>
        <w:t>i</w:t>
      </w:r>
      <w:r w:rsidR="00766130" w:rsidRPr="004B2B22">
        <w:rPr>
          <w:lang w:val="en-GB"/>
        </w:rPr>
        <w:t xml:space="preserve">dence </w:t>
      </w:r>
      <w:r w:rsidR="00DA373C">
        <w:rPr>
          <w:lang w:val="en-GB"/>
        </w:rPr>
        <w:t xml:space="preserve">of </w:t>
      </w:r>
      <w:r w:rsidR="00766130" w:rsidRPr="004B2B22">
        <w:rPr>
          <w:lang w:val="en-GB"/>
        </w:rPr>
        <w:t>grandparents</w:t>
      </w:r>
      <w:r w:rsidR="004B2B22">
        <w:rPr>
          <w:lang w:val="en-GB"/>
        </w:rPr>
        <w:t xml:space="preserve"> </w:t>
      </w:r>
      <w:r w:rsidR="00DA373C">
        <w:rPr>
          <w:lang w:val="en-GB"/>
        </w:rPr>
        <w:t xml:space="preserve">and grandchildren </w:t>
      </w:r>
      <w:r w:rsidR="003F5ADC">
        <w:rPr>
          <w:lang w:val="en-GB"/>
        </w:rPr>
        <w:t xml:space="preserve">for school outcomes </w:t>
      </w:r>
      <w:r w:rsidR="004B2B22">
        <w:rPr>
          <w:lang w:val="en-GB"/>
        </w:rPr>
        <w:t>in an international comparative perspective</w:t>
      </w:r>
      <w:r w:rsidR="00FC796F">
        <w:rPr>
          <w:lang w:val="en-GB"/>
        </w:rPr>
        <w:t>.</w:t>
      </w:r>
      <w:r w:rsidR="00DA373C">
        <w:rPr>
          <w:lang w:val="en-GB"/>
        </w:rPr>
        <w:t xml:space="preserve"> </w:t>
      </w:r>
      <w:r w:rsidR="000B73F5">
        <w:rPr>
          <w:lang w:val="en-GB"/>
        </w:rPr>
        <w:t>T</w:t>
      </w:r>
      <w:r w:rsidR="00DA373C">
        <w:rPr>
          <w:lang w:val="en-GB"/>
        </w:rPr>
        <w:t xml:space="preserve">here </w:t>
      </w:r>
      <w:r w:rsidR="00EF44E1">
        <w:rPr>
          <w:lang w:val="en-GB"/>
        </w:rPr>
        <w:t xml:space="preserve">are </w:t>
      </w:r>
      <w:r w:rsidR="00DA373C">
        <w:rPr>
          <w:lang w:val="en-GB"/>
        </w:rPr>
        <w:t xml:space="preserve">two different approaches to the issue. Some studies explore </w:t>
      </w:r>
      <w:r w:rsidR="00DA373C" w:rsidRPr="004B2B22">
        <w:rPr>
          <w:lang w:val="en-US"/>
        </w:rPr>
        <w:t>three-generation households (grandparents, parents, grandchildren)</w:t>
      </w:r>
      <w:r w:rsidR="00DA373C">
        <w:rPr>
          <w:lang w:val="en-US"/>
        </w:rPr>
        <w:t xml:space="preserve">, whereas other emphasize </w:t>
      </w:r>
      <w:r w:rsidR="00DA373C" w:rsidRPr="004B2B22">
        <w:rPr>
          <w:lang w:val="en-US"/>
        </w:rPr>
        <w:t>skipped-gene</w:t>
      </w:r>
      <w:r w:rsidR="002668A2">
        <w:rPr>
          <w:lang w:val="en-US"/>
        </w:rPr>
        <w:t>ration households (grandparents plus</w:t>
      </w:r>
      <w:r w:rsidR="00DA373C" w:rsidRPr="004B2B22">
        <w:rPr>
          <w:lang w:val="en-US"/>
        </w:rPr>
        <w:t xml:space="preserve"> grandchildren). </w:t>
      </w:r>
      <w:r w:rsidR="00ED0FF6">
        <w:rPr>
          <w:lang w:val="en-US"/>
        </w:rPr>
        <w:t>T</w:t>
      </w:r>
      <w:r w:rsidR="00DA373C" w:rsidRPr="004B2B22">
        <w:rPr>
          <w:lang w:val="en-US"/>
        </w:rPr>
        <w:t xml:space="preserve">he former </w:t>
      </w:r>
      <w:r w:rsidR="00731759">
        <w:rPr>
          <w:lang w:val="en-US"/>
        </w:rPr>
        <w:t>cores</w:t>
      </w:r>
      <w:r w:rsidR="002668A2">
        <w:rPr>
          <w:lang w:val="en-US"/>
        </w:rPr>
        <w:t xml:space="preserve">idence pattern </w:t>
      </w:r>
      <w:r w:rsidR="00DA373C" w:rsidRPr="004B2B22">
        <w:rPr>
          <w:lang w:val="en-US"/>
        </w:rPr>
        <w:t xml:space="preserve">is </w:t>
      </w:r>
      <w:r w:rsidR="00ED0FF6">
        <w:rPr>
          <w:lang w:val="en-US"/>
        </w:rPr>
        <w:t xml:space="preserve">more </w:t>
      </w:r>
      <w:r w:rsidR="00DA373C" w:rsidRPr="004B2B22">
        <w:rPr>
          <w:lang w:val="en-US"/>
        </w:rPr>
        <w:t xml:space="preserve">common in less developed societies </w:t>
      </w:r>
      <w:r w:rsidR="002668A2">
        <w:rPr>
          <w:lang w:val="en-US"/>
        </w:rPr>
        <w:t xml:space="preserve">today </w:t>
      </w:r>
      <w:r w:rsidR="00DA373C" w:rsidRPr="004B2B22">
        <w:rPr>
          <w:lang w:val="en-US"/>
        </w:rPr>
        <w:t xml:space="preserve">and </w:t>
      </w:r>
      <w:r w:rsidR="000B73F5">
        <w:rPr>
          <w:lang w:val="en-US"/>
        </w:rPr>
        <w:t xml:space="preserve">typically </w:t>
      </w:r>
      <w:r w:rsidR="00DA373C" w:rsidRPr="004B2B22">
        <w:rPr>
          <w:lang w:val="en-US"/>
        </w:rPr>
        <w:t xml:space="preserve">becomes less </w:t>
      </w:r>
      <w:r w:rsidR="00DA373C">
        <w:rPr>
          <w:lang w:val="en-US"/>
        </w:rPr>
        <w:t xml:space="preserve">prevalent </w:t>
      </w:r>
      <w:r w:rsidR="00DA373C" w:rsidRPr="004B2B22">
        <w:rPr>
          <w:lang w:val="en-US"/>
        </w:rPr>
        <w:t>as the</w:t>
      </w:r>
      <w:r w:rsidR="003470C2">
        <w:rPr>
          <w:lang w:val="en-US"/>
        </w:rPr>
        <w:t xml:space="preserve"> society and economy modernize (</w:t>
      </w:r>
      <w:r w:rsidR="005A5720">
        <w:rPr>
          <w:lang w:val="en-GB"/>
        </w:rPr>
        <w:t>Glazer et al.</w:t>
      </w:r>
      <w:r w:rsidR="003470C2">
        <w:rPr>
          <w:lang w:val="en-GB"/>
        </w:rPr>
        <w:t>,</w:t>
      </w:r>
      <w:r w:rsidR="005A5720">
        <w:rPr>
          <w:lang w:val="en-GB"/>
        </w:rPr>
        <w:t xml:space="preserve"> </w:t>
      </w:r>
      <w:r w:rsidR="00ED0FF6">
        <w:rPr>
          <w:lang w:val="en-GB"/>
        </w:rPr>
        <w:t xml:space="preserve">2006; </w:t>
      </w:r>
      <w:r w:rsidR="003470C2">
        <w:rPr>
          <w:lang w:val="en-US"/>
        </w:rPr>
        <w:t>Pong &amp;</w:t>
      </w:r>
      <w:r w:rsidR="00811C4B">
        <w:rPr>
          <w:lang w:val="en-US"/>
        </w:rPr>
        <w:t xml:space="preserve"> Chen</w:t>
      </w:r>
      <w:r w:rsidR="003470C2">
        <w:rPr>
          <w:lang w:val="en-US"/>
        </w:rPr>
        <w:t>,</w:t>
      </w:r>
      <w:r w:rsidR="00811C4B">
        <w:rPr>
          <w:lang w:val="en-US"/>
        </w:rPr>
        <w:t xml:space="preserve"> 2007</w:t>
      </w:r>
      <w:r w:rsidR="00ED0FF6">
        <w:rPr>
          <w:lang w:val="en-US"/>
        </w:rPr>
        <w:t xml:space="preserve">; </w:t>
      </w:r>
      <w:r w:rsidR="00ED0FF6">
        <w:rPr>
          <w:lang w:val="en-GB"/>
        </w:rPr>
        <w:t>Popenoe</w:t>
      </w:r>
      <w:r w:rsidR="003470C2">
        <w:rPr>
          <w:lang w:val="en-GB"/>
        </w:rPr>
        <w:t>,</w:t>
      </w:r>
      <w:r w:rsidR="00ED0FF6">
        <w:rPr>
          <w:lang w:val="en-GB"/>
        </w:rPr>
        <w:t xml:space="preserve"> 1987; Ruggles </w:t>
      </w:r>
      <w:r w:rsidR="003470C2">
        <w:rPr>
          <w:lang w:val="en-GB"/>
        </w:rPr>
        <w:t>&amp;</w:t>
      </w:r>
      <w:r w:rsidR="00ED0FF6">
        <w:rPr>
          <w:lang w:val="en-GB"/>
        </w:rPr>
        <w:t xml:space="preserve"> Heggeness</w:t>
      </w:r>
      <w:r w:rsidR="003470C2">
        <w:rPr>
          <w:lang w:val="en-GB"/>
        </w:rPr>
        <w:t>,</w:t>
      </w:r>
      <w:r w:rsidR="00ED0FF6">
        <w:rPr>
          <w:lang w:val="en-GB"/>
        </w:rPr>
        <w:t xml:space="preserve"> 2008; Shah et al.</w:t>
      </w:r>
      <w:r w:rsidR="003470C2">
        <w:rPr>
          <w:lang w:val="en-GB"/>
        </w:rPr>
        <w:t>,</w:t>
      </w:r>
      <w:r w:rsidR="00ED0FF6">
        <w:rPr>
          <w:lang w:val="en-GB"/>
        </w:rPr>
        <w:t xml:space="preserve"> 2011; Japan is often pointed out as an exception with relatively high rates of three-generation </w:t>
      </w:r>
      <w:r w:rsidR="00731759">
        <w:rPr>
          <w:lang w:val="en-GB"/>
        </w:rPr>
        <w:t>cores</w:t>
      </w:r>
      <w:r w:rsidR="00251BAD">
        <w:rPr>
          <w:lang w:val="en-GB"/>
        </w:rPr>
        <w:t>i</w:t>
      </w:r>
      <w:r w:rsidR="00ED0FF6">
        <w:rPr>
          <w:lang w:val="en-GB"/>
        </w:rPr>
        <w:t xml:space="preserve">dence, but even there three-generation households are declining, see </w:t>
      </w:r>
      <w:r w:rsidR="003C1BBC">
        <w:rPr>
          <w:lang w:val="en-GB"/>
        </w:rPr>
        <w:t xml:space="preserve">Ruggles &amp; Heggeness, 2008; </w:t>
      </w:r>
      <w:r w:rsidR="00ED0FF6">
        <w:rPr>
          <w:lang w:val="en-GB"/>
        </w:rPr>
        <w:t>Takagi et al.</w:t>
      </w:r>
      <w:r w:rsidR="003470C2">
        <w:rPr>
          <w:lang w:val="en-GB"/>
        </w:rPr>
        <w:t>,</w:t>
      </w:r>
      <w:r w:rsidR="00ED0FF6">
        <w:rPr>
          <w:lang w:val="en-GB"/>
        </w:rPr>
        <w:t xml:space="preserve"> 2007</w:t>
      </w:r>
      <w:r w:rsidR="00621DD0">
        <w:rPr>
          <w:lang w:val="en-GB"/>
        </w:rPr>
        <w:t>)</w:t>
      </w:r>
      <w:r w:rsidR="00ED0FF6">
        <w:rPr>
          <w:lang w:val="en-US"/>
        </w:rPr>
        <w:t>.</w:t>
      </w:r>
      <w:r w:rsidR="00DA373C" w:rsidRPr="004B2B22">
        <w:rPr>
          <w:lang w:val="en-US"/>
        </w:rPr>
        <w:t xml:space="preserve"> </w:t>
      </w:r>
      <w:r w:rsidR="00ED0FF6" w:rsidRPr="004B2B22">
        <w:rPr>
          <w:lang w:val="en-US"/>
        </w:rPr>
        <w:t xml:space="preserve">The </w:t>
      </w:r>
      <w:r w:rsidR="00DA373C" w:rsidRPr="004B2B22">
        <w:rPr>
          <w:lang w:val="en-US"/>
        </w:rPr>
        <w:t>latter type seems to be increasingly common in som</w:t>
      </w:r>
      <w:r w:rsidR="00EF44E1">
        <w:rPr>
          <w:lang w:val="en-US"/>
        </w:rPr>
        <w:t>e</w:t>
      </w:r>
      <w:r w:rsidR="00DA373C" w:rsidRPr="004B2B22">
        <w:rPr>
          <w:lang w:val="en-US"/>
        </w:rPr>
        <w:t xml:space="preserve"> mostly advanced in</w:t>
      </w:r>
      <w:r w:rsidR="00FD4157">
        <w:rPr>
          <w:lang w:val="en-US"/>
        </w:rPr>
        <w:t>dustrialized</w:t>
      </w:r>
      <w:r w:rsidR="00DA373C" w:rsidRPr="004B2B22">
        <w:rPr>
          <w:lang w:val="en-US"/>
        </w:rPr>
        <w:t xml:space="preserve"> societies </w:t>
      </w:r>
      <w:r w:rsidR="00811C4B">
        <w:rPr>
          <w:lang w:val="en-US"/>
        </w:rPr>
        <w:t xml:space="preserve">due to </w:t>
      </w:r>
      <w:r w:rsidR="00EF44E1">
        <w:rPr>
          <w:lang w:val="en-US"/>
        </w:rPr>
        <w:t xml:space="preserve">the </w:t>
      </w:r>
      <w:r w:rsidR="00811C4B">
        <w:rPr>
          <w:lang w:val="en-US"/>
        </w:rPr>
        <w:t>increasing incidence of specific problem behaviors such as drug addiction, teenage pregnancy, HIV infection,</w:t>
      </w:r>
      <w:r w:rsidR="00FD4157">
        <w:rPr>
          <w:lang w:val="en-US"/>
        </w:rPr>
        <w:t xml:space="preserve"> and divorce</w:t>
      </w:r>
      <w:r w:rsidR="00811C4B">
        <w:rPr>
          <w:lang w:val="en-US"/>
        </w:rPr>
        <w:t xml:space="preserve"> </w:t>
      </w:r>
      <w:r w:rsidR="003470C2">
        <w:rPr>
          <w:lang w:val="en-US"/>
        </w:rPr>
        <w:t>(</w:t>
      </w:r>
      <w:r w:rsidR="00050398">
        <w:t>Albuquerque</w:t>
      </w:r>
      <w:r w:rsidR="003470C2">
        <w:t>,</w:t>
      </w:r>
      <w:r w:rsidR="00050398">
        <w:t xml:space="preserve"> 2008; </w:t>
      </w:r>
      <w:r w:rsidR="00811C4B">
        <w:rPr>
          <w:lang w:val="en-US"/>
        </w:rPr>
        <w:t>Bryson</w:t>
      </w:r>
      <w:r w:rsidR="003470C2">
        <w:rPr>
          <w:lang w:val="en-US"/>
        </w:rPr>
        <w:t xml:space="preserve"> &amp;</w:t>
      </w:r>
      <w:r w:rsidR="00811C4B">
        <w:rPr>
          <w:lang w:val="en-US"/>
        </w:rPr>
        <w:t xml:space="preserve"> Casper</w:t>
      </w:r>
      <w:r w:rsidR="003470C2">
        <w:rPr>
          <w:lang w:val="en-US"/>
        </w:rPr>
        <w:t>,</w:t>
      </w:r>
      <w:r w:rsidR="00811C4B">
        <w:rPr>
          <w:lang w:val="en-US"/>
        </w:rPr>
        <w:t xml:space="preserve"> 1999; Caputo</w:t>
      </w:r>
      <w:r w:rsidR="003470C2">
        <w:rPr>
          <w:lang w:val="en-US"/>
        </w:rPr>
        <w:t>,</w:t>
      </w:r>
      <w:r w:rsidR="00811C4B">
        <w:rPr>
          <w:lang w:val="en-US"/>
        </w:rPr>
        <w:t xml:space="preserve"> 2001; Hayslip</w:t>
      </w:r>
      <w:r w:rsidR="003470C2">
        <w:rPr>
          <w:lang w:val="en-US"/>
        </w:rPr>
        <w:t xml:space="preserve"> &amp;</w:t>
      </w:r>
      <w:r w:rsidR="00811C4B">
        <w:rPr>
          <w:lang w:val="en-US"/>
        </w:rPr>
        <w:t xml:space="preserve"> Kaminski</w:t>
      </w:r>
      <w:r w:rsidR="003470C2">
        <w:rPr>
          <w:lang w:val="en-US"/>
        </w:rPr>
        <w:t>,</w:t>
      </w:r>
      <w:r w:rsidR="00811C4B">
        <w:rPr>
          <w:lang w:val="en-US"/>
        </w:rPr>
        <w:t xml:space="preserve"> 2005; </w:t>
      </w:r>
      <w:r w:rsidR="00050398">
        <w:rPr>
          <w:lang w:val="en-GB"/>
        </w:rPr>
        <w:t>Kelch-Oliver</w:t>
      </w:r>
      <w:r w:rsidR="003470C2">
        <w:rPr>
          <w:lang w:val="en-GB"/>
        </w:rPr>
        <w:t>,</w:t>
      </w:r>
      <w:r w:rsidR="00050398">
        <w:rPr>
          <w:lang w:val="en-GB"/>
        </w:rPr>
        <w:t xml:space="preserve"> 2011; </w:t>
      </w:r>
      <w:r w:rsidR="00050398">
        <w:t>Minkler</w:t>
      </w:r>
      <w:r w:rsidR="003470C2">
        <w:t>,</w:t>
      </w:r>
      <w:r w:rsidR="00050398">
        <w:t xml:space="preserve"> 1999; </w:t>
      </w:r>
      <w:r w:rsidR="003470C2">
        <w:rPr>
          <w:lang w:val="en-US"/>
        </w:rPr>
        <w:t>Pong &amp;</w:t>
      </w:r>
      <w:r w:rsidR="00811C4B">
        <w:rPr>
          <w:lang w:val="en-US"/>
        </w:rPr>
        <w:t xml:space="preserve"> Chen</w:t>
      </w:r>
      <w:r w:rsidR="003470C2">
        <w:rPr>
          <w:lang w:val="en-US"/>
        </w:rPr>
        <w:t>,</w:t>
      </w:r>
      <w:r w:rsidR="00811C4B">
        <w:rPr>
          <w:lang w:val="en-US"/>
        </w:rPr>
        <w:t xml:space="preserve"> 2007</w:t>
      </w:r>
      <w:r w:rsidR="003470C2">
        <w:rPr>
          <w:lang w:val="en-US"/>
        </w:rPr>
        <w:t>)</w:t>
      </w:r>
      <w:r w:rsidR="000B73F5">
        <w:rPr>
          <w:lang w:val="en-US"/>
        </w:rPr>
        <w:t>.</w:t>
      </w:r>
    </w:p>
    <w:p w14:paraId="7AF3271A" w14:textId="77777777" w:rsidR="00111C75" w:rsidRDefault="00DA373C" w:rsidP="006F30EE">
      <w:pPr>
        <w:spacing w:line="480" w:lineRule="auto"/>
        <w:rPr>
          <w:lang w:val="en-GB"/>
        </w:rPr>
      </w:pPr>
      <w:r>
        <w:rPr>
          <w:lang w:val="en-US"/>
        </w:rPr>
        <w:t xml:space="preserve">Studies of </w:t>
      </w:r>
      <w:r>
        <w:rPr>
          <w:lang w:val="en-GB"/>
        </w:rPr>
        <w:t xml:space="preserve">skipped-generation </w:t>
      </w:r>
      <w:r w:rsidRPr="004B2B22">
        <w:rPr>
          <w:lang w:val="en-GB"/>
        </w:rPr>
        <w:t xml:space="preserve">households </w:t>
      </w:r>
      <w:r>
        <w:rPr>
          <w:lang w:val="en-GB"/>
        </w:rPr>
        <w:t>are more common</w:t>
      </w:r>
      <w:r w:rsidR="000B73F5">
        <w:rPr>
          <w:lang w:val="en-GB"/>
        </w:rPr>
        <w:t xml:space="preserve"> than investigations of three-generation </w:t>
      </w:r>
      <w:r w:rsidR="00731759">
        <w:rPr>
          <w:lang w:val="en-GB"/>
        </w:rPr>
        <w:t>cores</w:t>
      </w:r>
      <w:r w:rsidR="000B73F5">
        <w:rPr>
          <w:lang w:val="en-GB"/>
        </w:rPr>
        <w:t xml:space="preserve">idence, which </w:t>
      </w:r>
      <w:r w:rsidR="00901CAC">
        <w:rPr>
          <w:lang w:val="en-GB"/>
        </w:rPr>
        <w:t xml:space="preserve">have been </w:t>
      </w:r>
      <w:r w:rsidR="00FD4157">
        <w:rPr>
          <w:lang w:val="en-GB"/>
        </w:rPr>
        <w:t xml:space="preserve">almost </w:t>
      </w:r>
      <w:r w:rsidR="0066173C">
        <w:rPr>
          <w:lang w:val="en-GB"/>
        </w:rPr>
        <w:t xml:space="preserve">completely </w:t>
      </w:r>
      <w:r w:rsidR="00420322">
        <w:rPr>
          <w:lang w:val="en-GB"/>
        </w:rPr>
        <w:t xml:space="preserve">absent in the field </w:t>
      </w:r>
      <w:r w:rsidR="00901CAC">
        <w:rPr>
          <w:lang w:val="en-GB"/>
        </w:rPr>
        <w:t xml:space="preserve">until recent years </w:t>
      </w:r>
      <w:r w:rsidR="003470C2">
        <w:rPr>
          <w:lang w:val="en-GB"/>
        </w:rPr>
        <w:t>(</w:t>
      </w:r>
      <w:r w:rsidR="0066173C">
        <w:rPr>
          <w:lang w:val="en-GB"/>
        </w:rPr>
        <w:t>Pong</w:t>
      </w:r>
      <w:r w:rsidR="003470C2">
        <w:rPr>
          <w:lang w:val="en-GB"/>
        </w:rPr>
        <w:t xml:space="preserve"> &amp;</w:t>
      </w:r>
      <w:r w:rsidR="0066173C">
        <w:rPr>
          <w:lang w:val="en-GB"/>
        </w:rPr>
        <w:t xml:space="preserve"> Chen</w:t>
      </w:r>
      <w:r w:rsidR="003470C2">
        <w:rPr>
          <w:lang w:val="en-GB"/>
        </w:rPr>
        <w:t>, 2007</w:t>
      </w:r>
      <w:r w:rsidR="00901CAC">
        <w:rPr>
          <w:lang w:val="en-GB"/>
        </w:rPr>
        <w:t>; but see Zeng</w:t>
      </w:r>
      <w:r w:rsidR="00861CC4">
        <w:rPr>
          <w:lang w:val="en-GB"/>
        </w:rPr>
        <w:t xml:space="preserve"> &amp;</w:t>
      </w:r>
      <w:r w:rsidR="00901CAC">
        <w:rPr>
          <w:lang w:val="en-GB"/>
        </w:rPr>
        <w:t xml:space="preserve"> Xie, 2011</w:t>
      </w:r>
      <w:r w:rsidR="003470C2">
        <w:rPr>
          <w:lang w:val="en-GB"/>
        </w:rPr>
        <w:t>)</w:t>
      </w:r>
      <w:r w:rsidR="00FD4157">
        <w:rPr>
          <w:lang w:val="en-GB"/>
        </w:rPr>
        <w:t xml:space="preserve">. </w:t>
      </w:r>
      <w:r w:rsidR="000B73F5">
        <w:rPr>
          <w:lang w:val="en-GB"/>
        </w:rPr>
        <w:t>T</w:t>
      </w:r>
      <w:r w:rsidR="00AB38CE">
        <w:rPr>
          <w:lang w:val="en-GB"/>
        </w:rPr>
        <w:t xml:space="preserve">hree-generation households are more often researched in non-western societies, where they are more </w:t>
      </w:r>
      <w:r w:rsidR="00FD4157">
        <w:rPr>
          <w:lang w:val="en-GB"/>
        </w:rPr>
        <w:t xml:space="preserve">prevalent </w:t>
      </w:r>
      <w:r w:rsidR="003470C2">
        <w:rPr>
          <w:lang w:val="en-GB"/>
        </w:rPr>
        <w:t>(Pong &amp;</w:t>
      </w:r>
      <w:r w:rsidR="00AB38CE">
        <w:rPr>
          <w:lang w:val="en-GB"/>
        </w:rPr>
        <w:t xml:space="preserve"> Chen</w:t>
      </w:r>
      <w:r w:rsidR="003470C2">
        <w:rPr>
          <w:lang w:val="en-GB"/>
        </w:rPr>
        <w:t>,</w:t>
      </w:r>
      <w:r w:rsidR="00AB38CE">
        <w:rPr>
          <w:lang w:val="en-GB"/>
        </w:rPr>
        <w:t xml:space="preserve"> 2007, 2010</w:t>
      </w:r>
      <w:r w:rsidR="00FD4157">
        <w:rPr>
          <w:lang w:val="en-GB"/>
        </w:rPr>
        <w:t xml:space="preserve">; </w:t>
      </w:r>
      <w:r w:rsidR="00256119" w:rsidRPr="002D756E">
        <w:rPr>
          <w:lang w:val="en-GB"/>
        </w:rPr>
        <w:t>Pong, Frick,</w:t>
      </w:r>
      <w:r w:rsidR="003470C2">
        <w:rPr>
          <w:lang w:val="en-GB"/>
        </w:rPr>
        <w:t xml:space="preserve"> &amp;</w:t>
      </w:r>
      <w:r w:rsidR="00256119" w:rsidRPr="002D756E">
        <w:rPr>
          <w:lang w:val="en-GB"/>
        </w:rPr>
        <w:t xml:space="preserve"> Moyi</w:t>
      </w:r>
      <w:r w:rsidR="003470C2">
        <w:rPr>
          <w:lang w:val="en-GB"/>
        </w:rPr>
        <w:t>,</w:t>
      </w:r>
      <w:r w:rsidR="00256119" w:rsidRPr="002D756E">
        <w:rPr>
          <w:lang w:val="en-GB"/>
        </w:rPr>
        <w:t xml:space="preserve"> 2004</w:t>
      </w:r>
      <w:r w:rsidR="00621DD0">
        <w:rPr>
          <w:lang w:val="en-GB"/>
        </w:rPr>
        <w:t>)</w:t>
      </w:r>
      <w:r w:rsidR="00256119">
        <w:rPr>
          <w:lang w:val="en-GB"/>
        </w:rPr>
        <w:t>. In Europe</w:t>
      </w:r>
      <w:r w:rsidR="00C23FB5">
        <w:rPr>
          <w:lang w:val="en-GB"/>
        </w:rPr>
        <w:t>,</w:t>
      </w:r>
      <w:r w:rsidR="00256119">
        <w:rPr>
          <w:lang w:val="en-GB"/>
        </w:rPr>
        <w:t xml:space="preserve"> multigenerational households can be found in Southern European countries </w:t>
      </w:r>
      <w:r w:rsidR="0050240D">
        <w:rPr>
          <w:lang w:val="en-GB"/>
        </w:rPr>
        <w:t>(</w:t>
      </w:r>
      <w:r w:rsidR="00256119">
        <w:rPr>
          <w:lang w:val="en-GB"/>
        </w:rPr>
        <w:t>such as Italy</w:t>
      </w:r>
      <w:r w:rsidR="0050240D">
        <w:rPr>
          <w:lang w:val="en-GB"/>
        </w:rPr>
        <w:t>)</w:t>
      </w:r>
      <w:r w:rsidR="00256119">
        <w:rPr>
          <w:lang w:val="en-GB"/>
        </w:rPr>
        <w:t xml:space="preserve"> and in Central European countries </w:t>
      </w:r>
      <w:r w:rsidR="0050240D">
        <w:rPr>
          <w:lang w:val="en-GB"/>
        </w:rPr>
        <w:t>(</w:t>
      </w:r>
      <w:r w:rsidR="00256119">
        <w:rPr>
          <w:lang w:val="en-GB"/>
        </w:rPr>
        <w:t>such as Hungary</w:t>
      </w:r>
      <w:r w:rsidR="0050240D">
        <w:rPr>
          <w:lang w:val="en-GB"/>
        </w:rPr>
        <w:t>)</w:t>
      </w:r>
      <w:r w:rsidR="00256119">
        <w:rPr>
          <w:lang w:val="en-GB"/>
        </w:rPr>
        <w:t xml:space="preserve">. But </w:t>
      </w:r>
      <w:r w:rsidR="00FD4157">
        <w:rPr>
          <w:lang w:val="en-GB"/>
        </w:rPr>
        <w:t xml:space="preserve">even </w:t>
      </w:r>
      <w:r w:rsidR="00ED2A1B">
        <w:rPr>
          <w:lang w:val="en-GB"/>
        </w:rPr>
        <w:t>t</w:t>
      </w:r>
      <w:r w:rsidR="00256119">
        <w:rPr>
          <w:lang w:val="en-GB"/>
        </w:rPr>
        <w:t xml:space="preserve">here the situation is more likely </w:t>
      </w:r>
      <w:r w:rsidR="002668A2">
        <w:rPr>
          <w:lang w:val="en-GB"/>
        </w:rPr>
        <w:t xml:space="preserve">to </w:t>
      </w:r>
      <w:r w:rsidR="00287B55">
        <w:rPr>
          <w:lang w:val="en-GB"/>
        </w:rPr>
        <w:t xml:space="preserve">develop as a reaction </w:t>
      </w:r>
      <w:r w:rsidR="00256119">
        <w:rPr>
          <w:lang w:val="en-GB"/>
        </w:rPr>
        <w:t>to the need</w:t>
      </w:r>
      <w:r w:rsidR="00EF44E1">
        <w:rPr>
          <w:lang w:val="en-GB"/>
        </w:rPr>
        <w:t>s</w:t>
      </w:r>
      <w:r w:rsidR="00256119">
        <w:rPr>
          <w:lang w:val="en-GB"/>
        </w:rPr>
        <w:t xml:space="preserve"> of the offspring </w:t>
      </w:r>
      <w:r w:rsidR="00256119" w:rsidRPr="002D756E">
        <w:rPr>
          <w:lang w:val="en-GB"/>
        </w:rPr>
        <w:t>(de Jong Gierveld, de Valk,</w:t>
      </w:r>
      <w:r w:rsidR="003470C2">
        <w:rPr>
          <w:lang w:val="en-GB"/>
        </w:rPr>
        <w:t xml:space="preserve"> &amp;</w:t>
      </w:r>
      <w:r w:rsidR="00256119" w:rsidRPr="002D756E">
        <w:rPr>
          <w:lang w:val="en-GB"/>
        </w:rPr>
        <w:t xml:space="preserve"> Blommesteijn</w:t>
      </w:r>
      <w:r w:rsidR="003470C2">
        <w:rPr>
          <w:lang w:val="en-GB"/>
        </w:rPr>
        <w:t>,</w:t>
      </w:r>
      <w:r w:rsidR="00AC1D3E">
        <w:rPr>
          <w:lang w:val="en-GB"/>
        </w:rPr>
        <w:t xml:space="preserve"> 1999; Pong et al.</w:t>
      </w:r>
      <w:r w:rsidR="003470C2">
        <w:rPr>
          <w:lang w:val="en-GB"/>
        </w:rPr>
        <w:t>,</w:t>
      </w:r>
      <w:r w:rsidR="00256119" w:rsidRPr="002D756E">
        <w:rPr>
          <w:lang w:val="en-GB"/>
        </w:rPr>
        <w:t xml:space="preserve"> 2004</w:t>
      </w:r>
      <w:r w:rsidR="00256119">
        <w:rPr>
          <w:lang w:val="en-GB"/>
        </w:rPr>
        <w:t>).</w:t>
      </w:r>
      <w:r w:rsidR="00BB7CFA">
        <w:rPr>
          <w:lang w:val="en-GB"/>
        </w:rPr>
        <w:t xml:space="preserve"> </w:t>
      </w:r>
      <w:r w:rsidR="00BB7CFA">
        <w:rPr>
          <w:lang w:val="en-GB"/>
        </w:rPr>
        <w:lastRenderedPageBreak/>
        <w:t>Elsewhere</w:t>
      </w:r>
      <w:r w:rsidR="0050240D">
        <w:rPr>
          <w:lang w:val="en-GB"/>
        </w:rPr>
        <w:t xml:space="preserve"> in Europe</w:t>
      </w:r>
      <w:r w:rsidR="00BB7CFA">
        <w:rPr>
          <w:lang w:val="en-GB"/>
        </w:rPr>
        <w:t xml:space="preserve"> </w:t>
      </w:r>
      <w:r w:rsidR="0050240D">
        <w:rPr>
          <w:lang w:val="en-GB"/>
        </w:rPr>
        <w:t xml:space="preserve">three-generation households </w:t>
      </w:r>
      <w:r w:rsidR="00BB7CFA">
        <w:rPr>
          <w:lang w:val="en-GB"/>
        </w:rPr>
        <w:t>are very rare</w:t>
      </w:r>
      <w:r w:rsidR="0050240D">
        <w:rPr>
          <w:lang w:val="en-GB"/>
        </w:rPr>
        <w:t>, perhaps because most Europeans</w:t>
      </w:r>
      <w:r w:rsidR="00BB7CFA">
        <w:rPr>
          <w:lang w:val="en-GB"/>
        </w:rPr>
        <w:t xml:space="preserve"> </w:t>
      </w:r>
      <w:r w:rsidR="00BB7CFA" w:rsidRPr="00111C75">
        <w:rPr>
          <w:lang w:val="en-GB"/>
        </w:rPr>
        <w:t>value privacy</w:t>
      </w:r>
      <w:r w:rsidR="0050240D">
        <w:rPr>
          <w:lang w:val="en-GB"/>
        </w:rPr>
        <w:t xml:space="preserve"> and emphasize</w:t>
      </w:r>
      <w:r w:rsidR="00BB7CFA" w:rsidRPr="00111C75">
        <w:rPr>
          <w:lang w:val="en-GB"/>
        </w:rPr>
        <w:t xml:space="preserve"> </w:t>
      </w:r>
      <w:r w:rsidR="0050240D">
        <w:rPr>
          <w:lang w:val="en-GB"/>
        </w:rPr>
        <w:t xml:space="preserve">the </w:t>
      </w:r>
      <w:r w:rsidR="00BB7CFA" w:rsidRPr="00111C75">
        <w:rPr>
          <w:lang w:val="en-GB"/>
        </w:rPr>
        <w:t>nuclear</w:t>
      </w:r>
      <w:r w:rsidR="003470C2">
        <w:rPr>
          <w:lang w:val="en-GB"/>
        </w:rPr>
        <w:t xml:space="preserve"> family and independent living (</w:t>
      </w:r>
      <w:r w:rsidR="003C1BBC" w:rsidRPr="00111C75">
        <w:rPr>
          <w:lang w:val="en-GB"/>
        </w:rPr>
        <w:t>Glaser et al.</w:t>
      </w:r>
      <w:r w:rsidR="003C1BBC">
        <w:rPr>
          <w:lang w:val="en-GB"/>
        </w:rPr>
        <w:t>, 2010</w:t>
      </w:r>
      <w:r w:rsidR="00BB7CFA" w:rsidRPr="00111C75">
        <w:rPr>
          <w:lang w:val="en-GB"/>
        </w:rPr>
        <w:t xml:space="preserve">; </w:t>
      </w:r>
      <w:r w:rsidR="00621DD0">
        <w:rPr>
          <w:lang w:val="en-GB"/>
        </w:rPr>
        <w:t>de Jong Gierveld</w:t>
      </w:r>
      <w:r w:rsidR="00BB7CFA" w:rsidRPr="00111C75">
        <w:rPr>
          <w:lang w:val="en-GB"/>
        </w:rPr>
        <w:t xml:space="preserve"> </w:t>
      </w:r>
      <w:r w:rsidR="003470C2">
        <w:rPr>
          <w:lang w:val="en-GB"/>
        </w:rPr>
        <w:t>et al.,</w:t>
      </w:r>
      <w:r w:rsidR="00BB7CFA" w:rsidRPr="00111C75">
        <w:rPr>
          <w:lang w:val="en-GB"/>
        </w:rPr>
        <w:t xml:space="preserve"> 1999</w:t>
      </w:r>
      <w:r w:rsidR="003C1BBC">
        <w:rPr>
          <w:lang w:val="en-GB"/>
        </w:rPr>
        <w:t xml:space="preserve">; </w:t>
      </w:r>
      <w:r w:rsidR="00AC1D3E">
        <w:rPr>
          <w:lang w:val="en-GB"/>
        </w:rPr>
        <w:t>Pong et al.,</w:t>
      </w:r>
      <w:r w:rsidR="003C1BBC" w:rsidRPr="00111C75">
        <w:rPr>
          <w:lang w:val="en-GB"/>
        </w:rPr>
        <w:t xml:space="preserve"> 2004</w:t>
      </w:r>
      <w:r w:rsidR="003470C2">
        <w:rPr>
          <w:lang w:val="en-GB"/>
        </w:rPr>
        <w:t>)</w:t>
      </w:r>
      <w:r w:rsidR="00BB7CFA" w:rsidRPr="00111C75">
        <w:rPr>
          <w:lang w:val="en-GB"/>
        </w:rPr>
        <w:t>.</w:t>
      </w:r>
    </w:p>
    <w:p w14:paraId="5D300110" w14:textId="41C7016E" w:rsidR="002E551A" w:rsidRDefault="00DA373C" w:rsidP="006F30EE">
      <w:pPr>
        <w:spacing w:line="480" w:lineRule="auto"/>
        <w:rPr>
          <w:szCs w:val="24"/>
          <w:lang w:val="en-GB"/>
        </w:rPr>
      </w:pPr>
      <w:r w:rsidRPr="00E20DFA">
        <w:rPr>
          <w:szCs w:val="24"/>
          <w:lang w:val="en-GB"/>
        </w:rPr>
        <w:t xml:space="preserve">Living with a grandparent (or several grandparents) can either be </w:t>
      </w:r>
      <w:r w:rsidR="00EF44E1">
        <w:rPr>
          <w:szCs w:val="24"/>
          <w:lang w:val="en-GB"/>
        </w:rPr>
        <w:t>the</w:t>
      </w:r>
      <w:r w:rsidRPr="00E20DFA">
        <w:rPr>
          <w:szCs w:val="24"/>
          <w:lang w:val="en-GB"/>
        </w:rPr>
        <w:t xml:space="preserve"> result of tradition</w:t>
      </w:r>
      <w:r w:rsidR="00EF44E1">
        <w:rPr>
          <w:szCs w:val="24"/>
          <w:lang w:val="en-GB"/>
        </w:rPr>
        <w:t>,</w:t>
      </w:r>
      <w:r w:rsidRPr="00E20DFA">
        <w:rPr>
          <w:szCs w:val="24"/>
          <w:lang w:val="en-GB"/>
        </w:rPr>
        <w:t xml:space="preserve"> or </w:t>
      </w:r>
      <w:r w:rsidR="00EF44E1">
        <w:rPr>
          <w:szCs w:val="24"/>
          <w:lang w:val="en-GB"/>
        </w:rPr>
        <w:t xml:space="preserve">of </w:t>
      </w:r>
      <w:r w:rsidRPr="00E20DFA">
        <w:rPr>
          <w:szCs w:val="24"/>
          <w:lang w:val="en-GB"/>
        </w:rPr>
        <w:t>necessity</w:t>
      </w:r>
      <w:r w:rsidR="00B95D34">
        <w:rPr>
          <w:szCs w:val="24"/>
          <w:lang w:val="en-GB"/>
        </w:rPr>
        <w:t xml:space="preserve"> (Pilkauskas, 2012)</w:t>
      </w:r>
      <w:r w:rsidRPr="00E20DFA">
        <w:rPr>
          <w:szCs w:val="24"/>
          <w:lang w:val="en-GB"/>
        </w:rPr>
        <w:t xml:space="preserve">. </w:t>
      </w:r>
      <w:r w:rsidR="007132D4" w:rsidRPr="00E20DFA">
        <w:rPr>
          <w:szCs w:val="24"/>
          <w:lang w:val="en-GB"/>
        </w:rPr>
        <w:t xml:space="preserve">While traditional </w:t>
      </w:r>
      <w:r w:rsidR="00731759">
        <w:rPr>
          <w:szCs w:val="24"/>
          <w:lang w:val="en-GB"/>
        </w:rPr>
        <w:t>cores</w:t>
      </w:r>
      <w:r w:rsidR="00251BAD">
        <w:rPr>
          <w:szCs w:val="24"/>
          <w:lang w:val="en-GB"/>
        </w:rPr>
        <w:t>i</w:t>
      </w:r>
      <w:r w:rsidR="007132D4" w:rsidRPr="00E20DFA">
        <w:rPr>
          <w:szCs w:val="24"/>
          <w:lang w:val="en-GB"/>
        </w:rPr>
        <w:t>dence may be beneficial for the kids, necessity often indicates trouble</w:t>
      </w:r>
      <w:r w:rsidR="0066173C" w:rsidRPr="00E20DFA">
        <w:rPr>
          <w:szCs w:val="24"/>
          <w:lang w:val="en-GB"/>
        </w:rPr>
        <w:t xml:space="preserve"> and social disorder</w:t>
      </w:r>
      <w:r w:rsidR="007132D4" w:rsidRPr="00E20DFA">
        <w:rPr>
          <w:szCs w:val="24"/>
          <w:lang w:val="en-GB"/>
        </w:rPr>
        <w:t xml:space="preserve">. </w:t>
      </w:r>
      <w:r w:rsidR="00BB7CFA" w:rsidRPr="00E20DFA">
        <w:rPr>
          <w:szCs w:val="24"/>
          <w:lang w:val="en-GB"/>
        </w:rPr>
        <w:t>Necessity may result</w:t>
      </w:r>
      <w:r w:rsidRPr="00E20DFA">
        <w:rPr>
          <w:szCs w:val="24"/>
          <w:lang w:val="en-GB"/>
        </w:rPr>
        <w:t xml:space="preserve"> from the situation in either of the generations, but </w:t>
      </w:r>
      <w:r w:rsidR="00731759">
        <w:rPr>
          <w:szCs w:val="24"/>
          <w:lang w:val="en-GB"/>
        </w:rPr>
        <w:t>cores</w:t>
      </w:r>
      <w:r w:rsidR="00251BAD">
        <w:rPr>
          <w:szCs w:val="24"/>
          <w:lang w:val="en-GB"/>
        </w:rPr>
        <w:t>i</w:t>
      </w:r>
      <w:r w:rsidRPr="00E20DFA">
        <w:rPr>
          <w:szCs w:val="24"/>
          <w:lang w:val="en-GB"/>
        </w:rPr>
        <w:t>dence for the sake of the younger generation seems to be m</w:t>
      </w:r>
      <w:r w:rsidR="003470C2">
        <w:rPr>
          <w:szCs w:val="24"/>
          <w:lang w:val="en-GB"/>
        </w:rPr>
        <w:t>ore common (</w:t>
      </w:r>
      <w:r w:rsidR="00B95D34" w:rsidRPr="006A1563">
        <w:rPr>
          <w:lang w:val="en-GB"/>
        </w:rPr>
        <w:t>Albuquerque</w:t>
      </w:r>
      <w:r w:rsidR="00B95D34">
        <w:rPr>
          <w:lang w:val="en-GB"/>
        </w:rPr>
        <w:t>,</w:t>
      </w:r>
      <w:r w:rsidR="00B95D34" w:rsidRPr="006A1563">
        <w:rPr>
          <w:lang w:val="en-GB"/>
        </w:rPr>
        <w:t xml:space="preserve"> 2008</w:t>
      </w:r>
      <w:r w:rsidR="00B95D34">
        <w:rPr>
          <w:lang w:val="en-GB"/>
        </w:rPr>
        <w:t>; de Jong Gierveld</w:t>
      </w:r>
      <w:r w:rsidR="00B95D34" w:rsidRPr="002D756E">
        <w:rPr>
          <w:lang w:val="en-GB"/>
        </w:rPr>
        <w:t xml:space="preserve"> </w:t>
      </w:r>
      <w:r w:rsidR="00B95D34">
        <w:rPr>
          <w:lang w:val="en-GB"/>
        </w:rPr>
        <w:t>et al.,</w:t>
      </w:r>
      <w:r w:rsidR="00B95D34" w:rsidRPr="002D756E">
        <w:rPr>
          <w:lang w:val="en-GB"/>
        </w:rPr>
        <w:t xml:space="preserve"> 1999</w:t>
      </w:r>
      <w:r w:rsidR="00B95D34">
        <w:rPr>
          <w:lang w:val="en-GB"/>
        </w:rPr>
        <w:t xml:space="preserve">; </w:t>
      </w:r>
      <w:r w:rsidR="00B95D34" w:rsidRPr="00E20DFA">
        <w:rPr>
          <w:szCs w:val="24"/>
          <w:lang w:val="en-GB"/>
        </w:rPr>
        <w:t>Park</w:t>
      </w:r>
      <w:r w:rsidR="00AC1D3E">
        <w:rPr>
          <w:szCs w:val="24"/>
          <w:lang w:val="en-GB"/>
        </w:rPr>
        <w:t>, 2005</w:t>
      </w:r>
      <w:r w:rsidR="00B95D34" w:rsidRPr="002D756E">
        <w:rPr>
          <w:lang w:val="en-GB"/>
        </w:rPr>
        <w:t xml:space="preserve">; </w:t>
      </w:r>
      <w:r w:rsidR="00B95D34">
        <w:rPr>
          <w:szCs w:val="24"/>
          <w:lang w:val="en-GB"/>
        </w:rPr>
        <w:t>Pilkauskas, 2012;</w:t>
      </w:r>
      <w:r w:rsidR="00B95D34">
        <w:rPr>
          <w:lang w:val="en-GB"/>
        </w:rPr>
        <w:t xml:space="preserve"> </w:t>
      </w:r>
      <w:r w:rsidR="000B73F5">
        <w:rPr>
          <w:lang w:val="en-GB"/>
        </w:rPr>
        <w:t xml:space="preserve">Pong </w:t>
      </w:r>
      <w:r w:rsidR="003470C2">
        <w:rPr>
          <w:lang w:val="en-GB"/>
        </w:rPr>
        <w:t>&amp;</w:t>
      </w:r>
      <w:r w:rsidR="000B73F5">
        <w:rPr>
          <w:lang w:val="en-GB"/>
        </w:rPr>
        <w:t xml:space="preserve"> Chen</w:t>
      </w:r>
      <w:r w:rsidR="003470C2">
        <w:rPr>
          <w:lang w:val="en-GB"/>
        </w:rPr>
        <w:t>,</w:t>
      </w:r>
      <w:r w:rsidR="000B73F5">
        <w:rPr>
          <w:lang w:val="en-GB"/>
        </w:rPr>
        <w:t xml:space="preserve"> 2007; </w:t>
      </w:r>
      <w:r w:rsidR="00AC1D3E">
        <w:rPr>
          <w:lang w:val="en-GB"/>
        </w:rPr>
        <w:t>Pong et al.</w:t>
      </w:r>
      <w:r w:rsidR="003470C2">
        <w:rPr>
          <w:lang w:val="en-GB"/>
        </w:rPr>
        <w:t>,</w:t>
      </w:r>
      <w:r w:rsidR="000B73F5" w:rsidRPr="002D756E">
        <w:rPr>
          <w:lang w:val="en-GB"/>
        </w:rPr>
        <w:t xml:space="preserve"> 2004</w:t>
      </w:r>
      <w:r w:rsidR="00621DD0">
        <w:rPr>
          <w:szCs w:val="24"/>
          <w:lang w:val="en-GB"/>
        </w:rPr>
        <w:t>)</w:t>
      </w:r>
      <w:r w:rsidR="007A657A" w:rsidRPr="00E20DFA">
        <w:rPr>
          <w:szCs w:val="24"/>
          <w:lang w:val="en-GB"/>
        </w:rPr>
        <w:t>,</w:t>
      </w:r>
      <w:r w:rsidRPr="00E20DFA">
        <w:rPr>
          <w:szCs w:val="24"/>
          <w:lang w:val="en-GB"/>
        </w:rPr>
        <w:t xml:space="preserve"> </w:t>
      </w:r>
      <w:r w:rsidR="007A657A" w:rsidRPr="00E20DFA">
        <w:rPr>
          <w:szCs w:val="24"/>
          <w:lang w:val="en-GB"/>
        </w:rPr>
        <w:t xml:space="preserve">since grandparents </w:t>
      </w:r>
      <w:r w:rsidR="0050240D" w:rsidRPr="00E20DFA">
        <w:rPr>
          <w:szCs w:val="24"/>
          <w:lang w:val="en-GB"/>
        </w:rPr>
        <w:t xml:space="preserve">are </w:t>
      </w:r>
      <w:r w:rsidR="007A657A" w:rsidRPr="00E20DFA">
        <w:rPr>
          <w:szCs w:val="24"/>
          <w:lang w:val="en-GB"/>
        </w:rPr>
        <w:t xml:space="preserve">typically </w:t>
      </w:r>
      <w:r w:rsidRPr="00E20DFA">
        <w:rPr>
          <w:szCs w:val="24"/>
          <w:lang w:val="en-GB"/>
        </w:rPr>
        <w:t xml:space="preserve">rather reluctant to interfere with the lives of their </w:t>
      </w:r>
      <w:r w:rsidR="00420322">
        <w:rPr>
          <w:szCs w:val="24"/>
          <w:lang w:val="en-GB"/>
        </w:rPr>
        <w:t xml:space="preserve">children or </w:t>
      </w:r>
      <w:r w:rsidR="0050240D" w:rsidRPr="00E20DFA">
        <w:rPr>
          <w:szCs w:val="24"/>
          <w:lang w:val="en-GB"/>
        </w:rPr>
        <w:t>grand</w:t>
      </w:r>
      <w:r w:rsidRPr="00E20DFA">
        <w:rPr>
          <w:szCs w:val="24"/>
          <w:lang w:val="en-GB"/>
        </w:rPr>
        <w:t xml:space="preserve">children unless </w:t>
      </w:r>
      <w:r w:rsidR="00925D2D">
        <w:rPr>
          <w:szCs w:val="24"/>
          <w:lang w:val="en-GB"/>
        </w:rPr>
        <w:t>the intervention is absolutely unavoidable</w:t>
      </w:r>
      <w:r w:rsidR="003470C2">
        <w:rPr>
          <w:szCs w:val="24"/>
          <w:lang w:val="en-GB"/>
        </w:rPr>
        <w:t xml:space="preserve"> (</w:t>
      </w:r>
      <w:r w:rsidR="00111C75" w:rsidRPr="00E20DFA">
        <w:rPr>
          <w:szCs w:val="24"/>
          <w:lang w:val="en-GB"/>
        </w:rPr>
        <w:t>Jendrek</w:t>
      </w:r>
      <w:r w:rsidR="003470C2">
        <w:rPr>
          <w:szCs w:val="24"/>
          <w:lang w:val="en-GB"/>
        </w:rPr>
        <w:t>,</w:t>
      </w:r>
      <w:r w:rsidR="00111C75" w:rsidRPr="00E20DFA">
        <w:rPr>
          <w:szCs w:val="24"/>
          <w:lang w:val="en-GB"/>
        </w:rPr>
        <w:t xml:space="preserve"> 1994; Shore </w:t>
      </w:r>
      <w:r w:rsidR="003470C2">
        <w:rPr>
          <w:szCs w:val="24"/>
          <w:lang w:val="en-GB"/>
        </w:rPr>
        <w:t>&amp;</w:t>
      </w:r>
      <w:r w:rsidR="00111C75" w:rsidRPr="00E20DFA">
        <w:rPr>
          <w:szCs w:val="24"/>
          <w:lang w:val="en-GB"/>
        </w:rPr>
        <w:t xml:space="preserve"> Hayslip</w:t>
      </w:r>
      <w:r w:rsidR="003470C2">
        <w:rPr>
          <w:szCs w:val="24"/>
          <w:lang w:val="en-GB"/>
        </w:rPr>
        <w:t>,</w:t>
      </w:r>
      <w:r w:rsidR="00111C75" w:rsidRPr="00E20DFA">
        <w:rPr>
          <w:szCs w:val="24"/>
          <w:lang w:val="en-GB"/>
        </w:rPr>
        <w:t xml:space="preserve"> 1994</w:t>
      </w:r>
      <w:r w:rsidR="003470C2">
        <w:rPr>
          <w:szCs w:val="24"/>
          <w:lang w:val="en-GB"/>
        </w:rPr>
        <w:t>)</w:t>
      </w:r>
      <w:r w:rsidR="00EF44E1">
        <w:rPr>
          <w:szCs w:val="24"/>
          <w:lang w:val="en-GB"/>
        </w:rPr>
        <w:t>,</w:t>
      </w:r>
      <w:r w:rsidR="0066611C" w:rsidRPr="00E20DFA">
        <w:rPr>
          <w:szCs w:val="24"/>
          <w:lang w:val="en-GB"/>
        </w:rPr>
        <w:t xml:space="preserve"> and most grandparents strongly prefer independent households </w:t>
      </w:r>
      <w:r w:rsidR="003470C2">
        <w:rPr>
          <w:szCs w:val="24"/>
          <w:lang w:val="en-GB"/>
        </w:rPr>
        <w:t>(</w:t>
      </w:r>
      <w:r w:rsidR="009F52B3" w:rsidRPr="00E20DFA">
        <w:rPr>
          <w:szCs w:val="24"/>
          <w:lang w:val="en-GB"/>
        </w:rPr>
        <w:t xml:space="preserve">de Jong </w:t>
      </w:r>
      <w:r w:rsidR="003470C2" w:rsidRPr="002D756E">
        <w:rPr>
          <w:lang w:val="en-GB"/>
        </w:rPr>
        <w:t>Gierveld</w:t>
      </w:r>
      <w:r w:rsidR="003470C2" w:rsidRPr="00E20DFA">
        <w:rPr>
          <w:szCs w:val="24"/>
          <w:lang w:val="en-GB"/>
        </w:rPr>
        <w:t xml:space="preserve"> </w:t>
      </w:r>
      <w:r w:rsidR="00621DD0">
        <w:rPr>
          <w:szCs w:val="24"/>
          <w:lang w:val="en-GB"/>
        </w:rPr>
        <w:t>e</w:t>
      </w:r>
      <w:r w:rsidR="009F52B3" w:rsidRPr="00E20DFA">
        <w:rPr>
          <w:szCs w:val="24"/>
          <w:lang w:val="en-GB"/>
        </w:rPr>
        <w:t>t al.</w:t>
      </w:r>
      <w:r w:rsidR="003470C2">
        <w:rPr>
          <w:szCs w:val="24"/>
          <w:lang w:val="en-GB"/>
        </w:rPr>
        <w:t>,</w:t>
      </w:r>
      <w:r w:rsidR="009F52B3" w:rsidRPr="00E20DFA">
        <w:rPr>
          <w:szCs w:val="24"/>
          <w:lang w:val="en-GB"/>
        </w:rPr>
        <w:t xml:space="preserve"> 1999</w:t>
      </w:r>
      <w:r w:rsidR="003470C2">
        <w:rPr>
          <w:szCs w:val="24"/>
          <w:lang w:val="en-GB"/>
        </w:rPr>
        <w:t>)</w:t>
      </w:r>
      <w:r w:rsidR="00111C75" w:rsidRPr="00E20DFA">
        <w:rPr>
          <w:szCs w:val="24"/>
          <w:lang w:val="en-GB"/>
        </w:rPr>
        <w:t xml:space="preserve">. </w:t>
      </w:r>
      <w:r w:rsidRPr="00E20DFA">
        <w:rPr>
          <w:szCs w:val="24"/>
          <w:lang w:val="en-GB"/>
        </w:rPr>
        <w:t xml:space="preserve">Hence, grandparental </w:t>
      </w:r>
      <w:r w:rsidR="00731759">
        <w:rPr>
          <w:szCs w:val="24"/>
          <w:lang w:val="en-GB"/>
        </w:rPr>
        <w:t>cores</w:t>
      </w:r>
      <w:r w:rsidR="00251BAD">
        <w:rPr>
          <w:szCs w:val="24"/>
          <w:lang w:val="en-GB"/>
        </w:rPr>
        <w:t>i</w:t>
      </w:r>
      <w:r w:rsidRPr="00E20DFA">
        <w:rPr>
          <w:szCs w:val="24"/>
          <w:lang w:val="en-GB"/>
        </w:rPr>
        <w:t>dence is less and less common and typically indicates a highly destabilized a</w:t>
      </w:r>
      <w:r w:rsidR="003470C2">
        <w:rPr>
          <w:szCs w:val="24"/>
          <w:lang w:val="en-GB"/>
        </w:rPr>
        <w:t>nd vulnerable family situation (</w:t>
      </w:r>
      <w:r w:rsidR="00B95D34">
        <w:rPr>
          <w:szCs w:val="24"/>
          <w:lang w:val="en-GB"/>
        </w:rPr>
        <w:t xml:space="preserve">Bengston, 2001; </w:t>
      </w:r>
      <w:r w:rsidR="00B95D34" w:rsidRPr="00E20DFA">
        <w:rPr>
          <w:szCs w:val="24"/>
          <w:lang w:val="en-GB"/>
        </w:rPr>
        <w:t>Cherlin</w:t>
      </w:r>
      <w:r w:rsidR="00B95D34">
        <w:rPr>
          <w:szCs w:val="24"/>
          <w:lang w:val="en-GB"/>
        </w:rPr>
        <w:t xml:space="preserve"> &amp;</w:t>
      </w:r>
      <w:r w:rsidR="00B95D34" w:rsidRPr="00E20DFA">
        <w:rPr>
          <w:szCs w:val="24"/>
          <w:lang w:val="en-GB"/>
        </w:rPr>
        <w:t xml:space="preserve"> Furstenberg</w:t>
      </w:r>
      <w:r w:rsidR="00B95D34">
        <w:rPr>
          <w:szCs w:val="24"/>
          <w:lang w:val="en-GB"/>
        </w:rPr>
        <w:t>,</w:t>
      </w:r>
      <w:r w:rsidR="00B95D34" w:rsidRPr="00E20DFA">
        <w:rPr>
          <w:szCs w:val="24"/>
          <w:lang w:val="en-GB"/>
        </w:rPr>
        <w:t xml:space="preserve"> 1</w:t>
      </w:r>
      <w:r w:rsidR="00B95D34">
        <w:rPr>
          <w:szCs w:val="24"/>
          <w:lang w:val="en-GB"/>
        </w:rPr>
        <w:t xml:space="preserve">992; </w:t>
      </w:r>
      <w:r w:rsidR="0043473B" w:rsidRPr="00E20DFA">
        <w:rPr>
          <w:szCs w:val="24"/>
          <w:lang w:val="en-GB"/>
        </w:rPr>
        <w:t>Glaser et al.</w:t>
      </w:r>
      <w:r w:rsidR="003470C2">
        <w:rPr>
          <w:szCs w:val="24"/>
          <w:lang w:val="en-GB"/>
        </w:rPr>
        <w:t>,</w:t>
      </w:r>
      <w:r w:rsidR="0043473B" w:rsidRPr="00E20DFA">
        <w:rPr>
          <w:szCs w:val="24"/>
          <w:lang w:val="en-GB"/>
        </w:rPr>
        <w:t xml:space="preserve"> 2010</w:t>
      </w:r>
      <w:r w:rsidR="00B95D34" w:rsidRPr="00E20DFA">
        <w:rPr>
          <w:szCs w:val="24"/>
          <w:lang w:val="en-GB"/>
        </w:rPr>
        <w:t xml:space="preserve">; </w:t>
      </w:r>
      <w:r w:rsidR="00F0756D">
        <w:rPr>
          <w:szCs w:val="24"/>
          <w:lang w:val="en-GB"/>
        </w:rPr>
        <w:t>Park, 2005</w:t>
      </w:r>
      <w:r w:rsidR="0043473B" w:rsidRPr="00E20DFA">
        <w:rPr>
          <w:szCs w:val="24"/>
          <w:lang w:val="en-GB"/>
        </w:rPr>
        <w:t xml:space="preserve">; </w:t>
      </w:r>
      <w:r w:rsidR="003470C2">
        <w:rPr>
          <w:szCs w:val="24"/>
          <w:lang w:val="en-GB"/>
        </w:rPr>
        <w:t>Pebley &amp;</w:t>
      </w:r>
      <w:r w:rsidRPr="00E20DFA">
        <w:rPr>
          <w:szCs w:val="24"/>
          <w:lang w:val="en-GB"/>
        </w:rPr>
        <w:t xml:space="preserve"> Rudkin</w:t>
      </w:r>
      <w:r w:rsidR="003470C2">
        <w:rPr>
          <w:szCs w:val="24"/>
          <w:lang w:val="en-GB"/>
        </w:rPr>
        <w:t>,</w:t>
      </w:r>
      <w:r w:rsidRPr="00E20DFA">
        <w:rPr>
          <w:szCs w:val="24"/>
          <w:lang w:val="en-GB"/>
        </w:rPr>
        <w:t xml:space="preserve"> 1999</w:t>
      </w:r>
      <w:r w:rsidR="003470C2">
        <w:rPr>
          <w:szCs w:val="24"/>
          <w:lang w:val="en-GB"/>
        </w:rPr>
        <w:t>)</w:t>
      </w:r>
      <w:r w:rsidR="002E551A">
        <w:rPr>
          <w:szCs w:val="24"/>
          <w:lang w:val="en-GB"/>
        </w:rPr>
        <w:t>.</w:t>
      </w:r>
    </w:p>
    <w:p w14:paraId="15A59CF4" w14:textId="0A8EAD7C" w:rsidR="0017717D" w:rsidRPr="007123A3" w:rsidRDefault="00731759" w:rsidP="006F30EE">
      <w:pPr>
        <w:spacing w:line="480" w:lineRule="auto"/>
        <w:rPr>
          <w:lang w:val="en-US"/>
        </w:rPr>
      </w:pPr>
      <w:r>
        <w:rPr>
          <w:lang w:val="en-US"/>
        </w:rPr>
        <w:t>Cores</w:t>
      </w:r>
      <w:r w:rsidR="007132D4" w:rsidRPr="00556E02">
        <w:rPr>
          <w:lang w:val="en-US"/>
        </w:rPr>
        <w:t xml:space="preserve">idence of three generations may have both positive and negative consequences for the </w:t>
      </w:r>
      <w:r w:rsidR="002668A2">
        <w:rPr>
          <w:lang w:val="en-US"/>
        </w:rPr>
        <w:t>grand</w:t>
      </w:r>
      <w:r w:rsidR="007132D4" w:rsidRPr="00556E02">
        <w:rPr>
          <w:lang w:val="en-US"/>
        </w:rPr>
        <w:t xml:space="preserve">children and </w:t>
      </w:r>
      <w:r w:rsidR="00D1358C">
        <w:rPr>
          <w:lang w:val="en-US"/>
        </w:rPr>
        <w:t xml:space="preserve">its effects </w:t>
      </w:r>
      <w:r w:rsidR="007132D4" w:rsidRPr="00556E02">
        <w:rPr>
          <w:lang w:val="en-US"/>
        </w:rPr>
        <w:t xml:space="preserve">may </w:t>
      </w:r>
      <w:r w:rsidR="00D1358C">
        <w:rPr>
          <w:lang w:val="en-US"/>
        </w:rPr>
        <w:t xml:space="preserve">be </w:t>
      </w:r>
      <w:r w:rsidR="003470C2">
        <w:rPr>
          <w:lang w:val="en-US"/>
        </w:rPr>
        <w:t>direct or indirect (Denham &amp;</w:t>
      </w:r>
      <w:r w:rsidR="007132D4" w:rsidRPr="00556E02">
        <w:rPr>
          <w:lang w:val="en-US"/>
        </w:rPr>
        <w:t xml:space="preserve"> Smith</w:t>
      </w:r>
      <w:r w:rsidR="003470C2">
        <w:rPr>
          <w:lang w:val="en-US"/>
        </w:rPr>
        <w:t>,</w:t>
      </w:r>
      <w:r w:rsidR="007132D4" w:rsidRPr="00556E02">
        <w:rPr>
          <w:lang w:val="en-US"/>
        </w:rPr>
        <w:t xml:space="preserve"> 1989</w:t>
      </w:r>
      <w:r w:rsidR="003470C2">
        <w:rPr>
          <w:lang w:val="en-US"/>
        </w:rPr>
        <w:t>)</w:t>
      </w:r>
      <w:r w:rsidR="007132D4" w:rsidRPr="00556E02">
        <w:rPr>
          <w:lang w:val="en-US"/>
        </w:rPr>
        <w:t>.</w:t>
      </w:r>
      <w:r w:rsidR="0066173C" w:rsidRPr="00556E02">
        <w:rPr>
          <w:lang w:val="en-US"/>
        </w:rPr>
        <w:t xml:space="preserve"> </w:t>
      </w:r>
      <w:r w:rsidR="007123A3" w:rsidRPr="00556E02">
        <w:rPr>
          <w:lang w:val="en-US"/>
        </w:rPr>
        <w:t xml:space="preserve">Grandparents </w:t>
      </w:r>
      <w:r w:rsidR="00111C75" w:rsidRPr="00556E02">
        <w:rPr>
          <w:lang w:val="en-US"/>
        </w:rPr>
        <w:t>may directly contribute to the pool of the available financial resources</w:t>
      </w:r>
      <w:r w:rsidR="00556E02" w:rsidRPr="00556E02">
        <w:rPr>
          <w:lang w:val="en-US"/>
        </w:rPr>
        <w:t>,</w:t>
      </w:r>
      <w:r w:rsidR="007A657A" w:rsidRPr="00556E02">
        <w:rPr>
          <w:lang w:val="en-US"/>
        </w:rPr>
        <w:t xml:space="preserve"> </w:t>
      </w:r>
      <w:r w:rsidR="00D1358C">
        <w:rPr>
          <w:lang w:val="en-US"/>
        </w:rPr>
        <w:t xml:space="preserve">or </w:t>
      </w:r>
      <w:r w:rsidR="007A657A" w:rsidRPr="00556E02">
        <w:rPr>
          <w:lang w:val="en-US"/>
        </w:rPr>
        <w:t xml:space="preserve">their incomes </w:t>
      </w:r>
      <w:r w:rsidR="007123A3" w:rsidRPr="00556E02">
        <w:rPr>
          <w:lang w:val="en-US"/>
        </w:rPr>
        <w:t xml:space="preserve">may increase the </w:t>
      </w:r>
      <w:r w:rsidR="007A657A" w:rsidRPr="00556E02">
        <w:rPr>
          <w:lang w:val="en-US"/>
        </w:rPr>
        <w:t>diversi</w:t>
      </w:r>
      <w:r w:rsidR="00556E02" w:rsidRPr="00556E02">
        <w:rPr>
          <w:lang w:val="en-US"/>
        </w:rPr>
        <w:t xml:space="preserve">ty </w:t>
      </w:r>
      <w:r w:rsidR="007A657A" w:rsidRPr="00556E02">
        <w:rPr>
          <w:lang w:val="en-US"/>
        </w:rPr>
        <w:t xml:space="preserve">of </w:t>
      </w:r>
      <w:r w:rsidR="007123A3" w:rsidRPr="00556E02">
        <w:rPr>
          <w:lang w:val="en-US"/>
        </w:rPr>
        <w:t xml:space="preserve">available </w:t>
      </w:r>
      <w:r w:rsidR="007A657A" w:rsidRPr="00556E02">
        <w:rPr>
          <w:lang w:val="en-US"/>
        </w:rPr>
        <w:t xml:space="preserve">financial sources and thus </w:t>
      </w:r>
      <w:r w:rsidR="007123A3" w:rsidRPr="00556E02">
        <w:rPr>
          <w:lang w:val="en-US"/>
        </w:rPr>
        <w:t xml:space="preserve">partially </w:t>
      </w:r>
      <w:r w:rsidR="007A657A" w:rsidRPr="00556E02">
        <w:rPr>
          <w:lang w:val="en-US"/>
        </w:rPr>
        <w:t>shield the household from</w:t>
      </w:r>
      <w:r w:rsidR="007123A3" w:rsidRPr="00556E02">
        <w:rPr>
          <w:lang w:val="en-US"/>
        </w:rPr>
        <w:t xml:space="preserve"> economic turbulence and labor market insecurities </w:t>
      </w:r>
      <w:r w:rsidR="003470C2">
        <w:rPr>
          <w:lang w:val="en-US"/>
        </w:rPr>
        <w:t>(</w:t>
      </w:r>
      <w:r w:rsidR="00111C75" w:rsidRPr="00556E02">
        <w:rPr>
          <w:lang w:val="en-US"/>
        </w:rPr>
        <w:t>Dunifon</w:t>
      </w:r>
      <w:r w:rsidR="003470C2">
        <w:rPr>
          <w:lang w:val="en-US"/>
        </w:rPr>
        <w:t xml:space="preserve"> &amp;</w:t>
      </w:r>
      <w:r w:rsidR="00111C75" w:rsidRPr="00556E02">
        <w:rPr>
          <w:lang w:val="en-US"/>
        </w:rPr>
        <w:t xml:space="preserve"> Kowaleski-Jones</w:t>
      </w:r>
      <w:r w:rsidR="003470C2">
        <w:rPr>
          <w:lang w:val="en-US"/>
        </w:rPr>
        <w:t>,</w:t>
      </w:r>
      <w:r w:rsidR="00111C75" w:rsidRPr="00556E02">
        <w:rPr>
          <w:lang w:val="en-US"/>
        </w:rPr>
        <w:t xml:space="preserve"> 2007; </w:t>
      </w:r>
      <w:r w:rsidR="003C1BBC" w:rsidRPr="00556E02">
        <w:rPr>
          <w:lang w:val="en-US"/>
        </w:rPr>
        <w:t>Mutchler</w:t>
      </w:r>
      <w:r w:rsidR="003C1BBC">
        <w:rPr>
          <w:lang w:val="en-US"/>
        </w:rPr>
        <w:t xml:space="preserve"> &amp;</w:t>
      </w:r>
      <w:r w:rsidR="003C1BBC" w:rsidRPr="00556E02">
        <w:rPr>
          <w:lang w:val="en-US"/>
        </w:rPr>
        <w:t xml:space="preserve"> Baker</w:t>
      </w:r>
      <w:r w:rsidR="003C1BBC">
        <w:rPr>
          <w:lang w:val="en-US"/>
        </w:rPr>
        <w:t>,</w:t>
      </w:r>
      <w:r w:rsidR="003C1BBC" w:rsidRPr="00556E02">
        <w:rPr>
          <w:lang w:val="en-US"/>
        </w:rPr>
        <w:t xml:space="preserve"> 2009; </w:t>
      </w:r>
      <w:r w:rsidR="00F0756D">
        <w:rPr>
          <w:lang w:val="en-US"/>
        </w:rPr>
        <w:t>Pong et al.</w:t>
      </w:r>
      <w:r w:rsidR="003470C2">
        <w:rPr>
          <w:lang w:val="en-US"/>
        </w:rPr>
        <w:t>, 2004)</w:t>
      </w:r>
      <w:r w:rsidR="00111C75" w:rsidRPr="00556E02">
        <w:rPr>
          <w:lang w:val="en-US"/>
        </w:rPr>
        <w:t xml:space="preserve">. </w:t>
      </w:r>
      <w:r w:rsidR="00420322" w:rsidRPr="00556E02">
        <w:rPr>
          <w:lang w:val="en-US"/>
        </w:rPr>
        <w:t xml:space="preserve">Grandparents </w:t>
      </w:r>
      <w:r w:rsidR="007132D4" w:rsidRPr="00556E02">
        <w:rPr>
          <w:lang w:val="en-US"/>
        </w:rPr>
        <w:t>can also function as role models</w:t>
      </w:r>
      <w:r w:rsidR="00D1358C">
        <w:rPr>
          <w:lang w:val="en-US"/>
        </w:rPr>
        <w:t>,</w:t>
      </w:r>
      <w:r w:rsidR="007132D4" w:rsidRPr="00556E02">
        <w:rPr>
          <w:lang w:val="en-US"/>
        </w:rPr>
        <w:t xml:space="preserve"> </w:t>
      </w:r>
      <w:r w:rsidR="00DA5E81" w:rsidRPr="00556E02">
        <w:rPr>
          <w:lang w:val="en-US"/>
        </w:rPr>
        <w:t>shaping the child’s educational and occupational aspirations</w:t>
      </w:r>
      <w:r w:rsidR="00D1358C">
        <w:rPr>
          <w:lang w:val="en-US"/>
        </w:rPr>
        <w:t>,</w:t>
      </w:r>
      <w:r w:rsidR="00DA5E81" w:rsidRPr="00556E02">
        <w:rPr>
          <w:lang w:val="en-US"/>
        </w:rPr>
        <w:t xml:space="preserve"> and may </w:t>
      </w:r>
      <w:r w:rsidR="00DA5E81" w:rsidRPr="00556E02">
        <w:rPr>
          <w:lang w:val="en-GB"/>
        </w:rPr>
        <w:t xml:space="preserve">“provide support for academic achievement in the form of help with homework, encouragement of intellectually oriented hobbies and activities” </w:t>
      </w:r>
      <w:r w:rsidR="003470C2">
        <w:rPr>
          <w:lang w:val="en-US"/>
        </w:rPr>
        <w:t>(</w:t>
      </w:r>
      <w:r w:rsidR="00DA5E81" w:rsidRPr="00556E02">
        <w:rPr>
          <w:lang w:val="en-GB"/>
        </w:rPr>
        <w:t>Du</w:t>
      </w:r>
      <w:r w:rsidR="003470C2">
        <w:rPr>
          <w:lang w:val="en-GB"/>
        </w:rPr>
        <w:t xml:space="preserve">nifon &amp; </w:t>
      </w:r>
      <w:r w:rsidR="00DA5E81" w:rsidRPr="00556E02">
        <w:rPr>
          <w:lang w:val="en-GB"/>
        </w:rPr>
        <w:t>Kowaleski-Jones</w:t>
      </w:r>
      <w:r w:rsidR="003470C2">
        <w:rPr>
          <w:lang w:val="en-GB"/>
        </w:rPr>
        <w:t>,</w:t>
      </w:r>
      <w:r w:rsidR="00DE4055">
        <w:rPr>
          <w:lang w:val="en-GB"/>
        </w:rPr>
        <w:t xml:space="preserve"> 2007, p.</w:t>
      </w:r>
      <w:r w:rsidR="00DA5E81" w:rsidRPr="00556E02">
        <w:rPr>
          <w:lang w:val="en-GB"/>
        </w:rPr>
        <w:t xml:space="preserve"> 467</w:t>
      </w:r>
      <w:r w:rsidR="003470C2">
        <w:rPr>
          <w:lang w:val="en-US"/>
        </w:rPr>
        <w:t>)</w:t>
      </w:r>
      <w:r w:rsidR="00DA5E81" w:rsidRPr="00556E02">
        <w:rPr>
          <w:lang w:val="en-US"/>
        </w:rPr>
        <w:t>.</w:t>
      </w:r>
      <w:r w:rsidR="00556E02" w:rsidRPr="00556E02">
        <w:rPr>
          <w:lang w:val="en-US"/>
        </w:rPr>
        <w:t xml:space="preserve"> </w:t>
      </w:r>
      <w:r w:rsidR="009B1C08">
        <w:rPr>
          <w:lang w:val="en-US"/>
        </w:rPr>
        <w:t>C</w:t>
      </w:r>
      <w:r w:rsidR="007132D4" w:rsidRPr="00556E02">
        <w:rPr>
          <w:lang w:val="en-US"/>
        </w:rPr>
        <w:t>hildren can learn to plan their future</w:t>
      </w:r>
      <w:r w:rsidR="00D1358C">
        <w:rPr>
          <w:lang w:val="en-US"/>
        </w:rPr>
        <w:t>,</w:t>
      </w:r>
      <w:r w:rsidR="007132D4" w:rsidRPr="00556E02">
        <w:rPr>
          <w:lang w:val="en-US"/>
        </w:rPr>
        <w:t xml:space="preserve"> or can develop more effective relationship</w:t>
      </w:r>
      <w:r w:rsidR="00420322">
        <w:rPr>
          <w:lang w:val="en-US"/>
        </w:rPr>
        <w:t>s</w:t>
      </w:r>
      <w:r w:rsidR="007132D4" w:rsidRPr="00556E02">
        <w:rPr>
          <w:lang w:val="en-US"/>
        </w:rPr>
        <w:t xml:space="preserve"> with adults </w:t>
      </w:r>
      <w:r w:rsidR="00556E02" w:rsidRPr="00556E02">
        <w:rPr>
          <w:lang w:val="en-US"/>
        </w:rPr>
        <w:t xml:space="preserve">through </w:t>
      </w:r>
      <w:r w:rsidR="00556E02" w:rsidRPr="00556E02">
        <w:rPr>
          <w:lang w:val="en-US"/>
        </w:rPr>
        <w:lastRenderedPageBreak/>
        <w:t xml:space="preserve">regular interaction with grandparents </w:t>
      </w:r>
      <w:r w:rsidR="003470C2">
        <w:rPr>
          <w:lang w:val="en-US"/>
        </w:rPr>
        <w:t>(</w:t>
      </w:r>
      <w:r w:rsidR="007132D4" w:rsidRPr="00556E02">
        <w:rPr>
          <w:lang w:val="en-US"/>
        </w:rPr>
        <w:t>Denham</w:t>
      </w:r>
      <w:r w:rsidR="003470C2">
        <w:rPr>
          <w:lang w:val="en-US"/>
        </w:rPr>
        <w:t xml:space="preserve"> &amp; Smith, 1989; Hayslip &amp;</w:t>
      </w:r>
      <w:r w:rsidR="007132D4" w:rsidRPr="00556E02">
        <w:rPr>
          <w:lang w:val="en-US"/>
        </w:rPr>
        <w:t xml:space="preserve"> Kaminski</w:t>
      </w:r>
      <w:r w:rsidR="003470C2">
        <w:rPr>
          <w:lang w:val="en-US"/>
        </w:rPr>
        <w:t>, 2005)</w:t>
      </w:r>
      <w:r w:rsidR="0050240D" w:rsidRPr="00556E02">
        <w:rPr>
          <w:lang w:val="en-US"/>
        </w:rPr>
        <w:t>.</w:t>
      </w:r>
      <w:r w:rsidR="00111C75" w:rsidRPr="00556E02">
        <w:rPr>
          <w:lang w:val="en-US"/>
        </w:rPr>
        <w:t xml:space="preserve"> </w:t>
      </w:r>
      <w:r w:rsidR="00556E02" w:rsidRPr="00556E02">
        <w:rPr>
          <w:lang w:val="en-US"/>
        </w:rPr>
        <w:t>Similarly</w:t>
      </w:r>
      <w:r w:rsidR="007123A3" w:rsidRPr="00556E02">
        <w:rPr>
          <w:lang w:val="en-US"/>
        </w:rPr>
        <w:t xml:space="preserve">, grandchildren can benefit from the grandparent doing a part of the housework, so the parent is left with greater amount of time to spend with the offspring </w:t>
      </w:r>
      <w:r w:rsidR="003470C2">
        <w:rPr>
          <w:lang w:val="en-US"/>
        </w:rPr>
        <w:t>(Pong &amp;</w:t>
      </w:r>
      <w:r w:rsidR="007123A3" w:rsidRPr="00556E02">
        <w:rPr>
          <w:lang w:val="en-US"/>
        </w:rPr>
        <w:t xml:space="preserve"> Chen</w:t>
      </w:r>
      <w:r w:rsidR="003470C2">
        <w:rPr>
          <w:lang w:val="en-US"/>
        </w:rPr>
        <w:t>,</w:t>
      </w:r>
      <w:r w:rsidR="007123A3" w:rsidRPr="00556E02">
        <w:rPr>
          <w:lang w:val="en-US"/>
        </w:rPr>
        <w:t xml:space="preserve"> 2010</w:t>
      </w:r>
      <w:r w:rsidR="003470C2">
        <w:rPr>
          <w:lang w:val="en-US"/>
        </w:rPr>
        <w:t>)</w:t>
      </w:r>
      <w:r w:rsidR="007123A3" w:rsidRPr="00556E02">
        <w:rPr>
          <w:lang w:val="en-US"/>
        </w:rPr>
        <w:t xml:space="preserve">. </w:t>
      </w:r>
      <w:r w:rsidR="0050240D" w:rsidRPr="00556E02">
        <w:rPr>
          <w:lang w:val="en-US"/>
        </w:rPr>
        <w:t xml:space="preserve">Grandparents can </w:t>
      </w:r>
      <w:r w:rsidR="00111C75" w:rsidRPr="00556E02">
        <w:rPr>
          <w:lang w:val="en-US"/>
        </w:rPr>
        <w:t>supervise the child</w:t>
      </w:r>
      <w:r w:rsidR="00D1358C">
        <w:rPr>
          <w:lang w:val="en-US"/>
        </w:rPr>
        <w:t>,</w:t>
      </w:r>
      <w:r w:rsidR="00111C75" w:rsidRPr="00556E02">
        <w:rPr>
          <w:lang w:val="en-US"/>
        </w:rPr>
        <w:t xml:space="preserve"> and thus help prevent</w:t>
      </w:r>
      <w:r w:rsidR="007A657A" w:rsidRPr="00556E02">
        <w:rPr>
          <w:lang w:val="en-US"/>
        </w:rPr>
        <w:t xml:space="preserve"> and detect</w:t>
      </w:r>
      <w:r w:rsidR="007123A3" w:rsidRPr="00556E02">
        <w:rPr>
          <w:lang w:val="en-US"/>
        </w:rPr>
        <w:t xml:space="preserve"> problematic behavio</w:t>
      </w:r>
      <w:r w:rsidR="00111C75" w:rsidRPr="00556E02">
        <w:rPr>
          <w:lang w:val="en-US"/>
        </w:rPr>
        <w:t xml:space="preserve">r </w:t>
      </w:r>
      <w:r w:rsidR="007A657A" w:rsidRPr="00556E02">
        <w:rPr>
          <w:lang w:val="en-US"/>
        </w:rPr>
        <w:t xml:space="preserve">that may require intervention </w:t>
      </w:r>
      <w:r w:rsidR="003470C2">
        <w:rPr>
          <w:lang w:val="en-US"/>
        </w:rPr>
        <w:t>(</w:t>
      </w:r>
      <w:r w:rsidR="003C1BBC" w:rsidRPr="00556E02">
        <w:rPr>
          <w:lang w:val="en-US"/>
        </w:rPr>
        <w:t xml:space="preserve">Pong </w:t>
      </w:r>
      <w:r w:rsidR="003C1BBC">
        <w:rPr>
          <w:lang w:val="en-US"/>
        </w:rPr>
        <w:t>&amp;</w:t>
      </w:r>
      <w:r w:rsidR="003C1BBC" w:rsidRPr="00556E02">
        <w:rPr>
          <w:lang w:val="en-US"/>
        </w:rPr>
        <w:t xml:space="preserve"> Chen</w:t>
      </w:r>
      <w:r w:rsidR="003C1BBC">
        <w:rPr>
          <w:lang w:val="en-US"/>
        </w:rPr>
        <w:t xml:space="preserve">, 2010; </w:t>
      </w:r>
      <w:r w:rsidR="00F0756D">
        <w:rPr>
          <w:lang w:val="en-US"/>
        </w:rPr>
        <w:t>Pong et al.</w:t>
      </w:r>
      <w:r w:rsidR="003470C2">
        <w:rPr>
          <w:lang w:val="en-US"/>
        </w:rPr>
        <w:t>,</w:t>
      </w:r>
      <w:r w:rsidR="003C1BBC">
        <w:rPr>
          <w:lang w:val="en-US"/>
        </w:rPr>
        <w:t xml:space="preserve"> 2004</w:t>
      </w:r>
      <w:r w:rsidR="003470C2">
        <w:rPr>
          <w:lang w:val="en-US"/>
        </w:rPr>
        <w:t>)</w:t>
      </w:r>
      <w:r w:rsidR="007132D4" w:rsidRPr="00556E02">
        <w:rPr>
          <w:lang w:val="en-US"/>
        </w:rPr>
        <w:t>.</w:t>
      </w:r>
      <w:r w:rsidR="007A657A" w:rsidRPr="00556E02">
        <w:rPr>
          <w:lang w:val="en-US"/>
        </w:rPr>
        <w:t xml:space="preserve"> The presence of the grandparent can also alleviate parental stress (i.e. in singe-mother families), which</w:t>
      </w:r>
      <w:r w:rsidR="003470C2">
        <w:rPr>
          <w:lang w:val="en-US"/>
        </w:rPr>
        <w:t xml:space="preserve"> in turn can improve parenting (Dunifon &amp;</w:t>
      </w:r>
      <w:r w:rsidR="007A657A" w:rsidRPr="00556E02">
        <w:rPr>
          <w:lang w:val="en-US"/>
        </w:rPr>
        <w:t xml:space="preserve"> Kowaleski-Jones</w:t>
      </w:r>
      <w:r w:rsidR="003470C2">
        <w:rPr>
          <w:lang w:val="en-US"/>
        </w:rPr>
        <w:t>, 2007)</w:t>
      </w:r>
      <w:r w:rsidR="007A657A" w:rsidRPr="00556E02">
        <w:rPr>
          <w:lang w:val="en-US"/>
        </w:rPr>
        <w:t xml:space="preserve">, or </w:t>
      </w:r>
      <w:r w:rsidR="002531D8">
        <w:rPr>
          <w:lang w:val="en-US"/>
        </w:rPr>
        <w:t>le</w:t>
      </w:r>
      <w:r w:rsidR="003C1BBC">
        <w:rPr>
          <w:lang w:val="en-US"/>
        </w:rPr>
        <w:t>s</w:t>
      </w:r>
      <w:r w:rsidR="002531D8">
        <w:rPr>
          <w:lang w:val="en-US"/>
        </w:rPr>
        <w:t>sen</w:t>
      </w:r>
      <w:r w:rsidR="007A657A" w:rsidRPr="00556E02">
        <w:rPr>
          <w:lang w:val="en-US"/>
        </w:rPr>
        <w:t xml:space="preserve"> </w:t>
      </w:r>
      <w:r w:rsidR="00D1358C">
        <w:rPr>
          <w:lang w:val="en-US"/>
        </w:rPr>
        <w:t xml:space="preserve">a </w:t>
      </w:r>
      <w:r w:rsidR="007A657A" w:rsidRPr="00556E02">
        <w:rPr>
          <w:lang w:val="en-US"/>
        </w:rPr>
        <w:t xml:space="preserve">child’s stress from “overly </w:t>
      </w:r>
      <w:r w:rsidR="003470C2">
        <w:rPr>
          <w:lang w:val="en-US"/>
        </w:rPr>
        <w:t>critical or demanding parents” (</w:t>
      </w:r>
      <w:r w:rsidR="007A657A" w:rsidRPr="00556E02">
        <w:rPr>
          <w:lang w:val="en-US"/>
        </w:rPr>
        <w:t>Denham</w:t>
      </w:r>
      <w:r w:rsidR="003470C2">
        <w:rPr>
          <w:lang w:val="en-US"/>
        </w:rPr>
        <w:t xml:space="preserve"> &amp;</w:t>
      </w:r>
      <w:r w:rsidR="007A657A" w:rsidRPr="00556E02">
        <w:rPr>
          <w:lang w:val="en-US"/>
        </w:rPr>
        <w:t xml:space="preserve"> Smith</w:t>
      </w:r>
      <w:r w:rsidR="003470C2">
        <w:rPr>
          <w:lang w:val="en-US"/>
        </w:rPr>
        <w:t>,</w:t>
      </w:r>
      <w:r w:rsidR="00DE4055">
        <w:rPr>
          <w:lang w:val="en-US"/>
        </w:rPr>
        <w:t xml:space="preserve"> 1989, p.</w:t>
      </w:r>
      <w:r w:rsidR="007A657A" w:rsidRPr="00556E02">
        <w:rPr>
          <w:lang w:val="en-US"/>
        </w:rPr>
        <w:t xml:space="preserve"> 347</w:t>
      </w:r>
      <w:r w:rsidR="003C1BBC">
        <w:rPr>
          <w:lang w:val="en-US"/>
        </w:rPr>
        <w:t>)</w:t>
      </w:r>
      <w:r w:rsidR="007A657A" w:rsidRPr="00556E02">
        <w:rPr>
          <w:lang w:val="en-US"/>
        </w:rPr>
        <w:t>.</w:t>
      </w:r>
    </w:p>
    <w:p w14:paraId="0D8303D3" w14:textId="77777777" w:rsidR="000814DA" w:rsidRPr="00E20DFA" w:rsidRDefault="00D1358C" w:rsidP="006F30EE">
      <w:pPr>
        <w:spacing w:line="480" w:lineRule="auto"/>
        <w:rPr>
          <w:szCs w:val="24"/>
          <w:lang w:val="en-US"/>
        </w:rPr>
      </w:pPr>
      <w:r>
        <w:rPr>
          <w:szCs w:val="24"/>
          <w:lang w:val="en-US"/>
        </w:rPr>
        <w:t>However, t</w:t>
      </w:r>
      <w:r w:rsidR="00B17768" w:rsidRPr="00E20DFA">
        <w:rPr>
          <w:szCs w:val="24"/>
          <w:lang w:val="en-US"/>
        </w:rPr>
        <w:t xml:space="preserve">hree-generation </w:t>
      </w:r>
      <w:r w:rsidR="00731759">
        <w:rPr>
          <w:szCs w:val="24"/>
          <w:lang w:val="en-US"/>
        </w:rPr>
        <w:t>cores</w:t>
      </w:r>
      <w:r w:rsidR="00B17768" w:rsidRPr="00E20DFA">
        <w:rPr>
          <w:szCs w:val="24"/>
          <w:lang w:val="en-US"/>
        </w:rPr>
        <w:t>idence may</w:t>
      </w:r>
      <w:r>
        <w:rPr>
          <w:szCs w:val="24"/>
          <w:lang w:val="en-US"/>
        </w:rPr>
        <w:t xml:space="preserve"> also </w:t>
      </w:r>
      <w:r w:rsidR="00B17768" w:rsidRPr="00E20DFA">
        <w:rPr>
          <w:szCs w:val="24"/>
          <w:lang w:val="en-US"/>
        </w:rPr>
        <w:t xml:space="preserve">be harmful to the child. The </w:t>
      </w:r>
      <w:r w:rsidR="00731759">
        <w:rPr>
          <w:szCs w:val="24"/>
          <w:lang w:val="en-US"/>
        </w:rPr>
        <w:t>cores</w:t>
      </w:r>
      <w:r w:rsidR="00B17768" w:rsidRPr="00E20DFA">
        <w:rPr>
          <w:szCs w:val="24"/>
          <w:lang w:val="en-US"/>
        </w:rPr>
        <w:t xml:space="preserve">ident grandparent can contribute to increased levels of stress. Since “grandparents, and especially grandmothers, often assume a substantial role </w:t>
      </w:r>
      <w:r w:rsidR="00B97D09">
        <w:rPr>
          <w:szCs w:val="24"/>
          <w:lang w:val="en-US"/>
        </w:rPr>
        <w:t>in taking</w:t>
      </w:r>
      <w:r w:rsidR="000C7CBE">
        <w:rPr>
          <w:szCs w:val="24"/>
          <w:lang w:val="en-US"/>
        </w:rPr>
        <w:t xml:space="preserve"> care of grandchildren” (</w:t>
      </w:r>
      <w:r w:rsidR="00B17768" w:rsidRPr="00E20DFA">
        <w:rPr>
          <w:szCs w:val="24"/>
          <w:lang w:val="en-GB"/>
        </w:rPr>
        <w:t xml:space="preserve">Pebley </w:t>
      </w:r>
      <w:r w:rsidR="000C7CBE">
        <w:rPr>
          <w:szCs w:val="24"/>
          <w:lang w:val="en-GB"/>
        </w:rPr>
        <w:t>&amp;</w:t>
      </w:r>
      <w:r w:rsidR="00B17768" w:rsidRPr="00E20DFA">
        <w:rPr>
          <w:szCs w:val="24"/>
          <w:lang w:val="en-GB"/>
        </w:rPr>
        <w:t xml:space="preserve"> Rudkin</w:t>
      </w:r>
      <w:r w:rsidR="000C7CBE">
        <w:rPr>
          <w:szCs w:val="24"/>
          <w:lang w:val="en-GB"/>
        </w:rPr>
        <w:t>,</w:t>
      </w:r>
      <w:r w:rsidR="00B17768" w:rsidRPr="00E20DFA">
        <w:rPr>
          <w:szCs w:val="24"/>
          <w:lang w:val="en-GB"/>
        </w:rPr>
        <w:t xml:space="preserve"> 1999</w:t>
      </w:r>
      <w:r w:rsidR="00DE4055">
        <w:rPr>
          <w:szCs w:val="24"/>
        </w:rPr>
        <w:t>, pp.</w:t>
      </w:r>
      <w:r w:rsidR="00B17768" w:rsidRPr="00E20DFA">
        <w:rPr>
          <w:szCs w:val="24"/>
          <w:lang w:val="en-GB"/>
        </w:rPr>
        <w:t xml:space="preserve"> 220-221</w:t>
      </w:r>
      <w:r w:rsidR="000C7CBE">
        <w:rPr>
          <w:szCs w:val="24"/>
          <w:lang w:val="en-US"/>
        </w:rPr>
        <w:t>)</w:t>
      </w:r>
      <w:r>
        <w:rPr>
          <w:szCs w:val="24"/>
          <w:lang w:val="en-US"/>
        </w:rPr>
        <w:t>,</w:t>
      </w:r>
      <w:r w:rsidR="00025D6B">
        <w:rPr>
          <w:szCs w:val="24"/>
          <w:lang w:val="en-US"/>
        </w:rPr>
        <w:t xml:space="preserve"> </w:t>
      </w:r>
      <w:r w:rsidR="00B17768" w:rsidRPr="00E20DFA">
        <w:rPr>
          <w:szCs w:val="24"/>
          <w:lang w:val="en-US"/>
        </w:rPr>
        <w:t xml:space="preserve">their </w:t>
      </w:r>
      <w:r w:rsidR="00025D6B">
        <w:rPr>
          <w:szCs w:val="24"/>
          <w:lang w:val="en-US"/>
        </w:rPr>
        <w:t xml:space="preserve">high </w:t>
      </w:r>
      <w:r>
        <w:rPr>
          <w:szCs w:val="24"/>
          <w:lang w:val="en-US"/>
        </w:rPr>
        <w:t xml:space="preserve">degree of </w:t>
      </w:r>
      <w:r w:rsidR="00B17768" w:rsidRPr="00E20DFA">
        <w:rPr>
          <w:szCs w:val="24"/>
          <w:lang w:val="en-US"/>
        </w:rPr>
        <w:t xml:space="preserve">involvement may result in disputes over </w:t>
      </w:r>
      <w:r w:rsidR="00025D6B">
        <w:rPr>
          <w:szCs w:val="24"/>
          <w:lang w:val="en-US"/>
        </w:rPr>
        <w:t xml:space="preserve">the </w:t>
      </w:r>
      <w:r w:rsidR="00B17768" w:rsidRPr="00E20DFA">
        <w:rPr>
          <w:szCs w:val="24"/>
          <w:lang w:val="en-US"/>
        </w:rPr>
        <w:t>education or upbringing of the grandchild. Parenting practices and standards may be directly questioned or undermined. In general, grandparent’s inability to maintain the righ</w:t>
      </w:r>
      <w:r w:rsidR="000C7CBE">
        <w:rPr>
          <w:szCs w:val="24"/>
          <w:lang w:val="en-US"/>
        </w:rPr>
        <w:t>t distance can create conflict (</w:t>
      </w:r>
      <w:r w:rsidR="00B17768" w:rsidRPr="00E20DFA">
        <w:rPr>
          <w:szCs w:val="24"/>
          <w:lang w:val="en-GB"/>
        </w:rPr>
        <w:t>Attias-Donfut</w:t>
      </w:r>
      <w:r w:rsidR="000C7CBE">
        <w:rPr>
          <w:szCs w:val="24"/>
          <w:lang w:val="en-GB"/>
        </w:rPr>
        <w:t xml:space="preserve"> &amp;</w:t>
      </w:r>
      <w:r w:rsidR="00B17768" w:rsidRPr="00E20DFA">
        <w:rPr>
          <w:szCs w:val="24"/>
          <w:lang w:val="en-GB"/>
        </w:rPr>
        <w:t xml:space="preserve"> Segalen</w:t>
      </w:r>
      <w:r w:rsidR="000C7CBE">
        <w:rPr>
          <w:szCs w:val="24"/>
          <w:lang w:val="en-GB"/>
        </w:rPr>
        <w:t>,</w:t>
      </w:r>
      <w:r w:rsidR="00B17768" w:rsidRPr="00E20DFA">
        <w:rPr>
          <w:szCs w:val="24"/>
          <w:lang w:val="en-GB"/>
        </w:rPr>
        <w:t xml:space="preserve"> 2002</w:t>
      </w:r>
      <w:r w:rsidR="000C7CBE">
        <w:rPr>
          <w:szCs w:val="24"/>
          <w:lang w:val="en-GB"/>
        </w:rPr>
        <w:t>)</w:t>
      </w:r>
      <w:r w:rsidR="00B17768" w:rsidRPr="00E20DFA">
        <w:rPr>
          <w:szCs w:val="24"/>
          <w:lang w:val="en-US"/>
        </w:rPr>
        <w:t xml:space="preserve">. </w:t>
      </w:r>
      <w:r w:rsidR="00B17768" w:rsidRPr="00E20DFA">
        <w:rPr>
          <w:szCs w:val="24"/>
          <w:lang w:val="en-GB"/>
        </w:rPr>
        <w:t>Such conflict</w:t>
      </w:r>
      <w:r w:rsidR="00E7165B">
        <w:rPr>
          <w:szCs w:val="24"/>
          <w:lang w:val="en-GB"/>
        </w:rPr>
        <w:t>-laden</w:t>
      </w:r>
      <w:r w:rsidR="00BE78E7">
        <w:rPr>
          <w:szCs w:val="24"/>
          <w:lang w:val="en-GB"/>
        </w:rPr>
        <w:t xml:space="preserve"> </w:t>
      </w:r>
      <w:r w:rsidR="00B17768" w:rsidRPr="00E20DFA">
        <w:rPr>
          <w:szCs w:val="24"/>
          <w:lang w:val="en-GB"/>
        </w:rPr>
        <w:t xml:space="preserve">environment can then have </w:t>
      </w:r>
      <w:r w:rsidR="00BE78E7">
        <w:rPr>
          <w:szCs w:val="24"/>
          <w:lang w:val="en-GB"/>
        </w:rPr>
        <w:t xml:space="preserve">a </w:t>
      </w:r>
      <w:r w:rsidR="00B17768" w:rsidRPr="00E20DFA">
        <w:rPr>
          <w:szCs w:val="24"/>
          <w:lang w:val="en-GB"/>
        </w:rPr>
        <w:t xml:space="preserve">negative impact on the offspring, since the child does not know who the primary authority </w:t>
      </w:r>
      <w:r w:rsidR="00E20DFA">
        <w:rPr>
          <w:szCs w:val="24"/>
          <w:lang w:val="en-GB"/>
        </w:rPr>
        <w:t>is</w:t>
      </w:r>
      <w:r w:rsidR="00BE78E7">
        <w:rPr>
          <w:szCs w:val="24"/>
          <w:lang w:val="en-GB"/>
        </w:rPr>
        <w:t>,</w:t>
      </w:r>
      <w:r w:rsidR="00E20DFA">
        <w:rPr>
          <w:szCs w:val="24"/>
          <w:lang w:val="en-GB"/>
        </w:rPr>
        <w:t xml:space="preserve"> </w:t>
      </w:r>
      <w:r w:rsidR="00B17768" w:rsidRPr="00E20DFA">
        <w:rPr>
          <w:szCs w:val="24"/>
          <w:lang w:val="en-GB"/>
        </w:rPr>
        <w:t>and/or suffers stress</w:t>
      </w:r>
      <w:r w:rsidR="00E20DFA">
        <w:rPr>
          <w:szCs w:val="24"/>
          <w:lang w:val="en-GB"/>
        </w:rPr>
        <w:t xml:space="preserve"> as a consequence</w:t>
      </w:r>
      <w:r w:rsidR="00B17768" w:rsidRPr="00E20DFA">
        <w:rPr>
          <w:szCs w:val="24"/>
          <w:lang w:val="en-GB"/>
        </w:rPr>
        <w:t xml:space="preserve"> </w:t>
      </w:r>
      <w:r w:rsidR="000C7CBE">
        <w:rPr>
          <w:szCs w:val="24"/>
          <w:lang w:val="en-GB"/>
        </w:rPr>
        <w:t>(</w:t>
      </w:r>
      <w:r w:rsidR="003C1BBC">
        <w:rPr>
          <w:szCs w:val="24"/>
          <w:lang w:val="en-GB"/>
        </w:rPr>
        <w:t>Dunifon &amp;</w:t>
      </w:r>
      <w:r w:rsidR="003C1BBC" w:rsidRPr="00E20DFA">
        <w:rPr>
          <w:szCs w:val="24"/>
          <w:lang w:val="en-GB"/>
        </w:rPr>
        <w:t xml:space="preserve"> Kowaleski-Jones</w:t>
      </w:r>
      <w:r w:rsidR="003C1BBC">
        <w:rPr>
          <w:szCs w:val="24"/>
          <w:lang w:val="en-GB"/>
        </w:rPr>
        <w:t xml:space="preserve">, 2007; </w:t>
      </w:r>
      <w:r w:rsidR="000C7CBE">
        <w:rPr>
          <w:szCs w:val="24"/>
          <w:lang w:val="en-GB"/>
        </w:rPr>
        <w:t>Pong &amp;</w:t>
      </w:r>
      <w:r w:rsidR="00B17768" w:rsidRPr="00E20DFA">
        <w:rPr>
          <w:szCs w:val="24"/>
          <w:lang w:val="en-GB"/>
        </w:rPr>
        <w:t xml:space="preserve"> Chen</w:t>
      </w:r>
      <w:r w:rsidR="003C1BBC">
        <w:rPr>
          <w:szCs w:val="24"/>
          <w:lang w:val="en-GB"/>
        </w:rPr>
        <w:t>, 2010</w:t>
      </w:r>
      <w:r w:rsidR="000C7CBE">
        <w:rPr>
          <w:szCs w:val="24"/>
          <w:lang w:val="en-GB"/>
        </w:rPr>
        <w:t>)</w:t>
      </w:r>
      <w:r w:rsidR="00B17768" w:rsidRPr="00E20DFA">
        <w:rPr>
          <w:szCs w:val="24"/>
          <w:lang w:val="en-GB"/>
        </w:rPr>
        <w:t xml:space="preserve">. Furthermore, grandchildren </w:t>
      </w:r>
      <w:r w:rsidR="00E7165B">
        <w:rPr>
          <w:szCs w:val="24"/>
          <w:lang w:val="en-GB"/>
        </w:rPr>
        <w:t>may</w:t>
      </w:r>
      <w:r w:rsidR="00B17768" w:rsidRPr="00E20DFA">
        <w:rPr>
          <w:szCs w:val="24"/>
          <w:lang w:val="en-GB"/>
        </w:rPr>
        <w:t xml:space="preserve"> be deprived of a certain proportion of family resources that are redirected to the grandparent</w:t>
      </w:r>
      <w:r w:rsidR="00140727">
        <w:rPr>
          <w:szCs w:val="24"/>
          <w:lang w:val="en-GB"/>
        </w:rPr>
        <w:t>–</w:t>
      </w:r>
      <w:r w:rsidR="00B17768" w:rsidRPr="00E20DFA">
        <w:rPr>
          <w:szCs w:val="24"/>
          <w:lang w:val="en-GB"/>
        </w:rPr>
        <w:t>be th</w:t>
      </w:r>
      <w:r w:rsidR="00E7165B">
        <w:rPr>
          <w:szCs w:val="24"/>
          <w:lang w:val="en-GB"/>
        </w:rPr>
        <w:t>e</w:t>
      </w:r>
      <w:r w:rsidR="00B17768" w:rsidRPr="00E20DFA">
        <w:rPr>
          <w:szCs w:val="24"/>
          <w:lang w:val="en-GB"/>
        </w:rPr>
        <w:t>se resources monetary</w:t>
      </w:r>
      <w:r w:rsidR="00CB6E54">
        <w:rPr>
          <w:szCs w:val="24"/>
          <w:lang w:val="en-GB"/>
        </w:rPr>
        <w:t xml:space="preserve"> (e.g. the cost of health care)</w:t>
      </w:r>
      <w:r w:rsidR="00B17768" w:rsidRPr="00E20DFA">
        <w:rPr>
          <w:szCs w:val="24"/>
          <w:lang w:val="en-GB"/>
        </w:rPr>
        <w:t>, material (such as own room to study and do homework</w:t>
      </w:r>
      <w:r w:rsidR="00E20DFA">
        <w:rPr>
          <w:szCs w:val="24"/>
          <w:lang w:val="en-GB"/>
        </w:rPr>
        <w:t xml:space="preserve"> in quiet</w:t>
      </w:r>
      <w:r w:rsidR="00B17768" w:rsidRPr="00E20DFA">
        <w:rPr>
          <w:szCs w:val="24"/>
          <w:lang w:val="en-GB"/>
        </w:rPr>
        <w:t>), or other (</w:t>
      </w:r>
      <w:r w:rsidR="008C7F7A">
        <w:rPr>
          <w:szCs w:val="24"/>
          <w:lang w:val="en-GB"/>
        </w:rPr>
        <w:t xml:space="preserve">parental time, attention etc.) </w:t>
      </w:r>
      <w:r w:rsidR="00A81397">
        <w:rPr>
          <w:szCs w:val="24"/>
          <w:lang w:val="en-GB"/>
        </w:rPr>
        <w:t>(</w:t>
      </w:r>
      <w:r w:rsidR="003C1BBC">
        <w:rPr>
          <w:szCs w:val="24"/>
          <w:lang w:val="en-GB"/>
        </w:rPr>
        <w:t xml:space="preserve">de </w:t>
      </w:r>
      <w:r w:rsidR="003C1BBC" w:rsidRPr="00B97D09">
        <w:rPr>
          <w:szCs w:val="24"/>
          <w:lang w:val="en-GB"/>
        </w:rPr>
        <w:t>Jong Gierveld et al., 2001</w:t>
      </w:r>
      <w:r w:rsidR="003C1BBC">
        <w:rPr>
          <w:szCs w:val="24"/>
          <w:lang w:val="en-GB"/>
        </w:rPr>
        <w:t xml:space="preserve">; </w:t>
      </w:r>
      <w:r w:rsidR="00B17768" w:rsidRPr="00E20DFA">
        <w:rPr>
          <w:szCs w:val="24"/>
          <w:lang w:val="en-GB"/>
        </w:rPr>
        <w:t>Pong</w:t>
      </w:r>
      <w:r w:rsidR="00A81397">
        <w:rPr>
          <w:szCs w:val="24"/>
          <w:lang w:val="en-GB"/>
        </w:rPr>
        <w:t xml:space="preserve"> &amp;</w:t>
      </w:r>
      <w:r w:rsidR="00B17768" w:rsidRPr="00E20DFA">
        <w:rPr>
          <w:szCs w:val="24"/>
          <w:lang w:val="en-GB"/>
        </w:rPr>
        <w:t xml:space="preserve"> Chen</w:t>
      </w:r>
      <w:r w:rsidR="00A81397">
        <w:rPr>
          <w:szCs w:val="24"/>
          <w:lang w:val="en-GB"/>
        </w:rPr>
        <w:t>,</w:t>
      </w:r>
      <w:r w:rsidR="003C1BBC">
        <w:rPr>
          <w:szCs w:val="24"/>
          <w:lang w:val="en-GB"/>
        </w:rPr>
        <w:t xml:space="preserve"> 2007, 2010</w:t>
      </w:r>
      <w:r w:rsidR="00A81397" w:rsidRPr="00B97D09">
        <w:rPr>
          <w:szCs w:val="24"/>
          <w:lang w:val="en-GB"/>
        </w:rPr>
        <w:t>)</w:t>
      </w:r>
      <w:r w:rsidR="00B17768" w:rsidRPr="00B97D09">
        <w:rPr>
          <w:szCs w:val="24"/>
          <w:lang w:val="en-GB"/>
        </w:rPr>
        <w:t>.</w:t>
      </w:r>
    </w:p>
    <w:p w14:paraId="76367E8E" w14:textId="5F04075F" w:rsidR="0043473B" w:rsidRPr="00514BA9" w:rsidRDefault="00025D6B" w:rsidP="006F30EE">
      <w:pPr>
        <w:spacing w:line="480" w:lineRule="auto"/>
        <w:rPr>
          <w:szCs w:val="24"/>
          <w:lang w:val="en-GB"/>
        </w:rPr>
      </w:pPr>
      <w:r>
        <w:rPr>
          <w:szCs w:val="24"/>
          <w:lang w:val="en-GB"/>
        </w:rPr>
        <w:t>T</w:t>
      </w:r>
      <w:r w:rsidR="0043473B" w:rsidRPr="00514BA9">
        <w:rPr>
          <w:szCs w:val="24"/>
          <w:lang w:val="en-GB"/>
        </w:rPr>
        <w:t xml:space="preserve">he negative effect </w:t>
      </w:r>
      <w:r>
        <w:rPr>
          <w:szCs w:val="24"/>
          <w:lang w:val="en-GB"/>
        </w:rPr>
        <w:t xml:space="preserve">of </w:t>
      </w:r>
      <w:r w:rsidR="00731759">
        <w:rPr>
          <w:szCs w:val="24"/>
          <w:lang w:val="en-GB"/>
        </w:rPr>
        <w:t>cores</w:t>
      </w:r>
      <w:r>
        <w:rPr>
          <w:szCs w:val="24"/>
          <w:lang w:val="en-GB"/>
        </w:rPr>
        <w:t xml:space="preserve">idence </w:t>
      </w:r>
      <w:r w:rsidR="0043473B" w:rsidRPr="00514BA9">
        <w:rPr>
          <w:szCs w:val="24"/>
          <w:lang w:val="en-GB"/>
        </w:rPr>
        <w:t xml:space="preserve">identified in </w:t>
      </w:r>
      <w:r w:rsidR="00E7165B">
        <w:rPr>
          <w:szCs w:val="24"/>
          <w:lang w:val="en-GB"/>
        </w:rPr>
        <w:t>the</w:t>
      </w:r>
      <w:r w:rsidR="0043473B" w:rsidRPr="00514BA9">
        <w:rPr>
          <w:szCs w:val="24"/>
          <w:lang w:val="en-GB"/>
        </w:rPr>
        <w:t xml:space="preserve"> regression</w:t>
      </w:r>
      <w:r w:rsidR="000814DA" w:rsidRPr="00514BA9">
        <w:rPr>
          <w:szCs w:val="24"/>
          <w:lang w:val="en-GB"/>
        </w:rPr>
        <w:t xml:space="preserve">-type </w:t>
      </w:r>
      <w:r w:rsidR="0043473B" w:rsidRPr="00514BA9">
        <w:rPr>
          <w:szCs w:val="24"/>
          <w:lang w:val="en-GB"/>
        </w:rPr>
        <w:t xml:space="preserve">model (a typical </w:t>
      </w:r>
      <w:r w:rsidR="000814DA" w:rsidRPr="00514BA9">
        <w:rPr>
          <w:szCs w:val="24"/>
          <w:lang w:val="en-GB"/>
        </w:rPr>
        <w:t xml:space="preserve">analytical tool </w:t>
      </w:r>
      <w:r w:rsidR="00E7165B">
        <w:rPr>
          <w:szCs w:val="24"/>
          <w:lang w:val="en-GB"/>
        </w:rPr>
        <w:t>for</w:t>
      </w:r>
      <w:r w:rsidR="0043473B" w:rsidRPr="00514BA9">
        <w:rPr>
          <w:szCs w:val="24"/>
          <w:lang w:val="en-GB"/>
        </w:rPr>
        <w:t xml:space="preserve"> most studies) may result from non-random selection into </w:t>
      </w:r>
      <w:r w:rsidR="00731759">
        <w:rPr>
          <w:szCs w:val="24"/>
          <w:lang w:val="en-GB"/>
        </w:rPr>
        <w:t>cores</w:t>
      </w:r>
      <w:r w:rsidR="00251BAD">
        <w:rPr>
          <w:szCs w:val="24"/>
          <w:lang w:val="en-GB"/>
        </w:rPr>
        <w:t>i</w:t>
      </w:r>
      <w:r w:rsidR="00A81397">
        <w:rPr>
          <w:szCs w:val="24"/>
          <w:lang w:val="en-GB"/>
        </w:rPr>
        <w:t>dence: “</w:t>
      </w:r>
      <w:r w:rsidR="0043473B" w:rsidRPr="00A81397">
        <w:rPr>
          <w:szCs w:val="24"/>
          <w:lang w:val="en-GB"/>
        </w:rPr>
        <w:t>it is</w:t>
      </w:r>
      <w:r w:rsidR="0043473B" w:rsidRPr="00514BA9">
        <w:rPr>
          <w:szCs w:val="24"/>
          <w:lang w:val="en-GB"/>
        </w:rPr>
        <w:t xml:space="preserve"> hypothesised that the children’s difficulties may be due to the family difficulties which led t</w:t>
      </w:r>
      <w:r w:rsidR="00A81397">
        <w:rPr>
          <w:szCs w:val="24"/>
          <w:lang w:val="en-GB"/>
        </w:rPr>
        <w:t>o the grandparent’s involvement”</w:t>
      </w:r>
      <w:r w:rsidR="0043473B" w:rsidRPr="00514BA9">
        <w:rPr>
          <w:szCs w:val="24"/>
          <w:lang w:val="en-GB"/>
        </w:rPr>
        <w:t xml:space="preserve"> </w:t>
      </w:r>
      <w:r w:rsidR="00A81397">
        <w:rPr>
          <w:szCs w:val="24"/>
          <w:lang w:val="en-GB"/>
        </w:rPr>
        <w:t>(</w:t>
      </w:r>
      <w:r w:rsidR="0043473B" w:rsidRPr="00514BA9">
        <w:rPr>
          <w:szCs w:val="24"/>
          <w:lang w:val="en-GB"/>
        </w:rPr>
        <w:t>Glaser et al</w:t>
      </w:r>
      <w:r w:rsidR="00A81397">
        <w:rPr>
          <w:szCs w:val="24"/>
          <w:lang w:val="en-GB"/>
        </w:rPr>
        <w:t>.,</w:t>
      </w:r>
      <w:r w:rsidR="0043473B" w:rsidRPr="00514BA9">
        <w:rPr>
          <w:szCs w:val="24"/>
          <w:lang w:val="en-GB"/>
        </w:rPr>
        <w:t xml:space="preserve"> 2010</w:t>
      </w:r>
      <w:r w:rsidR="00DE4055">
        <w:rPr>
          <w:szCs w:val="24"/>
          <w:lang w:val="en-GB"/>
        </w:rPr>
        <w:t>, p.</w:t>
      </w:r>
      <w:r w:rsidR="0043473B" w:rsidRPr="00514BA9">
        <w:rPr>
          <w:szCs w:val="24"/>
          <w:lang w:val="en-GB"/>
        </w:rPr>
        <w:t xml:space="preserve"> 33; see a</w:t>
      </w:r>
      <w:r w:rsidR="00A81397">
        <w:rPr>
          <w:szCs w:val="24"/>
          <w:lang w:val="en-GB"/>
        </w:rPr>
        <w:t xml:space="preserve">lso Cherlin </w:t>
      </w:r>
      <w:r w:rsidR="00A81397">
        <w:rPr>
          <w:szCs w:val="24"/>
          <w:lang w:val="en-US"/>
        </w:rPr>
        <w:t>&amp;</w:t>
      </w:r>
      <w:r w:rsidR="0043473B" w:rsidRPr="00514BA9">
        <w:rPr>
          <w:szCs w:val="24"/>
          <w:lang w:val="en-GB"/>
        </w:rPr>
        <w:t>Furstenberg</w:t>
      </w:r>
      <w:r w:rsidR="00A81397">
        <w:rPr>
          <w:szCs w:val="24"/>
          <w:lang w:val="en-GB"/>
        </w:rPr>
        <w:t>,</w:t>
      </w:r>
      <w:r w:rsidR="0043473B" w:rsidRPr="00514BA9">
        <w:rPr>
          <w:szCs w:val="24"/>
          <w:lang w:val="en-GB"/>
        </w:rPr>
        <w:t xml:space="preserve"> </w:t>
      </w:r>
      <w:r w:rsidR="0043473B" w:rsidRPr="00514BA9">
        <w:rPr>
          <w:szCs w:val="24"/>
          <w:lang w:val="en-GB"/>
        </w:rPr>
        <w:lastRenderedPageBreak/>
        <w:t xml:space="preserve">1992; </w:t>
      </w:r>
      <w:r w:rsidR="00514BA9" w:rsidRPr="00514BA9">
        <w:rPr>
          <w:szCs w:val="24"/>
          <w:lang w:eastAsia="cs-CZ"/>
        </w:rPr>
        <w:t xml:space="preserve">McLanahan </w:t>
      </w:r>
      <w:r w:rsidR="00A81397">
        <w:rPr>
          <w:szCs w:val="24"/>
          <w:lang w:eastAsia="cs-CZ"/>
        </w:rPr>
        <w:t>&amp;</w:t>
      </w:r>
      <w:r w:rsidR="00514BA9" w:rsidRPr="00514BA9">
        <w:rPr>
          <w:szCs w:val="24"/>
          <w:lang w:eastAsia="cs-CZ"/>
        </w:rPr>
        <w:t xml:space="preserve"> Sandefur</w:t>
      </w:r>
      <w:r w:rsidR="00A81397">
        <w:rPr>
          <w:szCs w:val="24"/>
          <w:lang w:eastAsia="cs-CZ"/>
        </w:rPr>
        <w:t>,</w:t>
      </w:r>
      <w:r w:rsidR="00514BA9" w:rsidRPr="00514BA9">
        <w:rPr>
          <w:szCs w:val="24"/>
          <w:lang w:eastAsia="cs-CZ"/>
        </w:rPr>
        <w:t xml:space="preserve"> 1994</w:t>
      </w:r>
      <w:r w:rsidR="00514BA9" w:rsidRPr="00514BA9">
        <w:rPr>
          <w:szCs w:val="24"/>
          <w:lang w:val="en-US" w:eastAsia="cs-CZ"/>
        </w:rPr>
        <w:t xml:space="preserve">; </w:t>
      </w:r>
      <w:r w:rsidR="00A81397">
        <w:rPr>
          <w:szCs w:val="24"/>
          <w:lang w:val="en-GB"/>
        </w:rPr>
        <w:t xml:space="preserve">Pong &amp; </w:t>
      </w:r>
      <w:r w:rsidR="0043473B" w:rsidRPr="00514BA9">
        <w:rPr>
          <w:szCs w:val="24"/>
          <w:lang w:val="en-GB"/>
        </w:rPr>
        <w:t>Chen</w:t>
      </w:r>
      <w:r w:rsidR="00A81397">
        <w:rPr>
          <w:szCs w:val="24"/>
          <w:lang w:val="en-GB"/>
        </w:rPr>
        <w:t>,</w:t>
      </w:r>
      <w:r w:rsidR="0043473B" w:rsidRPr="00514BA9">
        <w:rPr>
          <w:szCs w:val="24"/>
          <w:lang w:val="en-GB"/>
        </w:rPr>
        <w:t xml:space="preserve"> 2007</w:t>
      </w:r>
      <w:r w:rsidR="00A81397">
        <w:rPr>
          <w:szCs w:val="24"/>
          <w:lang w:val="en-GB"/>
        </w:rPr>
        <w:t>)</w:t>
      </w:r>
      <w:r w:rsidR="0043473B" w:rsidRPr="00514BA9">
        <w:rPr>
          <w:szCs w:val="24"/>
          <w:lang w:val="en-GB"/>
        </w:rPr>
        <w:t xml:space="preserve">. </w:t>
      </w:r>
      <w:r w:rsidR="000814DA" w:rsidRPr="00514BA9">
        <w:rPr>
          <w:szCs w:val="24"/>
          <w:lang w:val="en-GB"/>
        </w:rPr>
        <w:t xml:space="preserve">Moreover, there seems to be selection </w:t>
      </w:r>
      <w:r w:rsidR="00420322" w:rsidRPr="00514BA9">
        <w:rPr>
          <w:szCs w:val="24"/>
          <w:lang w:val="en-GB"/>
        </w:rPr>
        <w:t xml:space="preserve">into </w:t>
      </w:r>
      <w:r w:rsidR="00731759">
        <w:rPr>
          <w:szCs w:val="24"/>
          <w:lang w:val="en-GB"/>
        </w:rPr>
        <w:t>cores</w:t>
      </w:r>
      <w:r w:rsidR="00420322">
        <w:rPr>
          <w:szCs w:val="24"/>
          <w:lang w:val="en-GB"/>
        </w:rPr>
        <w:t>i</w:t>
      </w:r>
      <w:r w:rsidR="00420322" w:rsidRPr="00514BA9">
        <w:rPr>
          <w:szCs w:val="24"/>
          <w:lang w:val="en-GB"/>
        </w:rPr>
        <w:t>dence</w:t>
      </w:r>
      <w:r w:rsidR="00420322">
        <w:rPr>
          <w:szCs w:val="24"/>
          <w:lang w:val="en-GB"/>
        </w:rPr>
        <w:t xml:space="preserve"> on </w:t>
      </w:r>
      <w:r w:rsidR="000814DA" w:rsidRPr="00514BA9">
        <w:rPr>
          <w:szCs w:val="24"/>
          <w:lang w:val="en-GB"/>
        </w:rPr>
        <w:t xml:space="preserve">socioeconomic status. </w:t>
      </w:r>
      <w:r w:rsidR="000814DA" w:rsidRPr="00514BA9">
        <w:rPr>
          <w:szCs w:val="24"/>
          <w:lang w:val="en-US"/>
        </w:rPr>
        <w:t>M</w:t>
      </w:r>
      <w:r w:rsidR="000814DA" w:rsidRPr="00514BA9">
        <w:rPr>
          <w:szCs w:val="24"/>
          <w:lang w:val="en-GB"/>
        </w:rPr>
        <w:t xml:space="preserve">ore </w:t>
      </w:r>
      <w:r w:rsidR="00E7165B">
        <w:rPr>
          <w:szCs w:val="24"/>
          <w:lang w:val="en-GB"/>
        </w:rPr>
        <w:t>highly-</w:t>
      </w:r>
      <w:r w:rsidR="000814DA" w:rsidRPr="00514BA9">
        <w:rPr>
          <w:szCs w:val="24"/>
          <w:lang w:val="en-GB"/>
        </w:rPr>
        <w:t xml:space="preserve">educated grandparents prefer independent living and more </w:t>
      </w:r>
      <w:r w:rsidR="00E7165B">
        <w:rPr>
          <w:szCs w:val="24"/>
          <w:lang w:val="en-GB"/>
        </w:rPr>
        <w:t>highly-</w:t>
      </w:r>
      <w:r w:rsidR="000814DA" w:rsidRPr="00514BA9">
        <w:rPr>
          <w:szCs w:val="24"/>
          <w:lang w:val="en-GB"/>
        </w:rPr>
        <w:t xml:space="preserve">educated parents prefer non-familial care for their children </w:t>
      </w:r>
      <w:r w:rsidR="00A81397">
        <w:rPr>
          <w:szCs w:val="24"/>
          <w:lang w:val="en-US"/>
        </w:rPr>
        <w:t>(</w:t>
      </w:r>
      <w:r w:rsidR="003C1BBC" w:rsidRPr="00514BA9">
        <w:rPr>
          <w:szCs w:val="24"/>
          <w:lang w:val="en-GB"/>
        </w:rPr>
        <w:t xml:space="preserve">Pong </w:t>
      </w:r>
      <w:r w:rsidR="003C1BBC">
        <w:rPr>
          <w:szCs w:val="24"/>
          <w:lang w:val="en-GB"/>
        </w:rPr>
        <w:t>&amp;</w:t>
      </w:r>
      <w:r w:rsidR="003C1BBC" w:rsidRPr="00514BA9">
        <w:rPr>
          <w:szCs w:val="24"/>
          <w:lang w:val="en-GB"/>
        </w:rPr>
        <w:t xml:space="preserve"> Chen</w:t>
      </w:r>
      <w:r w:rsidR="003C1BBC">
        <w:rPr>
          <w:szCs w:val="24"/>
          <w:lang w:val="en-GB"/>
        </w:rPr>
        <w:t xml:space="preserve">, 2007; </w:t>
      </w:r>
      <w:r w:rsidR="00F0756D">
        <w:rPr>
          <w:szCs w:val="24"/>
          <w:lang w:val="en-GB"/>
        </w:rPr>
        <w:t>Pong et al.</w:t>
      </w:r>
      <w:r w:rsidR="00A81397">
        <w:rPr>
          <w:szCs w:val="24"/>
          <w:lang w:val="en-GB"/>
        </w:rPr>
        <w:t>,</w:t>
      </w:r>
      <w:r w:rsidR="003C1BBC">
        <w:rPr>
          <w:szCs w:val="24"/>
          <w:lang w:val="en-GB"/>
        </w:rPr>
        <w:t xml:space="preserve"> 2004</w:t>
      </w:r>
      <w:r w:rsidR="00621DD0">
        <w:rPr>
          <w:szCs w:val="24"/>
          <w:lang w:val="en-GB"/>
        </w:rPr>
        <w:t>)</w:t>
      </w:r>
      <w:r w:rsidR="000814DA" w:rsidRPr="00514BA9">
        <w:rPr>
          <w:szCs w:val="24"/>
          <w:lang w:val="en-GB"/>
        </w:rPr>
        <w:t xml:space="preserve">. Hence </w:t>
      </w:r>
      <w:r w:rsidR="00731759">
        <w:rPr>
          <w:szCs w:val="24"/>
          <w:lang w:val="en-GB"/>
        </w:rPr>
        <w:t>cores</w:t>
      </w:r>
      <w:r w:rsidR="00251BAD">
        <w:rPr>
          <w:szCs w:val="24"/>
          <w:lang w:val="en-GB"/>
        </w:rPr>
        <w:t>i</w:t>
      </w:r>
      <w:r w:rsidR="000814DA" w:rsidRPr="00514BA9">
        <w:rPr>
          <w:szCs w:val="24"/>
          <w:lang w:val="en-GB"/>
        </w:rPr>
        <w:t xml:space="preserve">dence may be more common among the lower classes and the </w:t>
      </w:r>
      <w:r>
        <w:rPr>
          <w:szCs w:val="24"/>
          <w:lang w:val="en-GB"/>
        </w:rPr>
        <w:t xml:space="preserve">negative </w:t>
      </w:r>
      <w:r w:rsidR="000814DA" w:rsidRPr="00514BA9">
        <w:rPr>
          <w:szCs w:val="24"/>
          <w:lang w:val="en-GB"/>
        </w:rPr>
        <w:t xml:space="preserve">effect of </w:t>
      </w:r>
      <w:r>
        <w:rPr>
          <w:szCs w:val="24"/>
          <w:lang w:val="en-GB"/>
        </w:rPr>
        <w:t xml:space="preserve">low </w:t>
      </w:r>
      <w:r w:rsidR="000814DA" w:rsidRPr="00514BA9">
        <w:rPr>
          <w:szCs w:val="24"/>
          <w:lang w:val="en-GB"/>
        </w:rPr>
        <w:t xml:space="preserve">SES may be confounded </w:t>
      </w:r>
      <w:r>
        <w:rPr>
          <w:szCs w:val="24"/>
          <w:lang w:val="en-GB"/>
        </w:rPr>
        <w:t xml:space="preserve">with </w:t>
      </w:r>
      <w:r w:rsidR="000814DA" w:rsidRPr="00514BA9">
        <w:rPr>
          <w:szCs w:val="24"/>
          <w:lang w:val="en-GB"/>
        </w:rPr>
        <w:t xml:space="preserve">the effect of </w:t>
      </w:r>
      <w:r w:rsidR="00731759">
        <w:rPr>
          <w:szCs w:val="24"/>
          <w:lang w:val="en-GB"/>
        </w:rPr>
        <w:t>cores</w:t>
      </w:r>
      <w:r w:rsidR="00251BAD">
        <w:rPr>
          <w:szCs w:val="24"/>
          <w:lang w:val="en-GB"/>
        </w:rPr>
        <w:t>i</w:t>
      </w:r>
      <w:r w:rsidR="000814DA" w:rsidRPr="00514BA9">
        <w:rPr>
          <w:szCs w:val="24"/>
          <w:lang w:val="en-GB"/>
        </w:rPr>
        <w:t xml:space="preserve">dence. </w:t>
      </w:r>
      <w:r w:rsidR="0043473B" w:rsidRPr="00514BA9">
        <w:rPr>
          <w:szCs w:val="24"/>
          <w:lang w:val="en-GB"/>
        </w:rPr>
        <w:t xml:space="preserve">Indeed, the </w:t>
      </w:r>
      <w:r w:rsidR="000814DA" w:rsidRPr="00514BA9">
        <w:rPr>
          <w:szCs w:val="24"/>
          <w:lang w:val="en-GB"/>
        </w:rPr>
        <w:t xml:space="preserve">estimated </w:t>
      </w:r>
      <w:r w:rsidR="0043473B" w:rsidRPr="00514BA9">
        <w:rPr>
          <w:szCs w:val="24"/>
          <w:lang w:val="en-GB"/>
        </w:rPr>
        <w:t xml:space="preserve">effect of </w:t>
      </w:r>
      <w:r w:rsidR="00731759">
        <w:rPr>
          <w:szCs w:val="24"/>
          <w:lang w:val="en-GB"/>
        </w:rPr>
        <w:t>cores</w:t>
      </w:r>
      <w:r w:rsidR="00251BAD">
        <w:rPr>
          <w:szCs w:val="24"/>
          <w:lang w:val="en-GB"/>
        </w:rPr>
        <w:t>i</w:t>
      </w:r>
      <w:r w:rsidR="0043473B" w:rsidRPr="00514BA9">
        <w:rPr>
          <w:szCs w:val="24"/>
          <w:lang w:val="en-GB"/>
        </w:rPr>
        <w:t xml:space="preserve">dence </w:t>
      </w:r>
      <w:r w:rsidR="000814DA" w:rsidRPr="00514BA9">
        <w:rPr>
          <w:szCs w:val="24"/>
          <w:lang w:val="en-GB"/>
        </w:rPr>
        <w:t xml:space="preserve">in these studies </w:t>
      </w:r>
      <w:r w:rsidR="0043473B" w:rsidRPr="00514BA9">
        <w:rPr>
          <w:szCs w:val="24"/>
          <w:lang w:val="en-GB"/>
        </w:rPr>
        <w:t xml:space="preserve">is </w:t>
      </w:r>
      <w:r w:rsidR="000814DA" w:rsidRPr="00514BA9">
        <w:rPr>
          <w:szCs w:val="24"/>
          <w:lang w:val="en-GB"/>
        </w:rPr>
        <w:t xml:space="preserve">frequently </w:t>
      </w:r>
      <w:r w:rsidR="0043473B" w:rsidRPr="00514BA9">
        <w:rPr>
          <w:szCs w:val="24"/>
          <w:lang w:val="en-GB"/>
        </w:rPr>
        <w:t>neg</w:t>
      </w:r>
      <w:r w:rsidR="00A81397">
        <w:rPr>
          <w:szCs w:val="24"/>
          <w:lang w:val="en-GB"/>
        </w:rPr>
        <w:t xml:space="preserve">ative (see also </w:t>
      </w:r>
      <w:r w:rsidR="0050240D" w:rsidRPr="00514BA9">
        <w:rPr>
          <w:szCs w:val="24"/>
          <w:lang w:val="en-GB"/>
        </w:rPr>
        <w:t>Monseru</w:t>
      </w:r>
      <w:r w:rsidR="00EE78DF">
        <w:rPr>
          <w:szCs w:val="24"/>
          <w:lang w:val="en-GB"/>
        </w:rPr>
        <w:t>d</w:t>
      </w:r>
      <w:r w:rsidR="00A81397">
        <w:rPr>
          <w:szCs w:val="24"/>
          <w:lang w:val="en-GB"/>
        </w:rPr>
        <w:t xml:space="preserve"> &amp;</w:t>
      </w:r>
      <w:r w:rsidR="0043473B" w:rsidRPr="00514BA9">
        <w:rPr>
          <w:szCs w:val="24"/>
          <w:lang w:val="en-GB"/>
        </w:rPr>
        <w:t xml:space="preserve"> Elder</w:t>
      </w:r>
      <w:r w:rsidR="00A81397">
        <w:rPr>
          <w:szCs w:val="24"/>
          <w:lang w:val="en-GB"/>
        </w:rPr>
        <w:t>,</w:t>
      </w:r>
      <w:r w:rsidR="0043473B" w:rsidRPr="00514BA9">
        <w:rPr>
          <w:szCs w:val="24"/>
          <w:lang w:val="en-GB"/>
        </w:rPr>
        <w:t xml:space="preserve"> 2010</w:t>
      </w:r>
      <w:r w:rsidR="00A81397">
        <w:rPr>
          <w:szCs w:val="24"/>
          <w:lang w:val="en-GB"/>
        </w:rPr>
        <w:t>)</w:t>
      </w:r>
      <w:r w:rsidR="0043473B" w:rsidRPr="00514BA9">
        <w:rPr>
          <w:szCs w:val="24"/>
          <w:lang w:val="en-GB"/>
        </w:rPr>
        <w:t>.</w:t>
      </w:r>
    </w:p>
    <w:p w14:paraId="23A203AD" w14:textId="77777777" w:rsidR="00741E0A" w:rsidRPr="00720ACF" w:rsidRDefault="000814DA" w:rsidP="006F30EE">
      <w:pPr>
        <w:spacing w:line="480" w:lineRule="auto"/>
        <w:rPr>
          <w:highlight w:val="lightGray"/>
          <w:lang w:val="en-US"/>
        </w:rPr>
      </w:pPr>
      <w:r w:rsidRPr="0050240D">
        <w:rPr>
          <w:lang w:val="en-US"/>
        </w:rPr>
        <w:t xml:space="preserve">A </w:t>
      </w:r>
      <w:r w:rsidR="0017717D" w:rsidRPr="0050240D">
        <w:rPr>
          <w:lang w:val="en-US"/>
        </w:rPr>
        <w:t>net</w:t>
      </w:r>
      <w:r w:rsidR="0066173C" w:rsidRPr="0050240D">
        <w:rPr>
          <w:lang w:val="en-US"/>
        </w:rPr>
        <w:t xml:space="preserve"> positive effect of </w:t>
      </w:r>
      <w:r>
        <w:rPr>
          <w:lang w:val="en-US"/>
        </w:rPr>
        <w:t xml:space="preserve">three-generation </w:t>
      </w:r>
      <w:r w:rsidR="00731759">
        <w:rPr>
          <w:lang w:val="en-US"/>
        </w:rPr>
        <w:t>cores</w:t>
      </w:r>
      <w:r w:rsidR="00251BAD">
        <w:rPr>
          <w:lang w:val="en-US"/>
        </w:rPr>
        <w:t>i</w:t>
      </w:r>
      <w:r>
        <w:rPr>
          <w:lang w:val="en-US"/>
        </w:rPr>
        <w:t>dence</w:t>
      </w:r>
      <w:r w:rsidR="0066173C" w:rsidRPr="0050240D">
        <w:rPr>
          <w:lang w:val="en-US"/>
        </w:rPr>
        <w:t xml:space="preserve"> on </w:t>
      </w:r>
      <w:r w:rsidR="00AB38CE" w:rsidRPr="0050240D">
        <w:rPr>
          <w:lang w:val="en-US"/>
        </w:rPr>
        <w:t>behavioral or educational</w:t>
      </w:r>
      <w:r w:rsidR="0066173C" w:rsidRPr="0050240D">
        <w:rPr>
          <w:lang w:val="en-US"/>
        </w:rPr>
        <w:t xml:space="preserve"> outcomes </w:t>
      </w:r>
      <w:r w:rsidR="00AB38CE" w:rsidRPr="0050240D">
        <w:rPr>
          <w:lang w:val="en-US"/>
        </w:rPr>
        <w:t>has been shown in single</w:t>
      </w:r>
      <w:r w:rsidR="00A81397">
        <w:rPr>
          <w:lang w:val="en-US"/>
        </w:rPr>
        <w:t xml:space="preserve">-mother families in the USA (Deleire &amp; </w:t>
      </w:r>
      <w:r w:rsidR="00AB38CE" w:rsidRPr="0050240D">
        <w:rPr>
          <w:lang w:val="en-US"/>
        </w:rPr>
        <w:t>Kalil</w:t>
      </w:r>
      <w:r w:rsidR="00A81397">
        <w:rPr>
          <w:lang w:val="en-US"/>
        </w:rPr>
        <w:t>, 2002; Dunifon &amp;</w:t>
      </w:r>
      <w:r w:rsidR="00AB38CE" w:rsidRPr="0050240D">
        <w:rPr>
          <w:lang w:val="en-US"/>
        </w:rPr>
        <w:t xml:space="preserve"> Kowaleski-Jones</w:t>
      </w:r>
      <w:r w:rsidR="00A81397">
        <w:rPr>
          <w:lang w:val="en-US"/>
        </w:rPr>
        <w:t>,</w:t>
      </w:r>
      <w:r w:rsidR="00AB38CE" w:rsidRPr="0050240D">
        <w:rPr>
          <w:lang w:val="en-US"/>
        </w:rPr>
        <w:t xml:space="preserve"> 2007</w:t>
      </w:r>
      <w:r w:rsidR="00A81397">
        <w:rPr>
          <w:lang w:val="en-US"/>
        </w:rPr>
        <w:t>)</w:t>
      </w:r>
      <w:r w:rsidR="0017717D" w:rsidRPr="0050240D">
        <w:rPr>
          <w:lang w:val="en-US"/>
        </w:rPr>
        <w:t xml:space="preserve">. Aquilino </w:t>
      </w:r>
      <w:r w:rsidR="00A81397">
        <w:rPr>
          <w:lang w:val="en-US"/>
        </w:rPr>
        <w:t>(1996)</w:t>
      </w:r>
      <w:r w:rsidR="0017717D" w:rsidRPr="0050240D">
        <w:rPr>
          <w:lang w:val="en-US"/>
        </w:rPr>
        <w:t xml:space="preserve"> report</w:t>
      </w:r>
      <w:r w:rsidR="004E3930">
        <w:rPr>
          <w:lang w:val="en-US"/>
        </w:rPr>
        <w:t>ed</w:t>
      </w:r>
      <w:r w:rsidR="0017717D" w:rsidRPr="0050240D">
        <w:rPr>
          <w:lang w:val="en-US"/>
        </w:rPr>
        <w:t xml:space="preserve"> </w:t>
      </w:r>
      <w:r w:rsidR="00E7165B">
        <w:rPr>
          <w:lang w:val="en-US"/>
        </w:rPr>
        <w:t xml:space="preserve">a </w:t>
      </w:r>
      <w:r w:rsidR="0017717D" w:rsidRPr="0050240D">
        <w:rPr>
          <w:lang w:val="en-US"/>
        </w:rPr>
        <w:t xml:space="preserve">net positive effect of </w:t>
      </w:r>
      <w:r w:rsidR="00731759">
        <w:rPr>
          <w:lang w:val="en-US"/>
        </w:rPr>
        <w:t>cores</w:t>
      </w:r>
      <w:r w:rsidR="00251BAD">
        <w:rPr>
          <w:lang w:val="en-US"/>
        </w:rPr>
        <w:t>i</w:t>
      </w:r>
      <w:r w:rsidR="0017717D" w:rsidRPr="0050240D">
        <w:rPr>
          <w:lang w:val="en-US"/>
        </w:rPr>
        <w:t xml:space="preserve">dence </w:t>
      </w:r>
      <w:r w:rsidR="00A32353">
        <w:rPr>
          <w:lang w:val="en-US"/>
        </w:rPr>
        <w:t>in households headed by child’s parent</w:t>
      </w:r>
      <w:r w:rsidR="00A32353" w:rsidRPr="0050240D">
        <w:rPr>
          <w:lang w:val="en-US"/>
        </w:rPr>
        <w:t xml:space="preserve"> </w:t>
      </w:r>
      <w:r w:rsidR="007F13D4">
        <w:rPr>
          <w:lang w:val="en-US"/>
        </w:rPr>
        <w:t xml:space="preserve">on </w:t>
      </w:r>
      <w:r w:rsidR="00E7165B">
        <w:rPr>
          <w:lang w:val="en-US"/>
        </w:rPr>
        <w:t xml:space="preserve">the chances of graduating from </w:t>
      </w:r>
      <w:r w:rsidR="0017717D" w:rsidRPr="0050240D">
        <w:rPr>
          <w:lang w:val="en-US"/>
        </w:rPr>
        <w:t xml:space="preserve">high school </w:t>
      </w:r>
      <w:r w:rsidR="00E7165B">
        <w:rPr>
          <w:lang w:val="en-US"/>
        </w:rPr>
        <w:t xml:space="preserve">and getting into </w:t>
      </w:r>
      <w:r w:rsidR="0017717D" w:rsidRPr="0050240D">
        <w:rPr>
          <w:lang w:val="en-US"/>
        </w:rPr>
        <w:t>college</w:t>
      </w:r>
      <w:r w:rsidR="0017717D" w:rsidRPr="00A32353">
        <w:rPr>
          <w:lang w:val="en-US"/>
        </w:rPr>
        <w:t xml:space="preserve">. </w:t>
      </w:r>
      <w:r w:rsidR="00E7165B">
        <w:rPr>
          <w:lang w:val="en-US"/>
        </w:rPr>
        <w:t>A p</w:t>
      </w:r>
      <w:r w:rsidR="00A32353">
        <w:rPr>
          <w:lang w:val="en-US"/>
        </w:rPr>
        <w:t xml:space="preserve">ositive effect of </w:t>
      </w:r>
      <w:r w:rsidR="00731759">
        <w:rPr>
          <w:lang w:val="en-US"/>
        </w:rPr>
        <w:t>cores</w:t>
      </w:r>
      <w:r w:rsidR="00A32353">
        <w:rPr>
          <w:lang w:val="en-US"/>
        </w:rPr>
        <w:t xml:space="preserve">idence in intact families was documented </w:t>
      </w:r>
      <w:r w:rsidR="00E7165B">
        <w:rPr>
          <w:lang w:val="en-US"/>
        </w:rPr>
        <w:t>by the</w:t>
      </w:r>
      <w:r w:rsidR="00A32353">
        <w:rPr>
          <w:lang w:val="en-US"/>
        </w:rPr>
        <w:t xml:space="preserve"> Taiwanese data</w:t>
      </w:r>
      <w:r w:rsidR="00AB38CE" w:rsidRPr="0050240D">
        <w:rPr>
          <w:lang w:val="en-US"/>
        </w:rPr>
        <w:t xml:space="preserve"> </w:t>
      </w:r>
      <w:r w:rsidR="00A81397">
        <w:rPr>
          <w:lang w:val="en-US"/>
        </w:rPr>
        <w:t>(Pong &amp;</w:t>
      </w:r>
      <w:r w:rsidR="00AB38CE" w:rsidRPr="0050240D">
        <w:rPr>
          <w:lang w:val="en-US"/>
        </w:rPr>
        <w:t xml:space="preserve"> Chen</w:t>
      </w:r>
      <w:r w:rsidR="00A81397">
        <w:rPr>
          <w:lang w:val="en-US"/>
        </w:rPr>
        <w:t>, 2007, 2010)</w:t>
      </w:r>
      <w:r w:rsidR="0066173C" w:rsidRPr="0050240D">
        <w:rPr>
          <w:lang w:val="en-US"/>
        </w:rPr>
        <w:t>.</w:t>
      </w:r>
      <w:r w:rsidR="0017717D" w:rsidRPr="0050240D">
        <w:rPr>
          <w:lang w:val="en-US"/>
        </w:rPr>
        <w:t xml:space="preserve"> Parker and Short (2009) </w:t>
      </w:r>
      <w:r w:rsidR="00E7165B">
        <w:rPr>
          <w:lang w:val="en-US"/>
        </w:rPr>
        <w:t xml:space="preserve">found a </w:t>
      </w:r>
      <w:r w:rsidR="0017717D" w:rsidRPr="0050240D">
        <w:rPr>
          <w:lang w:val="en-US"/>
        </w:rPr>
        <w:t xml:space="preserve">positive effect of </w:t>
      </w:r>
      <w:r w:rsidR="00E7165B">
        <w:rPr>
          <w:lang w:val="en-US"/>
        </w:rPr>
        <w:t xml:space="preserve">a </w:t>
      </w:r>
      <w:r w:rsidR="00731759">
        <w:rPr>
          <w:lang w:val="en-US"/>
        </w:rPr>
        <w:t>cores</w:t>
      </w:r>
      <w:r w:rsidR="0017717D" w:rsidRPr="0050240D">
        <w:rPr>
          <w:lang w:val="en-US"/>
        </w:rPr>
        <w:t>ident grandmother on school enrolment of children of absent (dead or non-coresident) mo</w:t>
      </w:r>
      <w:r w:rsidR="0050240D">
        <w:rPr>
          <w:lang w:val="en-US"/>
        </w:rPr>
        <w:t>thers in Lesotho, South Africa.</w:t>
      </w:r>
    </w:p>
    <w:p w14:paraId="1973C184" w14:textId="77777777" w:rsidR="00741E0A" w:rsidRDefault="00E7165B" w:rsidP="006F30EE">
      <w:pPr>
        <w:spacing w:line="480" w:lineRule="auto"/>
        <w:rPr>
          <w:lang w:val="en-GB"/>
        </w:rPr>
      </w:pPr>
      <w:r>
        <w:rPr>
          <w:lang w:val="en-GB"/>
        </w:rPr>
        <w:t>An e</w:t>
      </w:r>
      <w:r w:rsidR="00741E0A">
        <w:rPr>
          <w:lang w:val="en-GB"/>
        </w:rPr>
        <w:t xml:space="preserve">ducational disadvantage </w:t>
      </w:r>
      <w:r>
        <w:rPr>
          <w:lang w:val="en-GB"/>
        </w:rPr>
        <w:t xml:space="preserve">for </w:t>
      </w:r>
      <w:r w:rsidR="00741E0A">
        <w:rPr>
          <w:lang w:val="en-GB"/>
        </w:rPr>
        <w:t xml:space="preserve">children in skipped-generation households </w:t>
      </w:r>
      <w:r w:rsidR="0050240D">
        <w:rPr>
          <w:lang w:val="en-GB"/>
        </w:rPr>
        <w:t>was found by Monseru</w:t>
      </w:r>
      <w:r w:rsidR="00F0756D">
        <w:rPr>
          <w:lang w:val="en-GB"/>
        </w:rPr>
        <w:t>d</w:t>
      </w:r>
      <w:r w:rsidR="0050240D">
        <w:rPr>
          <w:lang w:val="en-GB"/>
        </w:rPr>
        <w:t xml:space="preserve"> and Elder </w:t>
      </w:r>
      <w:r w:rsidR="00A81397">
        <w:rPr>
          <w:lang w:val="en-GB"/>
        </w:rPr>
        <w:t>(</w:t>
      </w:r>
      <w:r w:rsidR="00741E0A">
        <w:rPr>
          <w:lang w:val="en-GB"/>
        </w:rPr>
        <w:t>2010</w:t>
      </w:r>
      <w:r w:rsidR="00A81397">
        <w:rPr>
          <w:lang w:val="en-GB"/>
        </w:rPr>
        <w:t>)</w:t>
      </w:r>
      <w:r w:rsidR="00741E0A">
        <w:rPr>
          <w:lang w:val="en-GB"/>
        </w:rPr>
        <w:t xml:space="preserve">. </w:t>
      </w:r>
      <w:r w:rsidR="00050398">
        <w:rPr>
          <w:lang w:val="en-GB"/>
        </w:rPr>
        <w:t xml:space="preserve">Bryson and Casper </w:t>
      </w:r>
      <w:r w:rsidR="00A81397">
        <w:rPr>
          <w:lang w:val="en-GB"/>
        </w:rPr>
        <w:t>(</w:t>
      </w:r>
      <w:r w:rsidR="00050398">
        <w:rPr>
          <w:lang w:val="en-GB"/>
        </w:rPr>
        <w:t>1999</w:t>
      </w:r>
      <w:r w:rsidR="00A81397">
        <w:rPr>
          <w:lang w:val="en-GB"/>
        </w:rPr>
        <w:t>)</w:t>
      </w:r>
      <w:r w:rsidR="00050398">
        <w:rPr>
          <w:lang w:val="en-GB"/>
        </w:rPr>
        <w:t xml:space="preserve"> document</w:t>
      </w:r>
      <w:r w:rsidR="004E3930">
        <w:rPr>
          <w:lang w:val="en-GB"/>
        </w:rPr>
        <w:t>ed</w:t>
      </w:r>
      <w:r w:rsidR="00050398">
        <w:rPr>
          <w:lang w:val="en-GB"/>
        </w:rPr>
        <w:t xml:space="preserve"> that children in skipped-generation households are more likely to be poor, receive public assistance, and</w:t>
      </w:r>
      <w:r w:rsidR="0050240D">
        <w:rPr>
          <w:lang w:val="en-GB"/>
        </w:rPr>
        <w:t xml:space="preserve"> </w:t>
      </w:r>
      <w:r w:rsidR="00050398">
        <w:rPr>
          <w:lang w:val="en-GB"/>
        </w:rPr>
        <w:t>have no healt</w:t>
      </w:r>
      <w:r w:rsidR="00A81397">
        <w:rPr>
          <w:lang w:val="en-GB"/>
        </w:rPr>
        <w:t>h insurance. Mutcher and Baker (</w:t>
      </w:r>
      <w:r w:rsidR="00050398">
        <w:rPr>
          <w:lang w:val="en-GB"/>
        </w:rPr>
        <w:t>2009</w:t>
      </w:r>
      <w:r w:rsidR="00A81397">
        <w:rPr>
          <w:lang w:val="en-GB"/>
        </w:rPr>
        <w:t>)</w:t>
      </w:r>
      <w:r w:rsidR="009638C9">
        <w:rPr>
          <w:lang w:val="en-GB"/>
        </w:rPr>
        <w:t>,</w:t>
      </w:r>
      <w:r w:rsidR="00050398">
        <w:rPr>
          <w:lang w:val="en-GB"/>
        </w:rPr>
        <w:t xml:space="preserve"> </w:t>
      </w:r>
      <w:r w:rsidR="009638C9">
        <w:rPr>
          <w:lang w:val="en-GB"/>
        </w:rPr>
        <w:t>however,</w:t>
      </w:r>
      <w:r w:rsidR="006F42A3">
        <w:rPr>
          <w:lang w:val="en-GB"/>
        </w:rPr>
        <w:t xml:space="preserve"> point</w:t>
      </w:r>
      <w:r w:rsidR="004E3930">
        <w:rPr>
          <w:lang w:val="en-GB"/>
        </w:rPr>
        <w:t>ed</w:t>
      </w:r>
      <w:r w:rsidR="006F42A3">
        <w:rPr>
          <w:lang w:val="en-GB"/>
        </w:rPr>
        <w:t xml:space="preserve"> out </w:t>
      </w:r>
      <w:r w:rsidR="00FC09C2">
        <w:rPr>
          <w:lang w:val="en-GB"/>
        </w:rPr>
        <w:t xml:space="preserve">that children from mother-only families with </w:t>
      </w:r>
      <w:r w:rsidR="00731759">
        <w:rPr>
          <w:lang w:val="en-GB"/>
        </w:rPr>
        <w:t>cores</w:t>
      </w:r>
      <w:r w:rsidR="00FC09C2">
        <w:rPr>
          <w:lang w:val="en-GB"/>
        </w:rPr>
        <w:t xml:space="preserve">ident grandparent are less likely to live below or </w:t>
      </w:r>
      <w:r w:rsidR="00DC3B4A">
        <w:rPr>
          <w:lang w:val="en-GB"/>
        </w:rPr>
        <w:t>at</w:t>
      </w:r>
      <w:r w:rsidR="00FC09C2">
        <w:rPr>
          <w:lang w:val="en-GB"/>
        </w:rPr>
        <w:t xml:space="preserve"> the poverty line compared to the same household type without the grandparent present, since they are more likely to receive</w:t>
      </w:r>
      <w:r w:rsidR="00FC09C2" w:rsidRPr="00FC09C2">
        <w:rPr>
          <w:lang w:val="en-GB"/>
        </w:rPr>
        <w:t xml:space="preserve"> </w:t>
      </w:r>
      <w:r w:rsidR="00FC09C2">
        <w:rPr>
          <w:lang w:val="en-GB"/>
        </w:rPr>
        <w:t xml:space="preserve">wider array of financial aid (from the </w:t>
      </w:r>
      <w:r w:rsidR="00731759">
        <w:rPr>
          <w:lang w:val="en-GB"/>
        </w:rPr>
        <w:t>cores</w:t>
      </w:r>
      <w:r w:rsidR="009638C9">
        <w:rPr>
          <w:lang w:val="en-GB"/>
        </w:rPr>
        <w:t xml:space="preserve">ident </w:t>
      </w:r>
      <w:r w:rsidR="00FC09C2">
        <w:rPr>
          <w:lang w:val="en-GB"/>
        </w:rPr>
        <w:t xml:space="preserve">grandparent, </w:t>
      </w:r>
      <w:r w:rsidR="00DC3B4A">
        <w:rPr>
          <w:lang w:val="en-GB"/>
        </w:rPr>
        <w:t xml:space="preserve">or </w:t>
      </w:r>
      <w:r w:rsidR="00FC09C2">
        <w:rPr>
          <w:lang w:val="en-GB"/>
        </w:rPr>
        <w:t xml:space="preserve">from other sources). </w:t>
      </w:r>
      <w:r w:rsidR="00741E0A" w:rsidRPr="00DD04F4">
        <w:rPr>
          <w:lang w:val="en-GB"/>
        </w:rPr>
        <w:t xml:space="preserve">Working with international data, Pong, Frick, and Moyi (2004) found </w:t>
      </w:r>
      <w:r w:rsidR="00741E0A">
        <w:rPr>
          <w:lang w:val="en-GB"/>
        </w:rPr>
        <w:t xml:space="preserve">a </w:t>
      </w:r>
      <w:r w:rsidR="00741E0A" w:rsidRPr="00DD04F4">
        <w:rPr>
          <w:lang w:val="en-GB"/>
        </w:rPr>
        <w:t xml:space="preserve">negative effect of grandparental </w:t>
      </w:r>
      <w:r w:rsidR="00731759">
        <w:rPr>
          <w:lang w:val="en-GB"/>
        </w:rPr>
        <w:t>cores</w:t>
      </w:r>
      <w:r w:rsidR="00741E0A" w:rsidRPr="00DD04F4">
        <w:rPr>
          <w:lang w:val="en-GB"/>
        </w:rPr>
        <w:t xml:space="preserve">idence on </w:t>
      </w:r>
      <w:r w:rsidR="00DC3B4A">
        <w:rPr>
          <w:lang w:val="en-GB"/>
        </w:rPr>
        <w:t xml:space="preserve">the </w:t>
      </w:r>
      <w:r w:rsidR="00741E0A" w:rsidRPr="00DD04F4">
        <w:rPr>
          <w:lang w:val="en-GB"/>
        </w:rPr>
        <w:t>test scores of 3</w:t>
      </w:r>
      <w:r w:rsidR="00741E0A" w:rsidRPr="00DD04F4">
        <w:rPr>
          <w:vertAlign w:val="superscript"/>
          <w:lang w:val="en-GB"/>
        </w:rPr>
        <w:t>rd</w:t>
      </w:r>
      <w:r w:rsidR="00741E0A" w:rsidRPr="00DD04F4">
        <w:rPr>
          <w:lang w:val="en-GB"/>
        </w:rPr>
        <w:t xml:space="preserve"> and 4</w:t>
      </w:r>
      <w:r w:rsidR="00741E0A" w:rsidRPr="00DD04F4">
        <w:rPr>
          <w:vertAlign w:val="superscript"/>
          <w:lang w:val="en-GB"/>
        </w:rPr>
        <w:t>th</w:t>
      </w:r>
      <w:r w:rsidR="00741E0A" w:rsidRPr="00DD04F4">
        <w:rPr>
          <w:lang w:val="en-GB"/>
        </w:rPr>
        <w:t xml:space="preserve"> grade students</w:t>
      </w:r>
      <w:r w:rsidR="00741E0A">
        <w:rPr>
          <w:lang w:val="en-GB"/>
        </w:rPr>
        <w:t xml:space="preserve">. Yet they also found that this effect </w:t>
      </w:r>
      <w:r w:rsidR="00741E0A" w:rsidRPr="00DD04F4">
        <w:rPr>
          <w:lang w:val="en-GB"/>
        </w:rPr>
        <w:t xml:space="preserve">is weaker in countries where living with grandparents is more </w:t>
      </w:r>
      <w:r w:rsidR="00741E0A" w:rsidRPr="00DD04F4">
        <w:rPr>
          <w:lang w:val="en-GB"/>
        </w:rPr>
        <w:lastRenderedPageBreak/>
        <w:t>common</w:t>
      </w:r>
      <w:r w:rsidR="0043473B">
        <w:rPr>
          <w:lang w:val="en-GB"/>
        </w:rPr>
        <w:t xml:space="preserve"> (</w:t>
      </w:r>
      <w:r w:rsidR="0043473B" w:rsidRPr="00741EBB">
        <w:rPr>
          <w:lang w:val="en-GB"/>
        </w:rPr>
        <w:t xml:space="preserve">the strongest negative effect was found in </w:t>
      </w:r>
      <w:r w:rsidR="00721C2C">
        <w:rPr>
          <w:lang w:val="en-GB"/>
        </w:rPr>
        <w:t xml:space="preserve">the </w:t>
      </w:r>
      <w:r w:rsidR="0043473B" w:rsidRPr="00741EBB">
        <w:rPr>
          <w:lang w:val="en-GB"/>
        </w:rPr>
        <w:t>USA and England</w:t>
      </w:r>
      <w:r w:rsidR="0043473B">
        <w:rPr>
          <w:lang w:val="en-GB"/>
        </w:rPr>
        <w:t>)</w:t>
      </w:r>
      <w:r w:rsidR="00741E0A" w:rsidRPr="00DD04F4">
        <w:rPr>
          <w:lang w:val="en-GB"/>
        </w:rPr>
        <w:t xml:space="preserve">. </w:t>
      </w:r>
      <w:r w:rsidR="00741E0A">
        <w:rPr>
          <w:lang w:val="en-GB"/>
        </w:rPr>
        <w:t xml:space="preserve">Moreover, they </w:t>
      </w:r>
      <w:r w:rsidR="00DC3B4A">
        <w:rPr>
          <w:lang w:val="en-GB"/>
        </w:rPr>
        <w:t xml:space="preserve">attributed </w:t>
      </w:r>
      <w:r w:rsidR="00741E0A">
        <w:rPr>
          <w:lang w:val="en-GB"/>
        </w:rPr>
        <w:t xml:space="preserve">some </w:t>
      </w:r>
      <w:r w:rsidR="00DC3B4A">
        <w:rPr>
          <w:lang w:val="en-GB"/>
        </w:rPr>
        <w:t xml:space="preserve">of the </w:t>
      </w:r>
      <w:r w:rsidR="00741E0A">
        <w:rPr>
          <w:lang w:val="en-GB"/>
        </w:rPr>
        <w:t xml:space="preserve">variation in this effect </w:t>
      </w:r>
      <w:r w:rsidR="00DC3B4A">
        <w:rPr>
          <w:lang w:val="en-GB"/>
        </w:rPr>
        <w:t>to</w:t>
      </w:r>
      <w:r w:rsidR="00741E0A">
        <w:rPr>
          <w:lang w:val="en-GB"/>
        </w:rPr>
        <w:t xml:space="preserve"> family structure</w:t>
      </w:r>
      <w:r w:rsidR="00140727">
        <w:rPr>
          <w:lang w:val="en-GB"/>
        </w:rPr>
        <w:t>–</w:t>
      </w:r>
      <w:r w:rsidR="00741E0A">
        <w:rPr>
          <w:lang w:val="en-GB"/>
        </w:rPr>
        <w:t xml:space="preserve">with children from guardian families (but </w:t>
      </w:r>
      <w:r w:rsidR="0050240D">
        <w:rPr>
          <w:lang w:val="en-GB"/>
        </w:rPr>
        <w:t xml:space="preserve">not </w:t>
      </w:r>
      <w:r w:rsidR="00741E0A">
        <w:rPr>
          <w:lang w:val="en-GB"/>
        </w:rPr>
        <w:t xml:space="preserve">from other family types) actually benefiting from </w:t>
      </w:r>
      <w:r w:rsidR="00025D6B">
        <w:rPr>
          <w:lang w:val="en-GB"/>
        </w:rPr>
        <w:t xml:space="preserve">having a </w:t>
      </w:r>
      <w:r w:rsidR="00741E0A">
        <w:rPr>
          <w:lang w:val="en-GB"/>
        </w:rPr>
        <w:t>grandparent in the household.</w:t>
      </w:r>
    </w:p>
    <w:p w14:paraId="08D3AB3D" w14:textId="77777777" w:rsidR="003F5ADC" w:rsidRDefault="00256119" w:rsidP="006F30EE">
      <w:pPr>
        <w:spacing w:line="480" w:lineRule="auto"/>
        <w:rPr>
          <w:lang w:val="en-GB"/>
        </w:rPr>
      </w:pPr>
      <w:r w:rsidRPr="00E86D6D">
        <w:rPr>
          <w:lang w:val="en-GB"/>
        </w:rPr>
        <w:t xml:space="preserve">So, as summarized by Denham and </w:t>
      </w:r>
      <w:r>
        <w:rPr>
          <w:lang w:val="en-GB"/>
        </w:rPr>
        <w:t>S</w:t>
      </w:r>
      <w:r w:rsidRPr="00E86D6D">
        <w:rPr>
          <w:lang w:val="en-GB"/>
        </w:rPr>
        <w:t>mith (1989</w:t>
      </w:r>
      <w:r w:rsidR="00ED2A1B">
        <w:rPr>
          <w:lang w:val="en-GB"/>
        </w:rPr>
        <w:t>, p. 348</w:t>
      </w:r>
      <w:r w:rsidRPr="00E86D6D">
        <w:rPr>
          <w:lang w:val="en-GB"/>
        </w:rPr>
        <w:t>)</w:t>
      </w:r>
      <w:r>
        <w:rPr>
          <w:lang w:val="en-GB"/>
        </w:rPr>
        <w:t xml:space="preserve">, </w:t>
      </w:r>
      <w:r w:rsidR="00721C2C">
        <w:rPr>
          <w:lang w:val="en-GB"/>
        </w:rPr>
        <w:t>“</w:t>
      </w:r>
      <w:r w:rsidRPr="00E86D6D">
        <w:rPr>
          <w:lang w:val="en-GB"/>
        </w:rPr>
        <w:t>it is obvious that the influence of grandparents upon grandchildren depends upon a variety of individual, family, and cultural factors</w:t>
      </w:r>
      <w:r w:rsidR="00A81397">
        <w:rPr>
          <w:lang w:val="en-GB"/>
        </w:rPr>
        <w:t>”</w:t>
      </w:r>
      <w:r w:rsidRPr="00E86D6D">
        <w:rPr>
          <w:lang w:val="en-GB"/>
        </w:rPr>
        <w:t>.</w:t>
      </w:r>
      <w:r w:rsidR="00DF4975">
        <w:rPr>
          <w:lang w:val="en-GB"/>
        </w:rPr>
        <w:t xml:space="preserve"> </w:t>
      </w:r>
      <w:r w:rsidR="00DC3B4A">
        <w:rPr>
          <w:lang w:val="en-GB"/>
        </w:rPr>
        <w:t>In the next section of this paper w</w:t>
      </w:r>
      <w:r w:rsidR="00DF4975">
        <w:rPr>
          <w:lang w:val="en-GB"/>
        </w:rPr>
        <w:t xml:space="preserve">e </w:t>
      </w:r>
      <w:r w:rsidR="00DC3B4A">
        <w:rPr>
          <w:lang w:val="en-GB"/>
        </w:rPr>
        <w:t xml:space="preserve">will </w:t>
      </w:r>
      <w:r w:rsidR="00DF4975">
        <w:rPr>
          <w:lang w:val="en-GB"/>
        </w:rPr>
        <w:t xml:space="preserve">develop hypotheses linking family size, </w:t>
      </w:r>
      <w:r w:rsidR="00731759">
        <w:rPr>
          <w:lang w:val="en-GB"/>
        </w:rPr>
        <w:t>cores</w:t>
      </w:r>
      <w:r w:rsidR="00251BAD">
        <w:rPr>
          <w:lang w:val="en-GB"/>
        </w:rPr>
        <w:t>i</w:t>
      </w:r>
      <w:r w:rsidR="00DF4975">
        <w:rPr>
          <w:lang w:val="en-GB"/>
        </w:rPr>
        <w:t>dence with grandparents</w:t>
      </w:r>
      <w:r w:rsidR="00DC3B4A">
        <w:rPr>
          <w:lang w:val="en-GB"/>
        </w:rPr>
        <w:t>,</w:t>
      </w:r>
      <w:r w:rsidR="00721C2C">
        <w:rPr>
          <w:lang w:val="en-GB"/>
        </w:rPr>
        <w:t xml:space="preserve"> </w:t>
      </w:r>
      <w:r w:rsidR="00DF4975">
        <w:rPr>
          <w:lang w:val="en-GB"/>
        </w:rPr>
        <w:t>and selected macro-level variables based on this assessment.</w:t>
      </w:r>
    </w:p>
    <w:p w14:paraId="3B5D052C" w14:textId="77777777" w:rsidR="0050240D" w:rsidRPr="009109C5" w:rsidRDefault="002F32BB" w:rsidP="006F30EE">
      <w:pPr>
        <w:pStyle w:val="Nadpis1"/>
      </w:pPr>
      <w:r>
        <w:t xml:space="preserve">Hypotheses </w:t>
      </w:r>
      <w:r w:rsidRPr="009109C5">
        <w:t xml:space="preserve">linking </w:t>
      </w:r>
      <w:r w:rsidR="0050240D" w:rsidRPr="009109C5">
        <w:t>family size</w:t>
      </w:r>
      <w:r>
        <w:t>,</w:t>
      </w:r>
      <w:r w:rsidR="0050240D" w:rsidRPr="009109C5">
        <w:t xml:space="preserve"> </w:t>
      </w:r>
      <w:r w:rsidR="00731759">
        <w:t>cores</w:t>
      </w:r>
      <w:r w:rsidR="00251BAD">
        <w:t>i</w:t>
      </w:r>
      <w:r w:rsidR="0050240D" w:rsidRPr="009109C5">
        <w:t>dence</w:t>
      </w:r>
      <w:r w:rsidR="00025D6B">
        <w:t>,</w:t>
      </w:r>
      <w:r w:rsidR="0050240D" w:rsidRPr="009109C5">
        <w:t xml:space="preserve"> </w:t>
      </w:r>
      <w:r>
        <w:t>and level of development</w:t>
      </w:r>
    </w:p>
    <w:p w14:paraId="7A9C43CB" w14:textId="77777777" w:rsidR="002C6484" w:rsidRDefault="0050240D" w:rsidP="006F30EE">
      <w:pPr>
        <w:spacing w:line="480" w:lineRule="auto"/>
        <w:rPr>
          <w:lang w:val="en-GB"/>
        </w:rPr>
      </w:pPr>
      <w:r>
        <w:rPr>
          <w:lang w:val="en-GB"/>
        </w:rPr>
        <w:t>B</w:t>
      </w:r>
      <w:r w:rsidR="002C6484">
        <w:rPr>
          <w:lang w:val="en-GB"/>
        </w:rPr>
        <w:t xml:space="preserve">oth </w:t>
      </w:r>
      <w:r w:rsidR="00861CC4">
        <w:rPr>
          <w:lang w:val="en-GB"/>
        </w:rPr>
        <w:t xml:space="preserve">sibship </w:t>
      </w:r>
      <w:r w:rsidR="002C6484">
        <w:rPr>
          <w:lang w:val="en-GB"/>
        </w:rPr>
        <w:t xml:space="preserve">size effects and </w:t>
      </w:r>
      <w:r w:rsidR="00731759">
        <w:rPr>
          <w:lang w:val="en-GB"/>
        </w:rPr>
        <w:t>cores</w:t>
      </w:r>
      <w:r w:rsidR="00251BAD">
        <w:rPr>
          <w:lang w:val="en-GB"/>
        </w:rPr>
        <w:t>i</w:t>
      </w:r>
      <w:r w:rsidR="002C6484">
        <w:rPr>
          <w:lang w:val="en-GB"/>
        </w:rPr>
        <w:t>dence effects appear to be context</w:t>
      </w:r>
      <w:r w:rsidR="00DC3B4A">
        <w:rPr>
          <w:lang w:val="en-GB"/>
        </w:rPr>
        <w:t>-</w:t>
      </w:r>
      <w:r w:rsidR="002C6484">
        <w:rPr>
          <w:lang w:val="en-GB"/>
        </w:rPr>
        <w:t>dependent. The contexts</w:t>
      </w:r>
      <w:r w:rsidR="00007ECC">
        <w:rPr>
          <w:lang w:val="en-GB"/>
        </w:rPr>
        <w:t>, in which</w:t>
      </w:r>
      <w:r w:rsidR="002C6484">
        <w:rPr>
          <w:lang w:val="en-GB"/>
        </w:rPr>
        <w:t xml:space="preserve"> </w:t>
      </w:r>
      <w:r w:rsidR="00007ECC">
        <w:rPr>
          <w:lang w:val="en-GB"/>
        </w:rPr>
        <w:t xml:space="preserve">they </w:t>
      </w:r>
      <w:r w:rsidR="002C6484">
        <w:rPr>
          <w:lang w:val="en-GB"/>
        </w:rPr>
        <w:t xml:space="preserve">matter </w:t>
      </w:r>
      <w:r w:rsidR="00007ECC">
        <w:rPr>
          <w:lang w:val="en-GB"/>
        </w:rPr>
        <w:t xml:space="preserve">the </w:t>
      </w:r>
      <w:r w:rsidR="00DC3B4A">
        <w:rPr>
          <w:lang w:val="en-GB"/>
        </w:rPr>
        <w:t xml:space="preserve">most </w:t>
      </w:r>
      <w:r w:rsidR="00420322">
        <w:rPr>
          <w:lang w:val="en-GB"/>
        </w:rPr>
        <w:t>can</w:t>
      </w:r>
      <w:r w:rsidR="002C6484">
        <w:rPr>
          <w:lang w:val="en-GB"/>
        </w:rPr>
        <w:t xml:space="preserve"> be identified both at the family level and at the societal level. In this paper we link the literature on sibship size and </w:t>
      </w:r>
      <w:r w:rsidR="00731759">
        <w:rPr>
          <w:lang w:val="en-GB"/>
        </w:rPr>
        <w:t>cores</w:t>
      </w:r>
      <w:r w:rsidR="00251BAD">
        <w:rPr>
          <w:lang w:val="en-GB"/>
        </w:rPr>
        <w:t>i</w:t>
      </w:r>
      <w:r w:rsidR="002C6484">
        <w:rPr>
          <w:lang w:val="en-GB"/>
        </w:rPr>
        <w:t>dence with grandparents into one analytical context</w:t>
      </w:r>
      <w:r w:rsidR="00DC3B4A">
        <w:rPr>
          <w:lang w:val="en-GB"/>
        </w:rPr>
        <w:t xml:space="preserve">; we </w:t>
      </w:r>
      <w:r w:rsidR="002C6484">
        <w:rPr>
          <w:lang w:val="en-GB"/>
        </w:rPr>
        <w:t xml:space="preserve">study how the </w:t>
      </w:r>
      <w:r w:rsidR="00025D6B">
        <w:rPr>
          <w:lang w:val="en-GB"/>
        </w:rPr>
        <w:t xml:space="preserve">association between </w:t>
      </w:r>
      <w:r w:rsidR="002C6484">
        <w:rPr>
          <w:lang w:val="en-GB"/>
        </w:rPr>
        <w:t xml:space="preserve">sibship size </w:t>
      </w:r>
      <w:r w:rsidR="00025D6B">
        <w:rPr>
          <w:lang w:val="en-GB"/>
        </w:rPr>
        <w:t xml:space="preserve">and </w:t>
      </w:r>
      <w:r w:rsidR="002C6484">
        <w:rPr>
          <w:lang w:val="en-GB"/>
        </w:rPr>
        <w:t xml:space="preserve">reading test scores may depend on </w:t>
      </w:r>
      <w:r w:rsidR="00731759">
        <w:rPr>
          <w:lang w:val="en-GB"/>
        </w:rPr>
        <w:t>cores</w:t>
      </w:r>
      <w:r w:rsidR="00251BAD">
        <w:rPr>
          <w:lang w:val="en-GB"/>
        </w:rPr>
        <w:t>i</w:t>
      </w:r>
      <w:r w:rsidR="002C6484">
        <w:rPr>
          <w:lang w:val="en-GB"/>
        </w:rPr>
        <w:t xml:space="preserve">dence, and how this correlation </w:t>
      </w:r>
      <w:r>
        <w:rPr>
          <w:lang w:val="en-GB"/>
        </w:rPr>
        <w:t xml:space="preserve">may </w:t>
      </w:r>
      <w:r w:rsidR="002C6484">
        <w:rPr>
          <w:lang w:val="en-GB"/>
        </w:rPr>
        <w:t>change with socioeconomic development.</w:t>
      </w:r>
    </w:p>
    <w:p w14:paraId="57E1C8A4" w14:textId="389BB834" w:rsidR="000C6C0B" w:rsidRDefault="00FC796F" w:rsidP="006F30EE">
      <w:pPr>
        <w:spacing w:line="480" w:lineRule="auto"/>
        <w:rPr>
          <w:lang w:val="en-GB"/>
        </w:rPr>
      </w:pPr>
      <w:r>
        <w:rPr>
          <w:lang w:val="en-GB"/>
        </w:rPr>
        <w:t xml:space="preserve">We argue that </w:t>
      </w:r>
      <w:r w:rsidR="00731759">
        <w:rPr>
          <w:lang w:val="en-GB"/>
        </w:rPr>
        <w:t>cores</w:t>
      </w:r>
      <w:r w:rsidR="00251BAD">
        <w:rPr>
          <w:lang w:val="en-GB"/>
        </w:rPr>
        <w:t>i</w:t>
      </w:r>
      <w:r>
        <w:rPr>
          <w:lang w:val="en-GB"/>
        </w:rPr>
        <w:t xml:space="preserve">dence with grandparents </w:t>
      </w:r>
      <w:r w:rsidR="00420322">
        <w:rPr>
          <w:lang w:val="en-GB"/>
        </w:rPr>
        <w:t>can</w:t>
      </w:r>
      <w:r>
        <w:rPr>
          <w:lang w:val="en-GB"/>
        </w:rPr>
        <w:t xml:space="preserve"> be used as an explicit indicator of how </w:t>
      </w:r>
      <w:r w:rsidR="002F32BB">
        <w:rPr>
          <w:lang w:val="en-GB"/>
        </w:rPr>
        <w:t xml:space="preserve">each </w:t>
      </w:r>
      <w:r>
        <w:rPr>
          <w:lang w:val="en-GB"/>
        </w:rPr>
        <w:t xml:space="preserve">family works and is organized. </w:t>
      </w:r>
      <w:r w:rsidR="000C6C0B">
        <w:rPr>
          <w:lang w:val="en-GB"/>
        </w:rPr>
        <w:t xml:space="preserve">Grandparental </w:t>
      </w:r>
      <w:r w:rsidR="00731759">
        <w:rPr>
          <w:lang w:val="en-GB"/>
        </w:rPr>
        <w:t>cores</w:t>
      </w:r>
      <w:r w:rsidR="00251BAD">
        <w:rPr>
          <w:lang w:val="en-GB"/>
        </w:rPr>
        <w:t>i</w:t>
      </w:r>
      <w:r w:rsidR="000C6C0B">
        <w:rPr>
          <w:lang w:val="en-GB"/>
        </w:rPr>
        <w:t>dence in less developed societies is likely to have positive consequences for the child’s school outcomes</w:t>
      </w:r>
      <w:r w:rsidR="00DC3B4A">
        <w:rPr>
          <w:lang w:val="en-GB"/>
        </w:rPr>
        <w:t>,</w:t>
      </w:r>
      <w:r w:rsidR="000C6C0B">
        <w:rPr>
          <w:lang w:val="en-GB"/>
        </w:rPr>
        <w:t xml:space="preserve"> and is likely to alleviate some potentially negative consequences of the lack of resources in the family (</w:t>
      </w:r>
      <w:r w:rsidR="0050240D">
        <w:rPr>
          <w:lang w:val="en-GB"/>
        </w:rPr>
        <w:t xml:space="preserve">such as </w:t>
      </w:r>
      <w:r w:rsidR="000C6C0B">
        <w:rPr>
          <w:lang w:val="en-GB"/>
        </w:rPr>
        <w:t xml:space="preserve">low socioeconomic status, </w:t>
      </w:r>
      <w:r w:rsidR="0050240D">
        <w:rPr>
          <w:lang w:val="en-GB"/>
        </w:rPr>
        <w:t xml:space="preserve">or </w:t>
      </w:r>
      <w:r w:rsidR="000C6C0B">
        <w:rPr>
          <w:lang w:val="en-GB"/>
        </w:rPr>
        <w:t xml:space="preserve">larger family size). </w:t>
      </w:r>
      <w:r w:rsidR="00731759">
        <w:rPr>
          <w:lang w:val="en-GB"/>
        </w:rPr>
        <w:t>Cores</w:t>
      </w:r>
      <w:r w:rsidR="00523E98">
        <w:rPr>
          <w:lang w:val="en-GB"/>
        </w:rPr>
        <w:t>iding grandparents are</w:t>
      </w:r>
      <w:r w:rsidR="00ED2A1B">
        <w:rPr>
          <w:lang w:val="en-GB"/>
        </w:rPr>
        <w:t xml:space="preserve"> more</w:t>
      </w:r>
      <w:r w:rsidR="00523E98">
        <w:rPr>
          <w:lang w:val="en-GB"/>
        </w:rPr>
        <w:t xml:space="preserve"> likel</w:t>
      </w:r>
      <w:r w:rsidR="00ED2A1B">
        <w:rPr>
          <w:lang w:val="en-GB"/>
        </w:rPr>
        <w:t>y</w:t>
      </w:r>
      <w:r w:rsidR="00523E98">
        <w:rPr>
          <w:lang w:val="en-GB"/>
        </w:rPr>
        <w:t xml:space="preserve"> to serve as resource provider</w:t>
      </w:r>
      <w:r w:rsidR="00007ECC">
        <w:rPr>
          <w:lang w:val="en-GB"/>
        </w:rPr>
        <w:t>s</w:t>
      </w:r>
      <w:r w:rsidR="00523E98">
        <w:rPr>
          <w:lang w:val="en-GB"/>
        </w:rPr>
        <w:t xml:space="preserve"> in more traditional societies. </w:t>
      </w:r>
      <w:r w:rsidR="000C6C0B">
        <w:rPr>
          <w:lang w:val="en-GB"/>
        </w:rPr>
        <w:t>At higher levels</w:t>
      </w:r>
      <w:r w:rsidR="00712DF3">
        <w:rPr>
          <w:lang w:val="en-GB"/>
        </w:rPr>
        <w:t xml:space="preserve"> of</w:t>
      </w:r>
      <w:r w:rsidR="000C6C0B">
        <w:rPr>
          <w:lang w:val="en-GB"/>
        </w:rPr>
        <w:t xml:space="preserve"> </w:t>
      </w:r>
      <w:r w:rsidR="002F32BB">
        <w:rPr>
          <w:lang w:val="en-GB"/>
        </w:rPr>
        <w:t>development</w:t>
      </w:r>
      <w:r w:rsidR="000C6C0B">
        <w:rPr>
          <w:lang w:val="en-GB"/>
        </w:rPr>
        <w:t xml:space="preserve">, </w:t>
      </w:r>
      <w:r w:rsidR="002F32BB">
        <w:rPr>
          <w:lang w:val="en-GB"/>
        </w:rPr>
        <w:t xml:space="preserve">however, </w:t>
      </w:r>
      <w:r w:rsidR="00731759">
        <w:rPr>
          <w:lang w:val="en-GB"/>
        </w:rPr>
        <w:t>cores</w:t>
      </w:r>
      <w:r w:rsidR="00251BAD">
        <w:rPr>
          <w:lang w:val="en-GB"/>
        </w:rPr>
        <w:t>i</w:t>
      </w:r>
      <w:r w:rsidR="000C6C0B">
        <w:rPr>
          <w:lang w:val="en-GB"/>
        </w:rPr>
        <w:t xml:space="preserve">dence is </w:t>
      </w:r>
      <w:r w:rsidR="00DC3B4A">
        <w:rPr>
          <w:lang w:val="en-GB"/>
        </w:rPr>
        <w:t xml:space="preserve">more </w:t>
      </w:r>
      <w:r w:rsidR="000C6C0B">
        <w:rPr>
          <w:lang w:val="en-GB"/>
        </w:rPr>
        <w:t xml:space="preserve">likely to indicate social dislocation and hence would </w:t>
      </w:r>
      <w:r w:rsidR="00721C2C">
        <w:rPr>
          <w:lang w:val="en-GB"/>
        </w:rPr>
        <w:t xml:space="preserve">be </w:t>
      </w:r>
      <w:r w:rsidR="000C6C0B">
        <w:rPr>
          <w:lang w:val="en-GB"/>
        </w:rPr>
        <w:t>negative</w:t>
      </w:r>
      <w:r w:rsidR="00721C2C">
        <w:rPr>
          <w:lang w:val="en-GB"/>
        </w:rPr>
        <w:t>ly</w:t>
      </w:r>
      <w:r w:rsidR="000C6C0B">
        <w:rPr>
          <w:lang w:val="en-GB"/>
        </w:rPr>
        <w:t xml:space="preserve"> </w:t>
      </w:r>
      <w:r w:rsidR="00721C2C">
        <w:rPr>
          <w:lang w:val="en-GB"/>
        </w:rPr>
        <w:t>associated with school outcomes</w:t>
      </w:r>
      <w:r w:rsidR="000C6C0B">
        <w:rPr>
          <w:lang w:val="en-GB"/>
        </w:rPr>
        <w:t xml:space="preserve">. Furthermore, the negative impact of </w:t>
      </w:r>
      <w:r w:rsidR="00731759">
        <w:rPr>
          <w:lang w:val="en-GB"/>
        </w:rPr>
        <w:t>cores</w:t>
      </w:r>
      <w:r w:rsidR="00251BAD">
        <w:rPr>
          <w:lang w:val="en-GB"/>
        </w:rPr>
        <w:t>i</w:t>
      </w:r>
      <w:r w:rsidR="000C6C0B">
        <w:rPr>
          <w:lang w:val="en-GB"/>
        </w:rPr>
        <w:t xml:space="preserve">dence is likely to </w:t>
      </w:r>
      <w:r w:rsidR="000C6C0B">
        <w:rPr>
          <w:lang w:val="en-GB"/>
        </w:rPr>
        <w:lastRenderedPageBreak/>
        <w:t>be larger if combined with other disad</w:t>
      </w:r>
      <w:r w:rsidR="0050240D">
        <w:rPr>
          <w:lang w:val="en-GB"/>
        </w:rPr>
        <w:t>vantages such as larger sibship or low SES</w:t>
      </w:r>
      <w:r w:rsidR="000C6C0B">
        <w:rPr>
          <w:lang w:val="en-GB"/>
        </w:rPr>
        <w:t>.</w:t>
      </w:r>
      <w:r w:rsidR="00A745D1">
        <w:rPr>
          <w:lang w:val="en-GB"/>
        </w:rPr>
        <w:t xml:space="preserve"> </w:t>
      </w:r>
      <w:r w:rsidR="00731759">
        <w:rPr>
          <w:lang w:val="en-GB"/>
        </w:rPr>
        <w:t>Cores</w:t>
      </w:r>
      <w:r w:rsidR="00523E98">
        <w:rPr>
          <w:lang w:val="en-GB"/>
        </w:rPr>
        <w:t xml:space="preserve">iding grandparents are likely to be dependents/resource consumers in more modern societies. </w:t>
      </w:r>
      <w:r w:rsidR="006C12B3">
        <w:rPr>
          <w:lang w:val="en-GB"/>
        </w:rPr>
        <w:t>So overall</w:t>
      </w:r>
      <w:r w:rsidR="00523E98">
        <w:rPr>
          <w:lang w:val="en-GB"/>
        </w:rPr>
        <w:t>,</w:t>
      </w:r>
      <w:r w:rsidR="006C12B3">
        <w:rPr>
          <w:lang w:val="en-GB"/>
        </w:rPr>
        <w:t xml:space="preserve"> the (main) effect of </w:t>
      </w:r>
      <w:r w:rsidR="00731759">
        <w:rPr>
          <w:lang w:val="en-GB"/>
        </w:rPr>
        <w:t>cores</w:t>
      </w:r>
      <w:r w:rsidR="00251BAD">
        <w:rPr>
          <w:lang w:val="en-GB"/>
        </w:rPr>
        <w:t>i</w:t>
      </w:r>
      <w:r w:rsidR="006C12B3">
        <w:rPr>
          <w:lang w:val="en-GB"/>
        </w:rPr>
        <w:t xml:space="preserve">dence is likely to turn from positive to negative with increasing development. Similarly, </w:t>
      </w:r>
      <w:r w:rsidR="00DC3B4A">
        <w:rPr>
          <w:lang w:val="en-GB"/>
        </w:rPr>
        <w:t>the</w:t>
      </w:r>
      <w:r w:rsidR="006C12B3">
        <w:rPr>
          <w:lang w:val="en-GB"/>
        </w:rPr>
        <w:t xml:space="preserve"> protective effect of </w:t>
      </w:r>
      <w:r w:rsidR="00731759">
        <w:rPr>
          <w:lang w:val="en-GB"/>
        </w:rPr>
        <w:t>cores</w:t>
      </w:r>
      <w:r w:rsidR="00251BAD">
        <w:rPr>
          <w:lang w:val="en-GB"/>
        </w:rPr>
        <w:t>i</w:t>
      </w:r>
      <w:r w:rsidR="006C12B3">
        <w:rPr>
          <w:lang w:val="en-GB"/>
        </w:rPr>
        <w:t xml:space="preserve">dence </w:t>
      </w:r>
      <w:r w:rsidR="0050240D">
        <w:rPr>
          <w:lang w:val="en-GB"/>
        </w:rPr>
        <w:t xml:space="preserve">(against </w:t>
      </w:r>
      <w:r w:rsidR="002F32BB">
        <w:rPr>
          <w:lang w:val="en-GB"/>
        </w:rPr>
        <w:t xml:space="preserve">the dilution </w:t>
      </w:r>
      <w:r w:rsidR="0050240D">
        <w:rPr>
          <w:lang w:val="en-GB"/>
        </w:rPr>
        <w:t xml:space="preserve">of resources) </w:t>
      </w:r>
      <w:r w:rsidR="006C12B3">
        <w:rPr>
          <w:lang w:val="en-GB"/>
        </w:rPr>
        <w:t xml:space="preserve">is likely to change to detrimental with </w:t>
      </w:r>
      <w:r w:rsidR="00523E98">
        <w:rPr>
          <w:lang w:val="en-GB"/>
        </w:rPr>
        <w:t>continuing development.</w:t>
      </w:r>
    </w:p>
    <w:p w14:paraId="0BDB2C33" w14:textId="77777777" w:rsidR="00091A9B" w:rsidRPr="008574F9" w:rsidRDefault="008574F9" w:rsidP="006F30EE">
      <w:pPr>
        <w:pStyle w:val="Nadpis1"/>
      </w:pPr>
      <w:r w:rsidRPr="008574F9">
        <w:t>Data,</w:t>
      </w:r>
      <w:r w:rsidR="00091A9B" w:rsidRPr="008574F9">
        <w:t xml:space="preserve"> variables</w:t>
      </w:r>
      <w:r w:rsidRPr="008574F9">
        <w:t>, and method</w:t>
      </w:r>
    </w:p>
    <w:p w14:paraId="723B543A" w14:textId="2A5F4034" w:rsidR="00091A9B" w:rsidRPr="00091A9B" w:rsidRDefault="000E19E2" w:rsidP="006F30EE">
      <w:pPr>
        <w:spacing w:line="480" w:lineRule="auto"/>
        <w:rPr>
          <w:szCs w:val="24"/>
          <w:lang w:val="en-GB"/>
        </w:rPr>
      </w:pPr>
      <w:r>
        <w:rPr>
          <w:szCs w:val="24"/>
          <w:lang w:val="en-GB"/>
        </w:rPr>
        <w:t>W</w:t>
      </w:r>
      <w:r w:rsidR="00091A9B" w:rsidRPr="00091A9B">
        <w:rPr>
          <w:szCs w:val="24"/>
          <w:lang w:val="en-GB"/>
        </w:rPr>
        <w:t xml:space="preserve">e </w:t>
      </w:r>
      <w:r>
        <w:rPr>
          <w:szCs w:val="24"/>
          <w:lang w:val="en-GB"/>
        </w:rPr>
        <w:t xml:space="preserve">use </w:t>
      </w:r>
      <w:r w:rsidR="00091A9B" w:rsidRPr="00091A9B">
        <w:rPr>
          <w:szCs w:val="24"/>
          <w:lang w:val="en-GB"/>
        </w:rPr>
        <w:t xml:space="preserve">data from the first wave of OECD </w:t>
      </w:r>
      <w:r>
        <w:rPr>
          <w:szCs w:val="24"/>
          <w:lang w:val="en-GB"/>
        </w:rPr>
        <w:t>“</w:t>
      </w:r>
      <w:r w:rsidR="00091A9B" w:rsidRPr="00091A9B">
        <w:rPr>
          <w:szCs w:val="24"/>
          <w:lang w:val="en-GB"/>
        </w:rPr>
        <w:t>Programme for International Student Assessment</w:t>
      </w:r>
      <w:r>
        <w:rPr>
          <w:szCs w:val="24"/>
          <w:lang w:val="en-GB"/>
        </w:rPr>
        <w:t>”</w:t>
      </w:r>
      <w:r w:rsidR="00091A9B" w:rsidRPr="00091A9B">
        <w:rPr>
          <w:szCs w:val="24"/>
          <w:lang w:val="en-GB"/>
        </w:rPr>
        <w:t xml:space="preserve"> (PISA 2000)</w:t>
      </w:r>
      <w:r w:rsidR="00027DF6">
        <w:rPr>
          <w:szCs w:val="24"/>
          <w:lang w:val="en-GB"/>
        </w:rPr>
        <w:t xml:space="preserve"> combined with macro-level indicators of the level of development</w:t>
      </w:r>
      <w:r w:rsidR="009E1925">
        <w:rPr>
          <w:szCs w:val="24"/>
          <w:lang w:val="en-GB"/>
        </w:rPr>
        <w:t>, public spending on welfare and education,</w:t>
      </w:r>
      <w:r w:rsidR="00ED2A1B">
        <w:rPr>
          <w:szCs w:val="24"/>
          <w:lang w:val="en-GB"/>
        </w:rPr>
        <w:t xml:space="preserve"> and </w:t>
      </w:r>
      <w:r w:rsidR="009E1925">
        <w:rPr>
          <w:szCs w:val="24"/>
          <w:lang w:val="en-GB"/>
        </w:rPr>
        <w:t>family destabilization</w:t>
      </w:r>
      <w:r w:rsidR="00091A9B" w:rsidRPr="00091A9B">
        <w:rPr>
          <w:szCs w:val="24"/>
          <w:lang w:val="en-GB"/>
        </w:rPr>
        <w:t xml:space="preserve">. </w:t>
      </w:r>
      <w:r w:rsidRPr="00091A9B">
        <w:rPr>
          <w:szCs w:val="24"/>
          <w:lang w:val="en-GB"/>
        </w:rPr>
        <w:t xml:space="preserve">PISA “is a collaborative effort among OECD Member countries to measure how well 15-year-old young adults </w:t>
      </w:r>
      <w:r w:rsidR="00027DF6">
        <w:rPr>
          <w:szCs w:val="24"/>
          <w:lang w:val="en-GB"/>
        </w:rPr>
        <w:t xml:space="preserve">(...) </w:t>
      </w:r>
      <w:r w:rsidRPr="00091A9B">
        <w:rPr>
          <w:szCs w:val="24"/>
          <w:lang w:val="en-GB"/>
        </w:rPr>
        <w:t>are prepared to meet the challenges of today</w:t>
      </w:r>
      <w:r w:rsidR="00A81397">
        <w:rPr>
          <w:szCs w:val="24"/>
          <w:lang w:val="en-GB"/>
        </w:rPr>
        <w:t xml:space="preserve">’s knowledge societies” (Adams </w:t>
      </w:r>
      <w:r w:rsidR="00A81397">
        <w:rPr>
          <w:szCs w:val="24"/>
          <w:lang w:val="en-US"/>
        </w:rPr>
        <w:t>&amp;</w:t>
      </w:r>
      <w:r w:rsidRPr="00091A9B">
        <w:rPr>
          <w:szCs w:val="24"/>
          <w:lang w:val="en-GB"/>
        </w:rPr>
        <w:t xml:space="preserve"> Wu</w:t>
      </w:r>
      <w:r w:rsidR="00A81397">
        <w:rPr>
          <w:szCs w:val="24"/>
          <w:lang w:val="en-GB"/>
        </w:rPr>
        <w:t>,</w:t>
      </w:r>
      <w:r w:rsidR="00DE4055">
        <w:rPr>
          <w:szCs w:val="24"/>
          <w:lang w:val="en-GB"/>
        </w:rPr>
        <w:t xml:space="preserve"> 2002, p.</w:t>
      </w:r>
      <w:r w:rsidRPr="00091A9B">
        <w:rPr>
          <w:szCs w:val="24"/>
          <w:lang w:val="en-GB"/>
        </w:rPr>
        <w:t xml:space="preserve"> 15). PISA assesses reading, mathematical</w:t>
      </w:r>
      <w:r>
        <w:rPr>
          <w:szCs w:val="24"/>
          <w:lang w:val="en-GB"/>
        </w:rPr>
        <w:t>,</w:t>
      </w:r>
      <w:r w:rsidRPr="00091A9B">
        <w:rPr>
          <w:szCs w:val="24"/>
          <w:lang w:val="en-GB"/>
        </w:rPr>
        <w:t xml:space="preserve"> and scientific literacy</w:t>
      </w:r>
      <w:r w:rsidR="002F32BB">
        <w:rPr>
          <w:szCs w:val="24"/>
          <w:lang w:val="en-GB"/>
        </w:rPr>
        <w:t>,</w:t>
      </w:r>
      <w:r w:rsidRPr="00091A9B">
        <w:rPr>
          <w:szCs w:val="24"/>
          <w:lang w:val="en-GB"/>
        </w:rPr>
        <w:t xml:space="preserve"> while also collecting additional school- and student-level information. </w:t>
      </w:r>
      <w:r w:rsidR="00081B6C">
        <w:rPr>
          <w:szCs w:val="24"/>
          <w:lang w:val="en-GB"/>
        </w:rPr>
        <w:t xml:space="preserve">We </w:t>
      </w:r>
      <w:r w:rsidR="00DC3B4A">
        <w:rPr>
          <w:szCs w:val="24"/>
          <w:lang w:val="en-GB"/>
        </w:rPr>
        <w:t xml:space="preserve">elected </w:t>
      </w:r>
      <w:r w:rsidR="00081B6C">
        <w:rPr>
          <w:szCs w:val="24"/>
          <w:lang w:val="en-GB"/>
        </w:rPr>
        <w:t xml:space="preserve">to use the </w:t>
      </w:r>
      <w:r w:rsidR="00091A9B" w:rsidRPr="00091A9B">
        <w:rPr>
          <w:szCs w:val="24"/>
          <w:lang w:val="en-GB"/>
        </w:rPr>
        <w:t xml:space="preserve">2000 </w:t>
      </w:r>
      <w:r w:rsidR="00027DF6">
        <w:rPr>
          <w:szCs w:val="24"/>
          <w:lang w:val="en-GB"/>
        </w:rPr>
        <w:t>wave of the survey</w:t>
      </w:r>
      <w:r w:rsidR="00081B6C">
        <w:rPr>
          <w:szCs w:val="24"/>
          <w:lang w:val="en-GB"/>
        </w:rPr>
        <w:t>, since it</w:t>
      </w:r>
      <w:r w:rsidR="00091A9B" w:rsidRPr="00091A9B">
        <w:rPr>
          <w:szCs w:val="24"/>
          <w:lang w:val="en-GB"/>
        </w:rPr>
        <w:t xml:space="preserve"> </w:t>
      </w:r>
      <w:r>
        <w:rPr>
          <w:szCs w:val="24"/>
          <w:lang w:val="en-GB"/>
        </w:rPr>
        <w:t xml:space="preserve">contains richer information on the composition of </w:t>
      </w:r>
      <w:r w:rsidR="0095540D">
        <w:rPr>
          <w:szCs w:val="24"/>
          <w:lang w:val="en-GB"/>
        </w:rPr>
        <w:t xml:space="preserve">the </w:t>
      </w:r>
      <w:r>
        <w:rPr>
          <w:szCs w:val="24"/>
          <w:lang w:val="en-GB"/>
        </w:rPr>
        <w:t xml:space="preserve">student’s household </w:t>
      </w:r>
      <w:r w:rsidR="00091A9B" w:rsidRPr="00091A9B">
        <w:rPr>
          <w:szCs w:val="24"/>
          <w:lang w:val="en-GB"/>
        </w:rPr>
        <w:t xml:space="preserve">(namely information about siblings and </w:t>
      </w:r>
      <w:r w:rsidR="00731759">
        <w:rPr>
          <w:szCs w:val="24"/>
          <w:lang w:val="en-GB"/>
        </w:rPr>
        <w:t>cores</w:t>
      </w:r>
      <w:r w:rsidR="00091A9B" w:rsidRPr="00091A9B">
        <w:rPr>
          <w:szCs w:val="24"/>
          <w:lang w:val="en-GB"/>
        </w:rPr>
        <w:t>idenc</w:t>
      </w:r>
      <w:r>
        <w:rPr>
          <w:szCs w:val="24"/>
          <w:lang w:val="en-GB"/>
        </w:rPr>
        <w:t>e</w:t>
      </w:r>
      <w:r w:rsidR="00091A9B" w:rsidRPr="00091A9B">
        <w:rPr>
          <w:szCs w:val="24"/>
          <w:lang w:val="en-GB"/>
        </w:rPr>
        <w:t xml:space="preserve"> with grandparents)</w:t>
      </w:r>
      <w:r w:rsidR="00081B6C">
        <w:rPr>
          <w:szCs w:val="24"/>
          <w:lang w:val="en-GB"/>
        </w:rPr>
        <w:t xml:space="preserve"> than more recent waves</w:t>
      </w:r>
      <w:r w:rsidR="00091A9B" w:rsidRPr="00091A9B">
        <w:rPr>
          <w:szCs w:val="24"/>
          <w:lang w:val="en-GB"/>
        </w:rPr>
        <w:t>.</w:t>
      </w:r>
    </w:p>
    <w:p w14:paraId="691B1BA5" w14:textId="77777777" w:rsidR="00091A9B" w:rsidRPr="00091A9B" w:rsidRDefault="00091A9B" w:rsidP="006F30EE">
      <w:pPr>
        <w:spacing w:line="480" w:lineRule="auto"/>
        <w:rPr>
          <w:szCs w:val="24"/>
          <w:lang w:val="en-GB"/>
        </w:rPr>
      </w:pPr>
      <w:r w:rsidRPr="00091A9B">
        <w:rPr>
          <w:szCs w:val="24"/>
          <w:lang w:val="en-GB"/>
        </w:rPr>
        <w:t>PISA 2000 was primarily ai</w:t>
      </w:r>
      <w:r w:rsidR="000E19E2">
        <w:rPr>
          <w:szCs w:val="24"/>
          <w:lang w:val="en-GB"/>
        </w:rPr>
        <w:t xml:space="preserve">med at </w:t>
      </w:r>
      <w:r w:rsidR="00804745">
        <w:rPr>
          <w:szCs w:val="24"/>
          <w:lang w:val="en-GB"/>
        </w:rPr>
        <w:t xml:space="preserve">the </w:t>
      </w:r>
      <w:r w:rsidR="000E19E2">
        <w:rPr>
          <w:szCs w:val="24"/>
          <w:lang w:val="en-GB"/>
        </w:rPr>
        <w:t>reading lit</w:t>
      </w:r>
      <w:r w:rsidR="00A81397">
        <w:rPr>
          <w:szCs w:val="24"/>
          <w:lang w:val="en-GB"/>
        </w:rPr>
        <w:t xml:space="preserve">eracy (Adams &amp; </w:t>
      </w:r>
      <w:r w:rsidRPr="00091A9B">
        <w:rPr>
          <w:szCs w:val="24"/>
          <w:lang w:val="en-GB"/>
        </w:rPr>
        <w:t>Wu</w:t>
      </w:r>
      <w:r w:rsidR="00A81397">
        <w:rPr>
          <w:szCs w:val="24"/>
          <w:lang w:val="en-GB"/>
        </w:rPr>
        <w:t>,</w:t>
      </w:r>
      <w:r w:rsidRPr="00091A9B">
        <w:rPr>
          <w:szCs w:val="24"/>
          <w:lang w:val="en-GB"/>
        </w:rPr>
        <w:t xml:space="preserve"> 2002) of </w:t>
      </w:r>
      <w:r w:rsidR="00681DB9">
        <w:rPr>
          <w:szCs w:val="24"/>
          <w:lang w:val="en-GB"/>
        </w:rPr>
        <w:t xml:space="preserve">randomly chosen students </w:t>
      </w:r>
      <w:r w:rsidRPr="00091A9B">
        <w:rPr>
          <w:szCs w:val="24"/>
          <w:lang w:val="en-GB"/>
        </w:rPr>
        <w:t>born between 1983 and 1987</w:t>
      </w:r>
      <w:r w:rsidR="00366D32">
        <w:rPr>
          <w:szCs w:val="24"/>
          <w:lang w:val="en-GB"/>
        </w:rPr>
        <w:t>.</w:t>
      </w:r>
      <w:r w:rsidRPr="00091A9B">
        <w:rPr>
          <w:szCs w:val="24"/>
          <w:lang w:val="en-GB"/>
        </w:rPr>
        <w:t xml:space="preserve"> </w:t>
      </w:r>
      <w:r w:rsidR="00681DB9">
        <w:rPr>
          <w:szCs w:val="24"/>
          <w:lang w:val="en-GB"/>
        </w:rPr>
        <w:t xml:space="preserve">Reading literacy was defined as an individual’s </w:t>
      </w:r>
      <w:r w:rsidRPr="00091A9B">
        <w:rPr>
          <w:szCs w:val="24"/>
          <w:lang w:val="en-GB"/>
        </w:rPr>
        <w:t>ability to retrieve,</w:t>
      </w:r>
      <w:r w:rsidR="00000113">
        <w:rPr>
          <w:szCs w:val="24"/>
          <w:lang w:val="en-GB"/>
        </w:rPr>
        <w:t xml:space="preserve"> understand, use,</w:t>
      </w:r>
      <w:r w:rsidRPr="00091A9B">
        <w:rPr>
          <w:szCs w:val="24"/>
          <w:lang w:val="en-GB"/>
        </w:rPr>
        <w:t xml:space="preserve"> interpret</w:t>
      </w:r>
      <w:r w:rsidR="00081B6C">
        <w:rPr>
          <w:szCs w:val="24"/>
          <w:lang w:val="en-GB"/>
        </w:rPr>
        <w:t>,</w:t>
      </w:r>
      <w:r w:rsidRPr="00091A9B">
        <w:rPr>
          <w:szCs w:val="24"/>
          <w:lang w:val="en-GB"/>
        </w:rPr>
        <w:t xml:space="preserve"> and evaluate information </w:t>
      </w:r>
      <w:r w:rsidR="00000113">
        <w:rPr>
          <w:szCs w:val="24"/>
          <w:lang w:val="en-GB"/>
        </w:rPr>
        <w:t>in order to achieve one’</w:t>
      </w:r>
      <w:r w:rsidR="00E82965">
        <w:rPr>
          <w:szCs w:val="24"/>
          <w:lang w:val="en-GB"/>
        </w:rPr>
        <w:t>s</w:t>
      </w:r>
      <w:r w:rsidR="00000113">
        <w:rPr>
          <w:szCs w:val="24"/>
          <w:lang w:val="en-GB"/>
        </w:rPr>
        <w:t xml:space="preserve"> goals and</w:t>
      </w:r>
      <w:r w:rsidR="00000113" w:rsidRPr="00091A9B">
        <w:rPr>
          <w:szCs w:val="24"/>
          <w:lang w:val="en-GB"/>
        </w:rPr>
        <w:t xml:space="preserve"> to develop one’s knowledge </w:t>
      </w:r>
      <w:r w:rsidRPr="00091A9B">
        <w:rPr>
          <w:szCs w:val="24"/>
          <w:lang w:val="en-GB"/>
        </w:rPr>
        <w:t xml:space="preserve">(OECD 2001). </w:t>
      </w:r>
      <w:r w:rsidR="00081B6C" w:rsidRPr="00091A9B">
        <w:rPr>
          <w:szCs w:val="24"/>
          <w:lang w:val="en-GB"/>
        </w:rPr>
        <w:t xml:space="preserve">We </w:t>
      </w:r>
      <w:r w:rsidRPr="00091A9B">
        <w:rPr>
          <w:szCs w:val="24"/>
          <w:lang w:val="en-GB"/>
        </w:rPr>
        <w:t xml:space="preserve">are working with data from the </w:t>
      </w:r>
      <w:r w:rsidRPr="00091A9B">
        <w:rPr>
          <w:i/>
          <w:szCs w:val="24"/>
          <w:lang w:val="en-GB"/>
        </w:rPr>
        <w:t>student questionnaire</w:t>
      </w:r>
      <w:r w:rsidRPr="00091A9B">
        <w:rPr>
          <w:szCs w:val="24"/>
          <w:lang w:val="en-GB"/>
        </w:rPr>
        <w:t xml:space="preserve">, which (apart from the </w:t>
      </w:r>
      <w:r w:rsidR="00025D6B">
        <w:rPr>
          <w:szCs w:val="24"/>
          <w:lang w:val="en-GB"/>
        </w:rPr>
        <w:t xml:space="preserve">reading </w:t>
      </w:r>
      <w:r w:rsidRPr="00091A9B">
        <w:rPr>
          <w:szCs w:val="24"/>
          <w:lang w:val="en-GB"/>
        </w:rPr>
        <w:t xml:space="preserve">literacy variables) </w:t>
      </w:r>
      <w:r w:rsidR="00025D6B">
        <w:rPr>
          <w:szCs w:val="24"/>
          <w:lang w:val="en-GB"/>
        </w:rPr>
        <w:t xml:space="preserve">collects </w:t>
      </w:r>
      <w:r w:rsidRPr="00091A9B">
        <w:rPr>
          <w:szCs w:val="24"/>
          <w:lang w:val="en-GB"/>
        </w:rPr>
        <w:t>information about</w:t>
      </w:r>
      <w:r w:rsidR="000E19E2">
        <w:rPr>
          <w:szCs w:val="24"/>
          <w:lang w:val="en-GB"/>
        </w:rPr>
        <w:t xml:space="preserve"> siblings, structure of </w:t>
      </w:r>
      <w:r w:rsidR="00005AE4">
        <w:rPr>
          <w:szCs w:val="24"/>
          <w:lang w:val="en-GB"/>
        </w:rPr>
        <w:t xml:space="preserve">a </w:t>
      </w:r>
      <w:r w:rsidR="000E19E2">
        <w:rPr>
          <w:szCs w:val="24"/>
          <w:lang w:val="en-GB"/>
        </w:rPr>
        <w:t>student</w:t>
      </w:r>
      <w:r w:rsidRPr="00091A9B">
        <w:rPr>
          <w:szCs w:val="24"/>
          <w:lang w:val="en-GB"/>
        </w:rPr>
        <w:t>’s family</w:t>
      </w:r>
      <w:r w:rsidR="00025D6B">
        <w:rPr>
          <w:szCs w:val="24"/>
          <w:lang w:val="en-GB"/>
        </w:rPr>
        <w:t>,</w:t>
      </w:r>
      <w:r w:rsidRPr="00091A9B">
        <w:rPr>
          <w:szCs w:val="24"/>
          <w:lang w:val="en-GB"/>
        </w:rPr>
        <w:t xml:space="preserve"> and about education and o</w:t>
      </w:r>
      <w:r w:rsidR="000E19E2">
        <w:rPr>
          <w:szCs w:val="24"/>
          <w:lang w:val="en-GB"/>
        </w:rPr>
        <w:t xml:space="preserve">ccupation of </w:t>
      </w:r>
      <w:r w:rsidR="00005AE4">
        <w:rPr>
          <w:szCs w:val="24"/>
          <w:lang w:val="en-GB"/>
        </w:rPr>
        <w:t xml:space="preserve">a </w:t>
      </w:r>
      <w:r w:rsidR="000E19E2">
        <w:rPr>
          <w:szCs w:val="24"/>
          <w:lang w:val="en-GB"/>
        </w:rPr>
        <w:t>student’s parents.</w:t>
      </w:r>
    </w:p>
    <w:p w14:paraId="50007C68" w14:textId="77777777" w:rsidR="00091A9B" w:rsidRPr="00091A9B" w:rsidRDefault="00091A9B" w:rsidP="006F30EE">
      <w:pPr>
        <w:spacing w:line="480" w:lineRule="auto"/>
        <w:rPr>
          <w:szCs w:val="24"/>
          <w:lang w:val="en-GB"/>
        </w:rPr>
      </w:pPr>
      <w:r w:rsidRPr="00091A9B">
        <w:rPr>
          <w:szCs w:val="24"/>
          <w:lang w:val="en-GB"/>
        </w:rPr>
        <w:lastRenderedPageBreak/>
        <w:t xml:space="preserve">The PISA 2000 dataset contains information </w:t>
      </w:r>
      <w:r w:rsidR="005A5720">
        <w:rPr>
          <w:szCs w:val="24"/>
          <w:lang w:val="en-GB"/>
        </w:rPr>
        <w:t>collected in</w:t>
      </w:r>
      <w:r w:rsidR="00027DF6">
        <w:rPr>
          <w:szCs w:val="24"/>
          <w:lang w:val="en-GB"/>
        </w:rPr>
        <w:t xml:space="preserve"> </w:t>
      </w:r>
      <w:r w:rsidRPr="00091A9B">
        <w:rPr>
          <w:szCs w:val="24"/>
          <w:lang w:val="en-GB"/>
        </w:rPr>
        <w:t>43 countries (data were collected in 32 countries</w:t>
      </w:r>
      <w:r w:rsidR="00140727">
        <w:rPr>
          <w:szCs w:val="24"/>
          <w:lang w:val="en-GB"/>
        </w:rPr>
        <w:t>–</w:t>
      </w:r>
      <w:r w:rsidRPr="00091A9B">
        <w:rPr>
          <w:szCs w:val="24"/>
          <w:lang w:val="en-GB"/>
        </w:rPr>
        <w:t>28 OECD and 4 non-OECD</w:t>
      </w:r>
      <w:r w:rsidR="00140727">
        <w:rPr>
          <w:szCs w:val="24"/>
          <w:lang w:val="en-GB"/>
        </w:rPr>
        <w:t>–</w:t>
      </w:r>
      <w:r w:rsidR="005A5720">
        <w:rPr>
          <w:szCs w:val="24"/>
          <w:lang w:val="en-GB"/>
        </w:rPr>
        <w:t>in</w:t>
      </w:r>
      <w:r w:rsidR="00ED2A1B">
        <w:rPr>
          <w:szCs w:val="24"/>
          <w:lang w:val="en-GB"/>
        </w:rPr>
        <w:t xml:space="preserve"> the</w:t>
      </w:r>
      <w:r w:rsidR="005A5720">
        <w:rPr>
          <w:szCs w:val="24"/>
          <w:lang w:val="en-GB"/>
        </w:rPr>
        <w:t xml:space="preserve"> year 2000</w:t>
      </w:r>
      <w:r w:rsidRPr="00091A9B">
        <w:rPr>
          <w:szCs w:val="24"/>
          <w:lang w:val="en-GB"/>
        </w:rPr>
        <w:t xml:space="preserve">; the rest was collected in 2002). The data collection was </w:t>
      </w:r>
      <w:r w:rsidR="00027DF6">
        <w:rPr>
          <w:szCs w:val="24"/>
          <w:lang w:val="en-GB"/>
        </w:rPr>
        <w:t xml:space="preserve">organized to maximize its </w:t>
      </w:r>
      <w:r w:rsidRPr="00091A9B">
        <w:rPr>
          <w:szCs w:val="24"/>
          <w:lang w:val="en-GB"/>
        </w:rPr>
        <w:t>i</w:t>
      </w:r>
      <w:r w:rsidR="000E19E2">
        <w:rPr>
          <w:szCs w:val="24"/>
          <w:lang w:val="en-GB"/>
        </w:rPr>
        <w:t>nternatio</w:t>
      </w:r>
      <w:r w:rsidR="00027DF6">
        <w:rPr>
          <w:szCs w:val="24"/>
          <w:lang w:val="en-GB"/>
        </w:rPr>
        <w:t>nal comparability</w:t>
      </w:r>
      <w:r w:rsidR="00A81397">
        <w:rPr>
          <w:szCs w:val="24"/>
          <w:lang w:val="en-GB"/>
        </w:rPr>
        <w:t xml:space="preserve"> (Adams &amp;</w:t>
      </w:r>
      <w:r w:rsidRPr="00091A9B">
        <w:rPr>
          <w:szCs w:val="24"/>
          <w:lang w:val="en-GB"/>
        </w:rPr>
        <w:t xml:space="preserve"> Wu</w:t>
      </w:r>
      <w:r w:rsidR="00A81397">
        <w:rPr>
          <w:szCs w:val="24"/>
          <w:lang w:val="en-GB"/>
        </w:rPr>
        <w:t>,</w:t>
      </w:r>
      <w:r w:rsidRPr="00091A9B">
        <w:rPr>
          <w:szCs w:val="24"/>
          <w:lang w:val="en-GB"/>
        </w:rPr>
        <w:t xml:space="preserve"> 2002). </w:t>
      </w:r>
      <w:r w:rsidR="00081B6C" w:rsidRPr="00091A9B">
        <w:rPr>
          <w:szCs w:val="24"/>
          <w:lang w:val="en-GB"/>
        </w:rPr>
        <w:t xml:space="preserve">Our </w:t>
      </w:r>
      <w:r w:rsidRPr="00091A9B">
        <w:rPr>
          <w:szCs w:val="24"/>
          <w:lang w:val="en-GB"/>
        </w:rPr>
        <w:t>analysis exclude</w:t>
      </w:r>
      <w:r w:rsidR="00081B6C">
        <w:rPr>
          <w:szCs w:val="24"/>
          <w:lang w:val="en-GB"/>
        </w:rPr>
        <w:t>s</w:t>
      </w:r>
      <w:r w:rsidRPr="00091A9B">
        <w:rPr>
          <w:szCs w:val="24"/>
          <w:lang w:val="en-GB"/>
        </w:rPr>
        <w:t xml:space="preserve"> </w:t>
      </w:r>
      <w:r w:rsidR="00F5125A">
        <w:rPr>
          <w:szCs w:val="24"/>
          <w:lang w:val="en-GB"/>
        </w:rPr>
        <w:t>three</w:t>
      </w:r>
      <w:r w:rsidR="00081B6C">
        <w:rPr>
          <w:szCs w:val="24"/>
          <w:lang w:val="en-GB"/>
        </w:rPr>
        <w:t xml:space="preserve"> of the original countries (</w:t>
      </w:r>
      <w:r w:rsidRPr="00091A9B">
        <w:rPr>
          <w:szCs w:val="24"/>
          <w:lang w:val="en-GB"/>
        </w:rPr>
        <w:t>Japan, Netherlands</w:t>
      </w:r>
      <w:r w:rsidR="00081B6C">
        <w:rPr>
          <w:szCs w:val="24"/>
          <w:lang w:val="en-GB"/>
        </w:rPr>
        <w:t>,</w:t>
      </w:r>
      <w:r w:rsidRPr="00091A9B">
        <w:rPr>
          <w:szCs w:val="24"/>
          <w:lang w:val="en-GB"/>
        </w:rPr>
        <w:t xml:space="preserve"> </w:t>
      </w:r>
      <w:r w:rsidR="00681DB9">
        <w:rPr>
          <w:szCs w:val="24"/>
          <w:lang w:val="en-GB"/>
        </w:rPr>
        <w:t xml:space="preserve">and </w:t>
      </w:r>
      <w:r w:rsidRPr="00091A9B">
        <w:rPr>
          <w:szCs w:val="24"/>
          <w:lang w:val="en-GB"/>
        </w:rPr>
        <w:t>Lichtenstein</w:t>
      </w:r>
      <w:r w:rsidR="00081B6C">
        <w:rPr>
          <w:szCs w:val="24"/>
          <w:lang w:val="en-GB"/>
        </w:rPr>
        <w:t xml:space="preserve">) due to various problems with </w:t>
      </w:r>
      <w:r w:rsidR="005A5720">
        <w:rPr>
          <w:szCs w:val="24"/>
          <w:lang w:val="en-GB"/>
        </w:rPr>
        <w:t xml:space="preserve">the </w:t>
      </w:r>
      <w:r w:rsidR="00081B6C">
        <w:rPr>
          <w:szCs w:val="24"/>
          <w:lang w:val="en-GB"/>
        </w:rPr>
        <w:t xml:space="preserve">data (missing information about </w:t>
      </w:r>
      <w:r w:rsidRPr="00091A9B">
        <w:rPr>
          <w:szCs w:val="24"/>
          <w:lang w:val="en-GB"/>
        </w:rPr>
        <w:t>parental education</w:t>
      </w:r>
      <w:r w:rsidR="00F8327D">
        <w:rPr>
          <w:szCs w:val="24"/>
          <w:lang w:val="en-GB"/>
        </w:rPr>
        <w:t xml:space="preserve"> in </w:t>
      </w:r>
      <w:r w:rsidR="00134532">
        <w:rPr>
          <w:szCs w:val="24"/>
          <w:lang w:val="en-GB"/>
        </w:rPr>
        <w:t xml:space="preserve">the </w:t>
      </w:r>
      <w:r w:rsidR="00F8327D">
        <w:rPr>
          <w:szCs w:val="24"/>
          <w:lang w:val="en-GB"/>
        </w:rPr>
        <w:t>Japanese data</w:t>
      </w:r>
      <w:r w:rsidRPr="00091A9B">
        <w:rPr>
          <w:szCs w:val="24"/>
          <w:lang w:val="en-GB"/>
        </w:rPr>
        <w:t xml:space="preserve">, </w:t>
      </w:r>
      <w:r w:rsidR="00F8327D">
        <w:rPr>
          <w:szCs w:val="24"/>
          <w:lang w:val="en-GB"/>
        </w:rPr>
        <w:t xml:space="preserve">very low </w:t>
      </w:r>
      <w:r w:rsidRPr="00091A9B">
        <w:rPr>
          <w:szCs w:val="24"/>
          <w:lang w:val="en-GB"/>
        </w:rPr>
        <w:t>school</w:t>
      </w:r>
      <w:r w:rsidR="00F8327D">
        <w:rPr>
          <w:szCs w:val="24"/>
          <w:lang w:val="en-GB"/>
        </w:rPr>
        <w:t xml:space="preserve"> </w:t>
      </w:r>
      <w:r w:rsidRPr="00091A9B">
        <w:rPr>
          <w:szCs w:val="24"/>
          <w:lang w:val="en-GB"/>
        </w:rPr>
        <w:t xml:space="preserve">participation rate in </w:t>
      </w:r>
      <w:r w:rsidR="00081B6C">
        <w:rPr>
          <w:szCs w:val="24"/>
          <w:lang w:val="en-GB"/>
        </w:rPr>
        <w:t xml:space="preserve">the </w:t>
      </w:r>
      <w:r w:rsidRPr="00091A9B">
        <w:rPr>
          <w:szCs w:val="24"/>
          <w:lang w:val="en-GB"/>
        </w:rPr>
        <w:t>Netherlands</w:t>
      </w:r>
      <w:r w:rsidR="00081B6C">
        <w:rPr>
          <w:szCs w:val="24"/>
          <w:lang w:val="en-GB"/>
        </w:rPr>
        <w:t xml:space="preserve">, </w:t>
      </w:r>
      <w:r w:rsidR="00134532">
        <w:rPr>
          <w:szCs w:val="24"/>
          <w:lang w:val="en-GB"/>
        </w:rPr>
        <w:t xml:space="preserve">and </w:t>
      </w:r>
      <w:r w:rsidR="00F8327D">
        <w:rPr>
          <w:szCs w:val="24"/>
          <w:lang w:val="en-GB"/>
        </w:rPr>
        <w:t xml:space="preserve">very small </w:t>
      </w:r>
      <w:r w:rsidR="00081B6C">
        <w:rPr>
          <w:szCs w:val="24"/>
          <w:lang w:val="en-GB"/>
        </w:rPr>
        <w:t>sample size in Lichtenstein;</w:t>
      </w:r>
      <w:r w:rsidR="00A81397">
        <w:rPr>
          <w:szCs w:val="24"/>
          <w:lang w:val="en-GB"/>
        </w:rPr>
        <w:t xml:space="preserve"> see Adams &amp; Wu, </w:t>
      </w:r>
      <w:r w:rsidRPr="00091A9B">
        <w:rPr>
          <w:szCs w:val="24"/>
          <w:lang w:val="en-GB"/>
        </w:rPr>
        <w:t>2002</w:t>
      </w:r>
      <w:r w:rsidR="00A81397">
        <w:rPr>
          <w:szCs w:val="24"/>
          <w:lang w:val="en-GB"/>
        </w:rPr>
        <w:t>, p.</w:t>
      </w:r>
      <w:r w:rsidR="00272913">
        <w:rPr>
          <w:szCs w:val="24"/>
          <w:lang w:val="en-GB"/>
        </w:rPr>
        <w:t xml:space="preserve"> </w:t>
      </w:r>
      <w:r w:rsidRPr="00091A9B">
        <w:rPr>
          <w:szCs w:val="24"/>
          <w:lang w:val="en-GB"/>
        </w:rPr>
        <w:t>186</w:t>
      </w:r>
      <w:r w:rsidR="00081B6C">
        <w:rPr>
          <w:szCs w:val="24"/>
          <w:lang w:val="en-GB"/>
        </w:rPr>
        <w:t xml:space="preserve"> for additional details</w:t>
      </w:r>
      <w:r w:rsidR="00832C43">
        <w:rPr>
          <w:szCs w:val="24"/>
          <w:lang w:val="en-GB"/>
        </w:rPr>
        <w:t>)</w:t>
      </w:r>
      <w:r w:rsidRPr="00091A9B">
        <w:rPr>
          <w:szCs w:val="24"/>
          <w:lang w:val="en-GB"/>
        </w:rPr>
        <w:t xml:space="preserve">. </w:t>
      </w:r>
      <w:r w:rsidR="00F8327D">
        <w:rPr>
          <w:szCs w:val="24"/>
          <w:lang w:val="en-GB"/>
        </w:rPr>
        <w:t xml:space="preserve">Further reductions in the sample size reflect our decision not to study skipped-generation households </w:t>
      </w:r>
      <w:r w:rsidR="0055704F">
        <w:rPr>
          <w:szCs w:val="24"/>
          <w:lang w:val="en-GB"/>
        </w:rPr>
        <w:t xml:space="preserve">(since </w:t>
      </w:r>
      <w:r w:rsidR="00804745">
        <w:rPr>
          <w:szCs w:val="24"/>
          <w:lang w:val="en-GB"/>
        </w:rPr>
        <w:t xml:space="preserve">somewhat </w:t>
      </w:r>
      <w:r w:rsidR="0055704F">
        <w:rPr>
          <w:szCs w:val="24"/>
          <w:lang w:val="en-GB"/>
        </w:rPr>
        <w:t>different mechanisms lead to the establishment of three-generation and skipped-generation households</w:t>
      </w:r>
      <w:r w:rsidR="00804745">
        <w:rPr>
          <w:szCs w:val="24"/>
          <w:lang w:val="en-GB"/>
        </w:rPr>
        <w:t>,</w:t>
      </w:r>
      <w:r w:rsidR="0055704F">
        <w:rPr>
          <w:szCs w:val="24"/>
          <w:lang w:val="en-GB"/>
        </w:rPr>
        <w:t xml:space="preserve"> and we want to focus our analysis on the former type) </w:t>
      </w:r>
      <w:r w:rsidR="00F8327D">
        <w:rPr>
          <w:szCs w:val="24"/>
          <w:lang w:val="en-GB"/>
        </w:rPr>
        <w:t>and elimination of data with missing values on one or more covariates</w:t>
      </w:r>
      <w:r w:rsidR="00F07DD5">
        <w:rPr>
          <w:szCs w:val="24"/>
          <w:lang w:val="en-GB"/>
        </w:rPr>
        <w:t xml:space="preserve"> (</w:t>
      </w:r>
      <w:r w:rsidR="006E6FB5">
        <w:rPr>
          <w:szCs w:val="24"/>
          <w:lang w:val="en-GB"/>
        </w:rPr>
        <w:t xml:space="preserve">we deleted observations with missing values on </w:t>
      </w:r>
      <w:r w:rsidR="00804745">
        <w:rPr>
          <w:szCs w:val="24"/>
          <w:lang w:val="en-GB"/>
        </w:rPr>
        <w:t>an</w:t>
      </w:r>
      <w:r w:rsidR="002531D8">
        <w:rPr>
          <w:szCs w:val="24"/>
          <w:lang w:val="en-GB"/>
        </w:rPr>
        <w:t>y</w:t>
      </w:r>
      <w:r w:rsidR="00804745">
        <w:rPr>
          <w:szCs w:val="24"/>
          <w:lang w:val="en-GB"/>
        </w:rPr>
        <w:t xml:space="preserve"> </w:t>
      </w:r>
      <w:r w:rsidR="00681DB9">
        <w:rPr>
          <w:szCs w:val="24"/>
          <w:lang w:val="en-GB"/>
        </w:rPr>
        <w:t>explanatory variable</w:t>
      </w:r>
      <w:r w:rsidR="00F07DD5">
        <w:rPr>
          <w:szCs w:val="24"/>
          <w:lang w:val="en-GB"/>
        </w:rPr>
        <w:t>)</w:t>
      </w:r>
      <w:r w:rsidR="00F8327D">
        <w:rPr>
          <w:szCs w:val="24"/>
          <w:lang w:val="en-GB"/>
        </w:rPr>
        <w:t xml:space="preserve">. Thus we base our investigation on </w:t>
      </w:r>
      <w:r w:rsidR="00F07DD5">
        <w:rPr>
          <w:szCs w:val="24"/>
          <w:lang w:val="en-GB"/>
        </w:rPr>
        <w:t>151377 cases from 40 countries.</w:t>
      </w:r>
    </w:p>
    <w:p w14:paraId="3DB17819" w14:textId="77777777" w:rsidR="00091A9B" w:rsidRDefault="00027DF6" w:rsidP="006F30EE">
      <w:pPr>
        <w:spacing w:line="480" w:lineRule="auto"/>
        <w:rPr>
          <w:szCs w:val="24"/>
          <w:lang w:val="en-GB"/>
        </w:rPr>
      </w:pPr>
      <w:r>
        <w:rPr>
          <w:szCs w:val="24"/>
          <w:lang w:val="en-GB"/>
        </w:rPr>
        <w:t xml:space="preserve">Our analysis employs the </w:t>
      </w:r>
      <w:r w:rsidR="00091A9B" w:rsidRPr="00091A9B">
        <w:rPr>
          <w:szCs w:val="24"/>
          <w:lang w:val="en-GB"/>
        </w:rPr>
        <w:t xml:space="preserve">reading literacy </w:t>
      </w:r>
      <w:r>
        <w:rPr>
          <w:szCs w:val="24"/>
          <w:lang w:val="en-GB"/>
        </w:rPr>
        <w:t xml:space="preserve">scale in the position of </w:t>
      </w:r>
      <w:r w:rsidR="0055704F">
        <w:rPr>
          <w:szCs w:val="24"/>
          <w:lang w:val="en-GB"/>
        </w:rPr>
        <w:t>the</w:t>
      </w:r>
      <w:r>
        <w:rPr>
          <w:szCs w:val="24"/>
          <w:lang w:val="en-GB"/>
        </w:rPr>
        <w:t xml:space="preserve"> dependent variable</w:t>
      </w:r>
      <w:r w:rsidR="00091A9B" w:rsidRPr="00091A9B">
        <w:rPr>
          <w:szCs w:val="24"/>
          <w:lang w:val="en-GB"/>
        </w:rPr>
        <w:t xml:space="preserve">. </w:t>
      </w:r>
      <w:r w:rsidR="00193749">
        <w:rPr>
          <w:szCs w:val="24"/>
          <w:lang w:val="en-GB"/>
        </w:rPr>
        <w:t xml:space="preserve">PISA reports </w:t>
      </w:r>
      <w:r w:rsidR="00091A9B" w:rsidRPr="00091A9B">
        <w:rPr>
          <w:szCs w:val="24"/>
          <w:lang w:val="en-GB"/>
        </w:rPr>
        <w:t>five plausible values</w:t>
      </w:r>
      <w:r w:rsidR="00081B6C">
        <w:rPr>
          <w:szCs w:val="24"/>
          <w:lang w:val="en-GB"/>
        </w:rPr>
        <w:t xml:space="preserve"> of </w:t>
      </w:r>
      <w:r>
        <w:rPr>
          <w:szCs w:val="24"/>
          <w:lang w:val="en-GB"/>
        </w:rPr>
        <w:t>reading literacy for each student</w:t>
      </w:r>
      <w:r w:rsidR="00091A9B" w:rsidRPr="00091A9B">
        <w:rPr>
          <w:szCs w:val="24"/>
          <w:lang w:val="en-GB"/>
        </w:rPr>
        <w:t xml:space="preserve">. “The plausible values represent a set of </w:t>
      </w:r>
      <w:r w:rsidR="00091A9B" w:rsidRPr="00140B47">
        <w:rPr>
          <w:szCs w:val="24"/>
          <w:lang w:val="en-GB"/>
        </w:rPr>
        <w:t>random</w:t>
      </w:r>
      <w:r w:rsidR="00091A9B" w:rsidRPr="00091A9B">
        <w:rPr>
          <w:szCs w:val="24"/>
          <w:lang w:val="en-GB"/>
        </w:rPr>
        <w:t xml:space="preserve"> values for each student </w:t>
      </w:r>
      <w:r w:rsidR="00681DB9" w:rsidRPr="00091A9B">
        <w:rPr>
          <w:szCs w:val="24"/>
          <w:lang w:val="en-GB"/>
        </w:rPr>
        <w:t xml:space="preserve">selected </w:t>
      </w:r>
      <w:r w:rsidR="00091A9B" w:rsidRPr="00140B47">
        <w:rPr>
          <w:szCs w:val="24"/>
          <w:lang w:val="en-GB"/>
        </w:rPr>
        <w:t>at random</w:t>
      </w:r>
      <w:r w:rsidR="00091A9B" w:rsidRPr="00091A9B">
        <w:rPr>
          <w:szCs w:val="24"/>
          <w:lang w:val="en-GB"/>
        </w:rPr>
        <w:t xml:space="preserve"> from an estimated ability distribution of students with similar item response patterns and background. They are intended to provide good estimates of parameters of student populations (for example, country mean scores), rather than estimates of individual studen</w:t>
      </w:r>
      <w:r w:rsidR="00AB6083">
        <w:rPr>
          <w:szCs w:val="24"/>
          <w:lang w:val="en-GB"/>
        </w:rPr>
        <w:t>t proficiency” (OECD</w:t>
      </w:r>
      <w:r w:rsidR="00A81397">
        <w:rPr>
          <w:szCs w:val="24"/>
          <w:lang w:val="en-GB"/>
        </w:rPr>
        <w:t>,</w:t>
      </w:r>
      <w:r w:rsidR="00DE4055">
        <w:rPr>
          <w:szCs w:val="24"/>
          <w:lang w:val="en-GB"/>
        </w:rPr>
        <w:t xml:space="preserve"> 2002, p. </w:t>
      </w:r>
      <w:r w:rsidR="00AB6083">
        <w:rPr>
          <w:szCs w:val="24"/>
          <w:lang w:val="en-GB"/>
        </w:rPr>
        <w:t>22).</w:t>
      </w:r>
      <w:r w:rsidR="005703D2">
        <w:rPr>
          <w:szCs w:val="24"/>
          <w:lang w:val="en-GB"/>
        </w:rPr>
        <w:t xml:space="preserve"> We used STATA’s </w:t>
      </w:r>
      <w:r w:rsidR="005703D2" w:rsidRPr="00081B6C">
        <w:rPr>
          <w:rFonts w:ascii="Courier New" w:hAnsi="Courier New" w:cs="Courier New"/>
          <w:szCs w:val="24"/>
          <w:lang w:val="en-GB"/>
        </w:rPr>
        <w:t>mi</w:t>
      </w:r>
      <w:r w:rsidR="005703D2">
        <w:rPr>
          <w:szCs w:val="24"/>
          <w:lang w:val="en-GB"/>
        </w:rPr>
        <w:t xml:space="preserve"> package </w:t>
      </w:r>
      <w:r w:rsidR="00385234" w:rsidRPr="00681DB9">
        <w:rPr>
          <w:szCs w:val="24"/>
          <w:lang w:val="en-GB"/>
        </w:rPr>
        <w:t>(STATA Corp.</w:t>
      </w:r>
      <w:r w:rsidR="00385234">
        <w:rPr>
          <w:szCs w:val="24"/>
          <w:lang w:val="en-GB"/>
        </w:rPr>
        <w:t>,</w:t>
      </w:r>
      <w:r w:rsidR="00385234" w:rsidRPr="00681DB9">
        <w:rPr>
          <w:szCs w:val="24"/>
          <w:lang w:val="en-GB"/>
        </w:rPr>
        <w:t xml:space="preserve"> 201</w:t>
      </w:r>
      <w:r w:rsidR="00385234">
        <w:rPr>
          <w:szCs w:val="24"/>
          <w:lang w:val="en-GB"/>
        </w:rPr>
        <w:t>1</w:t>
      </w:r>
      <w:r w:rsidR="000849D8">
        <w:rPr>
          <w:szCs w:val="24"/>
          <w:lang w:val="en-GB"/>
        </w:rPr>
        <w:t>b</w:t>
      </w:r>
      <w:r w:rsidR="00385234" w:rsidRPr="00681DB9">
        <w:rPr>
          <w:szCs w:val="24"/>
          <w:lang w:val="en-GB"/>
        </w:rPr>
        <w:t>)</w:t>
      </w:r>
      <w:r w:rsidR="00385234">
        <w:rPr>
          <w:szCs w:val="24"/>
          <w:lang w:val="en-GB"/>
        </w:rPr>
        <w:t xml:space="preserve"> </w:t>
      </w:r>
      <w:r w:rsidR="005703D2">
        <w:rPr>
          <w:szCs w:val="24"/>
          <w:lang w:val="en-GB"/>
        </w:rPr>
        <w:t>to work with plausible values</w:t>
      </w:r>
      <w:r w:rsidR="00385234">
        <w:rPr>
          <w:szCs w:val="24"/>
          <w:lang w:val="en-GB"/>
        </w:rPr>
        <w:t xml:space="preserve">, since plausible values and imputed values </w:t>
      </w:r>
      <w:r w:rsidR="00C331A8">
        <w:rPr>
          <w:szCs w:val="24"/>
          <w:lang w:val="en-GB"/>
        </w:rPr>
        <w:t xml:space="preserve">(or latent variables and missing data) </w:t>
      </w:r>
      <w:r w:rsidR="00385234">
        <w:rPr>
          <w:szCs w:val="24"/>
          <w:lang w:val="en-GB"/>
        </w:rPr>
        <w:t xml:space="preserve">are conceptually and computationally </w:t>
      </w:r>
      <w:r w:rsidR="00C331A8">
        <w:rPr>
          <w:szCs w:val="24"/>
          <w:lang w:val="en-GB"/>
        </w:rPr>
        <w:t xml:space="preserve">synonymous </w:t>
      </w:r>
      <w:r w:rsidR="00385234">
        <w:rPr>
          <w:szCs w:val="24"/>
          <w:lang w:val="en-GB"/>
        </w:rPr>
        <w:t>and require</w:t>
      </w:r>
      <w:r w:rsidR="00687BB9">
        <w:rPr>
          <w:szCs w:val="24"/>
          <w:lang w:val="en-GB"/>
        </w:rPr>
        <w:t>, as stated by Lee and Cai</w:t>
      </w:r>
      <w:r w:rsidR="00DE4055">
        <w:rPr>
          <w:szCs w:val="24"/>
          <w:lang w:val="en-GB"/>
        </w:rPr>
        <w:t xml:space="preserve"> (2012, p.</w:t>
      </w:r>
      <w:r w:rsidR="003D0B5C">
        <w:rPr>
          <w:szCs w:val="24"/>
          <w:lang w:val="en-GB"/>
        </w:rPr>
        <w:t xml:space="preserve"> 1)</w:t>
      </w:r>
      <w:r w:rsidR="00687BB9">
        <w:rPr>
          <w:szCs w:val="24"/>
          <w:lang w:val="en-GB"/>
        </w:rPr>
        <w:t>,</w:t>
      </w:r>
      <w:r w:rsidR="00385234">
        <w:rPr>
          <w:szCs w:val="24"/>
          <w:lang w:val="en-GB"/>
        </w:rPr>
        <w:t xml:space="preserve"> </w:t>
      </w:r>
      <w:r w:rsidR="00687BB9">
        <w:rPr>
          <w:szCs w:val="24"/>
          <w:lang w:val="en-GB"/>
        </w:rPr>
        <w:t>“</w:t>
      </w:r>
      <w:r w:rsidR="00385234">
        <w:rPr>
          <w:szCs w:val="24"/>
          <w:lang w:val="en-GB"/>
        </w:rPr>
        <w:t>the same analytical tools</w:t>
      </w:r>
      <w:r w:rsidR="00687BB9">
        <w:rPr>
          <w:szCs w:val="24"/>
          <w:lang w:val="en-GB"/>
        </w:rPr>
        <w:t>”</w:t>
      </w:r>
      <w:r w:rsidR="005A5720">
        <w:rPr>
          <w:szCs w:val="24"/>
          <w:lang w:val="en-GB"/>
        </w:rPr>
        <w:t>.</w:t>
      </w:r>
      <w:r w:rsidR="002E551A">
        <w:rPr>
          <w:szCs w:val="24"/>
          <w:lang w:val="en-GB"/>
        </w:rPr>
        <w:t xml:space="preserve"> </w:t>
      </w:r>
      <w:r w:rsidR="006E4B75">
        <w:rPr>
          <w:szCs w:val="24"/>
          <w:lang w:val="en-GB"/>
        </w:rPr>
        <w:t xml:space="preserve">The overall mean on the reading test is 485 in our analytical sample (see Table 1); reading </w:t>
      </w:r>
      <w:r w:rsidR="002E551A">
        <w:rPr>
          <w:szCs w:val="24"/>
          <w:lang w:val="en-GB"/>
        </w:rPr>
        <w:t>test scores by country are reported in Table A</w:t>
      </w:r>
      <w:r w:rsidR="001F33F1">
        <w:rPr>
          <w:szCs w:val="24"/>
          <w:lang w:val="en-GB"/>
        </w:rPr>
        <w:t>.1</w:t>
      </w:r>
      <w:r w:rsidR="002E551A">
        <w:rPr>
          <w:szCs w:val="24"/>
          <w:lang w:val="en-GB"/>
        </w:rPr>
        <w:t xml:space="preserve"> in the Appendix.</w:t>
      </w:r>
    </w:p>
    <w:p w14:paraId="5C593A83" w14:textId="77777777" w:rsidR="009F00FD" w:rsidRPr="00091A9B" w:rsidRDefault="009F00FD" w:rsidP="006F30EE">
      <w:pPr>
        <w:spacing w:line="480" w:lineRule="auto"/>
        <w:rPr>
          <w:szCs w:val="24"/>
          <w:lang w:val="en-GB"/>
        </w:rPr>
      </w:pPr>
    </w:p>
    <w:p w14:paraId="66268EDA" w14:textId="77777777" w:rsidR="001F33F1" w:rsidRDefault="001F33F1" w:rsidP="006F30EE">
      <w:pPr>
        <w:spacing w:line="480" w:lineRule="auto"/>
        <w:jc w:val="center"/>
        <w:rPr>
          <w:szCs w:val="24"/>
          <w:lang w:val="en-GB"/>
        </w:rPr>
      </w:pPr>
      <w:r>
        <w:rPr>
          <w:szCs w:val="24"/>
          <w:lang w:val="en-GB"/>
        </w:rPr>
        <w:lastRenderedPageBreak/>
        <w:t>&lt;Table 1 about here&gt;</w:t>
      </w:r>
    </w:p>
    <w:p w14:paraId="7043242C" w14:textId="77777777" w:rsidR="009F00FD" w:rsidRDefault="009F00FD" w:rsidP="006F30EE">
      <w:pPr>
        <w:spacing w:line="480" w:lineRule="auto"/>
        <w:jc w:val="center"/>
        <w:rPr>
          <w:szCs w:val="24"/>
          <w:lang w:val="en-GB"/>
        </w:rPr>
      </w:pPr>
    </w:p>
    <w:p w14:paraId="5ACFAA2A" w14:textId="77777777" w:rsidR="00091A9B" w:rsidRDefault="0055704F" w:rsidP="006F30EE">
      <w:pPr>
        <w:spacing w:line="480" w:lineRule="auto"/>
        <w:rPr>
          <w:szCs w:val="24"/>
          <w:lang w:val="en-GB"/>
        </w:rPr>
      </w:pPr>
      <w:r>
        <w:rPr>
          <w:szCs w:val="24"/>
          <w:lang w:val="en-GB"/>
        </w:rPr>
        <w:t>T</w:t>
      </w:r>
      <w:r w:rsidR="00091A9B" w:rsidRPr="00091A9B">
        <w:rPr>
          <w:szCs w:val="24"/>
          <w:lang w:val="en-GB"/>
        </w:rPr>
        <w:t>he student questionnaire</w:t>
      </w:r>
      <w:r>
        <w:rPr>
          <w:szCs w:val="24"/>
          <w:lang w:val="en-GB"/>
        </w:rPr>
        <w:t xml:space="preserve"> </w:t>
      </w:r>
      <w:r w:rsidR="00091A9B" w:rsidRPr="00091A9B">
        <w:rPr>
          <w:szCs w:val="24"/>
          <w:lang w:val="en-GB"/>
        </w:rPr>
        <w:t>asked</w:t>
      </w:r>
      <w:r w:rsidR="002531D8">
        <w:rPr>
          <w:szCs w:val="24"/>
          <w:lang w:val="en-GB"/>
        </w:rPr>
        <w:t>,</w:t>
      </w:r>
      <w:r w:rsidR="00091A9B" w:rsidRPr="00091A9B">
        <w:rPr>
          <w:szCs w:val="24"/>
          <w:lang w:val="en-GB"/>
        </w:rPr>
        <w:t xml:space="preserve"> “How many brothers and sisters do you have?” </w:t>
      </w:r>
      <w:r>
        <w:rPr>
          <w:szCs w:val="24"/>
          <w:lang w:val="en-GB"/>
        </w:rPr>
        <w:t xml:space="preserve">Students </w:t>
      </w:r>
      <w:r w:rsidR="00091A9B" w:rsidRPr="00091A9B">
        <w:rPr>
          <w:szCs w:val="24"/>
          <w:lang w:val="en-GB"/>
        </w:rPr>
        <w:t>report</w:t>
      </w:r>
      <w:r w:rsidR="00027DF6">
        <w:rPr>
          <w:szCs w:val="24"/>
          <w:lang w:val="en-GB"/>
        </w:rPr>
        <w:t>ed</w:t>
      </w:r>
      <w:r w:rsidR="00091A9B" w:rsidRPr="00091A9B">
        <w:rPr>
          <w:szCs w:val="24"/>
          <w:lang w:val="en-GB"/>
        </w:rPr>
        <w:t xml:space="preserve"> </w:t>
      </w:r>
      <w:r w:rsidR="005B5AEF">
        <w:rPr>
          <w:szCs w:val="24"/>
          <w:lang w:val="en-GB"/>
        </w:rPr>
        <w:t xml:space="preserve">the </w:t>
      </w:r>
      <w:r w:rsidR="00091A9B" w:rsidRPr="00091A9B">
        <w:rPr>
          <w:szCs w:val="24"/>
          <w:lang w:val="en-GB"/>
        </w:rPr>
        <w:t>number of younger, older, and same-age siblin</w:t>
      </w:r>
      <w:r w:rsidR="00C331A8">
        <w:rPr>
          <w:szCs w:val="24"/>
          <w:lang w:val="en-GB"/>
        </w:rPr>
        <w:t xml:space="preserve">gs by ticking the relevant box </w:t>
      </w:r>
      <w:r w:rsidR="00091A9B" w:rsidRPr="00091A9B">
        <w:rPr>
          <w:szCs w:val="24"/>
          <w:lang w:val="en-GB"/>
        </w:rPr>
        <w:t>rangin</w:t>
      </w:r>
      <w:r w:rsidR="00C331A8">
        <w:rPr>
          <w:szCs w:val="24"/>
          <w:lang w:val="en-GB"/>
        </w:rPr>
        <w:t>g from “none” to “four or more”</w:t>
      </w:r>
      <w:r w:rsidR="00027DF6">
        <w:rPr>
          <w:szCs w:val="24"/>
          <w:lang w:val="en-GB"/>
        </w:rPr>
        <w:t xml:space="preserve"> in each category</w:t>
      </w:r>
      <w:r>
        <w:rPr>
          <w:szCs w:val="24"/>
          <w:lang w:val="en-GB"/>
        </w:rPr>
        <w:t>.</w:t>
      </w:r>
      <w:r w:rsidR="00DD5C02">
        <w:rPr>
          <w:szCs w:val="24"/>
          <w:lang w:val="en-GB"/>
        </w:rPr>
        <w:t xml:space="preserve"> </w:t>
      </w:r>
      <w:r w:rsidR="00091A9B" w:rsidRPr="00091A9B">
        <w:rPr>
          <w:szCs w:val="24"/>
          <w:lang w:val="en-GB"/>
        </w:rPr>
        <w:t xml:space="preserve">The final </w:t>
      </w:r>
      <w:r w:rsidR="005B5AEF">
        <w:rPr>
          <w:szCs w:val="24"/>
          <w:lang w:val="en-GB"/>
        </w:rPr>
        <w:t xml:space="preserve">number </w:t>
      </w:r>
      <w:r w:rsidR="00091A9B" w:rsidRPr="00091A9B">
        <w:rPr>
          <w:szCs w:val="24"/>
          <w:lang w:val="en-GB"/>
        </w:rPr>
        <w:t xml:space="preserve">of siblings </w:t>
      </w:r>
      <w:r w:rsidR="00027DF6">
        <w:rPr>
          <w:szCs w:val="24"/>
          <w:lang w:val="en-GB"/>
        </w:rPr>
        <w:t xml:space="preserve">was then </w:t>
      </w:r>
      <w:r w:rsidR="006E4B75">
        <w:rPr>
          <w:szCs w:val="24"/>
          <w:lang w:val="en-GB"/>
        </w:rPr>
        <w:t>obtained</w:t>
      </w:r>
      <w:r w:rsidR="00027DF6">
        <w:rPr>
          <w:szCs w:val="24"/>
          <w:lang w:val="en-GB"/>
        </w:rPr>
        <w:t xml:space="preserve"> by adding response</w:t>
      </w:r>
      <w:r w:rsidR="00DD5C02">
        <w:rPr>
          <w:szCs w:val="24"/>
          <w:lang w:val="en-GB"/>
        </w:rPr>
        <w:t>s</w:t>
      </w:r>
      <w:r w:rsidR="00027DF6">
        <w:rPr>
          <w:szCs w:val="24"/>
          <w:lang w:val="en-GB"/>
        </w:rPr>
        <w:t xml:space="preserve"> to each item. The scale ranges</w:t>
      </w:r>
      <w:r w:rsidR="00091A9B" w:rsidRPr="00091A9B">
        <w:rPr>
          <w:szCs w:val="24"/>
          <w:lang w:val="en-GB"/>
        </w:rPr>
        <w:t xml:space="preserve"> from 0 to 12 </w:t>
      </w:r>
      <w:r w:rsidR="00027DF6">
        <w:rPr>
          <w:szCs w:val="24"/>
          <w:lang w:val="en-GB"/>
        </w:rPr>
        <w:t>in our analytical sample.</w:t>
      </w:r>
      <w:r w:rsidR="00832C43">
        <w:rPr>
          <w:szCs w:val="24"/>
          <w:lang w:val="en-GB"/>
        </w:rPr>
        <w:t xml:space="preserve"> </w:t>
      </w:r>
      <w:r>
        <w:rPr>
          <w:szCs w:val="24"/>
          <w:lang w:val="en-GB"/>
        </w:rPr>
        <w:t xml:space="preserve">The questionnaire did </w:t>
      </w:r>
      <w:r w:rsidR="00C331A8">
        <w:rPr>
          <w:szCs w:val="24"/>
          <w:lang w:val="en-GB"/>
        </w:rPr>
        <w:t>n</w:t>
      </w:r>
      <w:r>
        <w:rPr>
          <w:szCs w:val="24"/>
          <w:lang w:val="en-GB"/>
        </w:rPr>
        <w:t>o</w:t>
      </w:r>
      <w:r w:rsidR="00C331A8">
        <w:rPr>
          <w:szCs w:val="24"/>
          <w:lang w:val="en-GB"/>
        </w:rPr>
        <w:t>t</w:t>
      </w:r>
      <w:r>
        <w:rPr>
          <w:szCs w:val="24"/>
          <w:lang w:val="en-GB"/>
        </w:rPr>
        <w:t xml:space="preserve"> differentiate </w:t>
      </w:r>
      <w:r w:rsidR="00804745">
        <w:rPr>
          <w:szCs w:val="24"/>
          <w:lang w:val="en-GB"/>
        </w:rPr>
        <w:t xml:space="preserve">among </w:t>
      </w:r>
      <w:r w:rsidRPr="00091A9B">
        <w:rPr>
          <w:szCs w:val="24"/>
          <w:lang w:val="en-GB"/>
        </w:rPr>
        <w:t>biological</w:t>
      </w:r>
      <w:r>
        <w:rPr>
          <w:szCs w:val="24"/>
          <w:lang w:val="en-GB"/>
        </w:rPr>
        <w:t>, half-</w:t>
      </w:r>
      <w:r w:rsidR="00C331A8">
        <w:rPr>
          <w:szCs w:val="24"/>
          <w:lang w:val="en-GB"/>
        </w:rPr>
        <w:t>,</w:t>
      </w:r>
      <w:r w:rsidRPr="00091A9B">
        <w:rPr>
          <w:szCs w:val="24"/>
          <w:lang w:val="en-GB"/>
        </w:rPr>
        <w:t xml:space="preserve"> </w:t>
      </w:r>
      <w:r>
        <w:rPr>
          <w:szCs w:val="24"/>
          <w:lang w:val="en-GB"/>
        </w:rPr>
        <w:t xml:space="preserve">or </w:t>
      </w:r>
      <w:r w:rsidRPr="00091A9B">
        <w:rPr>
          <w:szCs w:val="24"/>
          <w:lang w:val="en-GB"/>
        </w:rPr>
        <w:t xml:space="preserve">step-siblings. </w:t>
      </w:r>
      <w:r w:rsidR="00FC7EDE">
        <w:rPr>
          <w:szCs w:val="24"/>
          <w:lang w:val="en-GB"/>
        </w:rPr>
        <w:t xml:space="preserve">Respondents </w:t>
      </w:r>
      <w:r>
        <w:rPr>
          <w:szCs w:val="24"/>
          <w:lang w:val="en-GB"/>
        </w:rPr>
        <w:t xml:space="preserve">in the analytical sample </w:t>
      </w:r>
      <w:r w:rsidR="00FC7EDE">
        <w:rPr>
          <w:szCs w:val="24"/>
          <w:lang w:val="en-GB"/>
        </w:rPr>
        <w:t xml:space="preserve">have on average 1.9 brothers and sisters (see Table </w:t>
      </w:r>
      <w:r w:rsidR="005703D2">
        <w:rPr>
          <w:szCs w:val="24"/>
          <w:lang w:val="en-GB"/>
        </w:rPr>
        <w:t>1</w:t>
      </w:r>
      <w:r w:rsidR="00FC7EDE">
        <w:rPr>
          <w:szCs w:val="24"/>
          <w:lang w:val="en-GB"/>
        </w:rPr>
        <w:t>)</w:t>
      </w:r>
      <w:r w:rsidR="00832C43">
        <w:rPr>
          <w:szCs w:val="24"/>
          <w:lang w:val="en-GB"/>
        </w:rPr>
        <w:t xml:space="preserve">. Several country means fall </w:t>
      </w:r>
      <w:r w:rsidR="00AB6083">
        <w:rPr>
          <w:szCs w:val="24"/>
          <w:lang w:val="en-GB"/>
        </w:rPr>
        <w:t xml:space="preserve">significantly below </w:t>
      </w:r>
      <w:r w:rsidR="00832C43">
        <w:rPr>
          <w:szCs w:val="24"/>
          <w:lang w:val="en-GB"/>
        </w:rPr>
        <w:t xml:space="preserve">the </w:t>
      </w:r>
      <w:r w:rsidR="00AB6083">
        <w:rPr>
          <w:szCs w:val="24"/>
          <w:lang w:val="en-GB"/>
        </w:rPr>
        <w:t>overall mean</w:t>
      </w:r>
      <w:r w:rsidR="00832C43">
        <w:rPr>
          <w:szCs w:val="24"/>
          <w:lang w:val="en-GB"/>
        </w:rPr>
        <w:t>, with the lowest values recorded in Bulgaria (1</w:t>
      </w:r>
      <w:r w:rsidR="008B61B7">
        <w:rPr>
          <w:szCs w:val="24"/>
          <w:lang w:val="en-GB"/>
        </w:rPr>
        <w:t>.</w:t>
      </w:r>
      <w:r w:rsidR="00832C43">
        <w:rPr>
          <w:szCs w:val="24"/>
          <w:lang w:val="en-GB"/>
        </w:rPr>
        <w:t>0), Italy (1</w:t>
      </w:r>
      <w:r w:rsidR="008B61B7">
        <w:rPr>
          <w:szCs w:val="24"/>
          <w:lang w:val="en-GB"/>
        </w:rPr>
        <w:t>.</w:t>
      </w:r>
      <w:r w:rsidR="00832C43">
        <w:rPr>
          <w:szCs w:val="24"/>
          <w:lang w:val="en-GB"/>
        </w:rPr>
        <w:t xml:space="preserve">3), </w:t>
      </w:r>
      <w:r w:rsidR="005A5720">
        <w:rPr>
          <w:szCs w:val="24"/>
          <w:lang w:val="en-GB"/>
        </w:rPr>
        <w:t xml:space="preserve">and </w:t>
      </w:r>
      <w:r w:rsidR="00832C43">
        <w:rPr>
          <w:szCs w:val="24"/>
          <w:lang w:val="en-GB"/>
        </w:rPr>
        <w:t>Korea (1</w:t>
      </w:r>
      <w:r w:rsidR="008B61B7">
        <w:rPr>
          <w:szCs w:val="24"/>
          <w:lang w:val="en-GB"/>
        </w:rPr>
        <w:t>.</w:t>
      </w:r>
      <w:r w:rsidR="00832C43">
        <w:rPr>
          <w:szCs w:val="24"/>
          <w:lang w:val="en-GB"/>
        </w:rPr>
        <w:t xml:space="preserve">3). The highest </w:t>
      </w:r>
      <w:r w:rsidR="00FC7EDE">
        <w:rPr>
          <w:szCs w:val="24"/>
          <w:lang w:val="en-GB"/>
        </w:rPr>
        <w:t xml:space="preserve">means </w:t>
      </w:r>
      <w:r w:rsidR="00832C43">
        <w:rPr>
          <w:szCs w:val="24"/>
          <w:lang w:val="en-GB"/>
        </w:rPr>
        <w:t xml:space="preserve">are </w:t>
      </w:r>
      <w:r w:rsidR="00FC7EDE">
        <w:rPr>
          <w:szCs w:val="24"/>
          <w:lang w:val="en-GB"/>
        </w:rPr>
        <w:t xml:space="preserve">found </w:t>
      </w:r>
      <w:r w:rsidR="00832C43">
        <w:rPr>
          <w:szCs w:val="24"/>
          <w:lang w:val="en-GB"/>
        </w:rPr>
        <w:t>in Peru (3</w:t>
      </w:r>
      <w:r w:rsidR="008B61B7">
        <w:rPr>
          <w:szCs w:val="24"/>
          <w:lang w:val="en-GB"/>
        </w:rPr>
        <w:t>.</w:t>
      </w:r>
      <w:r w:rsidR="00832C43">
        <w:rPr>
          <w:szCs w:val="24"/>
          <w:lang w:val="en-GB"/>
        </w:rPr>
        <w:t>0), Indonesia (2</w:t>
      </w:r>
      <w:r w:rsidR="008B61B7">
        <w:rPr>
          <w:szCs w:val="24"/>
          <w:lang w:val="en-GB"/>
        </w:rPr>
        <w:t>.</w:t>
      </w:r>
      <w:r w:rsidR="00832C43">
        <w:rPr>
          <w:szCs w:val="24"/>
          <w:lang w:val="en-GB"/>
        </w:rPr>
        <w:t>9), Israel (2</w:t>
      </w:r>
      <w:r w:rsidR="008B61B7">
        <w:rPr>
          <w:szCs w:val="24"/>
          <w:lang w:val="en-GB"/>
        </w:rPr>
        <w:t>.</w:t>
      </w:r>
      <w:r w:rsidR="00832C43">
        <w:rPr>
          <w:szCs w:val="24"/>
          <w:lang w:val="en-GB"/>
        </w:rPr>
        <w:t>9), and Mexico (2</w:t>
      </w:r>
      <w:r w:rsidR="008B61B7">
        <w:rPr>
          <w:szCs w:val="24"/>
          <w:lang w:val="en-GB"/>
        </w:rPr>
        <w:t>.</w:t>
      </w:r>
      <w:r w:rsidR="00832C43">
        <w:rPr>
          <w:szCs w:val="24"/>
          <w:lang w:val="en-GB"/>
        </w:rPr>
        <w:t>9</w:t>
      </w:r>
      <w:r w:rsidR="00541F61">
        <w:rPr>
          <w:szCs w:val="24"/>
          <w:lang w:val="en-GB"/>
        </w:rPr>
        <w:t xml:space="preserve">; see Table </w:t>
      </w:r>
      <w:r w:rsidR="005A5720">
        <w:rPr>
          <w:szCs w:val="24"/>
          <w:lang w:val="en-GB"/>
        </w:rPr>
        <w:t>A</w:t>
      </w:r>
      <w:r w:rsidR="001F33F1">
        <w:rPr>
          <w:szCs w:val="24"/>
          <w:lang w:val="en-GB"/>
        </w:rPr>
        <w:t>.1</w:t>
      </w:r>
      <w:r w:rsidR="00AB6083">
        <w:rPr>
          <w:szCs w:val="24"/>
          <w:lang w:val="en-GB"/>
        </w:rPr>
        <w:t xml:space="preserve"> in the Appendix</w:t>
      </w:r>
      <w:r w:rsidR="00832C43">
        <w:rPr>
          <w:szCs w:val="24"/>
          <w:lang w:val="en-GB"/>
        </w:rPr>
        <w:t>).</w:t>
      </w:r>
    </w:p>
    <w:p w14:paraId="6BBFE299" w14:textId="77777777" w:rsidR="002E551A" w:rsidRDefault="00091A9B" w:rsidP="006F30EE">
      <w:pPr>
        <w:spacing w:line="480" w:lineRule="auto"/>
        <w:rPr>
          <w:szCs w:val="24"/>
          <w:lang w:val="en-GB"/>
        </w:rPr>
      </w:pPr>
      <w:r w:rsidRPr="00091A9B">
        <w:rPr>
          <w:szCs w:val="24"/>
          <w:lang w:val="en-GB"/>
        </w:rPr>
        <w:t xml:space="preserve">Students were </w:t>
      </w:r>
      <w:r w:rsidR="0087252C">
        <w:rPr>
          <w:szCs w:val="24"/>
          <w:lang w:val="en-GB"/>
        </w:rPr>
        <w:t xml:space="preserve">further </w:t>
      </w:r>
      <w:r w:rsidRPr="00091A9B">
        <w:rPr>
          <w:szCs w:val="24"/>
          <w:lang w:val="en-GB"/>
        </w:rPr>
        <w:t>asked</w:t>
      </w:r>
      <w:r w:rsidR="002531D8">
        <w:rPr>
          <w:szCs w:val="24"/>
          <w:lang w:val="en-GB"/>
        </w:rPr>
        <w:t>,</w:t>
      </w:r>
      <w:r w:rsidRPr="00091A9B">
        <w:rPr>
          <w:szCs w:val="24"/>
          <w:lang w:val="en-GB"/>
        </w:rPr>
        <w:t xml:space="preserve"> “Who usually lives at home with you</w:t>
      </w:r>
      <w:r w:rsidR="00244C2F">
        <w:rPr>
          <w:szCs w:val="24"/>
          <w:lang w:val="en-GB"/>
        </w:rPr>
        <w:t>?</w:t>
      </w:r>
      <w:r w:rsidRPr="00091A9B">
        <w:rPr>
          <w:szCs w:val="24"/>
          <w:lang w:val="en-GB"/>
        </w:rPr>
        <w:t>” The</w:t>
      </w:r>
      <w:r w:rsidR="005A5720">
        <w:rPr>
          <w:szCs w:val="24"/>
          <w:lang w:val="en-GB"/>
        </w:rPr>
        <w:t xml:space="preserve">y were </w:t>
      </w:r>
      <w:r w:rsidR="0055704F">
        <w:rPr>
          <w:szCs w:val="24"/>
          <w:lang w:val="en-GB"/>
        </w:rPr>
        <w:t xml:space="preserve">offered </w:t>
      </w:r>
      <w:r w:rsidR="005A5720">
        <w:rPr>
          <w:szCs w:val="24"/>
          <w:lang w:val="en-GB"/>
        </w:rPr>
        <w:t>eight possible yes/</w:t>
      </w:r>
      <w:r w:rsidRPr="00091A9B">
        <w:rPr>
          <w:szCs w:val="24"/>
          <w:lang w:val="en-GB"/>
        </w:rPr>
        <w:t xml:space="preserve">no </w:t>
      </w:r>
      <w:r w:rsidR="00420322">
        <w:rPr>
          <w:szCs w:val="24"/>
          <w:lang w:val="en-GB"/>
        </w:rPr>
        <w:t>question</w:t>
      </w:r>
      <w:r w:rsidR="00ED2A1B">
        <w:rPr>
          <w:szCs w:val="24"/>
          <w:lang w:val="en-GB"/>
        </w:rPr>
        <w:t>s</w:t>
      </w:r>
      <w:r w:rsidRPr="00091A9B">
        <w:rPr>
          <w:szCs w:val="24"/>
          <w:lang w:val="en-GB"/>
        </w:rPr>
        <w:t xml:space="preserve">. One of these </w:t>
      </w:r>
      <w:r w:rsidR="00420322">
        <w:rPr>
          <w:szCs w:val="24"/>
          <w:lang w:val="en-GB"/>
        </w:rPr>
        <w:t xml:space="preserve">questions </w:t>
      </w:r>
      <w:r w:rsidRPr="00091A9B">
        <w:rPr>
          <w:szCs w:val="24"/>
          <w:lang w:val="en-GB"/>
        </w:rPr>
        <w:t xml:space="preserve">related to grandparent(s). Based on the data we are able to </w:t>
      </w:r>
      <w:r w:rsidR="00AD3629">
        <w:rPr>
          <w:szCs w:val="24"/>
          <w:lang w:val="en-GB"/>
        </w:rPr>
        <w:t>ascertain</w:t>
      </w:r>
      <w:r w:rsidRPr="00091A9B">
        <w:rPr>
          <w:szCs w:val="24"/>
          <w:lang w:val="en-GB"/>
        </w:rPr>
        <w:t xml:space="preserve"> whether the student </w:t>
      </w:r>
      <w:r w:rsidR="00731759">
        <w:rPr>
          <w:szCs w:val="24"/>
          <w:lang w:val="en-GB"/>
        </w:rPr>
        <w:t>cores</w:t>
      </w:r>
      <w:r w:rsidR="00AD3629">
        <w:rPr>
          <w:szCs w:val="24"/>
          <w:lang w:val="en-GB"/>
        </w:rPr>
        <w:t xml:space="preserve">ided </w:t>
      </w:r>
      <w:r w:rsidRPr="00091A9B">
        <w:rPr>
          <w:szCs w:val="24"/>
          <w:lang w:val="en-GB"/>
        </w:rPr>
        <w:t>with a grandparent</w:t>
      </w:r>
      <w:r w:rsidR="0055704F">
        <w:rPr>
          <w:szCs w:val="24"/>
          <w:lang w:val="en-GB"/>
        </w:rPr>
        <w:t xml:space="preserve"> </w:t>
      </w:r>
      <w:r w:rsidRPr="00091A9B">
        <w:rPr>
          <w:szCs w:val="24"/>
          <w:lang w:val="en-GB"/>
        </w:rPr>
        <w:t>(</w:t>
      </w:r>
      <w:r w:rsidR="0055704F">
        <w:rPr>
          <w:szCs w:val="24"/>
          <w:lang w:val="en-GB"/>
        </w:rPr>
        <w:t>grandparent</w:t>
      </w:r>
      <w:r w:rsidRPr="00091A9B">
        <w:rPr>
          <w:szCs w:val="24"/>
          <w:lang w:val="en-GB"/>
        </w:rPr>
        <w:t>s)</w:t>
      </w:r>
      <w:r w:rsidR="00AD3629">
        <w:rPr>
          <w:szCs w:val="24"/>
          <w:lang w:val="en-GB"/>
        </w:rPr>
        <w:t>,</w:t>
      </w:r>
      <w:r w:rsidRPr="00091A9B">
        <w:rPr>
          <w:szCs w:val="24"/>
          <w:lang w:val="en-GB"/>
        </w:rPr>
        <w:t xml:space="preserve"> but </w:t>
      </w:r>
      <w:r w:rsidR="00007ECC">
        <w:rPr>
          <w:szCs w:val="24"/>
          <w:lang w:val="en-GB"/>
        </w:rPr>
        <w:t>we can neither</w:t>
      </w:r>
      <w:r w:rsidR="00AD3629">
        <w:rPr>
          <w:szCs w:val="24"/>
          <w:lang w:val="en-GB"/>
        </w:rPr>
        <w:t xml:space="preserve"> determine the number of </w:t>
      </w:r>
      <w:r w:rsidR="00731759">
        <w:rPr>
          <w:szCs w:val="24"/>
          <w:lang w:val="en-GB"/>
        </w:rPr>
        <w:t>cores</w:t>
      </w:r>
      <w:r w:rsidR="00AD3629">
        <w:rPr>
          <w:szCs w:val="24"/>
          <w:lang w:val="en-GB"/>
        </w:rPr>
        <w:t>iding grandparents</w:t>
      </w:r>
      <w:r w:rsidR="00007ECC">
        <w:rPr>
          <w:szCs w:val="24"/>
          <w:lang w:val="en-GB"/>
        </w:rPr>
        <w:t>, nor their characteristics</w:t>
      </w:r>
      <w:r w:rsidRPr="00091A9B">
        <w:rPr>
          <w:szCs w:val="24"/>
          <w:lang w:val="en-GB"/>
        </w:rPr>
        <w:t xml:space="preserve">. </w:t>
      </w:r>
      <w:r w:rsidR="00AD3629">
        <w:rPr>
          <w:szCs w:val="24"/>
          <w:lang w:val="en-GB"/>
        </w:rPr>
        <w:t xml:space="preserve">Hence, </w:t>
      </w:r>
      <w:r w:rsidR="00731759">
        <w:rPr>
          <w:szCs w:val="24"/>
          <w:lang w:val="en-GB"/>
        </w:rPr>
        <w:t>cores</w:t>
      </w:r>
      <w:r w:rsidRPr="00091A9B">
        <w:rPr>
          <w:szCs w:val="24"/>
          <w:lang w:val="en-GB"/>
        </w:rPr>
        <w:t>idenc</w:t>
      </w:r>
      <w:r w:rsidR="00193749">
        <w:rPr>
          <w:szCs w:val="24"/>
          <w:lang w:val="en-GB"/>
        </w:rPr>
        <w:t>e</w:t>
      </w:r>
      <w:r w:rsidRPr="00091A9B">
        <w:rPr>
          <w:szCs w:val="24"/>
          <w:lang w:val="en-GB"/>
        </w:rPr>
        <w:t xml:space="preserve"> is measured by </w:t>
      </w:r>
      <w:r w:rsidR="00193749">
        <w:rPr>
          <w:szCs w:val="24"/>
          <w:lang w:val="en-GB"/>
        </w:rPr>
        <w:t xml:space="preserve">a dichotomous </w:t>
      </w:r>
      <w:r w:rsidRPr="00091A9B">
        <w:rPr>
          <w:szCs w:val="24"/>
          <w:lang w:val="en-GB"/>
        </w:rPr>
        <w:t>variable</w:t>
      </w:r>
      <w:r w:rsidR="00804745">
        <w:rPr>
          <w:szCs w:val="24"/>
          <w:lang w:val="en-GB"/>
        </w:rPr>
        <w:t>,</w:t>
      </w:r>
      <w:r w:rsidRPr="00091A9B">
        <w:rPr>
          <w:szCs w:val="24"/>
          <w:lang w:val="en-GB"/>
        </w:rPr>
        <w:t xml:space="preserve"> with category 1 </w:t>
      </w:r>
      <w:r w:rsidR="00AD3629">
        <w:rPr>
          <w:szCs w:val="24"/>
          <w:lang w:val="en-GB"/>
        </w:rPr>
        <w:t xml:space="preserve">denoting </w:t>
      </w:r>
      <w:r w:rsidR="00731759">
        <w:rPr>
          <w:szCs w:val="24"/>
          <w:lang w:val="en-GB"/>
        </w:rPr>
        <w:t>cores</w:t>
      </w:r>
      <w:r w:rsidR="00AD3629">
        <w:rPr>
          <w:szCs w:val="24"/>
          <w:lang w:val="en-GB"/>
        </w:rPr>
        <w:t xml:space="preserve">idence </w:t>
      </w:r>
      <w:r w:rsidRPr="00091A9B">
        <w:rPr>
          <w:szCs w:val="24"/>
          <w:lang w:val="en-GB"/>
        </w:rPr>
        <w:t>with a grandparent</w:t>
      </w:r>
      <w:r w:rsidR="006F42CE">
        <w:rPr>
          <w:szCs w:val="24"/>
          <w:lang w:val="en-GB"/>
        </w:rPr>
        <w:t xml:space="preserve"> </w:t>
      </w:r>
      <w:r w:rsidRPr="00091A9B">
        <w:rPr>
          <w:szCs w:val="24"/>
          <w:lang w:val="en-GB"/>
        </w:rPr>
        <w:t>(</w:t>
      </w:r>
      <w:r w:rsidR="006F42CE">
        <w:rPr>
          <w:szCs w:val="24"/>
          <w:lang w:val="en-GB"/>
        </w:rPr>
        <w:t>or several grandparent</w:t>
      </w:r>
      <w:r w:rsidRPr="00091A9B">
        <w:rPr>
          <w:szCs w:val="24"/>
          <w:lang w:val="en-GB"/>
        </w:rPr>
        <w:t xml:space="preserve">s) and 0 </w:t>
      </w:r>
      <w:r w:rsidR="006F42CE">
        <w:rPr>
          <w:szCs w:val="24"/>
          <w:lang w:val="en-GB"/>
        </w:rPr>
        <w:t xml:space="preserve">meaning </w:t>
      </w:r>
      <w:r w:rsidR="00AD3629">
        <w:rPr>
          <w:szCs w:val="24"/>
          <w:lang w:val="en-GB"/>
        </w:rPr>
        <w:t xml:space="preserve">no </w:t>
      </w:r>
      <w:r w:rsidR="00731759">
        <w:rPr>
          <w:szCs w:val="24"/>
          <w:lang w:val="en-GB"/>
        </w:rPr>
        <w:t>cores</w:t>
      </w:r>
      <w:r w:rsidR="00AD3629">
        <w:rPr>
          <w:szCs w:val="24"/>
          <w:lang w:val="en-GB"/>
        </w:rPr>
        <w:t>idence</w:t>
      </w:r>
      <w:r w:rsidRPr="00091A9B">
        <w:rPr>
          <w:szCs w:val="24"/>
          <w:lang w:val="en-GB"/>
        </w:rPr>
        <w:t xml:space="preserve">. </w:t>
      </w:r>
      <w:r w:rsidR="00541F61">
        <w:rPr>
          <w:szCs w:val="24"/>
          <w:lang w:val="en-GB"/>
        </w:rPr>
        <w:t xml:space="preserve">Overall, about 20 % of students in the analytical sample </w:t>
      </w:r>
      <w:r w:rsidR="00731759">
        <w:rPr>
          <w:szCs w:val="24"/>
          <w:lang w:val="en-GB"/>
        </w:rPr>
        <w:t>cores</w:t>
      </w:r>
      <w:r w:rsidR="00541F61">
        <w:rPr>
          <w:szCs w:val="24"/>
          <w:lang w:val="en-GB"/>
        </w:rPr>
        <w:t xml:space="preserve">ide with </w:t>
      </w:r>
      <w:r w:rsidR="00804745">
        <w:rPr>
          <w:szCs w:val="24"/>
          <w:lang w:val="en-GB"/>
        </w:rPr>
        <w:t>a</w:t>
      </w:r>
      <w:r w:rsidR="00541F61">
        <w:rPr>
          <w:szCs w:val="24"/>
          <w:lang w:val="en-GB"/>
        </w:rPr>
        <w:t xml:space="preserve"> grandparent</w:t>
      </w:r>
      <w:r w:rsidR="0055704F">
        <w:rPr>
          <w:szCs w:val="24"/>
          <w:lang w:val="en-GB"/>
        </w:rPr>
        <w:t xml:space="preserve"> (see Table 1)</w:t>
      </w:r>
      <w:r w:rsidR="00541F61">
        <w:rPr>
          <w:szCs w:val="24"/>
          <w:lang w:val="en-GB"/>
        </w:rPr>
        <w:t xml:space="preserve">. </w:t>
      </w:r>
      <w:r w:rsidR="002E551A">
        <w:rPr>
          <w:szCs w:val="24"/>
          <w:lang w:val="en-GB"/>
        </w:rPr>
        <w:t xml:space="preserve">About 2 % of students </w:t>
      </w:r>
      <w:r w:rsidR="00731759">
        <w:rPr>
          <w:szCs w:val="24"/>
          <w:lang w:val="en-GB"/>
        </w:rPr>
        <w:t>cores</w:t>
      </w:r>
      <w:r w:rsidR="00251BAD">
        <w:rPr>
          <w:szCs w:val="24"/>
          <w:lang w:val="en-GB"/>
        </w:rPr>
        <w:t>i</w:t>
      </w:r>
      <w:r w:rsidR="002E551A">
        <w:rPr>
          <w:szCs w:val="24"/>
          <w:lang w:val="en-GB"/>
        </w:rPr>
        <w:t xml:space="preserve">de in Finland, 4 % in Iceland and Sweden. At the other extreme, we find 50 % </w:t>
      </w:r>
      <w:r w:rsidR="00731759">
        <w:rPr>
          <w:szCs w:val="24"/>
          <w:lang w:val="en-GB"/>
        </w:rPr>
        <w:t>cores</w:t>
      </w:r>
      <w:r w:rsidR="00251BAD">
        <w:rPr>
          <w:szCs w:val="24"/>
          <w:lang w:val="en-GB"/>
        </w:rPr>
        <w:t>i</w:t>
      </w:r>
      <w:r w:rsidR="002E551A">
        <w:rPr>
          <w:szCs w:val="24"/>
          <w:lang w:val="en-GB"/>
        </w:rPr>
        <w:t xml:space="preserve">ding students in Bulgaria, </w:t>
      </w:r>
      <w:r w:rsidR="00C331A8">
        <w:rPr>
          <w:szCs w:val="24"/>
          <w:lang w:val="en-GB"/>
        </w:rPr>
        <w:t xml:space="preserve">and </w:t>
      </w:r>
      <w:r w:rsidR="002E551A">
        <w:rPr>
          <w:szCs w:val="24"/>
          <w:lang w:val="en-GB"/>
        </w:rPr>
        <w:t>48 % in Indonesia and Thailand (see Table A</w:t>
      </w:r>
      <w:r w:rsidR="001F33F1">
        <w:rPr>
          <w:szCs w:val="24"/>
          <w:lang w:val="en-GB"/>
        </w:rPr>
        <w:t>.</w:t>
      </w:r>
      <w:r w:rsidR="00F26412">
        <w:rPr>
          <w:szCs w:val="24"/>
          <w:lang w:val="en-GB"/>
        </w:rPr>
        <w:t>2</w:t>
      </w:r>
      <w:r w:rsidR="002E551A">
        <w:rPr>
          <w:szCs w:val="24"/>
          <w:lang w:val="en-GB"/>
        </w:rPr>
        <w:t xml:space="preserve"> in the Appendix).</w:t>
      </w:r>
    </w:p>
    <w:p w14:paraId="3B650384" w14:textId="77777777" w:rsidR="009F00FD" w:rsidRDefault="009F00FD" w:rsidP="006F30EE">
      <w:pPr>
        <w:spacing w:line="480" w:lineRule="auto"/>
        <w:rPr>
          <w:szCs w:val="24"/>
          <w:lang w:val="en-GB"/>
        </w:rPr>
      </w:pPr>
    </w:p>
    <w:p w14:paraId="2D44A337" w14:textId="77777777" w:rsidR="001F33F1" w:rsidRDefault="001F33F1" w:rsidP="006F30EE">
      <w:pPr>
        <w:spacing w:line="480" w:lineRule="auto"/>
        <w:jc w:val="center"/>
        <w:rPr>
          <w:szCs w:val="24"/>
          <w:lang w:val="en-GB"/>
        </w:rPr>
      </w:pPr>
      <w:r>
        <w:rPr>
          <w:szCs w:val="24"/>
          <w:lang w:val="en-GB"/>
        </w:rPr>
        <w:t>&lt;Table 2 about here&gt;</w:t>
      </w:r>
    </w:p>
    <w:p w14:paraId="3D363AAA" w14:textId="77777777" w:rsidR="009F00FD" w:rsidRDefault="009F00FD" w:rsidP="006F30EE">
      <w:pPr>
        <w:spacing w:line="480" w:lineRule="auto"/>
        <w:jc w:val="center"/>
        <w:rPr>
          <w:szCs w:val="24"/>
          <w:lang w:val="en-GB"/>
        </w:rPr>
      </w:pPr>
    </w:p>
    <w:p w14:paraId="647562BF" w14:textId="77777777" w:rsidR="00091A9B" w:rsidRPr="00091A9B" w:rsidRDefault="00193749" w:rsidP="006F30EE">
      <w:pPr>
        <w:spacing w:line="480" w:lineRule="auto"/>
        <w:rPr>
          <w:szCs w:val="24"/>
          <w:lang w:val="en-GB"/>
        </w:rPr>
      </w:pPr>
      <w:r>
        <w:rPr>
          <w:szCs w:val="24"/>
          <w:lang w:val="en-GB"/>
        </w:rPr>
        <w:t xml:space="preserve">We also used student questionnaire data on household composition to differentiate </w:t>
      </w:r>
      <w:r w:rsidR="001E0D65">
        <w:rPr>
          <w:szCs w:val="24"/>
          <w:lang w:val="en-GB"/>
        </w:rPr>
        <w:t xml:space="preserve">among </w:t>
      </w:r>
      <w:r>
        <w:rPr>
          <w:szCs w:val="24"/>
          <w:lang w:val="en-GB"/>
        </w:rPr>
        <w:t xml:space="preserve">3 types of parental </w:t>
      </w:r>
      <w:r w:rsidR="006E4B75">
        <w:rPr>
          <w:szCs w:val="24"/>
          <w:lang w:val="en-GB"/>
        </w:rPr>
        <w:t>constellations</w:t>
      </w:r>
      <w:r>
        <w:rPr>
          <w:szCs w:val="24"/>
          <w:lang w:val="en-GB"/>
        </w:rPr>
        <w:t xml:space="preserve">: </w:t>
      </w:r>
      <w:r w:rsidR="001E0D65">
        <w:rPr>
          <w:szCs w:val="24"/>
          <w:lang w:val="en-GB"/>
        </w:rPr>
        <w:t xml:space="preserve">the </w:t>
      </w:r>
      <w:r w:rsidR="00091A9B" w:rsidRPr="00091A9B">
        <w:rPr>
          <w:szCs w:val="24"/>
          <w:lang w:val="en-GB"/>
        </w:rPr>
        <w:t xml:space="preserve">student lives with </w:t>
      </w:r>
      <w:r w:rsidR="001E0D65">
        <w:rPr>
          <w:szCs w:val="24"/>
          <w:lang w:val="en-GB"/>
        </w:rPr>
        <w:t xml:space="preserve">either </w:t>
      </w:r>
      <w:r w:rsidR="00091A9B" w:rsidRPr="00091A9B">
        <w:rPr>
          <w:szCs w:val="24"/>
          <w:lang w:val="en-GB"/>
        </w:rPr>
        <w:t xml:space="preserve">(1) two biological parents, </w:t>
      </w:r>
      <w:r w:rsidR="006E4B75">
        <w:rPr>
          <w:szCs w:val="24"/>
          <w:lang w:val="en-GB"/>
        </w:rPr>
        <w:t xml:space="preserve">or </w:t>
      </w:r>
      <w:r w:rsidR="00091A9B" w:rsidRPr="00091A9B">
        <w:rPr>
          <w:szCs w:val="24"/>
          <w:lang w:val="en-GB"/>
        </w:rPr>
        <w:t xml:space="preserve">(2) one biological </w:t>
      </w:r>
      <w:r w:rsidR="0055704F">
        <w:rPr>
          <w:szCs w:val="24"/>
          <w:lang w:val="en-GB"/>
        </w:rPr>
        <w:t>(</w:t>
      </w:r>
      <w:r w:rsidR="00091A9B" w:rsidRPr="00091A9B">
        <w:rPr>
          <w:szCs w:val="24"/>
          <w:lang w:val="en-GB"/>
        </w:rPr>
        <w:t>single</w:t>
      </w:r>
      <w:r w:rsidR="0055704F">
        <w:rPr>
          <w:szCs w:val="24"/>
          <w:lang w:val="en-GB"/>
        </w:rPr>
        <w:t>)</w:t>
      </w:r>
      <w:r w:rsidR="00091A9B" w:rsidRPr="00091A9B">
        <w:rPr>
          <w:szCs w:val="24"/>
          <w:lang w:val="en-GB"/>
        </w:rPr>
        <w:t xml:space="preserve"> parent, </w:t>
      </w:r>
      <w:r w:rsidR="006E4B75">
        <w:rPr>
          <w:szCs w:val="24"/>
          <w:lang w:val="en-GB"/>
        </w:rPr>
        <w:t xml:space="preserve">or </w:t>
      </w:r>
      <w:r w:rsidR="00091A9B" w:rsidRPr="00091A9B">
        <w:rPr>
          <w:szCs w:val="24"/>
          <w:lang w:val="en-GB"/>
        </w:rPr>
        <w:t xml:space="preserve">(3) one biological parent and </w:t>
      </w:r>
      <w:r>
        <w:rPr>
          <w:szCs w:val="24"/>
          <w:lang w:val="en-GB"/>
        </w:rPr>
        <w:t xml:space="preserve">his/her </w:t>
      </w:r>
      <w:r w:rsidR="00091A9B" w:rsidRPr="00091A9B">
        <w:rPr>
          <w:szCs w:val="24"/>
          <w:lang w:val="en-GB"/>
        </w:rPr>
        <w:t>opposite sex partner who is not biologically related to the child</w:t>
      </w:r>
      <w:r w:rsidR="00653134">
        <w:rPr>
          <w:szCs w:val="24"/>
          <w:lang w:val="en-GB"/>
        </w:rPr>
        <w:t xml:space="preserve"> (note that our classification differs from the family structure variable provided in the PISA database)</w:t>
      </w:r>
      <w:r>
        <w:rPr>
          <w:szCs w:val="24"/>
          <w:lang w:val="en-GB"/>
        </w:rPr>
        <w:t xml:space="preserve">. </w:t>
      </w:r>
      <w:r w:rsidR="00D9544F">
        <w:rPr>
          <w:szCs w:val="24"/>
          <w:lang w:val="en-GB"/>
        </w:rPr>
        <w:t xml:space="preserve">In our sample, about 80 % of students lived with </w:t>
      </w:r>
      <w:r w:rsidR="006F42CE">
        <w:rPr>
          <w:szCs w:val="24"/>
          <w:lang w:val="en-GB"/>
        </w:rPr>
        <w:t>two</w:t>
      </w:r>
      <w:r w:rsidR="00D9544F">
        <w:rPr>
          <w:szCs w:val="24"/>
          <w:lang w:val="en-GB"/>
        </w:rPr>
        <w:t xml:space="preserve"> biological parents, 13 % with a single parent</w:t>
      </w:r>
      <w:r w:rsidR="006E4B75">
        <w:rPr>
          <w:szCs w:val="24"/>
          <w:lang w:val="en-GB"/>
        </w:rPr>
        <w:t>,</w:t>
      </w:r>
      <w:r w:rsidR="00D9544F">
        <w:rPr>
          <w:szCs w:val="24"/>
          <w:lang w:val="en-GB"/>
        </w:rPr>
        <w:t xml:space="preserve"> and about 7 % with a biological parent and a step-parent</w:t>
      </w:r>
      <w:r w:rsidR="0055704F">
        <w:rPr>
          <w:szCs w:val="24"/>
          <w:lang w:val="en-GB"/>
        </w:rPr>
        <w:t xml:space="preserve"> (see Table 1)</w:t>
      </w:r>
      <w:r w:rsidR="00D9544F">
        <w:rPr>
          <w:szCs w:val="24"/>
          <w:lang w:val="en-GB"/>
        </w:rPr>
        <w:t xml:space="preserve">. The share of students living in intact families ranges from </w:t>
      </w:r>
      <w:r w:rsidR="001E0D65">
        <w:rPr>
          <w:szCs w:val="24"/>
          <w:lang w:val="en-GB"/>
        </w:rPr>
        <w:t>a</w:t>
      </w:r>
      <w:r w:rsidR="00D9544F">
        <w:rPr>
          <w:szCs w:val="24"/>
          <w:lang w:val="en-GB"/>
        </w:rPr>
        <w:t xml:space="preserve"> low of 65 % in the USA and 69 % in Latvia</w:t>
      </w:r>
      <w:r w:rsidR="001E0D65">
        <w:rPr>
          <w:szCs w:val="24"/>
          <w:lang w:val="en-GB"/>
        </w:rPr>
        <w:t>,</w:t>
      </w:r>
      <w:r w:rsidR="00D9544F">
        <w:rPr>
          <w:szCs w:val="24"/>
          <w:lang w:val="en-GB"/>
        </w:rPr>
        <w:t xml:space="preserve"> to </w:t>
      </w:r>
      <w:r w:rsidR="001E0D65">
        <w:rPr>
          <w:szCs w:val="24"/>
          <w:lang w:val="en-GB"/>
        </w:rPr>
        <w:t>a</w:t>
      </w:r>
      <w:r w:rsidR="00D9544F">
        <w:rPr>
          <w:szCs w:val="24"/>
          <w:lang w:val="en-GB"/>
        </w:rPr>
        <w:t xml:space="preserve"> high of 94 % in Macedonia, 93 % in Korea and Indonesia</w:t>
      </w:r>
      <w:r w:rsidR="00726D82">
        <w:rPr>
          <w:szCs w:val="24"/>
          <w:lang w:val="en-GB"/>
        </w:rPr>
        <w:t xml:space="preserve"> (see Table A</w:t>
      </w:r>
      <w:r w:rsidR="001F33F1">
        <w:rPr>
          <w:szCs w:val="24"/>
          <w:lang w:val="en-GB"/>
        </w:rPr>
        <w:t>.</w:t>
      </w:r>
      <w:r w:rsidR="00F26412">
        <w:rPr>
          <w:szCs w:val="24"/>
          <w:lang w:val="en-GB"/>
        </w:rPr>
        <w:t>2</w:t>
      </w:r>
      <w:r w:rsidR="00726D82">
        <w:rPr>
          <w:szCs w:val="24"/>
          <w:lang w:val="en-GB"/>
        </w:rPr>
        <w:t xml:space="preserve"> in the Appendix)</w:t>
      </w:r>
      <w:r w:rsidR="00D9544F">
        <w:rPr>
          <w:szCs w:val="24"/>
          <w:lang w:val="en-GB"/>
        </w:rPr>
        <w:t xml:space="preserve">. The </w:t>
      </w:r>
      <w:r w:rsidR="00653134">
        <w:rPr>
          <w:szCs w:val="24"/>
          <w:lang w:val="en-GB"/>
        </w:rPr>
        <w:t xml:space="preserve">lowest percentage </w:t>
      </w:r>
      <w:r w:rsidR="00D9544F">
        <w:rPr>
          <w:szCs w:val="24"/>
          <w:lang w:val="en-GB"/>
        </w:rPr>
        <w:t xml:space="preserve">living with a single parent is </w:t>
      </w:r>
      <w:r w:rsidR="00653134">
        <w:rPr>
          <w:szCs w:val="24"/>
          <w:lang w:val="en-GB"/>
        </w:rPr>
        <w:t xml:space="preserve">recorded in </w:t>
      </w:r>
      <w:r w:rsidR="00D9544F">
        <w:rPr>
          <w:szCs w:val="24"/>
          <w:lang w:val="en-GB"/>
        </w:rPr>
        <w:t>Indonesia</w:t>
      </w:r>
      <w:r w:rsidR="00653134">
        <w:rPr>
          <w:szCs w:val="24"/>
          <w:lang w:val="en-GB"/>
        </w:rPr>
        <w:t xml:space="preserve"> (4 %)</w:t>
      </w:r>
      <w:r w:rsidR="00D9544F">
        <w:rPr>
          <w:szCs w:val="24"/>
          <w:lang w:val="en-GB"/>
        </w:rPr>
        <w:t>, Macedonia</w:t>
      </w:r>
      <w:r w:rsidR="00653134">
        <w:rPr>
          <w:szCs w:val="24"/>
          <w:lang w:val="en-GB"/>
        </w:rPr>
        <w:t xml:space="preserve"> (5 %),</w:t>
      </w:r>
      <w:r w:rsidR="00D9544F">
        <w:rPr>
          <w:szCs w:val="24"/>
          <w:lang w:val="en-GB"/>
        </w:rPr>
        <w:t xml:space="preserve"> and Korea </w:t>
      </w:r>
      <w:r w:rsidR="002E551A">
        <w:rPr>
          <w:szCs w:val="24"/>
          <w:lang w:val="en-GB"/>
        </w:rPr>
        <w:t>and Greece (6 %</w:t>
      </w:r>
      <w:r w:rsidR="00653134">
        <w:rPr>
          <w:szCs w:val="24"/>
          <w:lang w:val="en-GB"/>
        </w:rPr>
        <w:t xml:space="preserve">). The highest share of students from single-parent families is found in </w:t>
      </w:r>
      <w:r w:rsidR="00D9544F">
        <w:rPr>
          <w:szCs w:val="24"/>
          <w:lang w:val="en-GB"/>
        </w:rPr>
        <w:t>Latvia</w:t>
      </w:r>
      <w:r w:rsidR="00653134">
        <w:rPr>
          <w:szCs w:val="24"/>
          <w:lang w:val="en-GB"/>
        </w:rPr>
        <w:t xml:space="preserve"> (20 %)</w:t>
      </w:r>
      <w:r w:rsidR="00D9544F">
        <w:rPr>
          <w:szCs w:val="24"/>
          <w:lang w:val="en-GB"/>
        </w:rPr>
        <w:t>, Chile</w:t>
      </w:r>
      <w:r w:rsidR="00653134">
        <w:rPr>
          <w:szCs w:val="24"/>
          <w:lang w:val="en-GB"/>
        </w:rPr>
        <w:t xml:space="preserve"> and New Zealand (19 %)</w:t>
      </w:r>
      <w:r w:rsidR="00D9544F">
        <w:rPr>
          <w:szCs w:val="24"/>
          <w:lang w:val="en-GB"/>
        </w:rPr>
        <w:t xml:space="preserve">, and in the USA, </w:t>
      </w:r>
      <w:r w:rsidR="00653134">
        <w:rPr>
          <w:szCs w:val="24"/>
          <w:lang w:val="en-GB"/>
        </w:rPr>
        <w:t>Peru, Russia</w:t>
      </w:r>
      <w:r w:rsidR="00D9544F">
        <w:rPr>
          <w:szCs w:val="24"/>
          <w:lang w:val="en-GB"/>
        </w:rPr>
        <w:t xml:space="preserve"> and Brazil</w:t>
      </w:r>
      <w:r w:rsidR="00653134">
        <w:rPr>
          <w:szCs w:val="24"/>
          <w:lang w:val="en-GB"/>
        </w:rPr>
        <w:t xml:space="preserve"> (18 %; see T</w:t>
      </w:r>
      <w:r w:rsidR="001F33F1">
        <w:rPr>
          <w:szCs w:val="24"/>
          <w:lang w:val="en-GB"/>
        </w:rPr>
        <w:t>able A.2</w:t>
      </w:r>
      <w:r w:rsidR="00653134">
        <w:rPr>
          <w:szCs w:val="24"/>
          <w:lang w:val="en-GB"/>
        </w:rPr>
        <w:t xml:space="preserve"> in the Appendix)</w:t>
      </w:r>
      <w:r w:rsidR="00D9544F">
        <w:rPr>
          <w:szCs w:val="24"/>
          <w:lang w:val="en-GB"/>
        </w:rPr>
        <w:t>.</w:t>
      </w:r>
      <w:r w:rsidR="002E551A">
        <w:rPr>
          <w:szCs w:val="24"/>
          <w:lang w:val="en-GB"/>
        </w:rPr>
        <w:t xml:space="preserve"> </w:t>
      </w:r>
      <w:r w:rsidR="00731759">
        <w:rPr>
          <w:szCs w:val="24"/>
          <w:lang w:val="en-GB"/>
        </w:rPr>
        <w:t>Cores</w:t>
      </w:r>
      <w:r w:rsidR="002E551A">
        <w:rPr>
          <w:szCs w:val="24"/>
          <w:lang w:val="en-GB"/>
        </w:rPr>
        <w:t xml:space="preserve">idence is somewhat less common in families with one biological parent and one step-parent (about 14 % students in step-families </w:t>
      </w:r>
      <w:r w:rsidR="00731759">
        <w:rPr>
          <w:szCs w:val="24"/>
          <w:lang w:val="en-GB"/>
        </w:rPr>
        <w:t>cores</w:t>
      </w:r>
      <w:r w:rsidR="002E551A">
        <w:rPr>
          <w:szCs w:val="24"/>
          <w:lang w:val="en-GB"/>
        </w:rPr>
        <w:t xml:space="preserve">ide with grandparents), while about 20 % of students in two-biological parent and single-parent families </w:t>
      </w:r>
      <w:r w:rsidR="00731759">
        <w:rPr>
          <w:szCs w:val="24"/>
          <w:lang w:val="en-GB"/>
        </w:rPr>
        <w:t>cores</w:t>
      </w:r>
      <w:r w:rsidR="00251BAD">
        <w:rPr>
          <w:szCs w:val="24"/>
          <w:lang w:val="en-GB"/>
        </w:rPr>
        <w:t>i</w:t>
      </w:r>
      <w:r w:rsidR="002E551A">
        <w:rPr>
          <w:szCs w:val="24"/>
          <w:lang w:val="en-GB"/>
        </w:rPr>
        <w:t>de with their grandparents (see Table 2</w:t>
      </w:r>
      <w:r w:rsidR="00244C2F">
        <w:rPr>
          <w:szCs w:val="24"/>
          <w:lang w:val="en-GB"/>
        </w:rPr>
        <w:t xml:space="preserve">; </w:t>
      </w:r>
      <w:r w:rsidR="00731759">
        <w:rPr>
          <w:szCs w:val="24"/>
          <w:lang w:val="en-GB"/>
        </w:rPr>
        <w:t>cores</w:t>
      </w:r>
      <w:r w:rsidR="00244C2F">
        <w:rPr>
          <w:szCs w:val="24"/>
          <w:lang w:val="en-GB"/>
        </w:rPr>
        <w:t>id</w:t>
      </w:r>
      <w:r w:rsidR="00ED2A1B">
        <w:rPr>
          <w:szCs w:val="24"/>
          <w:lang w:val="en-GB"/>
        </w:rPr>
        <w:t xml:space="preserve">ence </w:t>
      </w:r>
      <w:r w:rsidR="00244C2F">
        <w:rPr>
          <w:szCs w:val="24"/>
          <w:lang w:val="en-GB"/>
        </w:rPr>
        <w:t xml:space="preserve">by family structure within individual countries </w:t>
      </w:r>
      <w:r w:rsidR="00ED2A1B">
        <w:rPr>
          <w:szCs w:val="24"/>
          <w:lang w:val="en-GB"/>
        </w:rPr>
        <w:t xml:space="preserve">is shown </w:t>
      </w:r>
      <w:r w:rsidR="00244C2F">
        <w:rPr>
          <w:szCs w:val="24"/>
          <w:lang w:val="en-GB"/>
        </w:rPr>
        <w:t>in Table A.3 in the Appendix</w:t>
      </w:r>
      <w:r w:rsidR="002E551A">
        <w:rPr>
          <w:szCs w:val="24"/>
          <w:lang w:val="en-GB"/>
        </w:rPr>
        <w:t>).</w:t>
      </w:r>
    </w:p>
    <w:p w14:paraId="065A352C" w14:textId="77777777" w:rsidR="00091A9B" w:rsidRDefault="00193749" w:rsidP="006F30EE">
      <w:pPr>
        <w:spacing w:line="480" w:lineRule="auto"/>
        <w:rPr>
          <w:szCs w:val="24"/>
          <w:lang w:val="en-GB"/>
        </w:rPr>
      </w:pPr>
      <w:r>
        <w:rPr>
          <w:szCs w:val="24"/>
          <w:lang w:val="en-GB"/>
        </w:rPr>
        <w:t xml:space="preserve">Parental education is measured using ISCED categories (we </w:t>
      </w:r>
      <w:r w:rsidR="00D20938">
        <w:rPr>
          <w:szCs w:val="24"/>
          <w:lang w:val="en-GB"/>
        </w:rPr>
        <w:t xml:space="preserve">combine </w:t>
      </w:r>
      <w:r>
        <w:rPr>
          <w:szCs w:val="24"/>
          <w:lang w:val="en-GB"/>
        </w:rPr>
        <w:t xml:space="preserve">categories </w:t>
      </w:r>
      <w:r w:rsidR="00D20938">
        <w:rPr>
          <w:szCs w:val="24"/>
          <w:lang w:val="en-GB"/>
        </w:rPr>
        <w:t xml:space="preserve">1 and </w:t>
      </w:r>
      <w:r>
        <w:rPr>
          <w:szCs w:val="24"/>
          <w:lang w:val="en-GB"/>
        </w:rPr>
        <w:t>2</w:t>
      </w:r>
      <w:r w:rsidR="00D20938">
        <w:rPr>
          <w:szCs w:val="24"/>
          <w:lang w:val="en-GB"/>
        </w:rPr>
        <w:t>,</w:t>
      </w:r>
      <w:r>
        <w:rPr>
          <w:szCs w:val="24"/>
          <w:lang w:val="en-GB"/>
        </w:rPr>
        <w:t xml:space="preserve"> since </w:t>
      </w:r>
      <w:r w:rsidR="00D20938">
        <w:rPr>
          <w:szCs w:val="24"/>
          <w:lang w:val="en-GB"/>
        </w:rPr>
        <w:t>the former has</w:t>
      </w:r>
      <w:r>
        <w:rPr>
          <w:szCs w:val="24"/>
          <w:lang w:val="en-GB"/>
        </w:rPr>
        <w:t xml:space="preserve"> only few cases in </w:t>
      </w:r>
      <w:r w:rsidR="00D20938">
        <w:rPr>
          <w:szCs w:val="24"/>
          <w:lang w:val="en-GB"/>
        </w:rPr>
        <w:t>many countries</w:t>
      </w:r>
      <w:r>
        <w:rPr>
          <w:szCs w:val="24"/>
          <w:lang w:val="en-GB"/>
        </w:rPr>
        <w:t xml:space="preserve">). We use the higher of </w:t>
      </w:r>
      <w:r w:rsidR="00420322">
        <w:rPr>
          <w:szCs w:val="24"/>
          <w:lang w:val="en-GB"/>
        </w:rPr>
        <w:t xml:space="preserve">the </w:t>
      </w:r>
      <w:r>
        <w:rPr>
          <w:szCs w:val="24"/>
          <w:lang w:val="en-GB"/>
        </w:rPr>
        <w:t>mother’s and father’s education</w:t>
      </w:r>
      <w:r w:rsidR="00D20938">
        <w:rPr>
          <w:szCs w:val="24"/>
          <w:lang w:val="en-GB"/>
        </w:rPr>
        <w:t xml:space="preserve"> and </w:t>
      </w:r>
      <w:r>
        <w:rPr>
          <w:szCs w:val="24"/>
          <w:lang w:val="en-GB"/>
        </w:rPr>
        <w:t xml:space="preserve">dichotomize </w:t>
      </w:r>
      <w:r w:rsidR="00D20938">
        <w:rPr>
          <w:szCs w:val="24"/>
          <w:lang w:val="en-GB"/>
        </w:rPr>
        <w:t xml:space="preserve">the resulting variable </w:t>
      </w:r>
      <w:r w:rsidR="000D6ED7">
        <w:rPr>
          <w:szCs w:val="24"/>
          <w:lang w:val="en-GB"/>
        </w:rPr>
        <w:t>into four contrast variables</w:t>
      </w:r>
      <w:r w:rsidR="006E4B75">
        <w:rPr>
          <w:szCs w:val="24"/>
          <w:lang w:val="en-GB"/>
        </w:rPr>
        <w:t xml:space="preserve"> in the analysis</w:t>
      </w:r>
      <w:r>
        <w:rPr>
          <w:szCs w:val="24"/>
          <w:lang w:val="en-GB"/>
        </w:rPr>
        <w:t xml:space="preserve">. </w:t>
      </w:r>
      <w:r w:rsidR="00091A9B" w:rsidRPr="00193749">
        <w:rPr>
          <w:szCs w:val="24"/>
          <w:lang w:val="en-GB"/>
        </w:rPr>
        <w:t>Parental occupation</w:t>
      </w:r>
      <w:r>
        <w:rPr>
          <w:szCs w:val="24"/>
          <w:lang w:val="en-GB"/>
        </w:rPr>
        <w:t xml:space="preserve"> was measured with an open</w:t>
      </w:r>
      <w:r w:rsidR="00D20938">
        <w:rPr>
          <w:szCs w:val="24"/>
          <w:lang w:val="en-GB"/>
        </w:rPr>
        <w:t>-</w:t>
      </w:r>
      <w:r>
        <w:rPr>
          <w:szCs w:val="24"/>
          <w:lang w:val="en-GB"/>
        </w:rPr>
        <w:t xml:space="preserve">ended question about </w:t>
      </w:r>
      <w:r w:rsidR="000D6ED7">
        <w:rPr>
          <w:szCs w:val="24"/>
          <w:lang w:val="en-GB"/>
        </w:rPr>
        <w:t xml:space="preserve">the characteristics of </w:t>
      </w:r>
      <w:r w:rsidR="00420322">
        <w:rPr>
          <w:szCs w:val="24"/>
          <w:lang w:val="en-GB"/>
        </w:rPr>
        <w:t xml:space="preserve">the </w:t>
      </w:r>
      <w:r w:rsidR="00091A9B" w:rsidRPr="00091A9B">
        <w:rPr>
          <w:szCs w:val="24"/>
          <w:lang w:val="en-GB"/>
        </w:rPr>
        <w:t xml:space="preserve">parents’ main job. The answer was coded using ISCO </w:t>
      </w:r>
      <w:r>
        <w:rPr>
          <w:szCs w:val="24"/>
          <w:lang w:val="en-GB"/>
        </w:rPr>
        <w:t xml:space="preserve">codes and then transformed into </w:t>
      </w:r>
      <w:r w:rsidR="00091A9B" w:rsidRPr="00091A9B">
        <w:rPr>
          <w:szCs w:val="24"/>
          <w:lang w:val="en-GB"/>
        </w:rPr>
        <w:t>ISEI</w:t>
      </w:r>
      <w:r w:rsidR="0085685A">
        <w:rPr>
          <w:szCs w:val="24"/>
          <w:lang w:val="en-GB"/>
        </w:rPr>
        <w:t xml:space="preserve"> (Ganzeboom </w:t>
      </w:r>
      <w:r w:rsidR="0085685A">
        <w:rPr>
          <w:szCs w:val="24"/>
          <w:lang w:val="en-US"/>
        </w:rPr>
        <w:t>&amp;</w:t>
      </w:r>
      <w:r w:rsidR="006E4B75">
        <w:rPr>
          <w:szCs w:val="24"/>
          <w:lang w:val="en-GB"/>
        </w:rPr>
        <w:t xml:space="preserve"> Treiman</w:t>
      </w:r>
      <w:r w:rsidR="0085685A">
        <w:rPr>
          <w:szCs w:val="24"/>
          <w:lang w:val="en-GB"/>
        </w:rPr>
        <w:t>,</w:t>
      </w:r>
      <w:r w:rsidR="006E4B75">
        <w:rPr>
          <w:szCs w:val="24"/>
          <w:lang w:val="en-GB"/>
        </w:rPr>
        <w:t xml:space="preserve"> </w:t>
      </w:r>
      <w:r w:rsidR="006E4B75" w:rsidRPr="006A53FF">
        <w:rPr>
          <w:szCs w:val="24"/>
          <w:lang w:val="en-GB"/>
        </w:rPr>
        <w:t>1996</w:t>
      </w:r>
      <w:r w:rsidR="006E4B75">
        <w:rPr>
          <w:szCs w:val="24"/>
          <w:lang w:val="en-GB"/>
        </w:rPr>
        <w:t>)</w:t>
      </w:r>
      <w:r w:rsidR="00091A9B" w:rsidRPr="00091A9B">
        <w:rPr>
          <w:szCs w:val="24"/>
          <w:lang w:val="en-GB"/>
        </w:rPr>
        <w:t xml:space="preserve">. </w:t>
      </w:r>
      <w:r>
        <w:rPr>
          <w:szCs w:val="24"/>
          <w:lang w:val="en-GB"/>
        </w:rPr>
        <w:t xml:space="preserve">Again, we use the higher of both parents’ ISEI (variable </w:t>
      </w:r>
      <w:r w:rsidR="00091A9B" w:rsidRPr="00091A9B">
        <w:rPr>
          <w:szCs w:val="24"/>
          <w:lang w:val="en-GB"/>
        </w:rPr>
        <w:t xml:space="preserve">“HISEI” </w:t>
      </w:r>
      <w:r>
        <w:rPr>
          <w:szCs w:val="24"/>
          <w:lang w:val="en-GB"/>
        </w:rPr>
        <w:t xml:space="preserve">provided in </w:t>
      </w:r>
      <w:r w:rsidR="00091A9B" w:rsidRPr="00091A9B">
        <w:rPr>
          <w:szCs w:val="24"/>
          <w:lang w:val="en-GB"/>
        </w:rPr>
        <w:t>the original PISA 2000 dataset</w:t>
      </w:r>
      <w:r>
        <w:rPr>
          <w:szCs w:val="24"/>
          <w:lang w:val="en-GB"/>
        </w:rPr>
        <w:t>)</w:t>
      </w:r>
      <w:r w:rsidR="00091A9B" w:rsidRPr="00091A9B">
        <w:rPr>
          <w:szCs w:val="24"/>
          <w:lang w:val="en-GB"/>
        </w:rPr>
        <w:t xml:space="preserve">. </w:t>
      </w:r>
      <w:r w:rsidR="00272913">
        <w:rPr>
          <w:szCs w:val="24"/>
          <w:lang w:val="en-GB"/>
        </w:rPr>
        <w:t xml:space="preserve">The average </w:t>
      </w:r>
      <w:r w:rsidR="00272913">
        <w:rPr>
          <w:szCs w:val="24"/>
          <w:lang w:val="en-GB"/>
        </w:rPr>
        <w:lastRenderedPageBreak/>
        <w:t>ISEI in the analytical sample is 4</w:t>
      </w:r>
      <w:r w:rsidR="000D6ED7">
        <w:rPr>
          <w:szCs w:val="24"/>
          <w:lang w:val="en-GB"/>
        </w:rPr>
        <w:t>7.9</w:t>
      </w:r>
      <w:r w:rsidR="00272913">
        <w:rPr>
          <w:szCs w:val="24"/>
          <w:lang w:val="en-GB"/>
        </w:rPr>
        <w:t xml:space="preserve"> (see Table 1)</w:t>
      </w:r>
      <w:r w:rsidR="00512A61">
        <w:rPr>
          <w:szCs w:val="24"/>
          <w:lang w:val="en-GB"/>
        </w:rPr>
        <w:t xml:space="preserve">; we </w:t>
      </w:r>
      <w:r w:rsidR="00512A61" w:rsidRPr="00512A61">
        <w:rPr>
          <w:szCs w:val="24"/>
          <w:lang w:val="en-US"/>
        </w:rPr>
        <w:t>center</w:t>
      </w:r>
      <w:r w:rsidR="00512A61">
        <w:rPr>
          <w:szCs w:val="24"/>
          <w:lang w:val="en-GB"/>
        </w:rPr>
        <w:t xml:space="preserve"> ISEI on its grand mean to render the intercept in the model equation more interpretable</w:t>
      </w:r>
      <w:r w:rsidR="006E4B75">
        <w:rPr>
          <w:szCs w:val="24"/>
          <w:lang w:val="en-GB"/>
        </w:rPr>
        <w:t xml:space="preserve"> (Hox</w:t>
      </w:r>
      <w:r w:rsidR="00A2578B">
        <w:rPr>
          <w:szCs w:val="24"/>
          <w:lang w:val="en-GB"/>
        </w:rPr>
        <w:t>, 2002</w:t>
      </w:r>
      <w:r w:rsidR="00DE4055">
        <w:rPr>
          <w:szCs w:val="24"/>
          <w:lang w:val="en-GB"/>
        </w:rPr>
        <w:t>, pp.</w:t>
      </w:r>
      <w:r w:rsidR="006E4B75">
        <w:rPr>
          <w:szCs w:val="24"/>
          <w:lang w:val="en-GB"/>
        </w:rPr>
        <w:t xml:space="preserve"> 54-58)</w:t>
      </w:r>
      <w:r w:rsidR="000D6ED7">
        <w:rPr>
          <w:szCs w:val="24"/>
          <w:lang w:val="en-GB"/>
        </w:rPr>
        <w:t>.</w:t>
      </w:r>
      <w:r w:rsidR="00D20938">
        <w:rPr>
          <w:szCs w:val="24"/>
          <w:lang w:val="en-GB"/>
        </w:rPr>
        <w:t xml:space="preserve"> </w:t>
      </w:r>
      <w:r w:rsidR="00E30542">
        <w:rPr>
          <w:szCs w:val="24"/>
          <w:lang w:val="en-GB"/>
        </w:rPr>
        <w:t>A dichotomous variable indicating that student’s mother was employed around the time of the interview was also utilized (66 % of mothers were employed, see Table 1</w:t>
      </w:r>
      <w:r w:rsidR="00E5514B">
        <w:rPr>
          <w:szCs w:val="24"/>
          <w:lang w:val="en-GB"/>
        </w:rPr>
        <w:t>; the variable was dichotomized from students’ reports on their mothers’ employment situation – the original question differentiated full-time employed, part-employed, and unemployed mothers looking for a job as well as other non-employed mothers</w:t>
      </w:r>
      <w:r w:rsidR="00E30542">
        <w:rPr>
          <w:szCs w:val="24"/>
          <w:lang w:val="en-GB"/>
        </w:rPr>
        <w:t xml:space="preserve">). </w:t>
      </w:r>
      <w:r>
        <w:rPr>
          <w:szCs w:val="24"/>
          <w:lang w:val="en-GB"/>
        </w:rPr>
        <w:t xml:space="preserve">We also control for respondents’ gender in the analysis (coded </w:t>
      </w:r>
      <w:r w:rsidR="00091A9B" w:rsidRPr="00091A9B">
        <w:rPr>
          <w:szCs w:val="24"/>
          <w:lang w:val="en-GB"/>
        </w:rPr>
        <w:t>1-male, 0-female)</w:t>
      </w:r>
      <w:r w:rsidR="00272913">
        <w:rPr>
          <w:szCs w:val="24"/>
          <w:lang w:val="en-GB"/>
        </w:rPr>
        <w:t>. There are 51 % girls in the analytical sample (see Table 1</w:t>
      </w:r>
      <w:r w:rsidR="00272913">
        <w:rPr>
          <w:szCs w:val="24"/>
          <w:lang w:val="en-US"/>
        </w:rPr>
        <w:t>)</w:t>
      </w:r>
      <w:r w:rsidR="000D6ED7">
        <w:rPr>
          <w:szCs w:val="24"/>
          <w:lang w:val="en-GB"/>
        </w:rPr>
        <w:t>.</w:t>
      </w:r>
    </w:p>
    <w:p w14:paraId="4DB68F28" w14:textId="77777777" w:rsidR="00523E98" w:rsidRDefault="00193749" w:rsidP="006F30EE">
      <w:pPr>
        <w:spacing w:line="480" w:lineRule="auto"/>
        <w:rPr>
          <w:szCs w:val="24"/>
          <w:lang w:val="en-GB"/>
        </w:rPr>
      </w:pPr>
      <w:r>
        <w:rPr>
          <w:szCs w:val="24"/>
          <w:lang w:val="en-GB"/>
        </w:rPr>
        <w:t xml:space="preserve">We use </w:t>
      </w:r>
      <w:r w:rsidR="004D4FEB">
        <w:rPr>
          <w:szCs w:val="24"/>
          <w:lang w:val="en-GB"/>
        </w:rPr>
        <w:t xml:space="preserve">several macro-level variables in our analysis. We employ </w:t>
      </w:r>
      <w:r w:rsidR="0049378A">
        <w:rPr>
          <w:szCs w:val="24"/>
          <w:lang w:val="en-GB"/>
        </w:rPr>
        <w:t xml:space="preserve">a single </w:t>
      </w:r>
      <w:r w:rsidR="000849D8">
        <w:rPr>
          <w:szCs w:val="24"/>
          <w:lang w:val="en-GB"/>
        </w:rPr>
        <w:t xml:space="preserve">composite </w:t>
      </w:r>
      <w:r>
        <w:rPr>
          <w:szCs w:val="24"/>
          <w:lang w:val="en-GB"/>
        </w:rPr>
        <w:t>macro-level indicator of the level of development/modernization</w:t>
      </w:r>
      <w:r w:rsidR="004D0932">
        <w:rPr>
          <w:szCs w:val="24"/>
          <w:lang w:val="en-GB"/>
        </w:rPr>
        <w:t xml:space="preserve"> </w:t>
      </w:r>
      <w:r w:rsidR="00091A9B" w:rsidRPr="00091A9B">
        <w:rPr>
          <w:szCs w:val="24"/>
          <w:lang w:val="en-GB"/>
        </w:rPr>
        <w:t xml:space="preserve">of </w:t>
      </w:r>
      <w:r w:rsidR="004D0932">
        <w:rPr>
          <w:szCs w:val="24"/>
          <w:lang w:val="en-GB"/>
        </w:rPr>
        <w:t xml:space="preserve">each </w:t>
      </w:r>
      <w:r w:rsidR="00091A9B" w:rsidRPr="00091A9B">
        <w:rPr>
          <w:szCs w:val="24"/>
          <w:lang w:val="en-GB"/>
        </w:rPr>
        <w:t>individual country</w:t>
      </w:r>
      <w:r w:rsidR="004D4FEB">
        <w:rPr>
          <w:szCs w:val="24"/>
          <w:lang w:val="en-GB"/>
        </w:rPr>
        <w:t xml:space="preserve">, the so-called Human </w:t>
      </w:r>
      <w:r w:rsidR="00523E98">
        <w:rPr>
          <w:szCs w:val="24"/>
          <w:lang w:val="en-GB"/>
        </w:rPr>
        <w:t xml:space="preserve">Development Index </w:t>
      </w:r>
      <w:r w:rsidR="004D4FEB">
        <w:rPr>
          <w:szCs w:val="24"/>
          <w:lang w:val="en-GB"/>
        </w:rPr>
        <w:t>(HDI)</w:t>
      </w:r>
      <w:r w:rsidR="00091A9B" w:rsidRPr="00091A9B">
        <w:rPr>
          <w:szCs w:val="24"/>
          <w:lang w:val="en-GB"/>
        </w:rPr>
        <w:t xml:space="preserve">. </w:t>
      </w:r>
      <w:r w:rsidR="00134532">
        <w:rPr>
          <w:szCs w:val="24"/>
          <w:lang w:val="en-GB"/>
        </w:rPr>
        <w:t xml:space="preserve">We understand </w:t>
      </w:r>
      <w:r w:rsidR="00134532" w:rsidRPr="00091A9B">
        <w:rPr>
          <w:szCs w:val="24"/>
          <w:lang w:val="en-GB"/>
        </w:rPr>
        <w:t xml:space="preserve">modernization </w:t>
      </w:r>
      <w:r w:rsidR="00091A9B" w:rsidRPr="00091A9B">
        <w:rPr>
          <w:szCs w:val="24"/>
          <w:lang w:val="en-GB"/>
        </w:rPr>
        <w:t xml:space="preserve">as movement towards democracy, </w:t>
      </w:r>
      <w:r w:rsidR="0049378A">
        <w:rPr>
          <w:szCs w:val="24"/>
          <w:lang w:val="en-GB"/>
        </w:rPr>
        <w:t xml:space="preserve">a </w:t>
      </w:r>
      <w:r w:rsidR="00091A9B" w:rsidRPr="00091A9B">
        <w:rPr>
          <w:szCs w:val="24"/>
          <w:lang w:val="en-GB"/>
        </w:rPr>
        <w:t>national and welfare state, and higher levels of education, equality, industrialization, social mobility, wealth, general social tolerance, individualism,</w:t>
      </w:r>
      <w:r w:rsidR="006E4B75">
        <w:rPr>
          <w:szCs w:val="24"/>
          <w:lang w:val="en-GB"/>
        </w:rPr>
        <w:t xml:space="preserve"> </w:t>
      </w:r>
      <w:r w:rsidR="00091A9B" w:rsidRPr="00091A9B">
        <w:rPr>
          <w:szCs w:val="24"/>
          <w:lang w:val="en-GB"/>
        </w:rPr>
        <w:t xml:space="preserve">secularism (Divale </w:t>
      </w:r>
      <w:r w:rsidR="00A2578B">
        <w:rPr>
          <w:szCs w:val="24"/>
          <w:lang w:val="en-GB"/>
        </w:rPr>
        <w:t>&amp;</w:t>
      </w:r>
      <w:r w:rsidR="00091A9B" w:rsidRPr="00091A9B">
        <w:rPr>
          <w:szCs w:val="24"/>
          <w:lang w:val="en-GB"/>
        </w:rPr>
        <w:t xml:space="preserve"> Seda</w:t>
      </w:r>
      <w:r w:rsidR="00A2578B">
        <w:rPr>
          <w:szCs w:val="24"/>
          <w:lang w:val="en-GB"/>
        </w:rPr>
        <w:t>,</w:t>
      </w:r>
      <w:r w:rsidR="00091A9B" w:rsidRPr="00091A9B">
        <w:rPr>
          <w:szCs w:val="24"/>
          <w:lang w:val="en-GB"/>
        </w:rPr>
        <w:t xml:space="preserve"> 2000; Ciftci</w:t>
      </w:r>
      <w:r w:rsidR="00A2578B">
        <w:rPr>
          <w:szCs w:val="24"/>
          <w:lang w:val="en-GB"/>
        </w:rPr>
        <w:t>,</w:t>
      </w:r>
      <w:r w:rsidR="00091A9B" w:rsidRPr="00091A9B">
        <w:rPr>
          <w:szCs w:val="24"/>
          <w:lang w:val="en-GB"/>
        </w:rPr>
        <w:t xml:space="preserve"> 2010; Marks</w:t>
      </w:r>
      <w:r w:rsidR="00A2578B">
        <w:rPr>
          <w:szCs w:val="24"/>
          <w:lang w:val="en-GB"/>
        </w:rPr>
        <w:t>,</w:t>
      </w:r>
      <w:r w:rsidR="00091A9B" w:rsidRPr="00091A9B">
        <w:rPr>
          <w:szCs w:val="24"/>
          <w:lang w:val="en-GB"/>
        </w:rPr>
        <w:t xml:space="preserve"> 2009)</w:t>
      </w:r>
      <w:r w:rsidR="00134532">
        <w:rPr>
          <w:szCs w:val="24"/>
          <w:lang w:val="en-GB"/>
        </w:rPr>
        <w:t>,</w:t>
      </w:r>
      <w:r w:rsidR="00091A9B" w:rsidRPr="00091A9B">
        <w:rPr>
          <w:szCs w:val="24"/>
          <w:lang w:val="en-GB"/>
        </w:rPr>
        <w:t xml:space="preserve"> and towards</w:t>
      </w:r>
      <w:r w:rsidR="0049378A">
        <w:rPr>
          <w:szCs w:val="24"/>
          <w:lang w:val="en-GB"/>
        </w:rPr>
        <w:t xml:space="preserve"> the</w:t>
      </w:r>
      <w:r w:rsidR="00091A9B" w:rsidRPr="00091A9B">
        <w:rPr>
          <w:szCs w:val="24"/>
          <w:lang w:val="en-GB"/>
        </w:rPr>
        <w:t xml:space="preserve"> nuclear family (Popenoe</w:t>
      </w:r>
      <w:r w:rsidR="00A2578B">
        <w:rPr>
          <w:szCs w:val="24"/>
          <w:lang w:val="en-GB"/>
        </w:rPr>
        <w:t>,</w:t>
      </w:r>
      <w:r w:rsidR="00091A9B" w:rsidRPr="00091A9B">
        <w:rPr>
          <w:szCs w:val="24"/>
          <w:lang w:val="en-GB"/>
        </w:rPr>
        <w:t xml:space="preserve"> 1987). </w:t>
      </w:r>
    </w:p>
    <w:p w14:paraId="6F9ED7E1" w14:textId="77777777" w:rsidR="00983F05" w:rsidRDefault="00091A9B" w:rsidP="00983F05">
      <w:pPr>
        <w:spacing w:line="480" w:lineRule="auto"/>
        <w:rPr>
          <w:lang w:val="en-GB"/>
        </w:rPr>
      </w:pPr>
      <w:r w:rsidRPr="00091A9B">
        <w:rPr>
          <w:szCs w:val="24"/>
          <w:lang w:val="en-GB"/>
        </w:rPr>
        <w:t>G</w:t>
      </w:r>
      <w:r w:rsidR="00AB37E7">
        <w:rPr>
          <w:szCs w:val="24"/>
          <w:lang w:val="en-GB"/>
        </w:rPr>
        <w:t xml:space="preserve">ross </w:t>
      </w:r>
      <w:r w:rsidRPr="00091A9B">
        <w:rPr>
          <w:szCs w:val="24"/>
          <w:lang w:val="en-GB"/>
        </w:rPr>
        <w:t>D</w:t>
      </w:r>
      <w:r w:rsidR="00AB37E7">
        <w:rPr>
          <w:szCs w:val="24"/>
          <w:lang w:val="en-GB"/>
        </w:rPr>
        <w:t xml:space="preserve">omestic </w:t>
      </w:r>
      <w:r w:rsidRPr="00091A9B">
        <w:rPr>
          <w:szCs w:val="24"/>
          <w:lang w:val="en-GB"/>
        </w:rPr>
        <w:t>P</w:t>
      </w:r>
      <w:r w:rsidR="00AB37E7">
        <w:rPr>
          <w:szCs w:val="24"/>
          <w:lang w:val="en-GB"/>
        </w:rPr>
        <w:t>roduct (GDP)</w:t>
      </w:r>
      <w:r w:rsidR="003772EF">
        <w:rPr>
          <w:szCs w:val="24"/>
          <w:lang w:val="en-GB"/>
        </w:rPr>
        <w:t xml:space="preserve"> has often been used as an indicator of modernization. </w:t>
      </w:r>
      <w:r w:rsidR="00523E98">
        <w:rPr>
          <w:lang w:val="en-GB"/>
        </w:rPr>
        <w:t>This practice, however, has been criticized at least since the 1970s</w:t>
      </w:r>
      <w:r w:rsidR="00420322">
        <w:rPr>
          <w:lang w:val="en-GB"/>
        </w:rPr>
        <w:t>,</w:t>
      </w:r>
      <w:r w:rsidR="00523E98">
        <w:rPr>
          <w:lang w:val="en-GB"/>
        </w:rPr>
        <w:t xml:space="preserve"> as GDP </w:t>
      </w:r>
      <w:r w:rsidR="00420322">
        <w:rPr>
          <w:lang w:val="en-GB"/>
        </w:rPr>
        <w:t>was</w:t>
      </w:r>
      <w:r w:rsidR="00007ECC">
        <w:rPr>
          <w:lang w:val="en-GB"/>
        </w:rPr>
        <w:t xml:space="preserve"> not </w:t>
      </w:r>
      <w:r w:rsidR="00523E98">
        <w:rPr>
          <w:lang w:val="en-GB"/>
        </w:rPr>
        <w:t>designed to measure development/progress and does not measure it adequately (Eurostat</w:t>
      </w:r>
      <w:r w:rsidR="0085685A">
        <w:rPr>
          <w:lang w:val="en-GB"/>
        </w:rPr>
        <w:t>,</w:t>
      </w:r>
      <w:r w:rsidR="00523E98">
        <w:rPr>
          <w:lang w:val="en-GB"/>
        </w:rPr>
        <w:t xml:space="preserve"> 2010; Afsa et al.</w:t>
      </w:r>
      <w:r w:rsidR="0085685A">
        <w:rPr>
          <w:lang w:val="en-GB"/>
        </w:rPr>
        <w:t>,</w:t>
      </w:r>
      <w:r w:rsidR="00523E98">
        <w:rPr>
          <w:lang w:val="en-GB"/>
        </w:rPr>
        <w:t xml:space="preserve"> 2008; Boarini et al.</w:t>
      </w:r>
      <w:r w:rsidR="0085685A">
        <w:rPr>
          <w:lang w:val="en-GB"/>
        </w:rPr>
        <w:t>,</w:t>
      </w:r>
      <w:r w:rsidR="00523E98">
        <w:rPr>
          <w:lang w:val="en-GB"/>
        </w:rPr>
        <w:t xml:space="preserve"> 2006; </w:t>
      </w:r>
      <w:r w:rsidR="00631806">
        <w:rPr>
          <w:lang w:val="en-GB"/>
        </w:rPr>
        <w:t>United Nations Development Programme</w:t>
      </w:r>
      <w:r w:rsidR="0085685A">
        <w:rPr>
          <w:lang w:val="en-GB"/>
        </w:rPr>
        <w:t>,</w:t>
      </w:r>
      <w:r w:rsidR="00631806">
        <w:rPr>
          <w:lang w:val="en-GB"/>
        </w:rPr>
        <w:t xml:space="preserve"> </w:t>
      </w:r>
      <w:r w:rsidR="00523E98">
        <w:rPr>
          <w:lang w:val="en-GB"/>
        </w:rPr>
        <w:t>1990). As summa</w:t>
      </w:r>
      <w:r w:rsidR="00134532">
        <w:rPr>
          <w:lang w:val="en-GB"/>
        </w:rPr>
        <w:t>rized by Afsa et al. (2008, p.</w:t>
      </w:r>
      <w:r w:rsidR="00523E98">
        <w:rPr>
          <w:lang w:val="en-GB"/>
        </w:rPr>
        <w:t xml:space="preserve"> 1), GDP “is essentially a measure of economic activity, and more specifically of economic activities leading to monetary transactions. As a result, GDP suffers from two major weaknesses: (a) being a monetary aggregate, it pays little or no attention to distributional issues and to elements of human activity or well-being for which no direct or indirect market valuation is available; (b) it is measuring productive flows and, as such, ignores the impact of productive activities on stock, including stock of natural </w:t>
      </w:r>
      <w:r w:rsidR="00523E98">
        <w:rPr>
          <w:lang w:val="en-GB"/>
        </w:rPr>
        <w:lastRenderedPageBreak/>
        <w:t>resources.” The advocates of alternative measures of development put it succinctly in stating that “income is not the sum total of human life” (</w:t>
      </w:r>
      <w:r w:rsidR="00631806">
        <w:rPr>
          <w:lang w:val="en-GB"/>
        </w:rPr>
        <w:t>United Nations De</w:t>
      </w:r>
      <w:r w:rsidR="0085685A">
        <w:rPr>
          <w:lang w:val="en-GB"/>
        </w:rPr>
        <w:t xml:space="preserve">velopment Programme, </w:t>
      </w:r>
      <w:r w:rsidR="00DE4055">
        <w:rPr>
          <w:lang w:val="en-GB"/>
        </w:rPr>
        <w:t>1990, p.</w:t>
      </w:r>
      <w:r w:rsidR="00983F05">
        <w:rPr>
          <w:lang w:val="en-GB"/>
        </w:rPr>
        <w:t xml:space="preserve"> </w:t>
      </w:r>
      <w:r w:rsidR="00523E98">
        <w:rPr>
          <w:lang w:val="en-GB"/>
        </w:rPr>
        <w:t xml:space="preserve">9). </w:t>
      </w:r>
      <w:r w:rsidR="00983F05">
        <w:rPr>
          <w:lang w:val="en-GB"/>
        </w:rPr>
        <w:t>H</w:t>
      </w:r>
      <w:r w:rsidR="00523E98">
        <w:rPr>
          <w:lang w:val="en-GB"/>
        </w:rPr>
        <w:t xml:space="preserve">uman development is </w:t>
      </w:r>
      <w:r w:rsidR="00983F05">
        <w:rPr>
          <w:lang w:val="en-GB"/>
        </w:rPr>
        <w:t xml:space="preserve">then </w:t>
      </w:r>
      <w:r w:rsidR="00523E98">
        <w:rPr>
          <w:lang w:val="en-GB"/>
        </w:rPr>
        <w:t>defined as a general (beneficial) movement towards better-quality life, linked to forming and using capabilities. It is a way of enlarging people’s choices (be it in the matters of education, health, living standard, or politics) and enhancing well-being. Income, measured by the GDP</w:t>
      </w:r>
      <w:r w:rsidR="005F2674">
        <w:rPr>
          <w:lang w:val="en-GB"/>
        </w:rPr>
        <w:t>,</w:t>
      </w:r>
      <w:r w:rsidR="00523E98">
        <w:rPr>
          <w:lang w:val="en-GB"/>
        </w:rPr>
        <w:t xml:space="preserve"> is only partially a proxy for such choices. It </w:t>
      </w:r>
      <w:r w:rsidR="005F2674">
        <w:rPr>
          <w:lang w:val="en-GB"/>
        </w:rPr>
        <w:t>may</w:t>
      </w:r>
      <w:r w:rsidR="00523E98">
        <w:rPr>
          <w:lang w:val="en-GB"/>
        </w:rPr>
        <w:t xml:space="preserve"> be necessary</w:t>
      </w:r>
      <w:r w:rsidR="00983F05">
        <w:rPr>
          <w:lang w:val="en-GB"/>
        </w:rPr>
        <w:t>, but no</w:t>
      </w:r>
      <w:r w:rsidR="00F26412">
        <w:rPr>
          <w:lang w:val="en-GB"/>
        </w:rPr>
        <w:t>t</w:t>
      </w:r>
      <w:r w:rsidR="00983F05">
        <w:rPr>
          <w:lang w:val="en-GB"/>
        </w:rPr>
        <w:t xml:space="preserve"> sufficient</w:t>
      </w:r>
      <w:r w:rsidR="00523E98">
        <w:rPr>
          <w:lang w:val="en-GB"/>
        </w:rPr>
        <w:t xml:space="preserve"> for human development</w:t>
      </w:r>
      <w:r w:rsidR="00983F05">
        <w:rPr>
          <w:lang w:val="en-GB"/>
        </w:rPr>
        <w:t xml:space="preserve">: </w:t>
      </w:r>
      <w:r w:rsidR="00523E98">
        <w:rPr>
          <w:lang w:val="en-GB"/>
        </w:rPr>
        <w:t>“there is no automatic link between income growth and human progress” (</w:t>
      </w:r>
      <w:r w:rsidR="00631806">
        <w:rPr>
          <w:lang w:val="en-GB"/>
        </w:rPr>
        <w:t>United Nations Development Programme</w:t>
      </w:r>
      <w:r w:rsidR="0085685A">
        <w:rPr>
          <w:lang w:val="en-GB"/>
        </w:rPr>
        <w:t>,</w:t>
      </w:r>
      <w:r w:rsidR="00631806">
        <w:rPr>
          <w:lang w:val="en-GB"/>
        </w:rPr>
        <w:t xml:space="preserve"> </w:t>
      </w:r>
      <w:r w:rsidR="00983F05">
        <w:rPr>
          <w:lang w:val="en-GB"/>
        </w:rPr>
        <w:t>1990</w:t>
      </w:r>
      <w:r w:rsidR="00DE4055">
        <w:rPr>
          <w:lang w:val="en-GB"/>
        </w:rPr>
        <w:t>, p.</w:t>
      </w:r>
      <w:r w:rsidR="00983F05">
        <w:rPr>
          <w:lang w:val="en-GB"/>
        </w:rPr>
        <w:t xml:space="preserve"> </w:t>
      </w:r>
      <w:r w:rsidR="00523E98">
        <w:rPr>
          <w:lang w:val="en-GB"/>
        </w:rPr>
        <w:t xml:space="preserve">10). </w:t>
      </w:r>
      <w:r w:rsidR="00983F05">
        <w:rPr>
          <w:lang w:val="en-GB"/>
        </w:rPr>
        <w:t>I</w:t>
      </w:r>
      <w:r w:rsidR="00523E98">
        <w:rPr>
          <w:lang w:val="en-GB"/>
        </w:rPr>
        <w:t>t is argued</w:t>
      </w:r>
      <w:r w:rsidR="00983F05">
        <w:rPr>
          <w:lang w:val="en-GB"/>
        </w:rPr>
        <w:t xml:space="preserve"> that</w:t>
      </w:r>
      <w:r w:rsidR="00523E98">
        <w:rPr>
          <w:lang w:val="en-GB"/>
        </w:rPr>
        <w:t xml:space="preserve"> using GDP </w:t>
      </w:r>
      <w:r w:rsidR="00983F05">
        <w:rPr>
          <w:lang w:val="en-GB"/>
        </w:rPr>
        <w:t xml:space="preserve">as a proxy for development </w:t>
      </w:r>
      <w:r w:rsidR="00523E98">
        <w:rPr>
          <w:lang w:val="en-GB"/>
        </w:rPr>
        <w:t>has shifted attention away from the ends (ben</w:t>
      </w:r>
      <w:r w:rsidR="00983F05">
        <w:rPr>
          <w:lang w:val="en-GB"/>
        </w:rPr>
        <w:t>efits for people) to</w:t>
      </w:r>
      <w:r w:rsidR="005F2674">
        <w:rPr>
          <w:lang w:val="en-GB"/>
        </w:rPr>
        <w:t>ward</w:t>
      </w:r>
      <w:r w:rsidR="00983F05">
        <w:rPr>
          <w:lang w:val="en-GB"/>
        </w:rPr>
        <w:t xml:space="preserve"> means.</w:t>
      </w:r>
    </w:p>
    <w:p w14:paraId="3BCCD796" w14:textId="77777777" w:rsidR="00523E98" w:rsidRDefault="00523E98" w:rsidP="00983F05">
      <w:pPr>
        <w:spacing w:line="480" w:lineRule="auto"/>
        <w:rPr>
          <w:color w:val="000000"/>
          <w:lang w:val="en-GB"/>
        </w:rPr>
      </w:pPr>
      <w:r>
        <w:rPr>
          <w:lang w:val="en-GB"/>
        </w:rPr>
        <w:t xml:space="preserve">Some authors </w:t>
      </w:r>
      <w:r w:rsidR="00983F05">
        <w:rPr>
          <w:lang w:val="en-GB"/>
        </w:rPr>
        <w:t xml:space="preserve">have advocated </w:t>
      </w:r>
      <w:r>
        <w:rPr>
          <w:lang w:val="en-GB"/>
        </w:rPr>
        <w:t xml:space="preserve">using alternative measures, be </w:t>
      </w:r>
      <w:r w:rsidR="005F2674">
        <w:rPr>
          <w:lang w:val="en-GB"/>
        </w:rPr>
        <w:t>they</w:t>
      </w:r>
      <w:r>
        <w:rPr>
          <w:lang w:val="en-GB"/>
        </w:rPr>
        <w:t xml:space="preserve"> adjusted or extended versions of GDP itself, sets of indicators (which reflect multidimensionality of progress), or composite indexes (which acknowledge multidimensionality of progress while answering the need for </w:t>
      </w:r>
      <w:r w:rsidR="005F2674">
        <w:rPr>
          <w:lang w:val="en-GB"/>
        </w:rPr>
        <w:t xml:space="preserve">a </w:t>
      </w:r>
      <w:r>
        <w:rPr>
          <w:lang w:val="en-GB"/>
        </w:rPr>
        <w:t xml:space="preserve">single, easily used measure; </w:t>
      </w:r>
      <w:r>
        <w:rPr>
          <w:lang w:val="en-US"/>
        </w:rPr>
        <w:t>Afsa et al.</w:t>
      </w:r>
      <w:r w:rsidR="0085685A">
        <w:rPr>
          <w:lang w:val="en-US"/>
        </w:rPr>
        <w:t>,</w:t>
      </w:r>
      <w:r>
        <w:rPr>
          <w:lang w:val="en-US"/>
        </w:rPr>
        <w:t xml:space="preserve"> 2008; </w:t>
      </w:r>
      <w:r>
        <w:rPr>
          <w:lang w:val="en-GB"/>
        </w:rPr>
        <w:t>Boarini et al.</w:t>
      </w:r>
      <w:r w:rsidR="0085685A">
        <w:rPr>
          <w:lang w:val="en-GB"/>
        </w:rPr>
        <w:t>,</w:t>
      </w:r>
      <w:r>
        <w:rPr>
          <w:lang w:val="en-GB"/>
        </w:rPr>
        <w:t xml:space="preserve"> 2006). So far </w:t>
      </w:r>
      <w:r w:rsidR="005F2674">
        <w:rPr>
          <w:lang w:val="en-GB"/>
        </w:rPr>
        <w:t xml:space="preserve">no </w:t>
      </w:r>
      <w:r>
        <w:rPr>
          <w:lang w:val="en-GB"/>
        </w:rPr>
        <w:t>single preferred alternative</w:t>
      </w:r>
      <w:r w:rsidR="005F2674">
        <w:rPr>
          <w:lang w:val="en-GB"/>
        </w:rPr>
        <w:t xml:space="preserve"> has emerged</w:t>
      </w:r>
      <w:r>
        <w:rPr>
          <w:lang w:val="en-GB"/>
        </w:rPr>
        <w:t xml:space="preserve">. UNDP’s Human Development Index (HDI) is one of the well-known composite indexes. Presented in </w:t>
      </w:r>
      <w:r w:rsidR="00ED2A1B">
        <w:rPr>
          <w:lang w:val="en-GB"/>
        </w:rPr>
        <w:t xml:space="preserve">the </w:t>
      </w:r>
      <w:r>
        <w:rPr>
          <w:lang w:val="en-GB"/>
        </w:rPr>
        <w:t xml:space="preserve">1990 </w:t>
      </w:r>
      <w:r>
        <w:rPr>
          <w:i/>
          <w:lang w:val="en-GB"/>
        </w:rPr>
        <w:t>Human Development Report</w:t>
      </w:r>
      <w:r>
        <w:rPr>
          <w:lang w:val="en-GB"/>
        </w:rPr>
        <w:t xml:space="preserve">, it </w:t>
      </w:r>
      <w:r w:rsidR="005F2674">
        <w:rPr>
          <w:lang w:val="en-GB"/>
        </w:rPr>
        <w:t xml:space="preserve">was </w:t>
      </w:r>
      <w:r>
        <w:rPr>
          <w:lang w:val="en-GB"/>
        </w:rPr>
        <w:t>set to replace GDP as a measure of human development, capturing what are claimed to be three main elements of human life – longevity, knowledge, and standard of living (U</w:t>
      </w:r>
      <w:r w:rsidR="00631806">
        <w:rPr>
          <w:lang w:val="en-GB"/>
        </w:rPr>
        <w:t xml:space="preserve">nited </w:t>
      </w:r>
      <w:r>
        <w:rPr>
          <w:lang w:val="en-GB"/>
        </w:rPr>
        <w:t>N</w:t>
      </w:r>
      <w:r w:rsidR="00631806">
        <w:rPr>
          <w:lang w:val="en-GB"/>
        </w:rPr>
        <w:t xml:space="preserve">ations </w:t>
      </w:r>
      <w:r>
        <w:rPr>
          <w:lang w:val="en-GB"/>
        </w:rPr>
        <w:t>D</w:t>
      </w:r>
      <w:r w:rsidR="00631806">
        <w:rPr>
          <w:lang w:val="en-GB"/>
        </w:rPr>
        <w:t xml:space="preserve">evelopment </w:t>
      </w:r>
      <w:r>
        <w:rPr>
          <w:lang w:val="en-GB"/>
        </w:rPr>
        <w:t>P</w:t>
      </w:r>
      <w:r w:rsidR="00631806">
        <w:rPr>
          <w:lang w:val="en-GB"/>
        </w:rPr>
        <w:t>rogramme</w:t>
      </w:r>
      <w:r w:rsidR="0085685A">
        <w:rPr>
          <w:lang w:val="en-GB"/>
        </w:rPr>
        <w:t>,</w:t>
      </w:r>
      <w:r>
        <w:rPr>
          <w:lang w:val="en-GB"/>
        </w:rPr>
        <w:t xml:space="preserve"> 1990). Despite </w:t>
      </w:r>
      <w:r w:rsidR="00983F05">
        <w:rPr>
          <w:lang w:val="en-GB"/>
        </w:rPr>
        <w:t xml:space="preserve">still </w:t>
      </w:r>
      <w:r>
        <w:rPr>
          <w:lang w:val="en-GB"/>
        </w:rPr>
        <w:t xml:space="preserve">being </w:t>
      </w:r>
      <w:r w:rsidR="00983F05">
        <w:rPr>
          <w:lang w:val="en-GB"/>
        </w:rPr>
        <w:t xml:space="preserve">rather imperfect </w:t>
      </w:r>
      <w:r>
        <w:rPr>
          <w:lang w:val="en-GB"/>
        </w:rPr>
        <w:t xml:space="preserve">(it has been criticized for not working with enough dimensions of human development and for being arbitrary, even redundant, see McGillivray </w:t>
      </w:r>
      <w:r w:rsidR="0085685A">
        <w:rPr>
          <w:lang w:val="en-GB"/>
        </w:rPr>
        <w:t>&amp;</w:t>
      </w:r>
      <w:r>
        <w:rPr>
          <w:lang w:val="en-GB"/>
        </w:rPr>
        <w:t xml:space="preserve"> White</w:t>
      </w:r>
      <w:r w:rsidR="0085685A">
        <w:rPr>
          <w:lang w:val="en-GB"/>
        </w:rPr>
        <w:t>,</w:t>
      </w:r>
      <w:r>
        <w:rPr>
          <w:lang w:val="en-GB"/>
        </w:rPr>
        <w:t xml:space="preserve"> 1993; Cahill</w:t>
      </w:r>
      <w:r w:rsidR="0085685A">
        <w:rPr>
          <w:lang w:val="en-GB"/>
        </w:rPr>
        <w:t>,</w:t>
      </w:r>
      <w:r>
        <w:rPr>
          <w:lang w:val="en-GB"/>
        </w:rPr>
        <w:t xml:space="preserve"> 2005; Ranis et al.</w:t>
      </w:r>
      <w:r w:rsidR="0085685A">
        <w:rPr>
          <w:lang w:val="en-GB"/>
        </w:rPr>
        <w:t>,</w:t>
      </w:r>
      <w:r>
        <w:rPr>
          <w:lang w:val="en-GB"/>
        </w:rPr>
        <w:t xml:space="preserve"> 2006; Afsa et al.</w:t>
      </w:r>
      <w:r w:rsidR="0085685A">
        <w:rPr>
          <w:lang w:val="en-GB"/>
        </w:rPr>
        <w:t>,</w:t>
      </w:r>
      <w:r>
        <w:rPr>
          <w:lang w:val="en-GB"/>
        </w:rPr>
        <w:t xml:space="preserve"> 2008), it “</w:t>
      </w:r>
      <w:r>
        <w:rPr>
          <w:color w:val="000000"/>
          <w:lang w:val="en-GB"/>
        </w:rPr>
        <w:t>remains one of the few indexes that are regularly compiled and widely disseminated by international organizations to allow systematic cross-country</w:t>
      </w:r>
      <w:r w:rsidR="00134532">
        <w:rPr>
          <w:color w:val="000000"/>
          <w:lang w:val="en-GB"/>
        </w:rPr>
        <w:t xml:space="preserve"> comparisons” (Afsa et al.</w:t>
      </w:r>
      <w:r w:rsidR="00ED2A1B">
        <w:rPr>
          <w:color w:val="000000"/>
          <w:lang w:val="en-GB"/>
        </w:rPr>
        <w:t>,</w:t>
      </w:r>
      <w:r w:rsidR="00134532">
        <w:rPr>
          <w:color w:val="000000"/>
          <w:lang w:val="en-GB"/>
        </w:rPr>
        <w:t xml:space="preserve"> 2008, p.</w:t>
      </w:r>
      <w:r>
        <w:rPr>
          <w:color w:val="000000"/>
          <w:lang w:val="en-GB"/>
        </w:rPr>
        <w:t xml:space="preserve"> 1). </w:t>
      </w:r>
      <w:r w:rsidR="005F2674">
        <w:rPr>
          <w:color w:val="000000"/>
          <w:lang w:val="en-GB"/>
        </w:rPr>
        <w:t xml:space="preserve">We use the </w:t>
      </w:r>
      <w:r>
        <w:rPr>
          <w:color w:val="000000"/>
          <w:lang w:val="en-GB"/>
        </w:rPr>
        <w:t xml:space="preserve">HDI </w:t>
      </w:r>
      <w:r w:rsidR="005F2674">
        <w:rPr>
          <w:color w:val="000000"/>
          <w:lang w:val="en-GB"/>
        </w:rPr>
        <w:t xml:space="preserve">as a </w:t>
      </w:r>
      <w:r>
        <w:rPr>
          <w:color w:val="000000"/>
          <w:lang w:val="en-GB"/>
        </w:rPr>
        <w:t>way of addressing the issue of GDP inadequacy when it comes to measuring development/modernization/progress.</w:t>
      </w:r>
    </w:p>
    <w:p w14:paraId="3C777148" w14:textId="77777777" w:rsidR="00091A9B" w:rsidRPr="00091A9B" w:rsidRDefault="004D4FEB" w:rsidP="006F30EE">
      <w:pPr>
        <w:spacing w:line="480" w:lineRule="auto"/>
        <w:rPr>
          <w:szCs w:val="24"/>
          <w:lang w:val="en-US"/>
        </w:rPr>
      </w:pPr>
      <w:r>
        <w:rPr>
          <w:szCs w:val="24"/>
          <w:lang w:val="en-GB"/>
        </w:rPr>
        <w:lastRenderedPageBreak/>
        <w:t xml:space="preserve">HDI </w:t>
      </w:r>
      <w:r w:rsidR="003772EF">
        <w:rPr>
          <w:szCs w:val="24"/>
          <w:lang w:val="en-GB"/>
        </w:rPr>
        <w:t>consist</w:t>
      </w:r>
      <w:r w:rsidR="003A2727">
        <w:rPr>
          <w:szCs w:val="24"/>
          <w:lang w:val="en-GB"/>
        </w:rPr>
        <w:t>s</w:t>
      </w:r>
      <w:r w:rsidR="003772EF">
        <w:rPr>
          <w:szCs w:val="24"/>
          <w:lang w:val="en-GB"/>
        </w:rPr>
        <w:t xml:space="preserve"> of three dimensions: health, education, and living standards. HDI utilizes a set of four </w:t>
      </w:r>
      <w:r w:rsidR="00EE43AF">
        <w:rPr>
          <w:szCs w:val="24"/>
          <w:lang w:val="en-GB"/>
        </w:rPr>
        <w:t xml:space="preserve">variables </w:t>
      </w:r>
      <w:r w:rsidR="003772EF">
        <w:rPr>
          <w:szCs w:val="24"/>
          <w:lang w:val="en-GB"/>
        </w:rPr>
        <w:t xml:space="preserve">to cover these three dimensions: health is measured </w:t>
      </w:r>
      <w:r w:rsidR="00EE43AF">
        <w:rPr>
          <w:szCs w:val="24"/>
          <w:lang w:val="en-GB"/>
        </w:rPr>
        <w:t xml:space="preserve">by </w:t>
      </w:r>
      <w:r w:rsidR="00091A9B" w:rsidRPr="00091A9B">
        <w:rPr>
          <w:szCs w:val="24"/>
          <w:lang w:val="en-GB"/>
        </w:rPr>
        <w:t>life expectancy at birth</w:t>
      </w:r>
      <w:r w:rsidR="005F2674">
        <w:rPr>
          <w:szCs w:val="24"/>
          <w:lang w:val="en-US"/>
        </w:rPr>
        <w:t>;</w:t>
      </w:r>
      <w:r w:rsidR="00091A9B" w:rsidRPr="00091A9B">
        <w:rPr>
          <w:szCs w:val="24"/>
          <w:lang w:val="en-GB"/>
        </w:rPr>
        <w:t xml:space="preserve"> education </w:t>
      </w:r>
      <w:r w:rsidR="003772EF">
        <w:rPr>
          <w:szCs w:val="24"/>
          <w:lang w:val="en-GB"/>
        </w:rPr>
        <w:t xml:space="preserve">by combining </w:t>
      </w:r>
      <w:r w:rsidR="00091A9B" w:rsidRPr="00091A9B">
        <w:rPr>
          <w:szCs w:val="24"/>
          <w:lang w:val="en-GB"/>
        </w:rPr>
        <w:t xml:space="preserve">mean years of schooling of adults above 25 and expected years of schooling of children </w:t>
      </w:r>
      <w:r w:rsidR="003772EF">
        <w:rPr>
          <w:szCs w:val="24"/>
          <w:lang w:val="en-GB"/>
        </w:rPr>
        <w:t>of school entering age</w:t>
      </w:r>
      <w:r w:rsidR="005F2674">
        <w:rPr>
          <w:szCs w:val="24"/>
          <w:lang w:val="en-GB"/>
        </w:rPr>
        <w:t>;</w:t>
      </w:r>
      <w:r w:rsidR="00091A9B" w:rsidRPr="00091A9B">
        <w:rPr>
          <w:szCs w:val="24"/>
          <w:lang w:val="en-GB"/>
        </w:rPr>
        <w:t xml:space="preserve"> and </w:t>
      </w:r>
      <w:r w:rsidR="003772EF">
        <w:rPr>
          <w:szCs w:val="24"/>
          <w:lang w:val="en-GB"/>
        </w:rPr>
        <w:t>Gross National Income (GNI</w:t>
      </w:r>
      <w:r w:rsidR="003772EF">
        <w:rPr>
          <w:szCs w:val="24"/>
          <w:lang w:val="en-US"/>
        </w:rPr>
        <w:t xml:space="preserve">) per capita measures </w:t>
      </w:r>
      <w:r w:rsidR="00091A9B" w:rsidRPr="00091A9B">
        <w:rPr>
          <w:szCs w:val="24"/>
          <w:lang w:val="en-GB"/>
        </w:rPr>
        <w:t>living standard (</w:t>
      </w:r>
      <w:r w:rsidR="000849D8">
        <w:rPr>
          <w:szCs w:val="24"/>
          <w:lang w:val="en-GB"/>
        </w:rPr>
        <w:t>income</w:t>
      </w:r>
      <w:r w:rsidR="00EE43AF">
        <w:rPr>
          <w:szCs w:val="24"/>
          <w:lang w:val="en-GB"/>
        </w:rPr>
        <w:t xml:space="preserve"> </w:t>
      </w:r>
      <w:r w:rsidR="003772EF">
        <w:rPr>
          <w:szCs w:val="24"/>
          <w:lang w:val="en-GB"/>
        </w:rPr>
        <w:t xml:space="preserve">is </w:t>
      </w:r>
      <w:r w:rsidR="00AB37E7">
        <w:rPr>
          <w:szCs w:val="24"/>
          <w:lang w:val="en-GB"/>
        </w:rPr>
        <w:t>adjusted for variations in purchasing power</w:t>
      </w:r>
      <w:r w:rsidR="00EE43AF">
        <w:rPr>
          <w:szCs w:val="24"/>
          <w:lang w:val="en-GB"/>
        </w:rPr>
        <w:t xml:space="preserve"> across countries</w:t>
      </w:r>
      <w:r w:rsidR="00AB37E7">
        <w:rPr>
          <w:szCs w:val="24"/>
          <w:lang w:val="en-GB"/>
        </w:rPr>
        <w:t xml:space="preserve">). The inclusion of </w:t>
      </w:r>
      <w:r w:rsidR="00091A9B" w:rsidRPr="00091A9B">
        <w:rPr>
          <w:szCs w:val="24"/>
          <w:lang w:val="en-GB"/>
        </w:rPr>
        <w:t xml:space="preserve">health and educational achievement </w:t>
      </w:r>
      <w:r w:rsidR="00AB37E7">
        <w:rPr>
          <w:szCs w:val="24"/>
          <w:lang w:val="en-GB"/>
        </w:rPr>
        <w:t xml:space="preserve">into HDI along with an indicator of economic </w:t>
      </w:r>
      <w:r w:rsidR="00EE43AF">
        <w:rPr>
          <w:szCs w:val="24"/>
          <w:lang w:val="en-GB"/>
        </w:rPr>
        <w:t xml:space="preserve">performance </w:t>
      </w:r>
      <w:r w:rsidR="005F2674">
        <w:rPr>
          <w:szCs w:val="24"/>
          <w:lang w:val="en-GB"/>
        </w:rPr>
        <w:t>was</w:t>
      </w:r>
      <w:r w:rsidR="00AB37E7">
        <w:rPr>
          <w:szCs w:val="24"/>
          <w:lang w:val="en-GB"/>
        </w:rPr>
        <w:t xml:space="preserve"> guided by the idea that </w:t>
      </w:r>
      <w:r w:rsidR="00EE43AF">
        <w:rPr>
          <w:szCs w:val="24"/>
          <w:lang w:val="en-GB"/>
        </w:rPr>
        <w:t xml:space="preserve">both education and health </w:t>
      </w:r>
      <w:r w:rsidR="00AB37E7">
        <w:rPr>
          <w:szCs w:val="24"/>
          <w:lang w:val="en-GB"/>
        </w:rPr>
        <w:t xml:space="preserve">are </w:t>
      </w:r>
      <w:r w:rsidR="00AB37E7">
        <w:rPr>
          <w:szCs w:val="24"/>
          <w:lang w:val="en-US"/>
        </w:rPr>
        <w:t>“</w:t>
      </w:r>
      <w:r w:rsidR="00091A9B" w:rsidRPr="00091A9B">
        <w:rPr>
          <w:szCs w:val="24"/>
          <w:lang w:val="en-US"/>
        </w:rPr>
        <w:t>regarded as two major ingredients of development and progress” (Afsa et al.</w:t>
      </w:r>
      <w:r w:rsidR="00A2578B">
        <w:rPr>
          <w:szCs w:val="24"/>
          <w:lang w:val="en-US"/>
        </w:rPr>
        <w:t>,</w:t>
      </w:r>
      <w:r w:rsidR="00134532">
        <w:rPr>
          <w:szCs w:val="24"/>
          <w:lang w:val="en-US"/>
        </w:rPr>
        <w:t xml:space="preserve"> 2008, p.</w:t>
      </w:r>
      <w:r w:rsidR="00091A9B" w:rsidRPr="00091A9B">
        <w:rPr>
          <w:szCs w:val="24"/>
          <w:lang w:val="en-US"/>
        </w:rPr>
        <w:t xml:space="preserve"> 13). The HDI </w:t>
      </w:r>
      <w:r w:rsidR="00EE43AF">
        <w:rPr>
          <w:szCs w:val="24"/>
          <w:lang w:val="en-US"/>
        </w:rPr>
        <w:t xml:space="preserve">is measured on a scale ranging </w:t>
      </w:r>
      <w:r w:rsidR="00091A9B" w:rsidRPr="00091A9B">
        <w:rPr>
          <w:szCs w:val="24"/>
          <w:lang w:val="en-US"/>
        </w:rPr>
        <w:t>from 0 to 1</w:t>
      </w:r>
      <w:r w:rsidR="00EE43AF">
        <w:rPr>
          <w:szCs w:val="24"/>
          <w:lang w:val="en-US"/>
        </w:rPr>
        <w:t>;</w:t>
      </w:r>
      <w:r w:rsidR="00091A9B" w:rsidRPr="00091A9B">
        <w:rPr>
          <w:szCs w:val="24"/>
          <w:lang w:val="en-US"/>
        </w:rPr>
        <w:t xml:space="preserve"> </w:t>
      </w:r>
      <w:r w:rsidR="00EE43AF">
        <w:rPr>
          <w:szCs w:val="24"/>
          <w:lang w:val="en-US"/>
        </w:rPr>
        <w:t>higher values reflect higher level of development</w:t>
      </w:r>
      <w:r w:rsidR="00091A9B" w:rsidRPr="00091A9B">
        <w:rPr>
          <w:szCs w:val="24"/>
          <w:lang w:val="en-US"/>
        </w:rPr>
        <w:t xml:space="preserve"> </w:t>
      </w:r>
      <w:r w:rsidR="00091A9B" w:rsidRPr="00091A9B">
        <w:rPr>
          <w:szCs w:val="24"/>
          <w:lang w:val="en-GB"/>
        </w:rPr>
        <w:t>(</w:t>
      </w:r>
      <w:r w:rsidR="0085685A">
        <w:rPr>
          <w:szCs w:val="24"/>
          <w:lang w:val="en-US"/>
        </w:rPr>
        <w:t>Cahill, 2005</w:t>
      </w:r>
      <w:r w:rsidR="00F74112">
        <w:rPr>
          <w:szCs w:val="24"/>
          <w:lang w:val="en-US"/>
        </w:rPr>
        <w:t>).</w:t>
      </w:r>
    </w:p>
    <w:p w14:paraId="4D419E30" w14:textId="77777777" w:rsidR="00091A9B" w:rsidRDefault="00961484" w:rsidP="006F30EE">
      <w:pPr>
        <w:spacing w:line="480" w:lineRule="auto"/>
        <w:rPr>
          <w:szCs w:val="24"/>
          <w:lang w:val="en-US"/>
        </w:rPr>
      </w:pPr>
      <w:r>
        <w:rPr>
          <w:szCs w:val="24"/>
          <w:lang w:val="en-US"/>
        </w:rPr>
        <w:t xml:space="preserve">Our analysis employs </w:t>
      </w:r>
      <w:r w:rsidR="003772EF" w:rsidRPr="00091A9B">
        <w:rPr>
          <w:szCs w:val="24"/>
          <w:lang w:val="en-US"/>
        </w:rPr>
        <w:t xml:space="preserve">HDI </w:t>
      </w:r>
      <w:r>
        <w:rPr>
          <w:szCs w:val="24"/>
          <w:lang w:val="en-US"/>
        </w:rPr>
        <w:t xml:space="preserve">values </w:t>
      </w:r>
      <w:r w:rsidR="00091A9B" w:rsidRPr="00091A9B">
        <w:rPr>
          <w:szCs w:val="24"/>
          <w:lang w:val="en-US"/>
        </w:rPr>
        <w:t xml:space="preserve">taken from the </w:t>
      </w:r>
      <w:r w:rsidR="00297B82">
        <w:rPr>
          <w:szCs w:val="24"/>
          <w:lang w:val="en-US"/>
        </w:rPr>
        <w:t>2011</w:t>
      </w:r>
      <w:r w:rsidR="00A2578B">
        <w:rPr>
          <w:szCs w:val="24"/>
          <w:lang w:val="en-US"/>
        </w:rPr>
        <w:t xml:space="preserve"> </w:t>
      </w:r>
      <w:r w:rsidR="00297B82" w:rsidRPr="00297B82">
        <w:rPr>
          <w:i/>
          <w:szCs w:val="24"/>
          <w:lang w:val="en-US"/>
        </w:rPr>
        <w:t>Human Development Report</w:t>
      </w:r>
      <w:r w:rsidR="00297B82">
        <w:rPr>
          <w:szCs w:val="24"/>
          <w:lang w:val="en-US"/>
        </w:rPr>
        <w:t xml:space="preserve"> (</w:t>
      </w:r>
      <w:hyperlink r:id="rId10" w:history="1"/>
      <w:r w:rsidR="00244C2F">
        <w:rPr>
          <w:szCs w:val="24"/>
          <w:lang w:val="en-GB"/>
        </w:rPr>
        <w:t>United Nations Development Programme</w:t>
      </w:r>
      <w:r w:rsidR="00297B82" w:rsidRPr="00297B82">
        <w:t>, 2011</w:t>
      </w:r>
      <w:r w:rsidR="00DE4055">
        <w:t>, pp.</w:t>
      </w:r>
      <w:r w:rsidR="00297B82">
        <w:t xml:space="preserve"> 131-134</w:t>
      </w:r>
      <w:r w:rsidR="00091A9B" w:rsidRPr="00091A9B">
        <w:rPr>
          <w:szCs w:val="24"/>
        </w:rPr>
        <w:t>)</w:t>
      </w:r>
      <w:r w:rsidR="00091A9B" w:rsidRPr="00091A9B">
        <w:rPr>
          <w:szCs w:val="24"/>
          <w:lang w:val="en-US"/>
        </w:rPr>
        <w:t xml:space="preserve">. </w:t>
      </w:r>
      <w:r>
        <w:rPr>
          <w:szCs w:val="24"/>
          <w:lang w:val="en-US"/>
        </w:rPr>
        <w:t xml:space="preserve">We use </w:t>
      </w:r>
      <w:r w:rsidR="00091A9B" w:rsidRPr="00091A9B">
        <w:rPr>
          <w:szCs w:val="24"/>
          <w:lang w:val="en-US"/>
        </w:rPr>
        <w:t xml:space="preserve">values </w:t>
      </w:r>
      <w:r>
        <w:rPr>
          <w:szCs w:val="24"/>
          <w:lang w:val="en-US"/>
        </w:rPr>
        <w:t xml:space="preserve">for </w:t>
      </w:r>
      <w:r w:rsidR="005F2674">
        <w:rPr>
          <w:szCs w:val="24"/>
          <w:lang w:val="en-US"/>
        </w:rPr>
        <w:t xml:space="preserve">the </w:t>
      </w:r>
      <w:r>
        <w:rPr>
          <w:szCs w:val="24"/>
          <w:lang w:val="en-US"/>
        </w:rPr>
        <w:t xml:space="preserve">year </w:t>
      </w:r>
      <w:r w:rsidRPr="00091A9B">
        <w:rPr>
          <w:szCs w:val="24"/>
          <w:lang w:val="en-US"/>
        </w:rPr>
        <w:t>2000</w:t>
      </w:r>
      <w:r>
        <w:rPr>
          <w:szCs w:val="24"/>
          <w:lang w:val="en-US"/>
        </w:rPr>
        <w:t>, which</w:t>
      </w:r>
      <w:r w:rsidR="00140727">
        <w:rPr>
          <w:szCs w:val="24"/>
          <w:lang w:val="en-US"/>
        </w:rPr>
        <w:t>–</w:t>
      </w:r>
      <w:r w:rsidR="00EE43AF">
        <w:rPr>
          <w:szCs w:val="24"/>
          <w:lang w:val="en-US"/>
        </w:rPr>
        <w:t xml:space="preserve">within </w:t>
      </w:r>
      <w:r w:rsidR="00244C2F">
        <w:rPr>
          <w:szCs w:val="24"/>
          <w:lang w:val="en-US"/>
        </w:rPr>
        <w:t xml:space="preserve">selected </w:t>
      </w:r>
      <w:r w:rsidR="00EE43AF">
        <w:rPr>
          <w:szCs w:val="24"/>
          <w:lang w:val="en-US"/>
        </w:rPr>
        <w:t>PISA countries</w:t>
      </w:r>
      <w:r w:rsidR="00140727">
        <w:rPr>
          <w:szCs w:val="24"/>
          <w:lang w:val="en-US"/>
        </w:rPr>
        <w:t>–</w:t>
      </w:r>
      <w:r w:rsidR="00091A9B" w:rsidRPr="00091A9B">
        <w:rPr>
          <w:szCs w:val="24"/>
          <w:lang w:val="en-US"/>
        </w:rPr>
        <w:t>rang</w:t>
      </w:r>
      <w:r>
        <w:rPr>
          <w:szCs w:val="24"/>
          <w:lang w:val="en-US"/>
        </w:rPr>
        <w:t>e</w:t>
      </w:r>
      <w:r w:rsidR="00EE43AF">
        <w:rPr>
          <w:szCs w:val="24"/>
          <w:lang w:val="en-US"/>
        </w:rPr>
        <w:t xml:space="preserve"> </w:t>
      </w:r>
      <w:r w:rsidR="00091A9B" w:rsidRPr="00091A9B">
        <w:rPr>
          <w:szCs w:val="24"/>
          <w:lang w:val="en-US"/>
        </w:rPr>
        <w:t>from 0</w:t>
      </w:r>
      <w:r w:rsidR="008B61B7">
        <w:rPr>
          <w:szCs w:val="24"/>
          <w:lang w:val="en-US"/>
        </w:rPr>
        <w:t>.</w:t>
      </w:r>
      <w:r w:rsidR="00091A9B" w:rsidRPr="00091A9B">
        <w:rPr>
          <w:szCs w:val="24"/>
          <w:lang w:val="en-US"/>
        </w:rPr>
        <w:t>54</w:t>
      </w:r>
      <w:r w:rsidR="00E75160">
        <w:rPr>
          <w:szCs w:val="24"/>
          <w:lang w:val="en-US"/>
        </w:rPr>
        <w:t>3</w:t>
      </w:r>
      <w:r w:rsidR="00091A9B" w:rsidRPr="00091A9B">
        <w:rPr>
          <w:szCs w:val="24"/>
          <w:lang w:val="en-US"/>
        </w:rPr>
        <w:t xml:space="preserve"> in Indonesia to </w:t>
      </w:r>
      <w:r w:rsidR="005D4774" w:rsidRPr="003A2727">
        <w:rPr>
          <w:szCs w:val="24"/>
          <w:lang w:val="en-US"/>
        </w:rPr>
        <w:t>0.91</w:t>
      </w:r>
      <w:r w:rsidR="00E75160">
        <w:rPr>
          <w:szCs w:val="24"/>
          <w:lang w:val="en-US"/>
        </w:rPr>
        <w:t>3</w:t>
      </w:r>
      <w:r w:rsidR="00091A9B" w:rsidRPr="00091A9B">
        <w:rPr>
          <w:szCs w:val="24"/>
          <w:lang w:val="en-US"/>
        </w:rPr>
        <w:t xml:space="preserve"> in Norway. For the purposes of our analysis we categorized the HDI into four categories using the values of 25</w:t>
      </w:r>
      <w:r w:rsidR="00091A9B" w:rsidRPr="00091A9B">
        <w:rPr>
          <w:szCs w:val="24"/>
          <w:vertAlign w:val="superscript"/>
          <w:lang w:val="en-US"/>
        </w:rPr>
        <w:t>th</w:t>
      </w:r>
      <w:r w:rsidR="00EE43AF">
        <w:rPr>
          <w:szCs w:val="24"/>
          <w:lang w:val="en-US"/>
        </w:rPr>
        <w:t>,</w:t>
      </w:r>
      <w:r w:rsidR="00091A9B" w:rsidRPr="00091A9B">
        <w:rPr>
          <w:szCs w:val="24"/>
          <w:lang w:val="en-US"/>
        </w:rPr>
        <w:t xml:space="preserve"> 50</w:t>
      </w:r>
      <w:r w:rsidR="00091A9B" w:rsidRPr="00091A9B">
        <w:rPr>
          <w:szCs w:val="24"/>
          <w:vertAlign w:val="superscript"/>
          <w:lang w:val="en-US"/>
        </w:rPr>
        <w:t>th</w:t>
      </w:r>
      <w:r w:rsidR="00EE43AF">
        <w:rPr>
          <w:szCs w:val="24"/>
          <w:lang w:val="en-US"/>
        </w:rPr>
        <w:t>,</w:t>
      </w:r>
      <w:r w:rsidR="00091A9B" w:rsidRPr="00091A9B">
        <w:rPr>
          <w:szCs w:val="24"/>
          <w:lang w:val="en-US"/>
        </w:rPr>
        <w:t xml:space="preserve"> and 75</w:t>
      </w:r>
      <w:r w:rsidR="00091A9B" w:rsidRPr="00091A9B">
        <w:rPr>
          <w:szCs w:val="24"/>
          <w:vertAlign w:val="superscript"/>
          <w:lang w:val="en-US"/>
        </w:rPr>
        <w:t>th</w:t>
      </w:r>
      <w:r w:rsidR="00091A9B" w:rsidRPr="00091A9B">
        <w:rPr>
          <w:szCs w:val="24"/>
          <w:lang w:val="en-US"/>
        </w:rPr>
        <w:t xml:space="preserve"> percentile (0</w:t>
      </w:r>
      <w:r w:rsidR="008B61B7">
        <w:rPr>
          <w:szCs w:val="24"/>
          <w:lang w:val="en-US"/>
        </w:rPr>
        <w:t>.</w:t>
      </w:r>
      <w:r w:rsidR="00091A9B" w:rsidRPr="00091A9B">
        <w:rPr>
          <w:szCs w:val="24"/>
          <w:lang w:val="en-US"/>
        </w:rPr>
        <w:t>7405; 0</w:t>
      </w:r>
      <w:r w:rsidR="008B61B7">
        <w:rPr>
          <w:szCs w:val="24"/>
          <w:lang w:val="en-US"/>
        </w:rPr>
        <w:t>.</w:t>
      </w:r>
      <w:r w:rsidR="00091A9B" w:rsidRPr="00091A9B">
        <w:rPr>
          <w:szCs w:val="24"/>
          <w:lang w:val="en-US"/>
        </w:rPr>
        <w:t>8275; 0</w:t>
      </w:r>
      <w:r w:rsidR="008B61B7">
        <w:rPr>
          <w:szCs w:val="24"/>
          <w:lang w:val="en-US"/>
        </w:rPr>
        <w:t>.</w:t>
      </w:r>
      <w:r w:rsidR="00091A9B" w:rsidRPr="00091A9B">
        <w:rPr>
          <w:szCs w:val="24"/>
          <w:lang w:val="en-US"/>
        </w:rPr>
        <w:t>8635</w:t>
      </w:r>
      <w:r w:rsidR="00AA5BD2">
        <w:rPr>
          <w:szCs w:val="24"/>
          <w:lang w:val="en-US"/>
        </w:rPr>
        <w:t>, respectively</w:t>
      </w:r>
      <w:r w:rsidR="00091A9B" w:rsidRPr="00091A9B">
        <w:rPr>
          <w:szCs w:val="24"/>
          <w:lang w:val="en-US"/>
        </w:rPr>
        <w:t xml:space="preserve">). </w:t>
      </w:r>
      <w:r w:rsidR="004D4FEB">
        <w:rPr>
          <w:szCs w:val="24"/>
          <w:lang w:val="en-US"/>
        </w:rPr>
        <w:t xml:space="preserve">We categorized HDI in order for its interactions with </w:t>
      </w:r>
      <w:r w:rsidR="00007ECC">
        <w:rPr>
          <w:szCs w:val="24"/>
          <w:lang w:val="en-US"/>
        </w:rPr>
        <w:t>sibship</w:t>
      </w:r>
      <w:r w:rsidR="004D4FEB">
        <w:rPr>
          <w:szCs w:val="24"/>
          <w:lang w:val="en-US"/>
        </w:rPr>
        <w:t xml:space="preserve"> size (a continuous variable) to be more readily interpretable. </w:t>
      </w:r>
      <w:r w:rsidR="00091A9B" w:rsidRPr="00091A9B">
        <w:rPr>
          <w:szCs w:val="24"/>
          <w:lang w:val="en-US"/>
        </w:rPr>
        <w:t>There were</w:t>
      </w:r>
      <w:r w:rsidR="00EE43AF">
        <w:rPr>
          <w:szCs w:val="24"/>
          <w:lang w:val="en-US"/>
        </w:rPr>
        <w:t>, then,</w:t>
      </w:r>
      <w:r w:rsidR="00091A9B" w:rsidRPr="00091A9B">
        <w:rPr>
          <w:szCs w:val="24"/>
          <w:lang w:val="en-US"/>
        </w:rPr>
        <w:t xml:space="preserve"> ten countries in each category</w:t>
      </w:r>
      <w:r>
        <w:rPr>
          <w:szCs w:val="24"/>
          <w:lang w:val="en-US"/>
        </w:rPr>
        <w:t xml:space="preserve"> (1</w:t>
      </w:r>
      <w:r w:rsidRPr="00961484">
        <w:rPr>
          <w:szCs w:val="24"/>
          <w:vertAlign w:val="superscript"/>
          <w:lang w:val="en-US"/>
        </w:rPr>
        <w:t>st</w:t>
      </w:r>
      <w:r>
        <w:rPr>
          <w:szCs w:val="24"/>
          <w:lang w:val="en-US"/>
        </w:rPr>
        <w:t xml:space="preserve"> quartile</w:t>
      </w:r>
      <w:r w:rsidR="00EE43AF">
        <w:rPr>
          <w:szCs w:val="24"/>
          <w:lang w:val="en-US"/>
        </w:rPr>
        <w:t xml:space="preserve"> consists of</w:t>
      </w:r>
      <w:r>
        <w:rPr>
          <w:szCs w:val="24"/>
          <w:lang w:val="en-US"/>
        </w:rPr>
        <w:t xml:space="preserve"> Albania, Brazil, Bulgaria, Indonesia, Latvia, Mexico, Peru, Romania, Russia, Thailand</w:t>
      </w:r>
      <w:r w:rsidR="00EE43AF">
        <w:rPr>
          <w:szCs w:val="24"/>
          <w:lang w:val="en-US"/>
        </w:rPr>
        <w:t>,</w:t>
      </w:r>
      <w:r>
        <w:rPr>
          <w:szCs w:val="24"/>
          <w:lang w:val="en-US"/>
        </w:rPr>
        <w:t xml:space="preserve"> 2</w:t>
      </w:r>
      <w:r w:rsidRPr="00961484">
        <w:rPr>
          <w:szCs w:val="24"/>
          <w:vertAlign w:val="superscript"/>
          <w:lang w:val="en-US"/>
        </w:rPr>
        <w:t>nd</w:t>
      </w:r>
      <w:r>
        <w:rPr>
          <w:szCs w:val="24"/>
          <w:lang w:val="en-US"/>
        </w:rPr>
        <w:t xml:space="preserve"> quartile</w:t>
      </w:r>
      <w:r w:rsidR="00EE43AF">
        <w:rPr>
          <w:szCs w:val="24"/>
          <w:lang w:val="en-US"/>
        </w:rPr>
        <w:t xml:space="preserve"> </w:t>
      </w:r>
      <w:r>
        <w:rPr>
          <w:szCs w:val="24"/>
          <w:lang w:val="en-US"/>
        </w:rPr>
        <w:t xml:space="preserve">Argentina, Chile, Czech Republic, Greece, Hong Kong, Hungary, Italy, Macedonia, </w:t>
      </w:r>
      <w:r w:rsidR="006F60D4">
        <w:rPr>
          <w:szCs w:val="24"/>
          <w:lang w:val="en-US"/>
        </w:rPr>
        <w:t>Poland, Portugal</w:t>
      </w:r>
      <w:r w:rsidR="00EE43AF">
        <w:rPr>
          <w:szCs w:val="24"/>
          <w:lang w:val="en-US"/>
        </w:rPr>
        <w:t>,</w:t>
      </w:r>
      <w:r>
        <w:rPr>
          <w:szCs w:val="24"/>
          <w:lang w:val="en-US"/>
        </w:rPr>
        <w:t xml:space="preserve"> 3</w:t>
      </w:r>
      <w:r w:rsidRPr="00961484">
        <w:rPr>
          <w:szCs w:val="24"/>
          <w:vertAlign w:val="superscript"/>
          <w:lang w:val="en-US"/>
        </w:rPr>
        <w:t>rd</w:t>
      </w:r>
      <w:r>
        <w:rPr>
          <w:szCs w:val="24"/>
          <w:lang w:val="en-US"/>
        </w:rPr>
        <w:t xml:space="preserve"> quartile</w:t>
      </w:r>
      <w:r w:rsidR="006F60D4">
        <w:rPr>
          <w:szCs w:val="24"/>
          <w:lang w:val="en-US"/>
        </w:rPr>
        <w:t xml:space="preserve"> Austria, Denmark, Finland, France, Iceland, Israel, Korea, L</w:t>
      </w:r>
      <w:r w:rsidR="00EE43AF">
        <w:rPr>
          <w:szCs w:val="24"/>
          <w:lang w:val="en-US"/>
        </w:rPr>
        <w:t>uxemburg, Spain, United Kingdom, and finally</w:t>
      </w:r>
      <w:r w:rsidR="00BD20A4">
        <w:rPr>
          <w:szCs w:val="24"/>
          <w:lang w:val="en-US"/>
        </w:rPr>
        <w:t xml:space="preserve"> the</w:t>
      </w:r>
      <w:r>
        <w:rPr>
          <w:szCs w:val="24"/>
          <w:lang w:val="en-US"/>
        </w:rPr>
        <w:t xml:space="preserve"> 4</w:t>
      </w:r>
      <w:r w:rsidRPr="00961484">
        <w:rPr>
          <w:szCs w:val="24"/>
          <w:vertAlign w:val="superscript"/>
          <w:lang w:val="en-US"/>
        </w:rPr>
        <w:t>th</w:t>
      </w:r>
      <w:r>
        <w:rPr>
          <w:szCs w:val="24"/>
          <w:lang w:val="en-US"/>
        </w:rPr>
        <w:t xml:space="preserve"> quartile</w:t>
      </w:r>
      <w:r w:rsidR="006F60D4">
        <w:rPr>
          <w:szCs w:val="24"/>
          <w:lang w:val="en-US"/>
        </w:rPr>
        <w:t xml:space="preserve"> Australia, Belgium, Canada, Germany, Ireland, New Zealand, Norway, Sweden, Switzerland, </w:t>
      </w:r>
      <w:r w:rsidR="00EE43AF">
        <w:rPr>
          <w:szCs w:val="24"/>
          <w:lang w:val="en-US"/>
        </w:rPr>
        <w:t xml:space="preserve">and the </w:t>
      </w:r>
      <w:r w:rsidR="006F60D4">
        <w:rPr>
          <w:szCs w:val="24"/>
          <w:lang w:val="en-US"/>
        </w:rPr>
        <w:t>United States</w:t>
      </w:r>
      <w:r>
        <w:rPr>
          <w:szCs w:val="24"/>
          <w:lang w:val="en-US"/>
        </w:rPr>
        <w:t>)</w:t>
      </w:r>
      <w:r w:rsidR="006F60D4">
        <w:rPr>
          <w:szCs w:val="24"/>
          <w:lang w:val="en-US"/>
        </w:rPr>
        <w:t>.</w:t>
      </w:r>
      <w:r w:rsidR="008574F9">
        <w:rPr>
          <w:szCs w:val="24"/>
          <w:lang w:val="en-US"/>
        </w:rPr>
        <w:t xml:space="preserve"> Values of HDI and assignment of countries into quartiles are presented in Table A</w:t>
      </w:r>
      <w:r w:rsidR="001F33F1">
        <w:rPr>
          <w:szCs w:val="24"/>
          <w:lang w:val="en-US"/>
        </w:rPr>
        <w:t>.1</w:t>
      </w:r>
      <w:r w:rsidR="008574F9">
        <w:rPr>
          <w:szCs w:val="24"/>
          <w:lang w:val="en-US"/>
        </w:rPr>
        <w:t xml:space="preserve"> in the Appendix).</w:t>
      </w:r>
    </w:p>
    <w:p w14:paraId="695E78C4" w14:textId="77777777" w:rsidR="00983F05" w:rsidRDefault="00065E5C" w:rsidP="00983F05">
      <w:pPr>
        <w:spacing w:line="480" w:lineRule="auto"/>
        <w:rPr>
          <w:lang w:val="en-GB"/>
        </w:rPr>
      </w:pPr>
      <w:r w:rsidRPr="00065E5C">
        <w:rPr>
          <w:szCs w:val="24"/>
          <w:lang w:val="en-US"/>
        </w:rPr>
        <w:t>We employ three</w:t>
      </w:r>
      <w:r>
        <w:rPr>
          <w:szCs w:val="24"/>
          <w:lang w:val="en-US"/>
        </w:rPr>
        <w:t xml:space="preserve"> macro-level variables as controls</w:t>
      </w:r>
      <w:r w:rsidR="00983F05">
        <w:rPr>
          <w:szCs w:val="24"/>
          <w:lang w:val="en-US"/>
        </w:rPr>
        <w:t xml:space="preserve"> in our analyses</w:t>
      </w:r>
      <w:r>
        <w:rPr>
          <w:szCs w:val="24"/>
          <w:lang w:val="en-US"/>
        </w:rPr>
        <w:t xml:space="preserve">: total public expenditure on education, total public social expenditure, and crude divorce rate. The first two variables </w:t>
      </w:r>
      <w:r>
        <w:rPr>
          <w:szCs w:val="24"/>
          <w:lang w:val="en-US"/>
        </w:rPr>
        <w:lastRenderedPageBreak/>
        <w:t>follow the logic of Park</w:t>
      </w:r>
      <w:r w:rsidR="00983F05">
        <w:rPr>
          <w:szCs w:val="24"/>
          <w:lang w:val="en-US"/>
        </w:rPr>
        <w:t>’</w:t>
      </w:r>
      <w:r>
        <w:rPr>
          <w:szCs w:val="24"/>
          <w:lang w:val="en-US"/>
        </w:rPr>
        <w:t>s analysis (Park</w:t>
      </w:r>
      <w:r w:rsidR="005D4774">
        <w:rPr>
          <w:szCs w:val="24"/>
          <w:lang w:val="en-US"/>
        </w:rPr>
        <w:t>,</w:t>
      </w:r>
      <w:r>
        <w:rPr>
          <w:szCs w:val="24"/>
          <w:lang w:val="en-US"/>
        </w:rPr>
        <w:t xml:space="preserve"> 200</w:t>
      </w:r>
      <w:r w:rsidR="000655E7">
        <w:rPr>
          <w:szCs w:val="24"/>
          <w:lang w:val="en-US"/>
        </w:rPr>
        <w:t>8</w:t>
      </w:r>
      <w:r>
        <w:rPr>
          <w:szCs w:val="24"/>
          <w:lang w:val="en-US"/>
        </w:rPr>
        <w:t xml:space="preserve">), which postulated that public financial support for </w:t>
      </w:r>
      <w:r w:rsidR="00931210">
        <w:rPr>
          <w:szCs w:val="24"/>
          <w:lang w:val="en-US"/>
        </w:rPr>
        <w:t xml:space="preserve">education </w:t>
      </w:r>
      <w:r>
        <w:rPr>
          <w:szCs w:val="24"/>
          <w:lang w:val="en-US"/>
        </w:rPr>
        <w:t>and/or families may reduce resource dilution and protect children against the negative consequences of having many brothers and sisters. We do not, however, use the same context-level variables</w:t>
      </w:r>
      <w:r w:rsidR="005F2674">
        <w:rPr>
          <w:szCs w:val="24"/>
          <w:lang w:val="en-US"/>
        </w:rPr>
        <w:t>,</w:t>
      </w:r>
      <w:r>
        <w:rPr>
          <w:szCs w:val="24"/>
          <w:lang w:val="en-US"/>
        </w:rPr>
        <w:t xml:space="preserve"> mostly for practical reasons: our analysis covers countries not included in Park’s </w:t>
      </w:r>
      <w:r w:rsidR="00983F05">
        <w:rPr>
          <w:szCs w:val="24"/>
          <w:lang w:val="en-US"/>
        </w:rPr>
        <w:t xml:space="preserve">models. </w:t>
      </w:r>
      <w:r w:rsidR="006E2DCD">
        <w:rPr>
          <w:szCs w:val="24"/>
          <w:lang w:val="en-US"/>
        </w:rPr>
        <w:t xml:space="preserve">Park’s macro-level measures of public investment into education and public transfers towards families </w:t>
      </w:r>
      <w:r>
        <w:rPr>
          <w:szCs w:val="24"/>
          <w:lang w:val="en-US"/>
        </w:rPr>
        <w:t>were not available</w:t>
      </w:r>
      <w:r w:rsidR="00983F05">
        <w:rPr>
          <w:szCs w:val="24"/>
          <w:lang w:val="en-US"/>
        </w:rPr>
        <w:t xml:space="preserve"> for all countries in our sample</w:t>
      </w:r>
      <w:r>
        <w:rPr>
          <w:szCs w:val="24"/>
          <w:lang w:val="en-US"/>
        </w:rPr>
        <w:t>.</w:t>
      </w:r>
      <w:r w:rsidR="00931210">
        <w:rPr>
          <w:szCs w:val="24"/>
          <w:lang w:val="en-US"/>
        </w:rPr>
        <w:t xml:space="preserve"> Instead we use </w:t>
      </w:r>
      <w:r>
        <w:rPr>
          <w:lang w:val="en-GB"/>
        </w:rPr>
        <w:t>public expenditure on education</w:t>
      </w:r>
      <w:r w:rsidR="00756A0E">
        <w:rPr>
          <w:lang w:val="en-GB"/>
        </w:rPr>
        <w:t xml:space="preserve"> and total public social security spending</w:t>
      </w:r>
      <w:r w:rsidR="000655E7">
        <w:rPr>
          <w:lang w:val="en-GB"/>
        </w:rPr>
        <w:t>, which are clearly related both conceptually and empirically</w:t>
      </w:r>
      <w:r w:rsidR="00756A0E">
        <w:rPr>
          <w:lang w:val="en-GB"/>
        </w:rPr>
        <w:t xml:space="preserve">. Total public expenditure on education </w:t>
      </w:r>
      <w:r w:rsidR="00931210">
        <w:rPr>
          <w:lang w:val="en-GB"/>
        </w:rPr>
        <w:t>is</w:t>
      </w:r>
      <w:r>
        <w:rPr>
          <w:lang w:val="en-GB"/>
        </w:rPr>
        <w:t xml:space="preserve"> defined as “the total public expenditure (current and capital) on education expressed as a percentage of the Gross Domestic Product (GDP) in a given year … includ</w:t>
      </w:r>
      <w:r>
        <w:rPr>
          <w:lang w:val="en-US"/>
        </w:rPr>
        <w:t>[ing] government spending on educational institutions (both public and private), education administration, and transfers/subsidies for private entities</w:t>
      </w:r>
      <w:r>
        <w:rPr>
          <w:lang w:val="en-GB"/>
        </w:rPr>
        <w:t xml:space="preserve">” </w:t>
      </w:r>
      <w:r w:rsidR="00931210">
        <w:rPr>
          <w:lang w:val="en-US"/>
        </w:rPr>
        <w:t>(</w:t>
      </w:r>
      <w:r>
        <w:rPr>
          <w:lang w:val="en-GB"/>
        </w:rPr>
        <w:t>World Bank</w:t>
      </w:r>
      <w:r w:rsidR="005D4774">
        <w:rPr>
          <w:lang w:val="en-GB"/>
        </w:rPr>
        <w:t>,</w:t>
      </w:r>
      <w:r>
        <w:rPr>
          <w:lang w:val="en-GB"/>
        </w:rPr>
        <w:t xml:space="preserve"> 2013</w:t>
      </w:r>
      <w:r w:rsidR="00931210">
        <w:rPr>
          <w:lang w:val="en-GB"/>
        </w:rPr>
        <w:t>)</w:t>
      </w:r>
      <w:r>
        <w:rPr>
          <w:lang w:val="en-GB"/>
        </w:rPr>
        <w:t xml:space="preserve">. </w:t>
      </w:r>
      <w:r w:rsidR="00931210">
        <w:rPr>
          <w:lang w:val="en-GB"/>
        </w:rPr>
        <w:t xml:space="preserve">Similarly to </w:t>
      </w:r>
      <w:r>
        <w:rPr>
          <w:lang w:val="en-GB"/>
        </w:rPr>
        <w:t xml:space="preserve">Park </w:t>
      </w:r>
      <w:r w:rsidR="005D4774">
        <w:rPr>
          <w:lang w:val="en-US"/>
        </w:rPr>
        <w:t>(</w:t>
      </w:r>
      <w:r w:rsidR="005D4774">
        <w:rPr>
          <w:lang w:val="en-GB"/>
        </w:rPr>
        <w:t>2008)</w:t>
      </w:r>
      <w:r>
        <w:rPr>
          <w:lang w:val="en-GB"/>
        </w:rPr>
        <w:t xml:space="preserve"> we are using </w:t>
      </w:r>
      <w:r w:rsidR="00931210">
        <w:rPr>
          <w:lang w:val="en-GB"/>
        </w:rPr>
        <w:t xml:space="preserve">a </w:t>
      </w:r>
      <w:r>
        <w:rPr>
          <w:lang w:val="en-GB"/>
        </w:rPr>
        <w:t xml:space="preserve">10-year average for years 1991-2000. The </w:t>
      </w:r>
      <w:r w:rsidR="00931210">
        <w:rPr>
          <w:lang w:val="en-GB"/>
        </w:rPr>
        <w:t xml:space="preserve">data </w:t>
      </w:r>
      <w:r w:rsidR="00756A0E">
        <w:rPr>
          <w:lang w:val="en-GB"/>
        </w:rPr>
        <w:t xml:space="preserve">on public expenditure on education </w:t>
      </w:r>
      <w:r w:rsidR="00931210">
        <w:rPr>
          <w:lang w:val="en-GB"/>
        </w:rPr>
        <w:t xml:space="preserve">come </w:t>
      </w:r>
      <w:r>
        <w:rPr>
          <w:lang w:val="en-GB"/>
        </w:rPr>
        <w:t>from World Bank’s World Development Indicators</w:t>
      </w:r>
      <w:r w:rsidRPr="00FD7677">
        <w:rPr>
          <w:lang w:val="en-GB"/>
        </w:rPr>
        <w:t xml:space="preserve"> </w:t>
      </w:r>
      <w:r>
        <w:rPr>
          <w:lang w:val="en-GB"/>
        </w:rPr>
        <w:t xml:space="preserve">database </w:t>
      </w:r>
      <w:r w:rsidR="00931210">
        <w:rPr>
          <w:lang w:val="en-GB"/>
        </w:rPr>
        <w:t>(</w:t>
      </w:r>
      <w:r>
        <w:rPr>
          <w:lang w:val="en-GB"/>
        </w:rPr>
        <w:t>World Bank</w:t>
      </w:r>
      <w:r w:rsidR="005D4774">
        <w:rPr>
          <w:lang w:val="en-GB"/>
        </w:rPr>
        <w:t>,</w:t>
      </w:r>
      <w:r>
        <w:rPr>
          <w:lang w:val="en-GB"/>
        </w:rPr>
        <w:t xml:space="preserve"> 2013</w:t>
      </w:r>
      <w:r w:rsidR="00931210">
        <w:rPr>
          <w:lang w:val="en-US"/>
        </w:rPr>
        <w:t>)</w:t>
      </w:r>
      <w:r>
        <w:rPr>
          <w:lang w:val="en-GB"/>
        </w:rPr>
        <w:t>.</w:t>
      </w:r>
      <w:r w:rsidR="00931210">
        <w:rPr>
          <w:lang w:val="en-GB"/>
        </w:rPr>
        <w:t xml:space="preserve"> </w:t>
      </w:r>
      <w:r w:rsidR="00756A0E">
        <w:rPr>
          <w:lang w:val="en-GB"/>
        </w:rPr>
        <w:t>W</w:t>
      </w:r>
      <w:r>
        <w:rPr>
          <w:lang w:val="en-GB"/>
        </w:rPr>
        <w:t xml:space="preserve">e </w:t>
      </w:r>
      <w:r w:rsidR="00756A0E">
        <w:rPr>
          <w:lang w:val="en-GB"/>
        </w:rPr>
        <w:t>also use</w:t>
      </w:r>
      <w:r>
        <w:rPr>
          <w:lang w:val="en-GB"/>
        </w:rPr>
        <w:t xml:space="preserve"> total public social security expenditure as a percentage of GDP, which is defined as “</w:t>
      </w:r>
      <w:r w:rsidRPr="00CB6A4B">
        <w:rPr>
          <w:lang w:val="en-GB"/>
        </w:rPr>
        <w:t>the sum of expenditure (including benefit expenditure and administration costs) of all existing public social security/social protection schemes or programmes in the country</w:t>
      </w:r>
      <w:r>
        <w:rPr>
          <w:lang w:val="en-GB"/>
        </w:rPr>
        <w:t xml:space="preserve">” </w:t>
      </w:r>
      <w:r w:rsidR="008E6ACD">
        <w:rPr>
          <w:lang w:val="en-GB"/>
        </w:rPr>
        <w:t>(</w:t>
      </w:r>
      <w:r w:rsidR="004F62FF">
        <w:rPr>
          <w:lang w:val="en-GB"/>
        </w:rPr>
        <w:t>International Labour Office</w:t>
      </w:r>
      <w:r w:rsidR="005D4774">
        <w:rPr>
          <w:lang w:val="en-GB"/>
        </w:rPr>
        <w:t>,</w:t>
      </w:r>
      <w:r w:rsidR="004F62FF">
        <w:rPr>
          <w:lang w:val="en-GB"/>
        </w:rPr>
        <w:t xml:space="preserve"> </w:t>
      </w:r>
      <w:r w:rsidR="00DE4055">
        <w:rPr>
          <w:lang w:val="en-GB"/>
        </w:rPr>
        <w:t>2010, p.</w:t>
      </w:r>
      <w:r>
        <w:rPr>
          <w:lang w:val="en-GB"/>
        </w:rPr>
        <w:t xml:space="preserve"> 261</w:t>
      </w:r>
      <w:r w:rsidR="008E6ACD">
        <w:rPr>
          <w:lang w:val="en-GB"/>
        </w:rPr>
        <w:t>)</w:t>
      </w:r>
      <w:r w:rsidR="00756A0E">
        <w:rPr>
          <w:lang w:val="en-GB"/>
        </w:rPr>
        <w:t xml:space="preserve"> including spending on health in </w:t>
      </w:r>
      <w:r w:rsidR="005F2674">
        <w:rPr>
          <w:lang w:val="en-GB"/>
        </w:rPr>
        <w:t xml:space="preserve">the </w:t>
      </w:r>
      <w:r w:rsidR="00756A0E">
        <w:rPr>
          <w:lang w:val="en-GB"/>
        </w:rPr>
        <w:t>year 2000</w:t>
      </w:r>
      <w:r>
        <w:rPr>
          <w:lang w:val="en-GB"/>
        </w:rPr>
        <w:t xml:space="preserve">. The data came from ILO’s </w:t>
      </w:r>
      <w:r w:rsidRPr="00394864">
        <w:rPr>
          <w:i/>
          <w:lang w:val="en-GB"/>
        </w:rPr>
        <w:t>World Social Security Report</w:t>
      </w:r>
      <w:r>
        <w:rPr>
          <w:lang w:val="en-GB"/>
        </w:rPr>
        <w:t xml:space="preserve"> </w:t>
      </w:r>
      <w:r w:rsidR="004F62FF">
        <w:rPr>
          <w:lang w:val="en-GB"/>
        </w:rPr>
        <w:t>(</w:t>
      </w:r>
      <w:r w:rsidR="008E6ACD">
        <w:rPr>
          <w:lang w:val="en-GB"/>
        </w:rPr>
        <w:t>International Labour Office</w:t>
      </w:r>
      <w:r w:rsidR="005D4774">
        <w:rPr>
          <w:lang w:val="en-GB"/>
        </w:rPr>
        <w:t>,</w:t>
      </w:r>
      <w:r w:rsidR="008E6ACD">
        <w:rPr>
          <w:lang w:val="en-GB"/>
        </w:rPr>
        <w:t xml:space="preserve"> </w:t>
      </w:r>
      <w:r>
        <w:rPr>
          <w:lang w:val="en-GB"/>
        </w:rPr>
        <w:t>2010</w:t>
      </w:r>
      <w:r w:rsidR="00134532">
        <w:rPr>
          <w:lang w:val="en-GB"/>
        </w:rPr>
        <w:t>, pp.</w:t>
      </w:r>
      <w:r>
        <w:rPr>
          <w:lang w:val="en-GB"/>
        </w:rPr>
        <w:t xml:space="preserve"> 258-261</w:t>
      </w:r>
      <w:r w:rsidR="004F62FF">
        <w:rPr>
          <w:lang w:val="en-GB"/>
        </w:rPr>
        <w:t>)</w:t>
      </w:r>
      <w:r>
        <w:rPr>
          <w:lang w:val="en-GB"/>
        </w:rPr>
        <w:t xml:space="preserve">. </w:t>
      </w:r>
      <w:r w:rsidR="00756A0E">
        <w:rPr>
          <w:lang w:val="en-GB"/>
        </w:rPr>
        <w:t>The missing dat</w:t>
      </w:r>
      <w:r w:rsidR="005F2674">
        <w:rPr>
          <w:lang w:val="en-GB"/>
        </w:rPr>
        <w:t>a point</w:t>
      </w:r>
      <w:r w:rsidR="00756A0E">
        <w:rPr>
          <w:lang w:val="en-GB"/>
        </w:rPr>
        <w:t xml:space="preserve"> </w:t>
      </w:r>
      <w:r>
        <w:rPr>
          <w:lang w:val="en-GB"/>
        </w:rPr>
        <w:t xml:space="preserve">for Peru was taken from the </w:t>
      </w:r>
      <w:r w:rsidRPr="00164B97">
        <w:rPr>
          <w:i/>
          <w:lang w:val="en-GB"/>
        </w:rPr>
        <w:t>Restoring Fiscal Discipline for Poverty Reduction in Peru</w:t>
      </w:r>
      <w:r>
        <w:rPr>
          <w:lang w:val="en-GB"/>
        </w:rPr>
        <w:t xml:space="preserve"> publication </w:t>
      </w:r>
      <w:r w:rsidR="008E6ACD">
        <w:rPr>
          <w:lang w:val="en-GB"/>
        </w:rPr>
        <w:t>(</w:t>
      </w:r>
      <w:r>
        <w:rPr>
          <w:lang w:val="en-GB"/>
        </w:rPr>
        <w:t>World Bank</w:t>
      </w:r>
      <w:r w:rsidR="005D4774">
        <w:rPr>
          <w:lang w:val="en-GB"/>
        </w:rPr>
        <w:t>,</w:t>
      </w:r>
      <w:r>
        <w:rPr>
          <w:lang w:val="en-GB"/>
        </w:rPr>
        <w:t xml:space="preserve"> 2003</w:t>
      </w:r>
      <w:r w:rsidR="00134532">
        <w:rPr>
          <w:lang w:val="en-GB"/>
        </w:rPr>
        <w:t>, p.</w:t>
      </w:r>
      <w:r>
        <w:rPr>
          <w:lang w:val="en-GB"/>
        </w:rPr>
        <w:t xml:space="preserve"> 33</w:t>
      </w:r>
      <w:r w:rsidR="008E6ACD">
        <w:rPr>
          <w:lang w:val="en-GB"/>
        </w:rPr>
        <w:t>)</w:t>
      </w:r>
      <w:r>
        <w:rPr>
          <w:lang w:val="en-GB"/>
        </w:rPr>
        <w:t>.</w:t>
      </w:r>
    </w:p>
    <w:p w14:paraId="684BF588" w14:textId="77777777" w:rsidR="009F00FD" w:rsidRDefault="009F00FD" w:rsidP="00983F05">
      <w:pPr>
        <w:spacing w:line="480" w:lineRule="auto"/>
      </w:pPr>
    </w:p>
    <w:p w14:paraId="451745B0" w14:textId="77777777" w:rsidR="00357484" w:rsidRDefault="00357484" w:rsidP="00357484">
      <w:pPr>
        <w:spacing w:line="480" w:lineRule="auto"/>
        <w:jc w:val="center"/>
        <w:rPr>
          <w:szCs w:val="24"/>
          <w:lang w:val="en-GB"/>
        </w:rPr>
      </w:pPr>
      <w:r>
        <w:rPr>
          <w:szCs w:val="24"/>
          <w:lang w:val="en-GB"/>
        </w:rPr>
        <w:t>&lt;Table 3 about here&gt;</w:t>
      </w:r>
    </w:p>
    <w:p w14:paraId="28D93E44" w14:textId="77777777" w:rsidR="009F00FD" w:rsidRDefault="009F00FD" w:rsidP="00357484">
      <w:pPr>
        <w:spacing w:line="480" w:lineRule="auto"/>
        <w:jc w:val="center"/>
        <w:rPr>
          <w:szCs w:val="24"/>
          <w:lang w:val="en-GB"/>
        </w:rPr>
      </w:pPr>
    </w:p>
    <w:p w14:paraId="31367B90" w14:textId="2B0C6249" w:rsidR="00065E5C" w:rsidRPr="00983F05" w:rsidRDefault="00065E5C" w:rsidP="00983F05">
      <w:pPr>
        <w:spacing w:line="480" w:lineRule="auto"/>
      </w:pPr>
      <w:r>
        <w:rPr>
          <w:lang w:val="en-GB"/>
        </w:rPr>
        <w:t xml:space="preserve">We </w:t>
      </w:r>
      <w:r w:rsidR="00EB3A10">
        <w:rPr>
          <w:lang w:val="en-GB"/>
        </w:rPr>
        <w:t xml:space="preserve">further expand the list of macro-level indicators to include </w:t>
      </w:r>
      <w:r>
        <w:rPr>
          <w:lang w:val="en-GB"/>
        </w:rPr>
        <w:t>crude divorce rate</w:t>
      </w:r>
      <w:r w:rsidR="00EB3A10">
        <w:rPr>
          <w:lang w:val="en-GB"/>
        </w:rPr>
        <w:t xml:space="preserve"> (CDR) in 2000 as a rough indicator of </w:t>
      </w:r>
      <w:r w:rsidR="006E2DCD">
        <w:rPr>
          <w:lang w:val="en-GB"/>
        </w:rPr>
        <w:t xml:space="preserve">the </w:t>
      </w:r>
      <w:r w:rsidR="00EB3A10">
        <w:rPr>
          <w:lang w:val="en-GB"/>
        </w:rPr>
        <w:t>destabilization of the family system at the time of the PISA survey</w:t>
      </w:r>
      <w:r>
        <w:rPr>
          <w:lang w:val="en-GB"/>
        </w:rPr>
        <w:t xml:space="preserve">. Crude divorce rate refers to the annual number of divorces per thousand </w:t>
      </w:r>
      <w:r w:rsidR="00983F05">
        <w:rPr>
          <w:lang w:val="en-GB"/>
        </w:rPr>
        <w:t xml:space="preserve">individuals in the </w:t>
      </w:r>
      <w:r>
        <w:rPr>
          <w:lang w:val="en-GB"/>
        </w:rPr>
        <w:t xml:space="preserve">population. The information was taken from UN </w:t>
      </w:r>
      <w:r w:rsidRPr="00394864">
        <w:rPr>
          <w:i/>
          <w:lang w:val="en-GB"/>
        </w:rPr>
        <w:t>2003 Demographic Yearbook</w:t>
      </w:r>
      <w:r>
        <w:rPr>
          <w:lang w:val="en-GB"/>
        </w:rPr>
        <w:t xml:space="preserve"> </w:t>
      </w:r>
      <w:r w:rsidR="00983F05">
        <w:rPr>
          <w:lang w:val="en-GB"/>
        </w:rPr>
        <w:t>(</w:t>
      </w:r>
      <w:r>
        <w:rPr>
          <w:lang w:val="en-GB"/>
        </w:rPr>
        <w:t>United Nations</w:t>
      </w:r>
      <w:r w:rsidR="005D4774">
        <w:rPr>
          <w:lang w:val="en-GB"/>
        </w:rPr>
        <w:t>,</w:t>
      </w:r>
      <w:r>
        <w:rPr>
          <w:lang w:val="en-GB"/>
        </w:rPr>
        <w:t xml:space="preserve"> 2006</w:t>
      </w:r>
      <w:r w:rsidR="00983F05">
        <w:rPr>
          <w:lang w:val="en-US"/>
        </w:rPr>
        <w:t>)</w:t>
      </w:r>
      <w:r>
        <w:rPr>
          <w:lang w:val="en-GB"/>
        </w:rPr>
        <w:t xml:space="preserve">. </w:t>
      </w:r>
      <w:r w:rsidR="00EB3A10">
        <w:rPr>
          <w:lang w:val="en-GB"/>
        </w:rPr>
        <w:t xml:space="preserve">CDR </w:t>
      </w:r>
      <w:r w:rsidR="00983F05">
        <w:rPr>
          <w:lang w:val="en-GB"/>
        </w:rPr>
        <w:t xml:space="preserve">was missing for </w:t>
      </w:r>
      <w:r w:rsidR="00EB3A10">
        <w:rPr>
          <w:lang w:val="en-GB"/>
        </w:rPr>
        <w:t>Chile</w:t>
      </w:r>
      <w:r w:rsidR="00983F05">
        <w:rPr>
          <w:lang w:val="en-GB"/>
        </w:rPr>
        <w:t xml:space="preserve"> in the source database</w:t>
      </w:r>
      <w:r w:rsidR="00EB3A10">
        <w:rPr>
          <w:lang w:val="en-GB"/>
        </w:rPr>
        <w:t xml:space="preserve">, </w:t>
      </w:r>
      <w:r w:rsidR="00983F05">
        <w:rPr>
          <w:lang w:val="en-GB"/>
        </w:rPr>
        <w:t xml:space="preserve">since </w:t>
      </w:r>
      <w:r w:rsidR="00EB3A10">
        <w:rPr>
          <w:lang w:val="en-GB"/>
        </w:rPr>
        <w:t xml:space="preserve">divorce was </w:t>
      </w:r>
      <w:r w:rsidR="006E2DCD">
        <w:rPr>
          <w:lang w:val="en-GB"/>
        </w:rPr>
        <w:t xml:space="preserve">not </w:t>
      </w:r>
      <w:r w:rsidR="00EB3A10">
        <w:rPr>
          <w:lang w:val="en-GB"/>
        </w:rPr>
        <w:t>made legally possible</w:t>
      </w:r>
      <w:r w:rsidR="00983F05">
        <w:rPr>
          <w:lang w:val="en-GB"/>
        </w:rPr>
        <w:t xml:space="preserve"> in Chile </w:t>
      </w:r>
      <w:r w:rsidR="006E2DCD">
        <w:rPr>
          <w:lang w:val="en-GB"/>
        </w:rPr>
        <w:t xml:space="preserve">until </w:t>
      </w:r>
      <w:r w:rsidR="00983F05">
        <w:rPr>
          <w:lang w:val="en-GB"/>
        </w:rPr>
        <w:t xml:space="preserve">2004. </w:t>
      </w:r>
      <w:r w:rsidR="006E2DCD">
        <w:rPr>
          <w:lang w:val="en-GB"/>
        </w:rPr>
        <w:t xml:space="preserve">Zero was </w:t>
      </w:r>
      <w:r w:rsidR="00983F05">
        <w:rPr>
          <w:lang w:val="en-GB"/>
        </w:rPr>
        <w:t xml:space="preserve">substituted </w:t>
      </w:r>
      <w:r w:rsidR="006E2DCD">
        <w:rPr>
          <w:lang w:val="en-GB"/>
        </w:rPr>
        <w:t>for this missing data point</w:t>
      </w:r>
      <w:r w:rsidR="00EB3A10">
        <w:rPr>
          <w:lang w:val="en-GB"/>
        </w:rPr>
        <w:t>.</w:t>
      </w:r>
      <w:r w:rsidR="00687BB9">
        <w:rPr>
          <w:lang w:val="en-GB"/>
        </w:rPr>
        <w:t xml:space="preserve"> The </w:t>
      </w:r>
      <w:r w:rsidR="00C022FC">
        <w:rPr>
          <w:lang w:val="en-GB"/>
        </w:rPr>
        <w:t xml:space="preserve">correlations and descriptive statistics </w:t>
      </w:r>
      <w:r w:rsidR="00687BB9">
        <w:rPr>
          <w:lang w:val="en-GB"/>
        </w:rPr>
        <w:t xml:space="preserve">(computed in the sample of 40 countries) of all macro-level variables are presented in Table </w:t>
      </w:r>
      <w:r w:rsidR="00C022FC">
        <w:rPr>
          <w:lang w:val="en-GB"/>
        </w:rPr>
        <w:t>3</w:t>
      </w:r>
      <w:r w:rsidR="00687BB9">
        <w:rPr>
          <w:lang w:val="en-GB"/>
        </w:rPr>
        <w:t>.</w:t>
      </w:r>
      <w:r w:rsidR="004A5A6D">
        <w:rPr>
          <w:lang w:val="en-GB"/>
        </w:rPr>
        <w:t xml:space="preserve"> We see that the </w:t>
      </w:r>
      <w:r w:rsidR="009E1925">
        <w:rPr>
          <w:lang w:val="en-GB"/>
        </w:rPr>
        <w:t xml:space="preserve">country-level </w:t>
      </w:r>
      <w:r w:rsidR="004A5A6D">
        <w:rPr>
          <w:lang w:val="en-GB"/>
        </w:rPr>
        <w:t>variables are relatively highly correlated with Pearson’s correlation coefficients ranging from 0.30 to 0.66.</w:t>
      </w:r>
    </w:p>
    <w:p w14:paraId="122F1A62" w14:textId="15235B25" w:rsidR="00CD6B1A" w:rsidRDefault="008B27E7" w:rsidP="006F30EE">
      <w:pPr>
        <w:spacing w:line="480" w:lineRule="auto"/>
        <w:rPr>
          <w:szCs w:val="24"/>
          <w:lang w:val="en-GB"/>
        </w:rPr>
      </w:pPr>
      <w:r>
        <w:rPr>
          <w:szCs w:val="24"/>
          <w:lang w:val="en-GB"/>
        </w:rPr>
        <w:t>Since the dependent variable is a test score, i.e. a numeric variable, regression analysis seems to be an appropriate analytical tool. Yet</w:t>
      </w:r>
      <w:r w:rsidR="009E1925">
        <w:rPr>
          <w:szCs w:val="24"/>
          <w:lang w:val="en-GB"/>
        </w:rPr>
        <w:t>,</w:t>
      </w:r>
      <w:r>
        <w:rPr>
          <w:szCs w:val="24"/>
          <w:lang w:val="en-GB"/>
        </w:rPr>
        <w:t xml:space="preserve"> one has to deal with </w:t>
      </w:r>
      <w:r w:rsidR="00BD20A4">
        <w:rPr>
          <w:szCs w:val="24"/>
          <w:lang w:val="en-GB"/>
        </w:rPr>
        <w:t>a</w:t>
      </w:r>
      <w:r>
        <w:rPr>
          <w:szCs w:val="24"/>
          <w:lang w:val="en-GB"/>
        </w:rPr>
        <w:t xml:space="preserve"> nested data structure that includes schools nested within countries and students nested within schools. </w:t>
      </w:r>
      <w:r w:rsidR="00FC5FD4">
        <w:rPr>
          <w:szCs w:val="24"/>
          <w:lang w:val="en-GB"/>
        </w:rPr>
        <w:t>Therefore</w:t>
      </w:r>
      <w:r w:rsidR="008574F9">
        <w:rPr>
          <w:szCs w:val="24"/>
          <w:lang w:val="en-GB"/>
        </w:rPr>
        <w:t xml:space="preserve">, we decided to use </w:t>
      </w:r>
      <w:r w:rsidR="00BD20A4">
        <w:rPr>
          <w:szCs w:val="24"/>
          <w:lang w:val="en-GB"/>
        </w:rPr>
        <w:t xml:space="preserve">a </w:t>
      </w:r>
      <w:r w:rsidR="008574F9">
        <w:rPr>
          <w:szCs w:val="24"/>
          <w:lang w:val="en-GB"/>
        </w:rPr>
        <w:t>multi-level version o</w:t>
      </w:r>
      <w:r w:rsidR="000849D8">
        <w:rPr>
          <w:szCs w:val="24"/>
          <w:lang w:val="en-GB"/>
        </w:rPr>
        <w:t>f</w:t>
      </w:r>
      <w:r w:rsidR="008574F9">
        <w:rPr>
          <w:szCs w:val="24"/>
          <w:lang w:val="en-GB"/>
        </w:rPr>
        <w:t xml:space="preserve"> regression analysis to take this clustering structure into account. </w:t>
      </w:r>
      <w:r>
        <w:rPr>
          <w:szCs w:val="24"/>
          <w:lang w:val="en-GB"/>
        </w:rPr>
        <w:t>We decided to use three-level hierarchical linear models</w:t>
      </w:r>
      <w:r w:rsidR="008574F9">
        <w:rPr>
          <w:szCs w:val="24"/>
          <w:lang w:val="en-GB"/>
        </w:rPr>
        <w:t>, in which students (level-1</w:t>
      </w:r>
      <w:r w:rsidR="000849D8">
        <w:rPr>
          <w:szCs w:val="24"/>
          <w:lang w:val="en-GB"/>
        </w:rPr>
        <w:t>, N = 151377</w:t>
      </w:r>
      <w:r w:rsidR="008574F9">
        <w:rPr>
          <w:szCs w:val="24"/>
          <w:lang w:val="en-GB"/>
        </w:rPr>
        <w:t>) are nested within schools (level-2, N</w:t>
      </w:r>
      <w:r w:rsidR="000849D8">
        <w:rPr>
          <w:szCs w:val="24"/>
          <w:lang w:val="en-GB"/>
        </w:rPr>
        <w:t xml:space="preserve"> </w:t>
      </w:r>
      <w:r w:rsidR="008574F9">
        <w:rPr>
          <w:szCs w:val="24"/>
          <w:lang w:val="en-GB"/>
        </w:rPr>
        <w:t>=</w:t>
      </w:r>
      <w:r w:rsidR="000849D8">
        <w:rPr>
          <w:szCs w:val="24"/>
          <w:lang w:val="en-GB"/>
        </w:rPr>
        <w:t xml:space="preserve"> </w:t>
      </w:r>
      <w:r w:rsidR="008574F9" w:rsidRPr="008574F9">
        <w:rPr>
          <w:szCs w:val="24"/>
          <w:lang w:val="en-GB"/>
        </w:rPr>
        <w:t>8218</w:t>
      </w:r>
      <w:r w:rsidR="008574F9">
        <w:rPr>
          <w:b/>
          <w:szCs w:val="24"/>
          <w:lang w:val="en-GB"/>
        </w:rPr>
        <w:t xml:space="preserve">) </w:t>
      </w:r>
      <w:r w:rsidR="008574F9">
        <w:rPr>
          <w:szCs w:val="24"/>
          <w:lang w:val="en-GB"/>
        </w:rPr>
        <w:t>and schools are nested within countries (level-3, N</w:t>
      </w:r>
      <w:r w:rsidR="000849D8">
        <w:rPr>
          <w:szCs w:val="24"/>
          <w:lang w:val="en-GB"/>
        </w:rPr>
        <w:t xml:space="preserve"> </w:t>
      </w:r>
      <w:r w:rsidR="008574F9">
        <w:rPr>
          <w:szCs w:val="24"/>
          <w:lang w:val="en-GB"/>
        </w:rPr>
        <w:t>=</w:t>
      </w:r>
      <w:r w:rsidR="000849D8">
        <w:rPr>
          <w:szCs w:val="24"/>
          <w:lang w:val="en-GB"/>
        </w:rPr>
        <w:t xml:space="preserve"> </w:t>
      </w:r>
      <w:r w:rsidR="008574F9">
        <w:rPr>
          <w:szCs w:val="24"/>
          <w:lang w:val="en-GB"/>
        </w:rPr>
        <w:t>40)</w:t>
      </w:r>
      <w:r w:rsidR="00F6699D">
        <w:rPr>
          <w:szCs w:val="24"/>
          <w:lang w:val="en-GB"/>
        </w:rPr>
        <w:t xml:space="preserve"> with explanatory variables measured at level-1 and level-3</w:t>
      </w:r>
      <w:r w:rsidR="00506240">
        <w:rPr>
          <w:szCs w:val="24"/>
          <w:lang w:val="en-GB"/>
        </w:rPr>
        <w:t>.</w:t>
      </w:r>
      <w:r w:rsidR="00084F7B">
        <w:rPr>
          <w:rStyle w:val="Znakapoznpodarou"/>
          <w:szCs w:val="24"/>
          <w:lang w:val="en-GB"/>
        </w:rPr>
        <w:footnoteReference w:id="2"/>
      </w:r>
      <w:r w:rsidR="008574F9">
        <w:rPr>
          <w:szCs w:val="24"/>
          <w:lang w:val="en-GB"/>
        </w:rPr>
        <w:t xml:space="preserve"> </w:t>
      </w:r>
      <w:r>
        <w:rPr>
          <w:szCs w:val="24"/>
          <w:lang w:val="en-GB"/>
        </w:rPr>
        <w:t xml:space="preserve">We estimated </w:t>
      </w:r>
      <w:r w:rsidR="008574F9">
        <w:rPr>
          <w:szCs w:val="24"/>
          <w:lang w:val="en-GB"/>
        </w:rPr>
        <w:t>all</w:t>
      </w:r>
      <w:r>
        <w:rPr>
          <w:szCs w:val="24"/>
          <w:lang w:val="en-GB"/>
        </w:rPr>
        <w:t xml:space="preserve"> models using </w:t>
      </w:r>
      <w:r w:rsidRPr="006E6FB5">
        <w:rPr>
          <w:rFonts w:ascii="Courier New" w:hAnsi="Courier New" w:cs="Courier New"/>
          <w:szCs w:val="24"/>
          <w:lang w:val="en-GB"/>
        </w:rPr>
        <w:t>xtmixed</w:t>
      </w:r>
      <w:r>
        <w:rPr>
          <w:szCs w:val="24"/>
          <w:lang w:val="en-GB"/>
        </w:rPr>
        <w:t xml:space="preserve"> </w:t>
      </w:r>
      <w:r w:rsidR="006E6FB5">
        <w:rPr>
          <w:szCs w:val="24"/>
          <w:lang w:val="en-GB"/>
        </w:rPr>
        <w:t xml:space="preserve">procedure </w:t>
      </w:r>
      <w:r w:rsidR="008574F9">
        <w:rPr>
          <w:szCs w:val="24"/>
          <w:lang w:val="en-GB"/>
        </w:rPr>
        <w:t>in STATA 1</w:t>
      </w:r>
      <w:r w:rsidR="009F00FD">
        <w:rPr>
          <w:szCs w:val="24"/>
          <w:lang w:val="en-GB"/>
        </w:rPr>
        <w:t>3</w:t>
      </w:r>
      <w:r w:rsidR="008574F9">
        <w:rPr>
          <w:szCs w:val="24"/>
          <w:lang w:val="en-GB"/>
        </w:rPr>
        <w:t xml:space="preserve"> MP</w:t>
      </w:r>
      <w:r w:rsidR="000849D8">
        <w:rPr>
          <w:szCs w:val="24"/>
          <w:lang w:val="en-GB"/>
        </w:rPr>
        <w:t xml:space="preserve"> (STATA Corp., 2011a)</w:t>
      </w:r>
      <w:r>
        <w:rPr>
          <w:szCs w:val="24"/>
          <w:lang w:val="en-GB"/>
        </w:rPr>
        <w:t>.</w:t>
      </w:r>
    </w:p>
    <w:p w14:paraId="3413D7A0" w14:textId="086C5F01" w:rsidR="008574F9" w:rsidRDefault="00F6699D" w:rsidP="006F30EE">
      <w:pPr>
        <w:spacing w:line="480" w:lineRule="auto"/>
        <w:rPr>
          <w:szCs w:val="24"/>
          <w:lang w:val="en-GB"/>
        </w:rPr>
      </w:pPr>
      <w:r>
        <w:rPr>
          <w:szCs w:val="24"/>
          <w:lang w:val="en-GB"/>
        </w:rPr>
        <w:lastRenderedPageBreak/>
        <w:t>We estimate</w:t>
      </w:r>
      <w:r w:rsidR="00D6490E">
        <w:rPr>
          <w:szCs w:val="24"/>
          <w:lang w:val="en-GB"/>
        </w:rPr>
        <w:t>d</w:t>
      </w:r>
      <w:r>
        <w:rPr>
          <w:szCs w:val="24"/>
          <w:lang w:val="en-GB"/>
        </w:rPr>
        <w:t xml:space="preserve"> and present </w:t>
      </w:r>
      <w:r w:rsidR="004A5A6D">
        <w:rPr>
          <w:szCs w:val="24"/>
          <w:lang w:val="en-GB"/>
        </w:rPr>
        <w:t>five</w:t>
      </w:r>
      <w:r w:rsidR="00357484">
        <w:rPr>
          <w:szCs w:val="24"/>
          <w:lang w:val="en-GB"/>
        </w:rPr>
        <w:t xml:space="preserve"> multi-level </w:t>
      </w:r>
      <w:r w:rsidR="00512A61">
        <w:rPr>
          <w:szCs w:val="24"/>
          <w:lang w:val="en-GB"/>
        </w:rPr>
        <w:t xml:space="preserve">models. </w:t>
      </w:r>
      <w:r w:rsidR="00E33A3A">
        <w:rPr>
          <w:szCs w:val="24"/>
          <w:lang w:val="en-GB"/>
        </w:rPr>
        <w:t xml:space="preserve">The first model </w:t>
      </w:r>
      <w:r w:rsidR="00512A61">
        <w:rPr>
          <w:szCs w:val="24"/>
          <w:lang w:val="en-GB"/>
        </w:rPr>
        <w:t>uses only two</w:t>
      </w:r>
      <w:r>
        <w:rPr>
          <w:szCs w:val="24"/>
          <w:lang w:val="en-GB"/>
        </w:rPr>
        <w:t xml:space="preserve"> level-</w:t>
      </w:r>
      <w:r w:rsidR="00E33A3A">
        <w:rPr>
          <w:szCs w:val="24"/>
          <w:lang w:val="en-GB"/>
        </w:rPr>
        <w:t>1</w:t>
      </w:r>
      <w:r>
        <w:rPr>
          <w:szCs w:val="24"/>
          <w:lang w:val="en-GB"/>
        </w:rPr>
        <w:t xml:space="preserve"> predictors (family size and </w:t>
      </w:r>
      <w:r w:rsidR="00731759">
        <w:rPr>
          <w:szCs w:val="24"/>
          <w:lang w:val="en-GB"/>
        </w:rPr>
        <w:t>cores</w:t>
      </w:r>
      <w:r w:rsidR="00251BAD">
        <w:rPr>
          <w:szCs w:val="24"/>
          <w:lang w:val="en-GB"/>
        </w:rPr>
        <w:t>i</w:t>
      </w:r>
      <w:r>
        <w:rPr>
          <w:szCs w:val="24"/>
          <w:lang w:val="en-GB"/>
        </w:rPr>
        <w:t>dence), one level-3 predictor (HDI)</w:t>
      </w:r>
      <w:r w:rsidR="006E6FB5">
        <w:rPr>
          <w:szCs w:val="24"/>
          <w:lang w:val="en-GB"/>
        </w:rPr>
        <w:t>,</w:t>
      </w:r>
      <w:r>
        <w:rPr>
          <w:szCs w:val="24"/>
          <w:lang w:val="en-GB"/>
        </w:rPr>
        <w:t xml:space="preserve"> and their three-way interaction </w:t>
      </w:r>
      <w:r w:rsidR="00512A61">
        <w:rPr>
          <w:szCs w:val="24"/>
          <w:lang w:val="en-GB"/>
        </w:rPr>
        <w:t>(</w:t>
      </w:r>
      <w:r>
        <w:rPr>
          <w:szCs w:val="24"/>
          <w:lang w:val="en-GB"/>
        </w:rPr>
        <w:t xml:space="preserve">along with all lower-order </w:t>
      </w:r>
      <w:r w:rsidR="00244C2F">
        <w:rPr>
          <w:szCs w:val="24"/>
          <w:lang w:val="en-GB"/>
        </w:rPr>
        <w:t xml:space="preserve">interaction </w:t>
      </w:r>
      <w:r>
        <w:rPr>
          <w:szCs w:val="24"/>
          <w:lang w:val="en-GB"/>
        </w:rPr>
        <w:t>effects required by the marginality principle</w:t>
      </w:r>
      <w:r w:rsidR="00512A61">
        <w:rPr>
          <w:szCs w:val="24"/>
          <w:lang w:val="en-GB"/>
        </w:rPr>
        <w:t>)</w:t>
      </w:r>
      <w:r>
        <w:rPr>
          <w:szCs w:val="24"/>
          <w:lang w:val="en-GB"/>
        </w:rPr>
        <w:t xml:space="preserve">. The </w:t>
      </w:r>
      <w:r w:rsidR="00E33A3A">
        <w:rPr>
          <w:szCs w:val="24"/>
          <w:lang w:val="en-GB"/>
        </w:rPr>
        <w:t xml:space="preserve">second </w:t>
      </w:r>
      <w:r>
        <w:rPr>
          <w:szCs w:val="24"/>
          <w:lang w:val="en-GB"/>
        </w:rPr>
        <w:t>model adds individual-level controls (</w:t>
      </w:r>
      <w:r w:rsidR="00ED2A1B">
        <w:rPr>
          <w:szCs w:val="24"/>
          <w:lang w:val="en-GB"/>
        </w:rPr>
        <w:t>respondent’s gender</w:t>
      </w:r>
      <w:r>
        <w:rPr>
          <w:szCs w:val="24"/>
          <w:lang w:val="en-GB"/>
        </w:rPr>
        <w:t xml:space="preserve">, parental education, family structure, mother’s employment status, parental ISEI). We decided to present </w:t>
      </w:r>
      <w:r w:rsidR="003D33ED">
        <w:rPr>
          <w:szCs w:val="24"/>
          <w:lang w:val="en-GB"/>
        </w:rPr>
        <w:t xml:space="preserve">these two </w:t>
      </w:r>
      <w:r>
        <w:rPr>
          <w:szCs w:val="24"/>
          <w:lang w:val="en-GB"/>
        </w:rPr>
        <w:t>sets of results</w:t>
      </w:r>
      <w:r w:rsidR="00BD20A4">
        <w:rPr>
          <w:szCs w:val="24"/>
          <w:lang w:val="en-GB"/>
        </w:rPr>
        <w:t xml:space="preserve"> because </w:t>
      </w:r>
      <w:r>
        <w:rPr>
          <w:szCs w:val="24"/>
          <w:lang w:val="en-GB"/>
        </w:rPr>
        <w:t xml:space="preserve">the structure of </w:t>
      </w:r>
      <w:r w:rsidR="00E33A3A">
        <w:rPr>
          <w:szCs w:val="24"/>
          <w:lang w:val="en-GB"/>
        </w:rPr>
        <w:t xml:space="preserve">the </w:t>
      </w:r>
      <w:r>
        <w:rPr>
          <w:szCs w:val="24"/>
          <w:lang w:val="en-GB"/>
        </w:rPr>
        <w:t xml:space="preserve">relationships between explanatory variables is very complex and endogeneity is not easily determined. We believe that comparing the two sets of results would both </w:t>
      </w:r>
      <w:r w:rsidR="00E7714C">
        <w:rPr>
          <w:szCs w:val="24"/>
          <w:lang w:val="en-GB"/>
        </w:rPr>
        <w:t xml:space="preserve">capture </w:t>
      </w:r>
      <w:r>
        <w:rPr>
          <w:szCs w:val="24"/>
          <w:lang w:val="en-GB"/>
        </w:rPr>
        <w:t xml:space="preserve">the overall picture of the interrelatedness of family size, </w:t>
      </w:r>
      <w:r w:rsidR="00731759">
        <w:rPr>
          <w:szCs w:val="24"/>
          <w:lang w:val="en-GB"/>
        </w:rPr>
        <w:t>cores</w:t>
      </w:r>
      <w:r w:rsidR="00251BAD">
        <w:rPr>
          <w:szCs w:val="24"/>
          <w:lang w:val="en-GB"/>
        </w:rPr>
        <w:t>i</w:t>
      </w:r>
      <w:r>
        <w:rPr>
          <w:szCs w:val="24"/>
          <w:lang w:val="en-GB"/>
        </w:rPr>
        <w:t>dence, and level of development</w:t>
      </w:r>
      <w:r w:rsidR="00BD20A4">
        <w:rPr>
          <w:szCs w:val="24"/>
          <w:lang w:val="en-GB"/>
        </w:rPr>
        <w:t>,</w:t>
      </w:r>
      <w:r>
        <w:rPr>
          <w:szCs w:val="24"/>
          <w:lang w:val="en-GB"/>
        </w:rPr>
        <w:t xml:space="preserve"> and </w:t>
      </w:r>
      <w:r w:rsidR="00E7714C">
        <w:rPr>
          <w:szCs w:val="24"/>
          <w:lang w:val="en-GB"/>
        </w:rPr>
        <w:t xml:space="preserve">would also depict </w:t>
      </w:r>
      <w:r>
        <w:rPr>
          <w:szCs w:val="24"/>
          <w:lang w:val="en-GB"/>
        </w:rPr>
        <w:t>the degree to which these patterns may be due to correlations with other variables such as family structure, socioeconomic status</w:t>
      </w:r>
      <w:r w:rsidR="00512A61">
        <w:rPr>
          <w:szCs w:val="24"/>
          <w:lang w:val="en-GB"/>
        </w:rPr>
        <w:t>, mother’s employment</w:t>
      </w:r>
      <w:r>
        <w:rPr>
          <w:szCs w:val="24"/>
          <w:lang w:val="en-GB"/>
        </w:rPr>
        <w:t xml:space="preserve"> and so on.</w:t>
      </w:r>
      <w:r w:rsidR="003D33ED">
        <w:rPr>
          <w:szCs w:val="24"/>
          <w:lang w:val="en-GB"/>
        </w:rPr>
        <w:t xml:space="preserve"> Furthermore, we expand Model 2 by adding other macro-level controls (total public social security expenditure, total public expenditure on education, crude divorce rate). We </w:t>
      </w:r>
      <w:r w:rsidR="006E2DCD">
        <w:rPr>
          <w:szCs w:val="24"/>
          <w:lang w:val="en-GB"/>
        </w:rPr>
        <w:t>add</w:t>
      </w:r>
      <w:r w:rsidR="003D33ED">
        <w:rPr>
          <w:szCs w:val="24"/>
          <w:lang w:val="en-GB"/>
        </w:rPr>
        <w:t xml:space="preserve"> these </w:t>
      </w:r>
      <w:r w:rsidR="006E2DCD">
        <w:rPr>
          <w:szCs w:val="24"/>
          <w:lang w:val="en-GB"/>
        </w:rPr>
        <w:t xml:space="preserve">additional control variables </w:t>
      </w:r>
      <w:r w:rsidR="003D33ED">
        <w:rPr>
          <w:szCs w:val="24"/>
          <w:lang w:val="en-GB"/>
        </w:rPr>
        <w:t>one by one to form Model 3 (controlling for total public social security expenditure on top of variables contained in Model 2), Model 4 (</w:t>
      </w:r>
      <w:r w:rsidR="006E2DCD">
        <w:rPr>
          <w:szCs w:val="24"/>
          <w:lang w:val="en-GB"/>
        </w:rPr>
        <w:t xml:space="preserve">similarly </w:t>
      </w:r>
      <w:r w:rsidR="003D33ED">
        <w:rPr>
          <w:szCs w:val="24"/>
          <w:lang w:val="en-GB"/>
        </w:rPr>
        <w:t xml:space="preserve">controlling </w:t>
      </w:r>
      <w:r w:rsidR="006E2DCD">
        <w:rPr>
          <w:szCs w:val="24"/>
          <w:lang w:val="en-GB"/>
        </w:rPr>
        <w:t xml:space="preserve">for </w:t>
      </w:r>
      <w:r w:rsidR="003D33ED">
        <w:rPr>
          <w:szCs w:val="24"/>
          <w:lang w:val="en-GB"/>
        </w:rPr>
        <w:t xml:space="preserve">total public expenditure on education), and Model 5 (controlling </w:t>
      </w:r>
      <w:r w:rsidR="006E2DCD">
        <w:rPr>
          <w:szCs w:val="24"/>
          <w:lang w:val="en-GB"/>
        </w:rPr>
        <w:t>for crude divorce rate).</w:t>
      </w:r>
      <w:r w:rsidR="009E1925">
        <w:rPr>
          <w:szCs w:val="24"/>
          <w:lang w:val="en-GB"/>
        </w:rPr>
        <w:t xml:space="preserve"> Each of Models 3, 4, and 5 also interacts the newly added country-level variable with sibship size.</w:t>
      </w:r>
    </w:p>
    <w:p w14:paraId="7843ED8A" w14:textId="77777777" w:rsidR="00D9544F" w:rsidRPr="009109C5" w:rsidRDefault="00D9544F" w:rsidP="006F30EE">
      <w:pPr>
        <w:pStyle w:val="Nadpis1"/>
      </w:pPr>
      <w:r w:rsidRPr="009109C5">
        <w:lastRenderedPageBreak/>
        <w:t>Results</w:t>
      </w:r>
    </w:p>
    <w:p w14:paraId="60FCADDC" w14:textId="77777777" w:rsidR="001657C6" w:rsidRDefault="00222F7C" w:rsidP="006F30EE">
      <w:pPr>
        <w:spacing w:line="480" w:lineRule="auto"/>
        <w:rPr>
          <w:szCs w:val="24"/>
          <w:lang w:val="en-GB"/>
        </w:rPr>
      </w:pPr>
      <w:r>
        <w:rPr>
          <w:szCs w:val="24"/>
          <w:lang w:val="en-GB"/>
        </w:rPr>
        <w:t xml:space="preserve">We present results of </w:t>
      </w:r>
      <w:r w:rsidR="000C2872">
        <w:rPr>
          <w:szCs w:val="24"/>
          <w:lang w:val="en-GB"/>
        </w:rPr>
        <w:t>the first two</w:t>
      </w:r>
      <w:r w:rsidR="00512A61">
        <w:rPr>
          <w:szCs w:val="24"/>
          <w:lang w:val="en-GB"/>
        </w:rPr>
        <w:t xml:space="preserve"> estimated models </w:t>
      </w:r>
      <w:r w:rsidR="009A178E">
        <w:rPr>
          <w:szCs w:val="24"/>
          <w:lang w:val="en-GB"/>
        </w:rPr>
        <w:t xml:space="preserve">of determinants of reading test scores </w:t>
      </w:r>
      <w:r>
        <w:rPr>
          <w:szCs w:val="24"/>
          <w:lang w:val="en-GB"/>
        </w:rPr>
        <w:t xml:space="preserve">in Table </w:t>
      </w:r>
      <w:r w:rsidR="000C2872">
        <w:rPr>
          <w:szCs w:val="24"/>
          <w:lang w:val="en-GB"/>
        </w:rPr>
        <w:t>4</w:t>
      </w:r>
      <w:r w:rsidR="00687027">
        <w:rPr>
          <w:szCs w:val="24"/>
          <w:lang w:val="en-GB"/>
        </w:rPr>
        <w:t xml:space="preserve"> and begin our interpretation with the simpler one</w:t>
      </w:r>
      <w:r w:rsidR="00E651C2">
        <w:rPr>
          <w:szCs w:val="24"/>
          <w:lang w:val="en-GB"/>
        </w:rPr>
        <w:t>.</w:t>
      </w:r>
      <w:r w:rsidR="008B61B7">
        <w:rPr>
          <w:szCs w:val="24"/>
          <w:lang w:val="en-GB"/>
        </w:rPr>
        <w:t xml:space="preserve"> </w:t>
      </w:r>
      <w:r w:rsidR="00687027">
        <w:rPr>
          <w:szCs w:val="24"/>
          <w:lang w:val="en-GB"/>
        </w:rPr>
        <w:t>We see that there</w:t>
      </w:r>
      <w:r w:rsidR="00C40A21">
        <w:rPr>
          <w:szCs w:val="24"/>
          <w:lang w:val="en-GB"/>
        </w:rPr>
        <w:t xml:space="preserve"> is</w:t>
      </w:r>
      <w:r w:rsidR="00687027">
        <w:rPr>
          <w:szCs w:val="24"/>
          <w:lang w:val="en-GB"/>
        </w:rPr>
        <w:t xml:space="preserve"> a negative association between family size and reading test scores in countries with the lowest HDI (the first quartile). This is </w:t>
      </w:r>
      <w:r w:rsidR="001657C6">
        <w:rPr>
          <w:szCs w:val="24"/>
          <w:lang w:val="en-GB"/>
        </w:rPr>
        <w:t xml:space="preserve">equally </w:t>
      </w:r>
      <w:r w:rsidR="00687027">
        <w:rPr>
          <w:szCs w:val="24"/>
          <w:lang w:val="en-GB"/>
        </w:rPr>
        <w:t xml:space="preserve">so with and without </w:t>
      </w:r>
      <w:r w:rsidR="00731759">
        <w:rPr>
          <w:szCs w:val="24"/>
          <w:lang w:val="en-GB"/>
        </w:rPr>
        <w:t>cores</w:t>
      </w:r>
      <w:r w:rsidR="00687027">
        <w:rPr>
          <w:szCs w:val="24"/>
          <w:lang w:val="en-GB"/>
        </w:rPr>
        <w:t xml:space="preserve">idence with grandparents. Among students not </w:t>
      </w:r>
      <w:r w:rsidR="00731759">
        <w:rPr>
          <w:szCs w:val="24"/>
          <w:lang w:val="en-GB"/>
        </w:rPr>
        <w:t>cores</w:t>
      </w:r>
      <w:r w:rsidR="00251BAD">
        <w:rPr>
          <w:szCs w:val="24"/>
          <w:lang w:val="en-GB"/>
        </w:rPr>
        <w:t>i</w:t>
      </w:r>
      <w:r w:rsidR="00687027">
        <w:rPr>
          <w:szCs w:val="24"/>
          <w:lang w:val="en-GB"/>
        </w:rPr>
        <w:t>ding with grandparents, the estimated coefficient for sibship size is -3.55</w:t>
      </w:r>
      <w:r w:rsidR="006E6FB5">
        <w:rPr>
          <w:szCs w:val="24"/>
          <w:lang w:val="en-GB"/>
        </w:rPr>
        <w:t>5</w:t>
      </w:r>
      <w:r w:rsidR="00687027">
        <w:rPr>
          <w:szCs w:val="24"/>
          <w:lang w:val="en-GB"/>
        </w:rPr>
        <w:t xml:space="preserve">, while it is </w:t>
      </w:r>
      <w:r w:rsidR="00AE3C7B">
        <w:rPr>
          <w:szCs w:val="24"/>
          <w:lang w:val="en-GB"/>
        </w:rPr>
        <w:t>-3.30</w:t>
      </w:r>
      <w:r w:rsidR="006E6FB5">
        <w:rPr>
          <w:szCs w:val="24"/>
          <w:lang w:val="en-GB"/>
        </w:rPr>
        <w:t>5</w:t>
      </w:r>
      <w:r w:rsidR="00687027">
        <w:rPr>
          <w:szCs w:val="24"/>
          <w:lang w:val="en-GB"/>
        </w:rPr>
        <w:t xml:space="preserve"> (=</w:t>
      </w:r>
      <w:r w:rsidR="006E6FB5">
        <w:rPr>
          <w:szCs w:val="24"/>
          <w:lang w:val="en-GB"/>
        </w:rPr>
        <w:t xml:space="preserve"> </w:t>
      </w:r>
      <w:r w:rsidR="00687027">
        <w:rPr>
          <w:szCs w:val="24"/>
          <w:lang w:val="en-GB"/>
        </w:rPr>
        <w:t>-3.55</w:t>
      </w:r>
      <w:r w:rsidR="006E6FB5">
        <w:rPr>
          <w:szCs w:val="24"/>
          <w:lang w:val="en-GB"/>
        </w:rPr>
        <w:t>5</w:t>
      </w:r>
      <w:r w:rsidR="00687027">
        <w:rPr>
          <w:szCs w:val="24"/>
          <w:lang w:val="en-GB"/>
        </w:rPr>
        <w:t xml:space="preserve">+0.250) among </w:t>
      </w:r>
      <w:r w:rsidR="00731759">
        <w:rPr>
          <w:szCs w:val="24"/>
          <w:lang w:val="en-GB"/>
        </w:rPr>
        <w:t>cores</w:t>
      </w:r>
      <w:r w:rsidR="00687027">
        <w:rPr>
          <w:szCs w:val="24"/>
          <w:lang w:val="en-GB"/>
        </w:rPr>
        <w:t>iding students. The difference between the</w:t>
      </w:r>
      <w:r w:rsidR="00E7714C">
        <w:rPr>
          <w:szCs w:val="24"/>
          <w:lang w:val="en-GB"/>
        </w:rPr>
        <w:t xml:space="preserve">se two </w:t>
      </w:r>
      <w:r w:rsidR="00687027">
        <w:rPr>
          <w:szCs w:val="24"/>
          <w:lang w:val="en-GB"/>
        </w:rPr>
        <w:t>slopes is not statistically significant at the 0.05 level (s.e.</w:t>
      </w:r>
      <w:r w:rsidR="006E6FB5">
        <w:rPr>
          <w:szCs w:val="24"/>
          <w:lang w:val="en-GB"/>
        </w:rPr>
        <w:t xml:space="preserve"> </w:t>
      </w:r>
      <w:r w:rsidR="00687027">
        <w:rPr>
          <w:szCs w:val="24"/>
          <w:lang w:val="en-GB"/>
        </w:rPr>
        <w:t>=</w:t>
      </w:r>
      <w:r w:rsidR="006E6FB5">
        <w:rPr>
          <w:szCs w:val="24"/>
          <w:lang w:val="en-GB"/>
        </w:rPr>
        <w:t xml:space="preserve"> </w:t>
      </w:r>
      <w:r w:rsidR="00687027">
        <w:rPr>
          <w:szCs w:val="24"/>
          <w:lang w:val="en-GB"/>
        </w:rPr>
        <w:t>0.250, t</w:t>
      </w:r>
      <w:r w:rsidR="006E6FB5">
        <w:rPr>
          <w:szCs w:val="24"/>
          <w:lang w:val="en-GB"/>
        </w:rPr>
        <w:t xml:space="preserve"> </w:t>
      </w:r>
      <w:r w:rsidR="00687027">
        <w:rPr>
          <w:szCs w:val="24"/>
          <w:lang w:val="en-GB"/>
        </w:rPr>
        <w:t>=</w:t>
      </w:r>
      <w:r w:rsidR="006E6FB5">
        <w:rPr>
          <w:szCs w:val="24"/>
          <w:lang w:val="en-GB"/>
        </w:rPr>
        <w:t xml:space="preserve"> </w:t>
      </w:r>
      <w:r w:rsidR="00687027">
        <w:rPr>
          <w:szCs w:val="24"/>
          <w:lang w:val="en-GB"/>
        </w:rPr>
        <w:t>0.48, p</w:t>
      </w:r>
      <w:r w:rsidR="006E6FB5">
        <w:rPr>
          <w:szCs w:val="24"/>
          <w:lang w:val="en-GB"/>
        </w:rPr>
        <w:t xml:space="preserve"> </w:t>
      </w:r>
      <w:r w:rsidR="00687027">
        <w:rPr>
          <w:szCs w:val="24"/>
          <w:lang w:val="en-GB"/>
        </w:rPr>
        <w:t>=</w:t>
      </w:r>
      <w:r w:rsidR="006E6FB5">
        <w:rPr>
          <w:szCs w:val="24"/>
          <w:lang w:val="en-GB"/>
        </w:rPr>
        <w:t xml:space="preserve"> </w:t>
      </w:r>
      <w:r w:rsidR="00687027">
        <w:rPr>
          <w:szCs w:val="24"/>
          <w:lang w:val="en-GB"/>
        </w:rPr>
        <w:t xml:space="preserve">0.630). It seems that </w:t>
      </w:r>
      <w:r w:rsidR="002A6DFA">
        <w:rPr>
          <w:szCs w:val="24"/>
          <w:lang w:val="en-GB"/>
        </w:rPr>
        <w:t xml:space="preserve">the disadvantage in reading test scores associated with larger sibship size is unrelated to </w:t>
      </w:r>
      <w:r w:rsidR="00731759">
        <w:rPr>
          <w:szCs w:val="24"/>
          <w:lang w:val="en-GB"/>
        </w:rPr>
        <w:t>cores</w:t>
      </w:r>
      <w:r w:rsidR="002A6DFA">
        <w:rPr>
          <w:szCs w:val="24"/>
          <w:lang w:val="en-GB"/>
        </w:rPr>
        <w:t>idence status in the least developed countries in our sample (i.e. in countries with</w:t>
      </w:r>
      <w:r w:rsidR="003A2727">
        <w:rPr>
          <w:szCs w:val="24"/>
          <w:lang w:val="en-GB"/>
        </w:rPr>
        <w:t xml:space="preserve"> HDI between 0.54</w:t>
      </w:r>
      <w:r w:rsidR="00E75160">
        <w:rPr>
          <w:szCs w:val="24"/>
          <w:lang w:val="en-GB"/>
        </w:rPr>
        <w:t>3 and 0.732</w:t>
      </w:r>
      <w:r w:rsidR="00E7714C">
        <w:rPr>
          <w:szCs w:val="24"/>
          <w:lang w:val="en-GB"/>
        </w:rPr>
        <w:t>).</w:t>
      </w:r>
    </w:p>
    <w:p w14:paraId="58A6ABF5" w14:textId="77777777" w:rsidR="009F00FD" w:rsidRDefault="009F00FD" w:rsidP="006F30EE">
      <w:pPr>
        <w:spacing w:line="480" w:lineRule="auto"/>
        <w:rPr>
          <w:szCs w:val="24"/>
          <w:lang w:val="en-GB"/>
        </w:rPr>
      </w:pPr>
    </w:p>
    <w:p w14:paraId="0D1FCA72" w14:textId="77777777" w:rsidR="001F33F1" w:rsidRDefault="001F33F1" w:rsidP="006F30EE">
      <w:pPr>
        <w:spacing w:line="480" w:lineRule="auto"/>
        <w:jc w:val="center"/>
        <w:rPr>
          <w:szCs w:val="24"/>
          <w:lang w:val="en-GB"/>
        </w:rPr>
      </w:pPr>
      <w:r>
        <w:rPr>
          <w:szCs w:val="24"/>
          <w:lang w:val="en-GB"/>
        </w:rPr>
        <w:t xml:space="preserve">&lt;Table </w:t>
      </w:r>
      <w:r w:rsidR="000C2872">
        <w:rPr>
          <w:szCs w:val="24"/>
          <w:lang w:val="en-GB"/>
        </w:rPr>
        <w:t>4</w:t>
      </w:r>
      <w:r>
        <w:rPr>
          <w:szCs w:val="24"/>
          <w:lang w:val="en-GB"/>
        </w:rPr>
        <w:t xml:space="preserve"> about here&gt;</w:t>
      </w:r>
    </w:p>
    <w:p w14:paraId="17A6353C" w14:textId="77777777" w:rsidR="009F00FD" w:rsidRDefault="009F00FD" w:rsidP="006F30EE">
      <w:pPr>
        <w:spacing w:line="480" w:lineRule="auto"/>
        <w:jc w:val="center"/>
        <w:rPr>
          <w:szCs w:val="24"/>
          <w:lang w:val="en-GB"/>
        </w:rPr>
      </w:pPr>
    </w:p>
    <w:p w14:paraId="5E54ECA7" w14:textId="2666A66E" w:rsidR="001657C6" w:rsidRDefault="001657C6" w:rsidP="006F30EE">
      <w:pPr>
        <w:spacing w:line="480" w:lineRule="auto"/>
        <w:rPr>
          <w:szCs w:val="24"/>
          <w:lang w:val="en-GB"/>
        </w:rPr>
      </w:pPr>
      <w:r>
        <w:rPr>
          <w:szCs w:val="24"/>
          <w:lang w:val="en-GB"/>
        </w:rPr>
        <w:t xml:space="preserve">Table </w:t>
      </w:r>
      <w:r w:rsidR="000C2872">
        <w:rPr>
          <w:szCs w:val="24"/>
          <w:lang w:val="en-GB"/>
        </w:rPr>
        <w:t>4</w:t>
      </w:r>
      <w:r>
        <w:rPr>
          <w:szCs w:val="24"/>
          <w:lang w:val="en-GB"/>
        </w:rPr>
        <w:t xml:space="preserve"> shows that the negative association between sibship size and reading test scores increases at higher levels of development. For instance, among</w:t>
      </w:r>
      <w:r w:rsidR="004373D4">
        <w:rPr>
          <w:szCs w:val="24"/>
          <w:lang w:val="en-GB"/>
        </w:rPr>
        <w:t xml:space="preserve"> students who do not </w:t>
      </w:r>
      <w:r w:rsidR="00731759">
        <w:rPr>
          <w:szCs w:val="24"/>
          <w:lang w:val="en-GB"/>
        </w:rPr>
        <w:t>cores</w:t>
      </w:r>
      <w:r w:rsidR="004373D4">
        <w:rPr>
          <w:szCs w:val="24"/>
          <w:lang w:val="en-GB"/>
        </w:rPr>
        <w:t>ide with their grandparents</w:t>
      </w:r>
      <w:r w:rsidR="006E6FB5">
        <w:rPr>
          <w:szCs w:val="24"/>
          <w:lang w:val="en-GB"/>
        </w:rPr>
        <w:t>,</w:t>
      </w:r>
      <w:r w:rsidR="004373D4">
        <w:rPr>
          <w:szCs w:val="24"/>
          <w:lang w:val="en-GB"/>
        </w:rPr>
        <w:t xml:space="preserve"> the estimated </w:t>
      </w:r>
      <w:r w:rsidR="00E7714C">
        <w:rPr>
          <w:szCs w:val="24"/>
          <w:lang w:val="en-GB"/>
        </w:rPr>
        <w:t>associations are</w:t>
      </w:r>
      <w:r w:rsidR="00E40B3A">
        <w:rPr>
          <w:szCs w:val="24"/>
          <w:lang w:val="en-GB"/>
        </w:rPr>
        <w:t xml:space="preserve"> -3.555,</w:t>
      </w:r>
      <w:r w:rsidR="00E7714C">
        <w:rPr>
          <w:szCs w:val="24"/>
          <w:lang w:val="en-GB"/>
        </w:rPr>
        <w:t xml:space="preserve"> </w:t>
      </w:r>
      <w:r w:rsidR="004373D4">
        <w:rPr>
          <w:szCs w:val="24"/>
          <w:lang w:val="en-GB"/>
        </w:rPr>
        <w:t>-3.49</w:t>
      </w:r>
      <w:r w:rsidR="00E472A5">
        <w:rPr>
          <w:szCs w:val="24"/>
          <w:lang w:val="en-GB"/>
        </w:rPr>
        <w:t>9</w:t>
      </w:r>
      <w:r w:rsidR="004373D4">
        <w:rPr>
          <w:szCs w:val="24"/>
          <w:lang w:val="en-GB"/>
        </w:rPr>
        <w:t xml:space="preserve">, -4.289, and -4.684 in the </w:t>
      </w:r>
      <w:r w:rsidR="00E40B3A">
        <w:rPr>
          <w:szCs w:val="24"/>
          <w:lang w:val="en-GB"/>
        </w:rPr>
        <w:t>1</w:t>
      </w:r>
      <w:r w:rsidR="00E40B3A" w:rsidRPr="00E40B3A">
        <w:rPr>
          <w:szCs w:val="24"/>
          <w:vertAlign w:val="superscript"/>
          <w:lang w:val="en-GB"/>
        </w:rPr>
        <w:t>st</w:t>
      </w:r>
      <w:r w:rsidR="00E40B3A">
        <w:rPr>
          <w:szCs w:val="24"/>
          <w:lang w:val="en-GB"/>
        </w:rPr>
        <w:t xml:space="preserve">, </w:t>
      </w:r>
      <w:r w:rsidR="004373D4">
        <w:rPr>
          <w:szCs w:val="24"/>
          <w:lang w:val="en-GB"/>
        </w:rPr>
        <w:t>2</w:t>
      </w:r>
      <w:r w:rsidR="004373D4" w:rsidRPr="004373D4">
        <w:rPr>
          <w:szCs w:val="24"/>
          <w:vertAlign w:val="superscript"/>
          <w:lang w:val="en-GB"/>
        </w:rPr>
        <w:t>nd</w:t>
      </w:r>
      <w:r w:rsidR="004373D4">
        <w:rPr>
          <w:szCs w:val="24"/>
          <w:lang w:val="en-GB"/>
        </w:rPr>
        <w:t>, 3</w:t>
      </w:r>
      <w:r w:rsidR="004373D4" w:rsidRPr="004373D4">
        <w:rPr>
          <w:szCs w:val="24"/>
          <w:vertAlign w:val="superscript"/>
          <w:lang w:val="en-GB"/>
        </w:rPr>
        <w:t>rd</w:t>
      </w:r>
      <w:r w:rsidR="004373D4">
        <w:rPr>
          <w:szCs w:val="24"/>
          <w:lang w:val="en-GB"/>
        </w:rPr>
        <w:t>, and 4</w:t>
      </w:r>
      <w:r w:rsidR="004373D4" w:rsidRPr="004373D4">
        <w:rPr>
          <w:szCs w:val="24"/>
          <w:vertAlign w:val="superscript"/>
          <w:lang w:val="en-GB"/>
        </w:rPr>
        <w:t>th</w:t>
      </w:r>
      <w:r w:rsidR="004373D4">
        <w:rPr>
          <w:szCs w:val="24"/>
          <w:lang w:val="en-GB"/>
        </w:rPr>
        <w:t xml:space="preserve"> quartiles of the distribution of HDI values, respectively. </w:t>
      </w:r>
      <w:r w:rsidR="00745CC5">
        <w:rPr>
          <w:szCs w:val="24"/>
          <w:lang w:val="en-GB"/>
        </w:rPr>
        <w:t>A</w:t>
      </w:r>
      <w:r w:rsidR="00FD151D">
        <w:rPr>
          <w:szCs w:val="24"/>
          <w:lang w:val="en-GB"/>
        </w:rPr>
        <w:t>n</w:t>
      </w:r>
      <w:r w:rsidR="00745CC5">
        <w:rPr>
          <w:szCs w:val="24"/>
          <w:lang w:val="en-GB"/>
        </w:rPr>
        <w:t xml:space="preserve"> </w:t>
      </w:r>
      <w:r w:rsidR="00FD151D">
        <w:rPr>
          <w:szCs w:val="24"/>
          <w:lang w:val="en-GB"/>
        </w:rPr>
        <w:t xml:space="preserve">even stronger </w:t>
      </w:r>
      <w:r w:rsidR="004373D4">
        <w:rPr>
          <w:szCs w:val="24"/>
          <w:lang w:val="en-GB"/>
        </w:rPr>
        <w:t xml:space="preserve">trend also applies to students in three-generation households, where the </w:t>
      </w:r>
      <w:r w:rsidR="00E7714C">
        <w:rPr>
          <w:szCs w:val="24"/>
          <w:lang w:val="en-GB"/>
        </w:rPr>
        <w:t xml:space="preserve">associations are </w:t>
      </w:r>
      <w:r w:rsidR="004373D4">
        <w:rPr>
          <w:szCs w:val="24"/>
          <w:lang w:val="en-GB"/>
        </w:rPr>
        <w:t>-3.30</w:t>
      </w:r>
      <w:r w:rsidR="006E6FB5">
        <w:rPr>
          <w:szCs w:val="24"/>
          <w:lang w:val="en-GB"/>
        </w:rPr>
        <w:t>5</w:t>
      </w:r>
      <w:r w:rsidR="004373D4">
        <w:rPr>
          <w:szCs w:val="24"/>
          <w:lang w:val="en-GB"/>
        </w:rPr>
        <w:t xml:space="preserve">, </w:t>
      </w:r>
      <w:r w:rsidR="004373D4" w:rsidRPr="005605C7">
        <w:rPr>
          <w:szCs w:val="24"/>
          <w:lang w:val="en-GB"/>
        </w:rPr>
        <w:t>-6.</w:t>
      </w:r>
      <w:r w:rsidR="00457C55" w:rsidRPr="005605C7">
        <w:rPr>
          <w:szCs w:val="24"/>
          <w:lang w:val="en-GB"/>
        </w:rPr>
        <w:t>11</w:t>
      </w:r>
      <w:r w:rsidR="006E6FB5" w:rsidRPr="005605C7">
        <w:rPr>
          <w:szCs w:val="24"/>
          <w:lang w:val="en-GB"/>
        </w:rPr>
        <w:t>1</w:t>
      </w:r>
      <w:r w:rsidR="004373D4" w:rsidRPr="005605C7">
        <w:rPr>
          <w:szCs w:val="24"/>
          <w:lang w:val="en-GB"/>
        </w:rPr>
        <w:t>, -</w:t>
      </w:r>
      <w:r w:rsidR="00457C55" w:rsidRPr="005605C7">
        <w:rPr>
          <w:szCs w:val="24"/>
          <w:lang w:val="en-GB"/>
        </w:rPr>
        <w:t>7</w:t>
      </w:r>
      <w:r w:rsidR="004373D4" w:rsidRPr="005605C7">
        <w:rPr>
          <w:szCs w:val="24"/>
          <w:lang w:val="en-GB"/>
        </w:rPr>
        <w:t>.</w:t>
      </w:r>
      <w:r w:rsidR="00457C55" w:rsidRPr="005605C7">
        <w:rPr>
          <w:szCs w:val="24"/>
          <w:lang w:val="en-GB"/>
        </w:rPr>
        <w:t>883</w:t>
      </w:r>
      <w:r w:rsidR="004373D4" w:rsidRPr="005605C7">
        <w:rPr>
          <w:szCs w:val="24"/>
          <w:lang w:val="en-GB"/>
        </w:rPr>
        <w:t>, and -8.</w:t>
      </w:r>
      <w:r w:rsidR="00457C55" w:rsidRPr="005605C7">
        <w:rPr>
          <w:szCs w:val="24"/>
          <w:lang w:val="en-GB"/>
        </w:rPr>
        <w:t>468</w:t>
      </w:r>
      <w:r w:rsidR="004373D4">
        <w:rPr>
          <w:szCs w:val="24"/>
          <w:lang w:val="en-GB"/>
        </w:rPr>
        <w:t xml:space="preserve"> going from the first to the fourth HDI quartile (see Model 1 in Table</w:t>
      </w:r>
      <w:r w:rsidR="000C2872">
        <w:rPr>
          <w:szCs w:val="24"/>
          <w:lang w:val="en-GB"/>
        </w:rPr>
        <w:t> 4</w:t>
      </w:r>
      <w:r w:rsidR="004373D4">
        <w:rPr>
          <w:szCs w:val="24"/>
          <w:lang w:val="en-GB"/>
        </w:rPr>
        <w:t>).</w:t>
      </w:r>
    </w:p>
    <w:p w14:paraId="7B07A2CC" w14:textId="14D4CC79" w:rsidR="006E6FB5" w:rsidRDefault="004373D4" w:rsidP="006F30EE">
      <w:pPr>
        <w:spacing w:line="480" w:lineRule="auto"/>
        <w:rPr>
          <w:szCs w:val="24"/>
          <w:lang w:val="en-GB"/>
        </w:rPr>
      </w:pPr>
      <w:r>
        <w:rPr>
          <w:szCs w:val="24"/>
          <w:lang w:val="en-GB"/>
        </w:rPr>
        <w:t xml:space="preserve">Even more interesting </w:t>
      </w:r>
      <w:r w:rsidR="006E6FB5">
        <w:rPr>
          <w:szCs w:val="24"/>
          <w:lang w:val="en-GB"/>
        </w:rPr>
        <w:t xml:space="preserve">is </w:t>
      </w:r>
      <w:r>
        <w:rPr>
          <w:szCs w:val="24"/>
          <w:lang w:val="en-GB"/>
        </w:rPr>
        <w:t xml:space="preserve">the changing difference between the sibship size slopes estimated for </w:t>
      </w:r>
      <w:r w:rsidR="00731759">
        <w:rPr>
          <w:szCs w:val="24"/>
          <w:lang w:val="en-GB"/>
        </w:rPr>
        <w:t>cores</w:t>
      </w:r>
      <w:r>
        <w:rPr>
          <w:szCs w:val="24"/>
          <w:lang w:val="en-GB"/>
        </w:rPr>
        <w:t>iding and no</w:t>
      </w:r>
      <w:r w:rsidR="005F2674">
        <w:rPr>
          <w:szCs w:val="24"/>
          <w:lang w:val="en-GB"/>
        </w:rPr>
        <w:t>n</w:t>
      </w:r>
      <w:r>
        <w:rPr>
          <w:szCs w:val="24"/>
          <w:lang w:val="en-GB"/>
        </w:rPr>
        <w:t xml:space="preserve">-coresiding students. We have observed already that these slopes do not </w:t>
      </w:r>
      <w:r>
        <w:rPr>
          <w:szCs w:val="24"/>
          <w:lang w:val="en-GB"/>
        </w:rPr>
        <w:lastRenderedPageBreak/>
        <w:t>differ in the least developed countries in our sample. Yet</w:t>
      </w:r>
      <w:r w:rsidR="00E1102E">
        <w:rPr>
          <w:szCs w:val="24"/>
          <w:lang w:val="en-GB"/>
        </w:rPr>
        <w:t>,</w:t>
      </w:r>
      <w:r>
        <w:rPr>
          <w:szCs w:val="24"/>
          <w:lang w:val="en-GB"/>
        </w:rPr>
        <w:t xml:space="preserve"> the situation changes as we move to</w:t>
      </w:r>
      <w:r w:rsidR="00745CC5">
        <w:rPr>
          <w:szCs w:val="24"/>
          <w:lang w:val="en-GB"/>
        </w:rPr>
        <w:t>ward</w:t>
      </w:r>
      <w:r>
        <w:rPr>
          <w:szCs w:val="24"/>
          <w:lang w:val="en-GB"/>
        </w:rPr>
        <w:t xml:space="preserve"> more developed societal contexts.</w:t>
      </w:r>
      <w:r w:rsidR="00AE3C7B">
        <w:rPr>
          <w:szCs w:val="24"/>
          <w:lang w:val="en-GB"/>
        </w:rPr>
        <w:t xml:space="preserve"> For instance, in the second quarter of the distribution of HDI values the two slopes </w:t>
      </w:r>
      <w:r>
        <w:rPr>
          <w:szCs w:val="24"/>
          <w:lang w:val="en-GB"/>
        </w:rPr>
        <w:t xml:space="preserve">differ by </w:t>
      </w:r>
      <w:r w:rsidR="001657C6">
        <w:rPr>
          <w:szCs w:val="24"/>
          <w:lang w:val="en-GB"/>
        </w:rPr>
        <w:t>-2.862, which turns out to be statistically significant at the conventional 0.05 level (t-statistic testing the equality of the slopes is -2.92, which implies p</w:t>
      </w:r>
      <w:r w:rsidR="00E7714C">
        <w:rPr>
          <w:szCs w:val="24"/>
          <w:lang w:val="en-GB"/>
        </w:rPr>
        <w:t> </w:t>
      </w:r>
      <w:r w:rsidR="001657C6">
        <w:rPr>
          <w:szCs w:val="24"/>
          <w:lang w:val="en-GB"/>
        </w:rPr>
        <w:t>=</w:t>
      </w:r>
      <w:r w:rsidR="00E7714C">
        <w:rPr>
          <w:szCs w:val="24"/>
          <w:lang w:val="en-GB"/>
        </w:rPr>
        <w:t> </w:t>
      </w:r>
      <w:r w:rsidR="001657C6">
        <w:rPr>
          <w:szCs w:val="24"/>
          <w:lang w:val="en-GB"/>
        </w:rPr>
        <w:t xml:space="preserve">0.004). The two slopes further diverge in the third and fourth quartiles of HDI distribution, </w:t>
      </w:r>
      <w:r>
        <w:rPr>
          <w:szCs w:val="24"/>
          <w:lang w:val="en-GB"/>
        </w:rPr>
        <w:t xml:space="preserve">the differences </w:t>
      </w:r>
      <w:r w:rsidR="001657C6">
        <w:rPr>
          <w:szCs w:val="24"/>
          <w:lang w:val="en-GB"/>
        </w:rPr>
        <w:t>being -3.844 and -4.034, respectively (</w:t>
      </w:r>
      <w:r w:rsidR="00E40B3A">
        <w:rPr>
          <w:szCs w:val="24"/>
          <w:lang w:val="en-GB"/>
        </w:rPr>
        <w:t xml:space="preserve">see Table </w:t>
      </w:r>
      <w:r w:rsidR="000C2872">
        <w:rPr>
          <w:szCs w:val="24"/>
          <w:lang w:val="en-GB"/>
        </w:rPr>
        <w:t>4</w:t>
      </w:r>
      <w:r w:rsidR="00E1102E">
        <w:rPr>
          <w:szCs w:val="24"/>
          <w:lang w:val="en-GB"/>
        </w:rPr>
        <w:t>, Model 1</w:t>
      </w:r>
      <w:r w:rsidR="00E40B3A">
        <w:rPr>
          <w:szCs w:val="24"/>
          <w:lang w:val="en-GB"/>
        </w:rPr>
        <w:t>).</w:t>
      </w:r>
    </w:p>
    <w:p w14:paraId="6EFD6E08" w14:textId="3279A2AE" w:rsidR="00687027" w:rsidRDefault="001657C6" w:rsidP="006F30EE">
      <w:pPr>
        <w:spacing w:line="480" w:lineRule="auto"/>
        <w:rPr>
          <w:szCs w:val="24"/>
          <w:lang w:val="en-GB"/>
        </w:rPr>
      </w:pPr>
      <w:r>
        <w:rPr>
          <w:szCs w:val="24"/>
          <w:lang w:val="en-GB"/>
        </w:rPr>
        <w:t>Clearly</w:t>
      </w:r>
      <w:r w:rsidR="004373D4">
        <w:rPr>
          <w:szCs w:val="24"/>
          <w:lang w:val="en-GB"/>
        </w:rPr>
        <w:t xml:space="preserve">, the estimated </w:t>
      </w:r>
      <w:r w:rsidR="00E7714C">
        <w:rPr>
          <w:szCs w:val="24"/>
          <w:lang w:val="en-GB"/>
        </w:rPr>
        <w:t xml:space="preserve">association between </w:t>
      </w:r>
      <w:r w:rsidR="004373D4">
        <w:rPr>
          <w:szCs w:val="24"/>
          <w:lang w:val="en-GB"/>
        </w:rPr>
        <w:t xml:space="preserve">sibship size </w:t>
      </w:r>
      <w:r w:rsidR="00E7714C">
        <w:rPr>
          <w:szCs w:val="24"/>
          <w:lang w:val="en-GB"/>
        </w:rPr>
        <w:t xml:space="preserve">and reading test scores </w:t>
      </w:r>
      <w:r w:rsidR="004373D4">
        <w:rPr>
          <w:szCs w:val="24"/>
          <w:lang w:val="en-GB"/>
        </w:rPr>
        <w:t xml:space="preserve">depends both on three-generation </w:t>
      </w:r>
      <w:r w:rsidR="00731759">
        <w:rPr>
          <w:szCs w:val="24"/>
          <w:lang w:val="en-GB"/>
        </w:rPr>
        <w:t>cores</w:t>
      </w:r>
      <w:r w:rsidR="004373D4">
        <w:rPr>
          <w:szCs w:val="24"/>
          <w:lang w:val="en-GB"/>
        </w:rPr>
        <w:t>idence and level of development</w:t>
      </w:r>
      <w:r w:rsidR="000B451F">
        <w:rPr>
          <w:szCs w:val="24"/>
          <w:lang w:val="en-GB"/>
        </w:rPr>
        <w:t xml:space="preserve">: the </w:t>
      </w:r>
      <w:r w:rsidR="00E7714C">
        <w:rPr>
          <w:szCs w:val="24"/>
          <w:lang w:val="en-GB"/>
        </w:rPr>
        <w:t xml:space="preserve">association </w:t>
      </w:r>
      <w:r w:rsidR="000B451F">
        <w:rPr>
          <w:szCs w:val="24"/>
          <w:lang w:val="en-GB"/>
        </w:rPr>
        <w:t>becomes more negative as we move from moderate to high levels of development</w:t>
      </w:r>
      <w:r w:rsidR="004373D4">
        <w:rPr>
          <w:szCs w:val="24"/>
          <w:lang w:val="en-GB"/>
        </w:rPr>
        <w:t>.</w:t>
      </w:r>
      <w:r w:rsidR="00D34066">
        <w:rPr>
          <w:szCs w:val="24"/>
          <w:lang w:val="en-GB"/>
        </w:rPr>
        <w:t xml:space="preserve"> The interaction is best portrayed in a graph (see Figure 1), which </w:t>
      </w:r>
      <w:r w:rsidR="00E7714C">
        <w:rPr>
          <w:szCs w:val="24"/>
          <w:lang w:val="en-GB"/>
        </w:rPr>
        <w:t xml:space="preserve">depicts </w:t>
      </w:r>
      <w:r w:rsidR="00D34066">
        <w:rPr>
          <w:szCs w:val="24"/>
          <w:lang w:val="en-GB"/>
        </w:rPr>
        <w:t>the growing difference in the slopes of the sibship size across levels of development</w:t>
      </w:r>
      <w:r w:rsidR="00DF0662">
        <w:rPr>
          <w:szCs w:val="24"/>
          <w:lang w:val="en-GB"/>
        </w:rPr>
        <w:t xml:space="preserve"> as well as the divergence o</w:t>
      </w:r>
      <w:r w:rsidR="00E1102E">
        <w:rPr>
          <w:szCs w:val="24"/>
          <w:lang w:val="en-GB"/>
        </w:rPr>
        <w:t>f</w:t>
      </w:r>
      <w:r w:rsidR="00DF0662">
        <w:rPr>
          <w:szCs w:val="24"/>
          <w:lang w:val="en-GB"/>
        </w:rPr>
        <w:t xml:space="preserve"> the two slopes with increasing development</w:t>
      </w:r>
      <w:r w:rsidR="00D34066">
        <w:rPr>
          <w:szCs w:val="24"/>
          <w:lang w:val="en-GB"/>
        </w:rPr>
        <w:t>.</w:t>
      </w:r>
    </w:p>
    <w:p w14:paraId="0B7327EA" w14:textId="77777777" w:rsidR="009F00FD" w:rsidRDefault="009F00FD" w:rsidP="006F30EE">
      <w:pPr>
        <w:spacing w:line="480" w:lineRule="auto"/>
        <w:rPr>
          <w:szCs w:val="24"/>
          <w:lang w:val="en-GB"/>
        </w:rPr>
      </w:pPr>
    </w:p>
    <w:p w14:paraId="5BCEEAFD" w14:textId="77777777" w:rsidR="00E40B3A" w:rsidRDefault="00E40B3A" w:rsidP="00E40B3A">
      <w:pPr>
        <w:spacing w:line="480" w:lineRule="auto"/>
        <w:jc w:val="center"/>
        <w:rPr>
          <w:szCs w:val="24"/>
          <w:lang w:val="en-GB"/>
        </w:rPr>
      </w:pPr>
      <w:r>
        <w:rPr>
          <w:szCs w:val="24"/>
          <w:lang w:val="en-GB"/>
        </w:rPr>
        <w:t>&lt;Figure 1 about here&gt;</w:t>
      </w:r>
    </w:p>
    <w:p w14:paraId="2C19C17B" w14:textId="77777777" w:rsidR="009F00FD" w:rsidRDefault="009F00FD" w:rsidP="00E40B3A">
      <w:pPr>
        <w:spacing w:line="480" w:lineRule="auto"/>
        <w:jc w:val="center"/>
        <w:rPr>
          <w:szCs w:val="24"/>
          <w:lang w:val="en-GB"/>
        </w:rPr>
      </w:pPr>
    </w:p>
    <w:p w14:paraId="73204FCA" w14:textId="77777777" w:rsidR="00E7714C" w:rsidRDefault="000B451F" w:rsidP="006F30EE">
      <w:pPr>
        <w:spacing w:line="480" w:lineRule="auto"/>
        <w:rPr>
          <w:szCs w:val="24"/>
          <w:lang w:val="en-GB"/>
        </w:rPr>
      </w:pPr>
      <w:r>
        <w:rPr>
          <w:szCs w:val="24"/>
          <w:lang w:val="en-GB"/>
        </w:rPr>
        <w:t>Model 2 adds statistical controls measured at level-1 (individual students) into Model 1. The</w:t>
      </w:r>
      <w:r w:rsidR="006E6FB5">
        <w:rPr>
          <w:szCs w:val="24"/>
          <w:lang w:val="en-GB"/>
        </w:rPr>
        <w:t>se</w:t>
      </w:r>
      <w:r>
        <w:rPr>
          <w:szCs w:val="24"/>
          <w:lang w:val="en-GB"/>
        </w:rPr>
        <w:t xml:space="preserve"> controls do not change the overall picture</w:t>
      </w:r>
      <w:r w:rsidR="00E7714C">
        <w:rPr>
          <w:szCs w:val="24"/>
          <w:lang w:val="en-GB"/>
        </w:rPr>
        <w:t xml:space="preserve"> to any significant degree, yet</w:t>
      </w:r>
      <w:r w:rsidR="00D34066">
        <w:rPr>
          <w:szCs w:val="24"/>
          <w:lang w:val="en-GB"/>
        </w:rPr>
        <w:t xml:space="preserve"> the estimated effects are somewhat weaker</w:t>
      </w:r>
      <w:r w:rsidR="00353FAD">
        <w:rPr>
          <w:szCs w:val="24"/>
          <w:lang w:val="en-GB"/>
        </w:rPr>
        <w:t xml:space="preserve">. </w:t>
      </w:r>
      <w:r w:rsidR="00D34066">
        <w:rPr>
          <w:szCs w:val="24"/>
          <w:lang w:val="en-GB"/>
        </w:rPr>
        <w:t>For instance, the main estimated effect of the number of siblings is -2.6</w:t>
      </w:r>
      <w:r w:rsidR="003159F7">
        <w:rPr>
          <w:szCs w:val="24"/>
          <w:lang w:val="en-GB"/>
        </w:rPr>
        <w:t>22</w:t>
      </w:r>
      <w:r w:rsidR="00D34066">
        <w:rPr>
          <w:szCs w:val="24"/>
          <w:lang w:val="en-GB"/>
        </w:rPr>
        <w:t xml:space="preserve"> </w:t>
      </w:r>
      <w:r w:rsidR="00E7714C">
        <w:rPr>
          <w:szCs w:val="24"/>
          <w:lang w:val="en-GB"/>
        </w:rPr>
        <w:t>(</w:t>
      </w:r>
      <w:r w:rsidR="00D34066">
        <w:rPr>
          <w:szCs w:val="24"/>
          <w:lang w:val="en-GB"/>
        </w:rPr>
        <w:t xml:space="preserve">among students </w:t>
      </w:r>
      <w:r w:rsidR="003159F7">
        <w:rPr>
          <w:szCs w:val="24"/>
          <w:lang w:val="en-GB"/>
        </w:rPr>
        <w:t xml:space="preserve">who do not </w:t>
      </w:r>
      <w:r w:rsidR="00731759">
        <w:rPr>
          <w:szCs w:val="24"/>
          <w:lang w:val="en-GB"/>
        </w:rPr>
        <w:t>cores</w:t>
      </w:r>
      <w:r w:rsidR="003159F7">
        <w:rPr>
          <w:szCs w:val="24"/>
          <w:lang w:val="en-GB"/>
        </w:rPr>
        <w:t>ide</w:t>
      </w:r>
      <w:r w:rsidR="00E7714C">
        <w:rPr>
          <w:szCs w:val="24"/>
          <w:lang w:val="en-GB"/>
        </w:rPr>
        <w:t>)</w:t>
      </w:r>
      <w:r w:rsidR="003159F7">
        <w:rPr>
          <w:szCs w:val="24"/>
          <w:lang w:val="en-GB"/>
        </w:rPr>
        <w:t xml:space="preserve"> </w:t>
      </w:r>
      <w:r w:rsidR="00D34066">
        <w:rPr>
          <w:szCs w:val="24"/>
          <w:lang w:val="en-GB"/>
        </w:rPr>
        <w:t xml:space="preserve">in Model 2, i.e. it is reduced by approximately 25 % </w:t>
      </w:r>
      <w:r w:rsidR="003159F7">
        <w:rPr>
          <w:szCs w:val="24"/>
          <w:lang w:val="en-GB"/>
        </w:rPr>
        <w:t xml:space="preserve">in comparison to </w:t>
      </w:r>
      <w:r w:rsidR="00D34066">
        <w:rPr>
          <w:szCs w:val="24"/>
          <w:lang w:val="en-GB"/>
        </w:rPr>
        <w:t>its size in Model 1</w:t>
      </w:r>
      <w:r w:rsidR="003159F7">
        <w:rPr>
          <w:szCs w:val="24"/>
          <w:lang w:val="en-GB"/>
        </w:rPr>
        <w:t xml:space="preserve"> (see Table </w:t>
      </w:r>
      <w:r w:rsidR="009476BB">
        <w:rPr>
          <w:szCs w:val="24"/>
          <w:lang w:val="en-GB"/>
        </w:rPr>
        <w:t>4</w:t>
      </w:r>
      <w:r w:rsidR="003159F7">
        <w:rPr>
          <w:szCs w:val="24"/>
          <w:lang w:val="en-GB"/>
        </w:rPr>
        <w:t>)</w:t>
      </w:r>
      <w:r w:rsidR="00D34066">
        <w:rPr>
          <w:szCs w:val="24"/>
          <w:lang w:val="en-GB"/>
        </w:rPr>
        <w:t xml:space="preserve">. The estimated negative effect of the number of siblings (among students who are not </w:t>
      </w:r>
      <w:r w:rsidR="00731759">
        <w:rPr>
          <w:szCs w:val="24"/>
          <w:lang w:val="en-GB"/>
        </w:rPr>
        <w:t>cores</w:t>
      </w:r>
      <w:r w:rsidR="00D34066">
        <w:rPr>
          <w:szCs w:val="24"/>
          <w:lang w:val="en-GB"/>
        </w:rPr>
        <w:t>iding) tend</w:t>
      </w:r>
      <w:r w:rsidR="00B54927">
        <w:rPr>
          <w:szCs w:val="24"/>
          <w:lang w:val="en-GB"/>
        </w:rPr>
        <w:t>s</w:t>
      </w:r>
      <w:r w:rsidR="00D34066">
        <w:rPr>
          <w:szCs w:val="24"/>
          <w:lang w:val="en-GB"/>
        </w:rPr>
        <w:t xml:space="preserve"> to increase with development. In the second quartile of HDI it is -2.</w:t>
      </w:r>
      <w:r w:rsidR="003159F7">
        <w:rPr>
          <w:szCs w:val="24"/>
          <w:lang w:val="en-GB"/>
        </w:rPr>
        <w:t>795</w:t>
      </w:r>
      <w:r w:rsidR="00B54927">
        <w:rPr>
          <w:szCs w:val="24"/>
          <w:lang w:val="en-GB"/>
        </w:rPr>
        <w:t xml:space="preserve"> (=</w:t>
      </w:r>
      <w:r w:rsidR="006E6FB5">
        <w:rPr>
          <w:szCs w:val="24"/>
          <w:lang w:val="en-GB"/>
        </w:rPr>
        <w:t xml:space="preserve"> </w:t>
      </w:r>
      <w:r w:rsidR="00B54927">
        <w:rPr>
          <w:szCs w:val="24"/>
          <w:lang w:val="en-GB"/>
        </w:rPr>
        <w:t>-2.622-0.</w:t>
      </w:r>
      <w:r w:rsidR="003159F7">
        <w:rPr>
          <w:szCs w:val="24"/>
          <w:lang w:val="en-GB"/>
        </w:rPr>
        <w:t>173</w:t>
      </w:r>
      <w:r w:rsidR="00B54927">
        <w:rPr>
          <w:szCs w:val="24"/>
          <w:lang w:val="en-GB"/>
        </w:rPr>
        <w:t>)</w:t>
      </w:r>
      <w:r w:rsidR="00D34066">
        <w:rPr>
          <w:szCs w:val="24"/>
          <w:lang w:val="en-GB"/>
        </w:rPr>
        <w:t>, in the third quartile it is -3.5</w:t>
      </w:r>
      <w:r w:rsidR="003159F7">
        <w:rPr>
          <w:szCs w:val="24"/>
          <w:lang w:val="en-GB"/>
        </w:rPr>
        <w:t>59 (=</w:t>
      </w:r>
      <w:r w:rsidR="006E6FB5">
        <w:rPr>
          <w:szCs w:val="24"/>
          <w:lang w:val="en-GB"/>
        </w:rPr>
        <w:t xml:space="preserve"> </w:t>
      </w:r>
      <w:r w:rsidR="003159F7">
        <w:rPr>
          <w:szCs w:val="24"/>
          <w:lang w:val="en-GB"/>
        </w:rPr>
        <w:t>-2.662-0.937),</w:t>
      </w:r>
      <w:r w:rsidR="00D34066">
        <w:rPr>
          <w:szCs w:val="24"/>
          <w:lang w:val="en-GB"/>
        </w:rPr>
        <w:t xml:space="preserve"> and in the highest quartile it grows to -4.0</w:t>
      </w:r>
      <w:r w:rsidR="00E472A5">
        <w:rPr>
          <w:szCs w:val="24"/>
          <w:lang w:val="en-GB"/>
        </w:rPr>
        <w:t>77</w:t>
      </w:r>
      <w:r w:rsidR="00D34066">
        <w:rPr>
          <w:szCs w:val="24"/>
          <w:lang w:val="en-GB"/>
        </w:rPr>
        <w:t xml:space="preserve"> (</w:t>
      </w:r>
      <w:r w:rsidR="003159F7">
        <w:rPr>
          <w:szCs w:val="24"/>
          <w:lang w:val="en-GB"/>
        </w:rPr>
        <w:t>=</w:t>
      </w:r>
      <w:r w:rsidR="006E6FB5">
        <w:rPr>
          <w:szCs w:val="24"/>
          <w:lang w:val="en-GB"/>
        </w:rPr>
        <w:t xml:space="preserve"> </w:t>
      </w:r>
      <w:r w:rsidR="003159F7">
        <w:rPr>
          <w:szCs w:val="24"/>
          <w:lang w:val="en-GB"/>
        </w:rPr>
        <w:t xml:space="preserve">-2.622-1.455; </w:t>
      </w:r>
      <w:r w:rsidR="00D34066">
        <w:rPr>
          <w:szCs w:val="24"/>
          <w:lang w:val="en-GB"/>
        </w:rPr>
        <w:t xml:space="preserve">see Table </w:t>
      </w:r>
      <w:r w:rsidR="009476BB">
        <w:rPr>
          <w:szCs w:val="24"/>
          <w:lang w:val="en-GB"/>
        </w:rPr>
        <w:t>4</w:t>
      </w:r>
      <w:r w:rsidR="00D34066">
        <w:rPr>
          <w:szCs w:val="24"/>
          <w:lang w:val="en-GB"/>
        </w:rPr>
        <w:t xml:space="preserve"> for the respective interaction terms that produce these point </w:t>
      </w:r>
      <w:r w:rsidR="00D34066">
        <w:rPr>
          <w:szCs w:val="24"/>
          <w:lang w:val="en-GB"/>
        </w:rPr>
        <w:lastRenderedPageBreak/>
        <w:t>estimates).</w:t>
      </w:r>
      <w:r w:rsidR="003159F7">
        <w:rPr>
          <w:szCs w:val="24"/>
          <w:lang w:val="en-GB"/>
        </w:rPr>
        <w:t xml:space="preserve"> Similarly, the estimated association between sibship size and reading test score</w:t>
      </w:r>
      <w:r w:rsidR="00745CC5">
        <w:rPr>
          <w:szCs w:val="24"/>
          <w:lang w:val="en-GB"/>
        </w:rPr>
        <w:t>s</w:t>
      </w:r>
      <w:r w:rsidR="003159F7">
        <w:rPr>
          <w:szCs w:val="24"/>
          <w:lang w:val="en-GB"/>
        </w:rPr>
        <w:t xml:space="preserve"> increases with development among students who do </w:t>
      </w:r>
      <w:r w:rsidR="00731759">
        <w:rPr>
          <w:szCs w:val="24"/>
          <w:lang w:val="en-GB"/>
        </w:rPr>
        <w:t>cores</w:t>
      </w:r>
      <w:r w:rsidR="003159F7">
        <w:rPr>
          <w:szCs w:val="24"/>
          <w:lang w:val="en-GB"/>
        </w:rPr>
        <w:t>ide with their grandparents. While it is -2.91</w:t>
      </w:r>
      <w:r w:rsidR="001C4825">
        <w:rPr>
          <w:szCs w:val="24"/>
          <w:lang w:val="en-GB"/>
        </w:rPr>
        <w:t>0 (=</w:t>
      </w:r>
      <w:r w:rsidR="006E6FB5">
        <w:rPr>
          <w:szCs w:val="24"/>
          <w:lang w:val="en-GB"/>
        </w:rPr>
        <w:t xml:space="preserve"> </w:t>
      </w:r>
      <w:r w:rsidR="001C4825">
        <w:rPr>
          <w:szCs w:val="24"/>
          <w:lang w:val="en-GB"/>
        </w:rPr>
        <w:t>-2.622-0.288)</w:t>
      </w:r>
      <w:r w:rsidR="003159F7">
        <w:rPr>
          <w:szCs w:val="24"/>
          <w:lang w:val="en-GB"/>
        </w:rPr>
        <w:t xml:space="preserve"> in the 1</w:t>
      </w:r>
      <w:r w:rsidR="003159F7" w:rsidRPr="003159F7">
        <w:rPr>
          <w:szCs w:val="24"/>
          <w:vertAlign w:val="superscript"/>
          <w:lang w:val="en-GB"/>
        </w:rPr>
        <w:t>st</w:t>
      </w:r>
      <w:r w:rsidR="003159F7">
        <w:rPr>
          <w:szCs w:val="24"/>
          <w:lang w:val="en-GB"/>
        </w:rPr>
        <w:t xml:space="preserve"> quartile o</w:t>
      </w:r>
      <w:r w:rsidR="00767B10">
        <w:rPr>
          <w:szCs w:val="24"/>
          <w:lang w:val="en-GB"/>
        </w:rPr>
        <w:t>f</w:t>
      </w:r>
      <w:r w:rsidR="003159F7">
        <w:rPr>
          <w:szCs w:val="24"/>
          <w:lang w:val="en-GB"/>
        </w:rPr>
        <w:t xml:space="preserve"> HDI</w:t>
      </w:r>
      <w:r w:rsidR="00122013">
        <w:rPr>
          <w:szCs w:val="24"/>
          <w:lang w:val="en-GB"/>
        </w:rPr>
        <w:t xml:space="preserve"> (see Model 2 in Table </w:t>
      </w:r>
      <w:r w:rsidR="009476BB">
        <w:rPr>
          <w:szCs w:val="24"/>
          <w:lang w:val="en-GB"/>
        </w:rPr>
        <w:t>4</w:t>
      </w:r>
      <w:r w:rsidR="00122013">
        <w:rPr>
          <w:szCs w:val="24"/>
          <w:lang w:val="en-GB"/>
        </w:rPr>
        <w:t>)</w:t>
      </w:r>
      <w:r w:rsidR="003159F7">
        <w:rPr>
          <w:szCs w:val="24"/>
          <w:lang w:val="en-GB"/>
        </w:rPr>
        <w:t xml:space="preserve">, it grows to </w:t>
      </w:r>
      <w:r w:rsidR="00122013">
        <w:rPr>
          <w:szCs w:val="24"/>
          <w:lang w:val="en-GB"/>
        </w:rPr>
        <w:t>-5.</w:t>
      </w:r>
      <w:r w:rsidR="00FD46CB">
        <w:rPr>
          <w:szCs w:val="24"/>
          <w:lang w:val="en-GB"/>
        </w:rPr>
        <w:t>415</w:t>
      </w:r>
      <w:r w:rsidR="001C4825">
        <w:rPr>
          <w:szCs w:val="24"/>
          <w:lang w:val="en-GB"/>
        </w:rPr>
        <w:t xml:space="preserve"> (=</w:t>
      </w:r>
      <w:r w:rsidR="006E6FB5">
        <w:rPr>
          <w:szCs w:val="24"/>
          <w:lang w:val="en-GB"/>
        </w:rPr>
        <w:t xml:space="preserve"> </w:t>
      </w:r>
      <w:r w:rsidR="001C4825">
        <w:rPr>
          <w:szCs w:val="24"/>
          <w:lang w:val="en-GB"/>
        </w:rPr>
        <w:t>-2.622</w:t>
      </w:r>
      <w:r w:rsidR="00FD46CB">
        <w:rPr>
          <w:szCs w:val="24"/>
          <w:lang w:val="en-GB"/>
        </w:rPr>
        <w:t>-0.288-</w:t>
      </w:r>
      <w:r w:rsidR="00122013">
        <w:rPr>
          <w:szCs w:val="24"/>
          <w:lang w:val="en-GB"/>
        </w:rPr>
        <w:t>0.173-2.332)</w:t>
      </w:r>
      <w:r w:rsidR="00767B10">
        <w:rPr>
          <w:szCs w:val="24"/>
          <w:lang w:val="en-GB"/>
        </w:rPr>
        <w:t>, -6.</w:t>
      </w:r>
      <w:r w:rsidR="00FD46CB">
        <w:rPr>
          <w:szCs w:val="24"/>
          <w:lang w:val="en-GB"/>
        </w:rPr>
        <w:t>934</w:t>
      </w:r>
      <w:r w:rsidR="00122013">
        <w:rPr>
          <w:szCs w:val="24"/>
          <w:lang w:val="en-GB"/>
        </w:rPr>
        <w:t xml:space="preserve"> (=</w:t>
      </w:r>
      <w:r w:rsidR="006E6FB5">
        <w:rPr>
          <w:szCs w:val="24"/>
          <w:lang w:val="en-GB"/>
        </w:rPr>
        <w:t xml:space="preserve"> </w:t>
      </w:r>
      <w:r w:rsidR="00122013">
        <w:rPr>
          <w:szCs w:val="24"/>
          <w:lang w:val="en-GB"/>
        </w:rPr>
        <w:t>-2.662-</w:t>
      </w:r>
      <w:r w:rsidR="00FD46CB">
        <w:rPr>
          <w:szCs w:val="24"/>
          <w:lang w:val="en-GB"/>
        </w:rPr>
        <w:t>0.288-</w:t>
      </w:r>
      <w:r w:rsidR="00122013">
        <w:rPr>
          <w:szCs w:val="24"/>
          <w:lang w:val="en-GB"/>
        </w:rPr>
        <w:t>0.937-3.087)</w:t>
      </w:r>
      <w:r w:rsidR="00767B10">
        <w:rPr>
          <w:szCs w:val="24"/>
          <w:lang w:val="en-GB"/>
        </w:rPr>
        <w:t xml:space="preserve">, and </w:t>
      </w:r>
      <w:r w:rsidR="00122013">
        <w:rPr>
          <w:szCs w:val="24"/>
          <w:lang w:val="en-GB"/>
        </w:rPr>
        <w:t>-7.</w:t>
      </w:r>
      <w:r w:rsidR="00FD46CB">
        <w:rPr>
          <w:szCs w:val="24"/>
          <w:lang w:val="en-GB"/>
        </w:rPr>
        <w:t>510</w:t>
      </w:r>
      <w:r w:rsidR="00767B10">
        <w:rPr>
          <w:szCs w:val="24"/>
          <w:lang w:val="en-GB"/>
        </w:rPr>
        <w:t xml:space="preserve"> </w:t>
      </w:r>
      <w:r w:rsidR="00122013">
        <w:rPr>
          <w:szCs w:val="24"/>
          <w:lang w:val="en-GB"/>
        </w:rPr>
        <w:t>(=</w:t>
      </w:r>
      <w:r w:rsidR="006E6FB5">
        <w:rPr>
          <w:szCs w:val="24"/>
          <w:lang w:val="en-GB"/>
        </w:rPr>
        <w:t xml:space="preserve"> </w:t>
      </w:r>
      <w:r w:rsidR="00122013">
        <w:rPr>
          <w:szCs w:val="24"/>
          <w:lang w:val="en-GB"/>
        </w:rPr>
        <w:t>-2.662-</w:t>
      </w:r>
      <w:r w:rsidR="00FD46CB">
        <w:rPr>
          <w:szCs w:val="24"/>
          <w:lang w:val="en-GB"/>
        </w:rPr>
        <w:t>0.288-</w:t>
      </w:r>
      <w:r w:rsidR="00122013">
        <w:rPr>
          <w:szCs w:val="24"/>
          <w:lang w:val="en-GB"/>
        </w:rPr>
        <w:t xml:space="preserve">1.455-3.145) </w:t>
      </w:r>
      <w:r w:rsidR="00767B10">
        <w:rPr>
          <w:szCs w:val="24"/>
          <w:lang w:val="en-GB"/>
        </w:rPr>
        <w:t>in the 2</w:t>
      </w:r>
      <w:r w:rsidR="00767B10" w:rsidRPr="00767B10">
        <w:rPr>
          <w:szCs w:val="24"/>
          <w:vertAlign w:val="superscript"/>
          <w:lang w:val="en-GB"/>
        </w:rPr>
        <w:t>nd</w:t>
      </w:r>
      <w:r w:rsidR="00767B10">
        <w:rPr>
          <w:szCs w:val="24"/>
          <w:lang w:val="en-GB"/>
        </w:rPr>
        <w:t>, 3</w:t>
      </w:r>
      <w:r w:rsidR="00767B10" w:rsidRPr="00767B10">
        <w:rPr>
          <w:szCs w:val="24"/>
          <w:vertAlign w:val="superscript"/>
          <w:lang w:val="en-GB"/>
        </w:rPr>
        <w:t>rd</w:t>
      </w:r>
      <w:r w:rsidR="00767B10">
        <w:rPr>
          <w:szCs w:val="24"/>
          <w:lang w:val="en-GB"/>
        </w:rPr>
        <w:t>, and 4</w:t>
      </w:r>
      <w:r w:rsidR="00767B10" w:rsidRPr="00767B10">
        <w:rPr>
          <w:szCs w:val="24"/>
          <w:vertAlign w:val="superscript"/>
          <w:lang w:val="en-GB"/>
        </w:rPr>
        <w:t>th</w:t>
      </w:r>
      <w:r w:rsidR="009F00FD">
        <w:rPr>
          <w:szCs w:val="24"/>
          <w:lang w:val="en-GB"/>
        </w:rPr>
        <w:t xml:space="preserve"> quartiles, respectively.</w:t>
      </w:r>
    </w:p>
    <w:p w14:paraId="39A1FCDB" w14:textId="77777777" w:rsidR="009F00FD" w:rsidRDefault="009F00FD" w:rsidP="006F30EE">
      <w:pPr>
        <w:spacing w:line="480" w:lineRule="auto"/>
        <w:rPr>
          <w:szCs w:val="24"/>
          <w:lang w:val="en-GB"/>
        </w:rPr>
      </w:pPr>
    </w:p>
    <w:p w14:paraId="166E3CCC" w14:textId="77777777" w:rsidR="00E40B3A" w:rsidRDefault="00E40B3A" w:rsidP="00E40B3A">
      <w:pPr>
        <w:spacing w:line="480" w:lineRule="auto"/>
        <w:jc w:val="center"/>
        <w:rPr>
          <w:szCs w:val="24"/>
          <w:lang w:val="en-GB"/>
        </w:rPr>
      </w:pPr>
      <w:r>
        <w:rPr>
          <w:szCs w:val="24"/>
          <w:lang w:val="en-GB"/>
        </w:rPr>
        <w:t>&lt;Figure 2 about here&gt;</w:t>
      </w:r>
    </w:p>
    <w:p w14:paraId="1E1F0C6B" w14:textId="77777777" w:rsidR="009F00FD" w:rsidRDefault="009F00FD" w:rsidP="00E40B3A">
      <w:pPr>
        <w:spacing w:line="480" w:lineRule="auto"/>
        <w:jc w:val="center"/>
        <w:rPr>
          <w:szCs w:val="24"/>
          <w:lang w:val="en-GB"/>
        </w:rPr>
      </w:pPr>
    </w:p>
    <w:p w14:paraId="282C2217" w14:textId="5014009A" w:rsidR="00D34066" w:rsidRDefault="00E7714C" w:rsidP="006F30EE">
      <w:pPr>
        <w:spacing w:line="480" w:lineRule="auto"/>
        <w:rPr>
          <w:szCs w:val="24"/>
          <w:lang w:val="en-GB"/>
        </w:rPr>
      </w:pPr>
      <w:r>
        <w:rPr>
          <w:szCs w:val="24"/>
          <w:lang w:val="en-GB"/>
        </w:rPr>
        <w:t>T</w:t>
      </w:r>
      <w:r w:rsidR="00767B10">
        <w:rPr>
          <w:szCs w:val="24"/>
          <w:lang w:val="en-GB"/>
        </w:rPr>
        <w:t xml:space="preserve">he difference between the two </w:t>
      </w:r>
      <w:r w:rsidR="000C0C4C">
        <w:rPr>
          <w:szCs w:val="24"/>
          <w:lang w:val="en-GB"/>
        </w:rPr>
        <w:t>sibship</w:t>
      </w:r>
      <w:r w:rsidR="00767B10">
        <w:rPr>
          <w:szCs w:val="24"/>
          <w:lang w:val="en-GB"/>
        </w:rPr>
        <w:t xml:space="preserve"> size slopes</w:t>
      </w:r>
      <w:r w:rsidR="00E1102E">
        <w:rPr>
          <w:szCs w:val="24"/>
          <w:lang w:val="en-GB"/>
        </w:rPr>
        <w:t xml:space="preserve"> (defined by coresidence status) </w:t>
      </w:r>
      <w:r w:rsidR="00767B10">
        <w:rPr>
          <w:szCs w:val="24"/>
          <w:lang w:val="en-GB"/>
        </w:rPr>
        <w:t xml:space="preserve">increases from </w:t>
      </w:r>
      <w:r w:rsidR="00122013">
        <w:rPr>
          <w:szCs w:val="24"/>
          <w:lang w:val="en-GB"/>
        </w:rPr>
        <w:t xml:space="preserve">the negligible value of </w:t>
      </w:r>
      <w:r w:rsidR="00767B10">
        <w:rPr>
          <w:szCs w:val="24"/>
          <w:lang w:val="en-GB"/>
        </w:rPr>
        <w:t>-0.288 (HDI in the 1</w:t>
      </w:r>
      <w:r w:rsidR="00767B10" w:rsidRPr="00767B10">
        <w:rPr>
          <w:szCs w:val="24"/>
          <w:vertAlign w:val="superscript"/>
          <w:lang w:val="en-GB"/>
        </w:rPr>
        <w:t>st</w:t>
      </w:r>
      <w:r w:rsidR="00767B10">
        <w:rPr>
          <w:szCs w:val="24"/>
          <w:lang w:val="en-GB"/>
        </w:rPr>
        <w:t xml:space="preserve"> quartile) to </w:t>
      </w:r>
      <w:r w:rsidR="00122013">
        <w:rPr>
          <w:szCs w:val="24"/>
          <w:lang w:val="en-GB"/>
        </w:rPr>
        <w:t xml:space="preserve">the </w:t>
      </w:r>
      <w:r w:rsidR="001C4825">
        <w:rPr>
          <w:szCs w:val="24"/>
          <w:lang w:val="en-GB"/>
        </w:rPr>
        <w:t xml:space="preserve">more substantial </w:t>
      </w:r>
      <w:r w:rsidR="00767B10">
        <w:rPr>
          <w:szCs w:val="24"/>
          <w:lang w:val="en-GB"/>
        </w:rPr>
        <w:t>-3.145 (HDI in the 4</w:t>
      </w:r>
      <w:r w:rsidR="00767B10" w:rsidRPr="00767B10">
        <w:rPr>
          <w:szCs w:val="24"/>
          <w:vertAlign w:val="superscript"/>
          <w:lang w:val="en-GB"/>
        </w:rPr>
        <w:t>th</w:t>
      </w:r>
      <w:r w:rsidR="00767B10">
        <w:rPr>
          <w:szCs w:val="24"/>
          <w:lang w:val="en-GB"/>
        </w:rPr>
        <w:t xml:space="preserve"> quartile). Evidently, Models 1 and 2 </w:t>
      </w:r>
      <w:r w:rsidR="000F6F60">
        <w:rPr>
          <w:szCs w:val="24"/>
          <w:lang w:val="en-GB"/>
        </w:rPr>
        <w:t xml:space="preserve">support </w:t>
      </w:r>
      <w:r w:rsidR="00767B10">
        <w:rPr>
          <w:szCs w:val="24"/>
          <w:lang w:val="en-GB"/>
        </w:rPr>
        <w:t>the same story: the</w:t>
      </w:r>
      <w:r>
        <w:rPr>
          <w:szCs w:val="24"/>
          <w:lang w:val="en-GB"/>
        </w:rPr>
        <w:t xml:space="preserve"> absolute value of the</w:t>
      </w:r>
      <w:r w:rsidR="00767B10">
        <w:rPr>
          <w:szCs w:val="24"/>
          <w:lang w:val="en-GB"/>
        </w:rPr>
        <w:t xml:space="preserve"> estimated </w:t>
      </w:r>
      <w:r w:rsidR="000C0C4C">
        <w:rPr>
          <w:szCs w:val="24"/>
          <w:lang w:val="en-GB"/>
        </w:rPr>
        <w:t>sibship</w:t>
      </w:r>
      <w:r w:rsidR="00767B10">
        <w:rPr>
          <w:szCs w:val="24"/>
          <w:lang w:val="en-GB"/>
        </w:rPr>
        <w:t xml:space="preserve"> size </w:t>
      </w:r>
      <w:r w:rsidR="006E6FB5">
        <w:rPr>
          <w:szCs w:val="24"/>
          <w:lang w:val="en-GB"/>
        </w:rPr>
        <w:t>slope</w:t>
      </w:r>
      <w:r w:rsidR="00767B10">
        <w:rPr>
          <w:szCs w:val="24"/>
          <w:lang w:val="en-GB"/>
        </w:rPr>
        <w:t xml:space="preserve"> tends </w:t>
      </w:r>
      <w:r w:rsidR="006E6FB5">
        <w:rPr>
          <w:szCs w:val="24"/>
          <w:lang w:val="en-GB"/>
        </w:rPr>
        <w:t xml:space="preserve">to </w:t>
      </w:r>
      <w:r w:rsidR="00767B10">
        <w:rPr>
          <w:szCs w:val="24"/>
          <w:lang w:val="en-GB"/>
        </w:rPr>
        <w:t xml:space="preserve">increase with development and this growth is more pronounced if the student lives in a three-generation household with at least one of his/her grandparents. These tendencies </w:t>
      </w:r>
      <w:r w:rsidR="006E6FB5">
        <w:rPr>
          <w:szCs w:val="24"/>
          <w:lang w:val="en-GB"/>
        </w:rPr>
        <w:t xml:space="preserve">in the net associations </w:t>
      </w:r>
      <w:r w:rsidR="00767B10">
        <w:rPr>
          <w:szCs w:val="24"/>
          <w:lang w:val="en-GB"/>
        </w:rPr>
        <w:t xml:space="preserve">are </w:t>
      </w:r>
      <w:r w:rsidR="00B7736C">
        <w:rPr>
          <w:szCs w:val="24"/>
          <w:lang w:val="en-GB"/>
        </w:rPr>
        <w:t xml:space="preserve">displayed graphically </w:t>
      </w:r>
      <w:r w:rsidR="00D34066">
        <w:rPr>
          <w:szCs w:val="24"/>
          <w:lang w:val="en-GB"/>
        </w:rPr>
        <w:t xml:space="preserve">in Figure </w:t>
      </w:r>
      <w:r w:rsidR="00767B10">
        <w:rPr>
          <w:szCs w:val="24"/>
          <w:lang w:val="en-GB"/>
        </w:rPr>
        <w:t>2.</w:t>
      </w:r>
    </w:p>
    <w:p w14:paraId="40248F31" w14:textId="29AFD141" w:rsidR="005E51DB" w:rsidRDefault="005E51DB" w:rsidP="006F30EE">
      <w:pPr>
        <w:spacing w:line="480" w:lineRule="auto"/>
        <w:rPr>
          <w:lang w:val="en-GB"/>
        </w:rPr>
      </w:pPr>
      <w:r>
        <w:rPr>
          <w:szCs w:val="24"/>
          <w:lang w:val="en-GB"/>
        </w:rPr>
        <w:t xml:space="preserve">The main effect of </w:t>
      </w:r>
      <w:r w:rsidR="00731759">
        <w:rPr>
          <w:szCs w:val="24"/>
          <w:lang w:val="en-GB"/>
        </w:rPr>
        <w:t>cores</w:t>
      </w:r>
      <w:r>
        <w:rPr>
          <w:szCs w:val="24"/>
          <w:lang w:val="en-GB"/>
        </w:rPr>
        <w:t xml:space="preserve">idence is </w:t>
      </w:r>
      <w:r w:rsidRPr="005E51DB">
        <w:rPr>
          <w:lang w:val="en-GB"/>
        </w:rPr>
        <w:t xml:space="preserve">-14.824 in Model 1 indicating that </w:t>
      </w:r>
      <w:r w:rsidR="00731759">
        <w:rPr>
          <w:lang w:val="en-GB"/>
        </w:rPr>
        <w:t>cores</w:t>
      </w:r>
      <w:r>
        <w:rPr>
          <w:lang w:val="en-GB"/>
        </w:rPr>
        <w:t>idence is associated</w:t>
      </w:r>
      <w:r w:rsidR="003A2727">
        <w:rPr>
          <w:lang w:val="en-GB"/>
        </w:rPr>
        <w:t xml:space="preserve"> with poorer test scores at </w:t>
      </w:r>
      <w:r>
        <w:rPr>
          <w:lang w:val="en-GB"/>
        </w:rPr>
        <w:t>lower levels of HDI and no siblings present in the same household.</w:t>
      </w:r>
      <w:r w:rsidR="00E5514B">
        <w:rPr>
          <w:lang w:val="en-GB"/>
        </w:rPr>
        <w:t xml:space="preserve"> The effect of </w:t>
      </w:r>
      <w:r w:rsidR="00731759">
        <w:rPr>
          <w:lang w:val="en-GB"/>
        </w:rPr>
        <w:t>cores</w:t>
      </w:r>
      <w:r w:rsidR="00E5514B">
        <w:rPr>
          <w:lang w:val="en-GB"/>
        </w:rPr>
        <w:t>idence on test scores seems to change with HDI in a non-linear fashion</w:t>
      </w:r>
      <w:r w:rsidR="00E1102E">
        <w:rPr>
          <w:lang w:val="en-GB"/>
        </w:rPr>
        <w:t xml:space="preserve"> (see Table 4)</w:t>
      </w:r>
      <w:r w:rsidR="00E5514B">
        <w:rPr>
          <w:lang w:val="en-GB"/>
        </w:rPr>
        <w:t xml:space="preserve">. While it always stays negative, we only find a significantly more negative effect of </w:t>
      </w:r>
      <w:r w:rsidR="00731759">
        <w:rPr>
          <w:lang w:val="en-GB"/>
        </w:rPr>
        <w:t>cores</w:t>
      </w:r>
      <w:r w:rsidR="00E5514B">
        <w:rPr>
          <w:lang w:val="en-GB"/>
        </w:rPr>
        <w:t xml:space="preserve">idence at the highest HDI level, i.e. in the most advanced societies. </w:t>
      </w:r>
      <w:r>
        <w:rPr>
          <w:lang w:val="en-GB"/>
        </w:rPr>
        <w:t>Hence</w:t>
      </w:r>
      <w:r w:rsidR="00B045B3">
        <w:rPr>
          <w:lang w:val="en-GB"/>
        </w:rPr>
        <w:t>,</w:t>
      </w:r>
      <w:r>
        <w:rPr>
          <w:lang w:val="en-GB"/>
        </w:rPr>
        <w:t xml:space="preserve"> we </w:t>
      </w:r>
      <w:r w:rsidR="00761474">
        <w:rPr>
          <w:lang w:val="en-GB"/>
        </w:rPr>
        <w:t xml:space="preserve">can </w:t>
      </w:r>
      <w:r w:rsidR="00DF0662">
        <w:rPr>
          <w:lang w:val="en-GB"/>
        </w:rPr>
        <w:t xml:space="preserve">conclude that </w:t>
      </w:r>
      <w:r w:rsidR="00731759">
        <w:rPr>
          <w:lang w:val="en-GB"/>
        </w:rPr>
        <w:t>cores</w:t>
      </w:r>
      <w:r w:rsidR="00DF0662">
        <w:rPr>
          <w:lang w:val="en-GB"/>
        </w:rPr>
        <w:t xml:space="preserve">idence is, net of other factors, </w:t>
      </w:r>
      <w:r>
        <w:rPr>
          <w:lang w:val="en-GB"/>
        </w:rPr>
        <w:t>always associated with lower reading test scores in our sample of countries.</w:t>
      </w:r>
    </w:p>
    <w:p w14:paraId="5596258A" w14:textId="77777777" w:rsidR="00D9544F" w:rsidRDefault="00D34066" w:rsidP="006F30EE">
      <w:pPr>
        <w:spacing w:line="480" w:lineRule="auto"/>
        <w:rPr>
          <w:szCs w:val="24"/>
          <w:lang w:val="en-GB"/>
        </w:rPr>
      </w:pPr>
      <w:r>
        <w:rPr>
          <w:szCs w:val="24"/>
          <w:lang w:val="en-GB"/>
        </w:rPr>
        <w:t>Now we</w:t>
      </w:r>
      <w:r w:rsidR="00B7736C">
        <w:rPr>
          <w:szCs w:val="24"/>
          <w:lang w:val="en-GB"/>
        </w:rPr>
        <w:t xml:space="preserve"> pause </w:t>
      </w:r>
      <w:r>
        <w:rPr>
          <w:szCs w:val="24"/>
          <w:lang w:val="en-GB"/>
        </w:rPr>
        <w:t xml:space="preserve">briefly </w:t>
      </w:r>
      <w:r w:rsidR="00B7736C">
        <w:rPr>
          <w:szCs w:val="24"/>
          <w:lang w:val="en-GB"/>
        </w:rPr>
        <w:t xml:space="preserve">to </w:t>
      </w:r>
      <w:r>
        <w:rPr>
          <w:szCs w:val="24"/>
          <w:lang w:val="en-GB"/>
        </w:rPr>
        <w:t xml:space="preserve">comment on the estimated effects of other explanatory variables. We see that boys </w:t>
      </w:r>
      <w:r w:rsidR="009A178E">
        <w:rPr>
          <w:szCs w:val="24"/>
          <w:lang w:val="en-GB"/>
        </w:rPr>
        <w:t xml:space="preserve">score </w:t>
      </w:r>
      <w:r w:rsidR="00353FAD">
        <w:rPr>
          <w:szCs w:val="24"/>
          <w:lang w:val="en-GB"/>
        </w:rPr>
        <w:t xml:space="preserve">almost </w:t>
      </w:r>
      <w:r w:rsidR="009A178E">
        <w:rPr>
          <w:szCs w:val="24"/>
          <w:lang w:val="en-GB"/>
        </w:rPr>
        <w:t>2</w:t>
      </w:r>
      <w:r w:rsidR="00353FAD">
        <w:rPr>
          <w:szCs w:val="24"/>
          <w:lang w:val="en-GB"/>
        </w:rPr>
        <w:t>5</w:t>
      </w:r>
      <w:r w:rsidR="009A178E">
        <w:rPr>
          <w:szCs w:val="24"/>
          <w:lang w:val="en-GB"/>
        </w:rPr>
        <w:t xml:space="preserve"> point</w:t>
      </w:r>
      <w:r w:rsidR="00B7736C">
        <w:rPr>
          <w:szCs w:val="24"/>
          <w:lang w:val="en-GB"/>
        </w:rPr>
        <w:t>s</w:t>
      </w:r>
      <w:r w:rsidR="009A178E">
        <w:rPr>
          <w:szCs w:val="24"/>
          <w:lang w:val="en-GB"/>
        </w:rPr>
        <w:t xml:space="preserve"> lower on the </w:t>
      </w:r>
      <w:r w:rsidR="00353FAD">
        <w:rPr>
          <w:szCs w:val="24"/>
          <w:lang w:val="en-GB"/>
        </w:rPr>
        <w:t xml:space="preserve">reading </w:t>
      </w:r>
      <w:r w:rsidR="009A178E">
        <w:rPr>
          <w:szCs w:val="24"/>
          <w:lang w:val="en-GB"/>
        </w:rPr>
        <w:t xml:space="preserve">test scale than girls. Students from </w:t>
      </w:r>
      <w:r w:rsidR="009A178E">
        <w:rPr>
          <w:szCs w:val="24"/>
          <w:lang w:val="en-GB"/>
        </w:rPr>
        <w:lastRenderedPageBreak/>
        <w:t>intact families perform better than students from single-parent or step-parent family environments. The mean net difference between a student from a two-parent and a single-parent family is -2</w:t>
      </w:r>
      <w:r w:rsidR="008B61B7">
        <w:rPr>
          <w:szCs w:val="24"/>
          <w:lang w:val="en-GB"/>
        </w:rPr>
        <w:t>.</w:t>
      </w:r>
      <w:r w:rsidR="00353FAD">
        <w:rPr>
          <w:szCs w:val="24"/>
          <w:lang w:val="en-GB"/>
        </w:rPr>
        <w:t>65</w:t>
      </w:r>
      <w:r w:rsidR="00E40B3A">
        <w:rPr>
          <w:szCs w:val="24"/>
          <w:lang w:val="en-GB"/>
        </w:rPr>
        <w:t>2</w:t>
      </w:r>
      <w:r w:rsidR="00B7736C">
        <w:rPr>
          <w:szCs w:val="24"/>
          <w:lang w:val="en-GB"/>
        </w:rPr>
        <w:t>,</w:t>
      </w:r>
      <w:r w:rsidR="009A178E">
        <w:rPr>
          <w:szCs w:val="24"/>
          <w:lang w:val="en-GB"/>
        </w:rPr>
        <w:t xml:space="preserve"> and between two-parent a</w:t>
      </w:r>
      <w:r w:rsidR="006E6FB5">
        <w:rPr>
          <w:szCs w:val="24"/>
          <w:lang w:val="en-GB"/>
        </w:rPr>
        <w:t>nd a</w:t>
      </w:r>
      <w:r w:rsidR="009A178E">
        <w:rPr>
          <w:szCs w:val="24"/>
          <w:lang w:val="en-GB"/>
        </w:rPr>
        <w:t xml:space="preserve"> step-parent family </w:t>
      </w:r>
      <w:r w:rsidR="006E6FB5">
        <w:rPr>
          <w:szCs w:val="24"/>
          <w:lang w:val="en-GB"/>
        </w:rPr>
        <w:t xml:space="preserve">it is </w:t>
      </w:r>
      <w:r w:rsidR="009A178E">
        <w:rPr>
          <w:szCs w:val="24"/>
          <w:lang w:val="en-GB"/>
        </w:rPr>
        <w:t>-4</w:t>
      </w:r>
      <w:r w:rsidR="008B61B7">
        <w:rPr>
          <w:szCs w:val="24"/>
          <w:lang w:val="en-GB"/>
        </w:rPr>
        <w:t>.</w:t>
      </w:r>
      <w:r w:rsidR="009A178E">
        <w:rPr>
          <w:szCs w:val="24"/>
          <w:lang w:val="en-GB"/>
        </w:rPr>
        <w:t>8</w:t>
      </w:r>
      <w:r w:rsidR="00E40B3A">
        <w:rPr>
          <w:szCs w:val="24"/>
          <w:lang w:val="en-GB"/>
        </w:rPr>
        <w:t>36</w:t>
      </w:r>
      <w:r w:rsidR="009A178E">
        <w:rPr>
          <w:szCs w:val="24"/>
          <w:lang w:val="en-GB"/>
        </w:rPr>
        <w:t xml:space="preserve"> (all these effects are highly statistically significant (</w:t>
      </w:r>
      <w:r w:rsidR="00E7714C">
        <w:rPr>
          <w:szCs w:val="24"/>
          <w:lang w:val="en-GB"/>
        </w:rPr>
        <w:t xml:space="preserve">the respective </w:t>
      </w:r>
      <w:r w:rsidR="009A178E">
        <w:rPr>
          <w:szCs w:val="24"/>
          <w:lang w:val="en-GB"/>
        </w:rPr>
        <w:t>p-values are lower than 0</w:t>
      </w:r>
      <w:r w:rsidR="008B61B7">
        <w:rPr>
          <w:szCs w:val="24"/>
          <w:lang w:val="en-GB"/>
        </w:rPr>
        <w:t>.</w:t>
      </w:r>
      <w:r w:rsidR="009A178E">
        <w:rPr>
          <w:szCs w:val="24"/>
          <w:lang w:val="en-GB"/>
        </w:rPr>
        <w:t>0005).</w:t>
      </w:r>
    </w:p>
    <w:p w14:paraId="7C2AF7B2" w14:textId="443A8622" w:rsidR="009A178E" w:rsidRDefault="00353FAD" w:rsidP="006F30EE">
      <w:pPr>
        <w:spacing w:line="480" w:lineRule="auto"/>
        <w:rPr>
          <w:szCs w:val="24"/>
          <w:lang w:val="en-GB"/>
        </w:rPr>
      </w:pPr>
      <w:r>
        <w:rPr>
          <w:szCs w:val="24"/>
          <w:lang w:val="en-GB"/>
        </w:rPr>
        <w:t>M</w:t>
      </w:r>
      <w:r w:rsidR="009A178E">
        <w:rPr>
          <w:szCs w:val="24"/>
          <w:lang w:val="en-GB"/>
        </w:rPr>
        <w:t xml:space="preserve">odel </w:t>
      </w:r>
      <w:r>
        <w:rPr>
          <w:szCs w:val="24"/>
          <w:lang w:val="en-GB"/>
        </w:rPr>
        <w:t xml:space="preserve">2 </w:t>
      </w:r>
      <w:r w:rsidR="009A178E">
        <w:rPr>
          <w:szCs w:val="24"/>
          <w:lang w:val="en-GB"/>
        </w:rPr>
        <w:t xml:space="preserve">also indicates strong positive and significant </w:t>
      </w:r>
      <w:r w:rsidR="00E40B3A">
        <w:rPr>
          <w:szCs w:val="24"/>
          <w:lang w:val="en-GB"/>
        </w:rPr>
        <w:t xml:space="preserve">net </w:t>
      </w:r>
      <w:r w:rsidR="009A178E">
        <w:rPr>
          <w:szCs w:val="24"/>
          <w:lang w:val="en-GB"/>
        </w:rPr>
        <w:t xml:space="preserve">effects of parental education on test scores. For instance, a student whose parents have </w:t>
      </w:r>
      <w:r>
        <w:rPr>
          <w:szCs w:val="24"/>
          <w:lang w:val="en-GB"/>
        </w:rPr>
        <w:t xml:space="preserve">tertiary </w:t>
      </w:r>
      <w:r w:rsidR="009A178E">
        <w:rPr>
          <w:szCs w:val="24"/>
          <w:lang w:val="en-GB"/>
        </w:rPr>
        <w:t>education is expected to score 21 point</w:t>
      </w:r>
      <w:r>
        <w:rPr>
          <w:szCs w:val="24"/>
          <w:lang w:val="en-GB"/>
        </w:rPr>
        <w:t>s</w:t>
      </w:r>
      <w:r w:rsidR="009A178E">
        <w:rPr>
          <w:szCs w:val="24"/>
          <w:lang w:val="en-GB"/>
        </w:rPr>
        <w:t xml:space="preserve"> higher on the reading test than a student whose parents have only primary education, </w:t>
      </w:r>
      <w:r w:rsidR="00B7736C">
        <w:rPr>
          <w:szCs w:val="24"/>
          <w:lang w:val="en-GB"/>
        </w:rPr>
        <w:t xml:space="preserve">disregarding </w:t>
      </w:r>
      <w:r w:rsidR="009A178E">
        <w:rPr>
          <w:szCs w:val="24"/>
          <w:lang w:val="en-GB"/>
        </w:rPr>
        <w:t xml:space="preserve">other variables in the model. Similarly, parental occupational status has a strong positive effect on reading literacy. </w:t>
      </w:r>
      <w:r w:rsidR="00E40B3A">
        <w:rPr>
          <w:szCs w:val="24"/>
          <w:lang w:val="en-GB"/>
        </w:rPr>
        <w:t>Net of</w:t>
      </w:r>
      <w:r w:rsidR="00B7736C">
        <w:rPr>
          <w:szCs w:val="24"/>
          <w:lang w:val="en-GB"/>
        </w:rPr>
        <w:t xml:space="preserve"> other factors, e</w:t>
      </w:r>
      <w:r w:rsidR="009A178E">
        <w:rPr>
          <w:szCs w:val="24"/>
          <w:lang w:val="en-GB"/>
        </w:rPr>
        <w:t>ach additional point on the ISEI scale increases</w:t>
      </w:r>
      <w:r w:rsidR="00B7736C">
        <w:rPr>
          <w:szCs w:val="24"/>
          <w:lang w:val="en-GB"/>
        </w:rPr>
        <w:t xml:space="preserve"> </w:t>
      </w:r>
      <w:r w:rsidR="009A178E">
        <w:rPr>
          <w:szCs w:val="24"/>
          <w:lang w:val="en-GB"/>
        </w:rPr>
        <w:t>expected test score by 0</w:t>
      </w:r>
      <w:r w:rsidR="008B61B7">
        <w:rPr>
          <w:szCs w:val="24"/>
          <w:lang w:val="en-GB"/>
        </w:rPr>
        <w:t>.</w:t>
      </w:r>
      <w:r w:rsidR="009A178E">
        <w:rPr>
          <w:szCs w:val="24"/>
          <w:lang w:val="en-GB"/>
        </w:rPr>
        <w:t>8</w:t>
      </w:r>
      <w:r w:rsidR="00E40B3A">
        <w:rPr>
          <w:szCs w:val="24"/>
          <w:lang w:val="en-GB"/>
        </w:rPr>
        <w:t>17</w:t>
      </w:r>
      <w:r w:rsidR="009A178E">
        <w:rPr>
          <w:szCs w:val="24"/>
          <w:lang w:val="en-GB"/>
        </w:rPr>
        <w:t xml:space="preserve"> points. Hence, the expected net difference between </w:t>
      </w:r>
      <w:r w:rsidR="00B7736C">
        <w:rPr>
          <w:szCs w:val="24"/>
          <w:lang w:val="en-GB"/>
        </w:rPr>
        <w:t>the</w:t>
      </w:r>
      <w:r w:rsidR="008B61B7">
        <w:rPr>
          <w:szCs w:val="24"/>
          <w:lang w:val="en-GB"/>
        </w:rPr>
        <w:t xml:space="preserve"> child of a secondary school teacher (ISEI</w:t>
      </w:r>
      <w:r>
        <w:rPr>
          <w:szCs w:val="24"/>
          <w:lang w:val="en-GB"/>
        </w:rPr>
        <w:t xml:space="preserve"> </w:t>
      </w:r>
      <w:r w:rsidR="008B61B7">
        <w:rPr>
          <w:szCs w:val="24"/>
          <w:lang w:val="en-GB"/>
        </w:rPr>
        <w:t>=</w:t>
      </w:r>
      <w:r>
        <w:rPr>
          <w:szCs w:val="24"/>
          <w:lang w:val="en-GB"/>
        </w:rPr>
        <w:t xml:space="preserve"> </w:t>
      </w:r>
      <w:r w:rsidR="008B61B7">
        <w:rPr>
          <w:szCs w:val="24"/>
          <w:lang w:val="en-GB"/>
        </w:rPr>
        <w:t>71) and a farm worker (ISEI</w:t>
      </w:r>
      <w:r w:rsidR="005C3F2E">
        <w:rPr>
          <w:szCs w:val="24"/>
          <w:lang w:val="en-GB"/>
        </w:rPr>
        <w:t xml:space="preserve"> = </w:t>
      </w:r>
      <w:r w:rsidR="008B61B7">
        <w:rPr>
          <w:szCs w:val="24"/>
          <w:lang w:val="en-GB"/>
        </w:rPr>
        <w:t>16) in the reading literacy test is approx</w:t>
      </w:r>
      <w:r w:rsidR="005C3F2E">
        <w:rPr>
          <w:szCs w:val="24"/>
          <w:lang w:val="en-GB"/>
        </w:rPr>
        <w:t>imately</w:t>
      </w:r>
      <w:r w:rsidR="008B61B7">
        <w:rPr>
          <w:szCs w:val="24"/>
          <w:lang w:val="en-GB"/>
        </w:rPr>
        <w:t xml:space="preserve"> 45 points (0.8</w:t>
      </w:r>
      <w:r w:rsidR="00E40B3A">
        <w:rPr>
          <w:szCs w:val="24"/>
          <w:lang w:val="en-GB"/>
        </w:rPr>
        <w:t>17</w:t>
      </w:r>
      <w:r w:rsidR="008B61B7">
        <w:rPr>
          <w:szCs w:val="24"/>
          <w:lang w:val="en-GB"/>
        </w:rPr>
        <w:t>*(71-16)</w:t>
      </w:r>
      <w:r>
        <w:rPr>
          <w:szCs w:val="24"/>
          <w:lang w:val="en-GB"/>
        </w:rPr>
        <w:t xml:space="preserve"> </w:t>
      </w:r>
      <w:r w:rsidR="008B61B7">
        <w:rPr>
          <w:szCs w:val="24"/>
          <w:lang w:val="en-GB"/>
        </w:rPr>
        <w:t>=</w:t>
      </w:r>
      <w:r>
        <w:rPr>
          <w:szCs w:val="24"/>
          <w:lang w:val="en-GB"/>
        </w:rPr>
        <w:t xml:space="preserve"> </w:t>
      </w:r>
      <w:r w:rsidR="008B61B7">
        <w:rPr>
          <w:szCs w:val="24"/>
          <w:lang w:val="en-GB"/>
        </w:rPr>
        <w:t>4</w:t>
      </w:r>
      <w:r w:rsidR="00E40B3A">
        <w:rPr>
          <w:szCs w:val="24"/>
          <w:lang w:val="en-GB"/>
        </w:rPr>
        <w:t>4</w:t>
      </w:r>
      <w:r w:rsidR="008B61B7">
        <w:rPr>
          <w:szCs w:val="24"/>
          <w:lang w:val="en-GB"/>
        </w:rPr>
        <w:t>.</w:t>
      </w:r>
      <w:r w:rsidR="00E40B3A">
        <w:rPr>
          <w:szCs w:val="24"/>
          <w:lang w:val="en-GB"/>
        </w:rPr>
        <w:t>935</w:t>
      </w:r>
      <w:r w:rsidR="008B61B7">
        <w:rPr>
          <w:szCs w:val="24"/>
          <w:lang w:val="en-GB"/>
        </w:rPr>
        <w:t>).</w:t>
      </w:r>
      <w:r>
        <w:rPr>
          <w:szCs w:val="24"/>
          <w:lang w:val="en-GB"/>
        </w:rPr>
        <w:t xml:space="preserve"> Moreover, </w:t>
      </w:r>
      <w:r w:rsidR="00B7736C">
        <w:rPr>
          <w:szCs w:val="24"/>
          <w:lang w:val="en-GB"/>
        </w:rPr>
        <w:t xml:space="preserve">the </w:t>
      </w:r>
      <w:r>
        <w:rPr>
          <w:szCs w:val="24"/>
          <w:lang w:val="en-GB"/>
        </w:rPr>
        <w:t>mother’s employment tends to be associated with poorer performance on the reading test (net of other factors in the model)</w:t>
      </w:r>
      <w:r w:rsidR="00140727">
        <w:rPr>
          <w:szCs w:val="24"/>
          <w:lang w:val="en-GB"/>
        </w:rPr>
        <w:t>–</w:t>
      </w:r>
      <w:r>
        <w:rPr>
          <w:szCs w:val="24"/>
          <w:lang w:val="en-GB"/>
        </w:rPr>
        <w:t>the difference is 1.07</w:t>
      </w:r>
      <w:r w:rsidR="00E40B3A">
        <w:rPr>
          <w:szCs w:val="24"/>
          <w:lang w:val="en-GB"/>
        </w:rPr>
        <w:t>4</w:t>
      </w:r>
      <w:r>
        <w:rPr>
          <w:szCs w:val="24"/>
          <w:lang w:val="en-GB"/>
        </w:rPr>
        <w:t xml:space="preserve"> points</w:t>
      </w:r>
      <w:r w:rsidR="00761474">
        <w:rPr>
          <w:szCs w:val="24"/>
          <w:lang w:val="en-GB"/>
        </w:rPr>
        <w:t xml:space="preserve">, which seems to be </w:t>
      </w:r>
      <w:r w:rsidR="00B045B3">
        <w:rPr>
          <w:szCs w:val="24"/>
          <w:lang w:val="en-GB"/>
        </w:rPr>
        <w:t>of</w:t>
      </w:r>
      <w:r w:rsidR="00761474">
        <w:rPr>
          <w:szCs w:val="24"/>
          <w:lang w:val="en-GB"/>
        </w:rPr>
        <w:t xml:space="preserve"> relatively little substantive importance</w:t>
      </w:r>
      <w:r>
        <w:rPr>
          <w:szCs w:val="24"/>
          <w:lang w:val="en-GB"/>
        </w:rPr>
        <w:t>.</w:t>
      </w:r>
    </w:p>
    <w:p w14:paraId="176D5C55" w14:textId="77777777" w:rsidR="009F00FD" w:rsidRDefault="009F00FD" w:rsidP="006F30EE">
      <w:pPr>
        <w:spacing w:line="480" w:lineRule="auto"/>
        <w:rPr>
          <w:szCs w:val="24"/>
          <w:lang w:val="en-GB"/>
        </w:rPr>
      </w:pPr>
    </w:p>
    <w:p w14:paraId="597BD54F" w14:textId="77777777" w:rsidR="007B14FB" w:rsidRDefault="007B14FB" w:rsidP="007B14FB">
      <w:pPr>
        <w:spacing w:line="480" w:lineRule="auto"/>
        <w:jc w:val="center"/>
        <w:rPr>
          <w:szCs w:val="24"/>
          <w:lang w:val="en-GB"/>
        </w:rPr>
      </w:pPr>
      <w:r>
        <w:rPr>
          <w:szCs w:val="24"/>
          <w:lang w:val="en-GB"/>
        </w:rPr>
        <w:t>&lt;Table 5 about here&gt;</w:t>
      </w:r>
    </w:p>
    <w:p w14:paraId="7EB32CE2" w14:textId="77777777" w:rsidR="009F00FD" w:rsidRDefault="009F00FD" w:rsidP="007B14FB">
      <w:pPr>
        <w:spacing w:line="480" w:lineRule="auto"/>
        <w:jc w:val="center"/>
        <w:rPr>
          <w:szCs w:val="24"/>
          <w:lang w:val="en-GB"/>
        </w:rPr>
      </w:pPr>
    </w:p>
    <w:p w14:paraId="3ACDDD9A" w14:textId="590D8480" w:rsidR="00EE1528" w:rsidRDefault="00CA28CB" w:rsidP="006F30EE">
      <w:pPr>
        <w:spacing w:line="480" w:lineRule="auto"/>
        <w:rPr>
          <w:szCs w:val="24"/>
          <w:lang w:val="en-GB"/>
        </w:rPr>
      </w:pPr>
      <w:r>
        <w:rPr>
          <w:szCs w:val="24"/>
          <w:lang w:val="en-GB"/>
        </w:rPr>
        <w:t xml:space="preserve">Models 3, 4, and 5 </w:t>
      </w:r>
      <w:r w:rsidR="000F6F60">
        <w:rPr>
          <w:szCs w:val="24"/>
          <w:lang w:val="en-GB"/>
        </w:rPr>
        <w:t xml:space="preserve">represent essential </w:t>
      </w:r>
      <w:r w:rsidR="00EE1528">
        <w:rPr>
          <w:szCs w:val="24"/>
          <w:lang w:val="en-GB"/>
        </w:rPr>
        <w:t xml:space="preserve">theory-motivated </w:t>
      </w:r>
      <w:r w:rsidR="000F6F60">
        <w:rPr>
          <w:szCs w:val="24"/>
          <w:lang w:val="en-GB"/>
        </w:rPr>
        <w:t xml:space="preserve">extensions of Model 2 presented above. Each of these models includes one additional </w:t>
      </w:r>
      <w:r w:rsidR="00B045B3">
        <w:rPr>
          <w:szCs w:val="24"/>
          <w:lang w:val="en-GB"/>
        </w:rPr>
        <w:t>country</w:t>
      </w:r>
      <w:r w:rsidR="000F6F60">
        <w:rPr>
          <w:szCs w:val="24"/>
          <w:lang w:val="en-GB"/>
        </w:rPr>
        <w:t xml:space="preserve">-level control variable </w:t>
      </w:r>
      <w:r w:rsidR="0011650F">
        <w:rPr>
          <w:szCs w:val="24"/>
          <w:lang w:val="en-GB"/>
        </w:rPr>
        <w:t xml:space="preserve">– </w:t>
      </w:r>
      <w:r w:rsidR="000F6F60">
        <w:rPr>
          <w:szCs w:val="24"/>
          <w:lang w:val="en-GB"/>
        </w:rPr>
        <w:t>namely</w:t>
      </w:r>
      <w:r w:rsidR="0011650F">
        <w:rPr>
          <w:szCs w:val="24"/>
          <w:lang w:val="en-GB"/>
        </w:rPr>
        <w:t xml:space="preserve"> </w:t>
      </w:r>
      <w:r w:rsidR="000F6F60">
        <w:rPr>
          <w:szCs w:val="24"/>
          <w:lang w:val="en-GB"/>
        </w:rPr>
        <w:t>total public social security expenditure</w:t>
      </w:r>
      <w:r w:rsidR="0011650F">
        <w:rPr>
          <w:szCs w:val="24"/>
          <w:lang w:val="en-GB"/>
        </w:rPr>
        <w:t xml:space="preserve"> (TPSE)</w:t>
      </w:r>
      <w:r w:rsidR="000F6F60">
        <w:rPr>
          <w:szCs w:val="24"/>
          <w:lang w:val="en-GB"/>
        </w:rPr>
        <w:t xml:space="preserve">, </w:t>
      </w:r>
      <w:r w:rsidR="00AD3A14">
        <w:rPr>
          <w:szCs w:val="24"/>
          <w:lang w:val="en-GB"/>
        </w:rPr>
        <w:t xml:space="preserve">total </w:t>
      </w:r>
      <w:r w:rsidR="000F6F60">
        <w:rPr>
          <w:szCs w:val="24"/>
          <w:lang w:val="en-GB"/>
        </w:rPr>
        <w:t>public expenditure on education</w:t>
      </w:r>
      <w:r w:rsidR="0011650F">
        <w:rPr>
          <w:szCs w:val="24"/>
          <w:lang w:val="en-GB"/>
        </w:rPr>
        <w:t xml:space="preserve"> (TPE</w:t>
      </w:r>
      <w:r w:rsidR="00AD3A14">
        <w:rPr>
          <w:szCs w:val="24"/>
          <w:lang w:val="en-GB"/>
        </w:rPr>
        <w:t>E</w:t>
      </w:r>
      <w:r w:rsidR="0011650F">
        <w:rPr>
          <w:szCs w:val="24"/>
          <w:lang w:val="en-GB"/>
        </w:rPr>
        <w:t>)</w:t>
      </w:r>
      <w:r w:rsidR="000F6F60">
        <w:rPr>
          <w:szCs w:val="24"/>
          <w:lang w:val="en-GB"/>
        </w:rPr>
        <w:t>, and crude divorce rate</w:t>
      </w:r>
      <w:r w:rsidR="0011650F">
        <w:rPr>
          <w:szCs w:val="24"/>
          <w:lang w:val="en-GB"/>
        </w:rPr>
        <w:t xml:space="preserve"> (CDR) –</w:t>
      </w:r>
      <w:r w:rsidR="000F6F60">
        <w:rPr>
          <w:szCs w:val="24"/>
          <w:lang w:val="en-GB"/>
        </w:rPr>
        <w:t xml:space="preserve"> and</w:t>
      </w:r>
      <w:r w:rsidR="0011650F">
        <w:rPr>
          <w:szCs w:val="24"/>
          <w:lang w:val="en-GB"/>
        </w:rPr>
        <w:t xml:space="preserve"> </w:t>
      </w:r>
      <w:r w:rsidR="000F6F60">
        <w:rPr>
          <w:szCs w:val="24"/>
          <w:lang w:val="en-GB"/>
        </w:rPr>
        <w:t xml:space="preserve">its interaction with sibship size. The inclusion of </w:t>
      </w:r>
      <w:r w:rsidR="0011650F">
        <w:rPr>
          <w:szCs w:val="24"/>
          <w:lang w:val="en-GB"/>
        </w:rPr>
        <w:t xml:space="preserve">TPSE </w:t>
      </w:r>
      <w:r w:rsidR="000F6F60">
        <w:rPr>
          <w:szCs w:val="24"/>
          <w:lang w:val="en-GB"/>
        </w:rPr>
        <w:t xml:space="preserve">and </w:t>
      </w:r>
      <w:r w:rsidR="0011650F">
        <w:rPr>
          <w:szCs w:val="24"/>
          <w:lang w:val="en-GB"/>
        </w:rPr>
        <w:t>TPE</w:t>
      </w:r>
      <w:r w:rsidR="00AD3A14">
        <w:rPr>
          <w:szCs w:val="24"/>
          <w:lang w:val="en-GB"/>
        </w:rPr>
        <w:t>E</w:t>
      </w:r>
      <w:r w:rsidR="00EE3E92">
        <w:rPr>
          <w:szCs w:val="24"/>
          <w:lang w:val="en-GB"/>
        </w:rPr>
        <w:t xml:space="preserve"> </w:t>
      </w:r>
      <w:r w:rsidR="000F6F60">
        <w:rPr>
          <w:szCs w:val="24"/>
          <w:lang w:val="en-GB"/>
        </w:rPr>
        <w:t xml:space="preserve">into the model follows the logic of Park’s </w:t>
      </w:r>
      <w:r w:rsidR="00EE1528">
        <w:rPr>
          <w:szCs w:val="24"/>
          <w:lang w:val="en-GB"/>
        </w:rPr>
        <w:t>paper (Park 2008) to see if public resources directed towards schooling and</w:t>
      </w:r>
      <w:r w:rsidR="0070186A">
        <w:rPr>
          <w:szCs w:val="24"/>
          <w:lang w:val="en-GB"/>
        </w:rPr>
        <w:t>/or</w:t>
      </w:r>
      <w:r w:rsidR="00EE1528">
        <w:rPr>
          <w:szCs w:val="24"/>
          <w:lang w:val="en-GB"/>
        </w:rPr>
        <w:t xml:space="preserve"> welfare transfers </w:t>
      </w:r>
      <w:r w:rsidR="0070186A">
        <w:rPr>
          <w:szCs w:val="24"/>
          <w:lang w:val="en-GB"/>
        </w:rPr>
        <w:t>reduce</w:t>
      </w:r>
      <w:r w:rsidR="00EE1528">
        <w:rPr>
          <w:szCs w:val="24"/>
          <w:lang w:val="en-GB"/>
        </w:rPr>
        <w:t xml:space="preserve"> the disadvantage </w:t>
      </w:r>
      <w:r w:rsidR="00EE1528">
        <w:rPr>
          <w:szCs w:val="24"/>
          <w:lang w:val="en-GB"/>
        </w:rPr>
        <w:lastRenderedPageBreak/>
        <w:t>stemming from larger sibships</w:t>
      </w:r>
      <w:r w:rsidR="0070186A">
        <w:rPr>
          <w:szCs w:val="24"/>
          <w:lang w:val="en-GB"/>
        </w:rPr>
        <w:t xml:space="preserve"> and if this happens differently</w:t>
      </w:r>
      <w:r w:rsidR="00EE1528">
        <w:rPr>
          <w:szCs w:val="24"/>
          <w:lang w:val="en-GB"/>
        </w:rPr>
        <w:t xml:space="preserve"> </w:t>
      </w:r>
      <w:r w:rsidR="0070186A">
        <w:rPr>
          <w:szCs w:val="24"/>
          <w:lang w:val="en-GB"/>
        </w:rPr>
        <w:t xml:space="preserve">by </w:t>
      </w:r>
      <w:r w:rsidR="00EE1528">
        <w:rPr>
          <w:szCs w:val="24"/>
          <w:lang w:val="en-GB"/>
        </w:rPr>
        <w:t xml:space="preserve">three-generation </w:t>
      </w:r>
      <w:r w:rsidR="009F00FD">
        <w:rPr>
          <w:szCs w:val="24"/>
          <w:lang w:val="en-GB"/>
        </w:rPr>
        <w:t>co</w:t>
      </w:r>
      <w:r w:rsidR="0070186A">
        <w:rPr>
          <w:szCs w:val="24"/>
          <w:lang w:val="en-GB"/>
        </w:rPr>
        <w:t>residence</w:t>
      </w:r>
      <w:r w:rsidR="00EE1528">
        <w:rPr>
          <w:szCs w:val="24"/>
          <w:lang w:val="en-GB"/>
        </w:rPr>
        <w:t xml:space="preserve">. The third of these additional macro-level variables </w:t>
      </w:r>
      <w:r w:rsidR="0011650F">
        <w:rPr>
          <w:szCs w:val="24"/>
          <w:lang w:val="en-GB"/>
        </w:rPr>
        <w:t xml:space="preserve">(CDR) </w:t>
      </w:r>
      <w:r w:rsidR="00EE1528">
        <w:rPr>
          <w:szCs w:val="24"/>
          <w:lang w:val="en-GB"/>
        </w:rPr>
        <w:t xml:space="preserve">then reacts to </w:t>
      </w:r>
      <w:r w:rsidR="0011650F">
        <w:rPr>
          <w:szCs w:val="24"/>
          <w:lang w:val="en-GB"/>
        </w:rPr>
        <w:t xml:space="preserve">our </w:t>
      </w:r>
      <w:r w:rsidR="00EE1528">
        <w:rPr>
          <w:szCs w:val="24"/>
          <w:lang w:val="en-GB"/>
        </w:rPr>
        <w:t xml:space="preserve">assumption that it </w:t>
      </w:r>
      <w:r w:rsidR="0070186A">
        <w:rPr>
          <w:szCs w:val="24"/>
          <w:lang w:val="en-GB"/>
        </w:rPr>
        <w:t>might be</w:t>
      </w:r>
      <w:r w:rsidR="00EE1528">
        <w:rPr>
          <w:szCs w:val="24"/>
          <w:lang w:val="en-GB"/>
        </w:rPr>
        <w:t xml:space="preserve"> growing family instability (and not </w:t>
      </w:r>
      <w:r w:rsidR="0070186A">
        <w:rPr>
          <w:szCs w:val="24"/>
          <w:lang w:val="en-GB"/>
        </w:rPr>
        <w:t xml:space="preserve">socioeconomic </w:t>
      </w:r>
      <w:r w:rsidR="00EE1528">
        <w:rPr>
          <w:szCs w:val="24"/>
          <w:lang w:val="en-GB"/>
        </w:rPr>
        <w:t>development per se) that is responsible for increasing negative effects of coresidence and increasing negative effects of sibship size in more advanced societies</w:t>
      </w:r>
      <w:r w:rsidR="0070186A">
        <w:rPr>
          <w:szCs w:val="24"/>
          <w:lang w:val="en-GB"/>
        </w:rPr>
        <w:t>.</w:t>
      </w:r>
    </w:p>
    <w:p w14:paraId="06BB2E65" w14:textId="751A4BB5" w:rsidR="00414A70" w:rsidRDefault="001B7B7B" w:rsidP="006F30EE">
      <w:pPr>
        <w:spacing w:line="480" w:lineRule="auto"/>
        <w:rPr>
          <w:szCs w:val="24"/>
          <w:lang w:val="en-GB"/>
        </w:rPr>
      </w:pPr>
      <w:r>
        <w:rPr>
          <w:szCs w:val="24"/>
          <w:lang w:val="en-GB"/>
        </w:rPr>
        <w:t>Estimated parameters of these models are presented in Table 5.</w:t>
      </w:r>
      <w:r w:rsidR="004A2A99">
        <w:rPr>
          <w:szCs w:val="24"/>
          <w:lang w:val="en-GB"/>
        </w:rPr>
        <w:t xml:space="preserve"> Clearly, </w:t>
      </w:r>
      <w:r w:rsidR="00A540B4">
        <w:rPr>
          <w:szCs w:val="24"/>
          <w:lang w:val="en-GB"/>
        </w:rPr>
        <w:t xml:space="preserve">only some </w:t>
      </w:r>
      <w:r w:rsidR="004A2A99">
        <w:rPr>
          <w:szCs w:val="24"/>
          <w:lang w:val="en-GB"/>
        </w:rPr>
        <w:t xml:space="preserve">additional level-3 controls </w:t>
      </w:r>
      <w:r w:rsidR="00A540B4">
        <w:rPr>
          <w:szCs w:val="24"/>
          <w:lang w:val="en-GB"/>
        </w:rPr>
        <w:t xml:space="preserve">have a significant net effect on reading literacy. More specifically, TPSE and TPEE </w:t>
      </w:r>
      <w:r w:rsidR="00C02812">
        <w:rPr>
          <w:szCs w:val="24"/>
          <w:lang w:val="en-GB"/>
        </w:rPr>
        <w:t xml:space="preserve">have </w:t>
      </w:r>
      <w:r w:rsidR="00A540B4">
        <w:rPr>
          <w:szCs w:val="24"/>
          <w:lang w:val="en-GB"/>
        </w:rPr>
        <w:t>little net effect on reading literacy</w:t>
      </w:r>
      <w:r w:rsidR="0070186A">
        <w:rPr>
          <w:szCs w:val="24"/>
          <w:lang w:val="en-GB"/>
        </w:rPr>
        <w:t>. Furthermore,</w:t>
      </w:r>
      <w:r w:rsidR="007215C0">
        <w:rPr>
          <w:szCs w:val="24"/>
          <w:lang w:val="en-GB"/>
        </w:rPr>
        <w:t xml:space="preserve"> their interactions</w:t>
      </w:r>
      <w:r w:rsidR="0070186A">
        <w:rPr>
          <w:szCs w:val="24"/>
          <w:lang w:val="en-GB"/>
        </w:rPr>
        <w:t xml:space="preserve"> seem to be of negligible </w:t>
      </w:r>
      <w:r w:rsidR="00414A70">
        <w:rPr>
          <w:szCs w:val="24"/>
          <w:lang w:val="en-GB"/>
        </w:rPr>
        <w:t>substantive importance. For instance, the interaction between TPSE and sibship size is statistically significant (t=-4.78, p&lt;0.0005), but it is substantively uninteresting (the point estimate is -0.155</w:t>
      </w:r>
      <w:r w:rsidR="0070186A">
        <w:rPr>
          <w:szCs w:val="24"/>
          <w:lang w:val="en-GB"/>
        </w:rPr>
        <w:t xml:space="preserve"> with the TPSE</w:t>
      </w:r>
      <w:r w:rsidR="009F00FD">
        <w:rPr>
          <w:szCs w:val="24"/>
          <w:lang w:val="en-GB"/>
        </w:rPr>
        <w:t xml:space="preserve"> scale ranging from 2.32 to 28.5</w:t>
      </w:r>
      <w:r w:rsidR="00414A70">
        <w:rPr>
          <w:szCs w:val="24"/>
          <w:lang w:val="en-GB"/>
        </w:rPr>
        <w:t>).</w:t>
      </w:r>
      <w:r w:rsidR="00A540B4">
        <w:rPr>
          <w:szCs w:val="24"/>
          <w:lang w:val="en-GB"/>
        </w:rPr>
        <w:t xml:space="preserve"> CDR, on the other hand, has a positive net effect on reading </w:t>
      </w:r>
      <w:r w:rsidR="00C02812">
        <w:rPr>
          <w:szCs w:val="24"/>
          <w:lang w:val="en-GB"/>
        </w:rPr>
        <w:t>literacy</w:t>
      </w:r>
      <w:r w:rsidR="007215C0">
        <w:rPr>
          <w:szCs w:val="24"/>
          <w:lang w:val="en-GB"/>
        </w:rPr>
        <w:t xml:space="preserve"> (see Table 5</w:t>
      </w:r>
      <w:r w:rsidR="00B045B3">
        <w:rPr>
          <w:szCs w:val="24"/>
          <w:lang w:val="en-GB"/>
        </w:rPr>
        <w:t>). This positive association may reflect declining average levels of pre-divorce conflict at higher divorce rates (see e.g.</w:t>
      </w:r>
      <w:r w:rsidR="00B045B3" w:rsidRPr="00B045B3">
        <w:rPr>
          <w:lang w:val="en-GB"/>
        </w:rPr>
        <w:t xml:space="preserve"> </w:t>
      </w:r>
      <w:r w:rsidR="00B045B3" w:rsidRPr="009D7CF2">
        <w:rPr>
          <w:lang w:val="en-GB"/>
        </w:rPr>
        <w:t xml:space="preserve">Amato </w:t>
      </w:r>
      <w:r w:rsidR="00B045B3">
        <w:rPr>
          <w:lang w:val="en-GB"/>
        </w:rPr>
        <w:t>&amp;</w:t>
      </w:r>
      <w:r w:rsidR="00B045B3" w:rsidRPr="009D7CF2">
        <w:rPr>
          <w:lang w:val="en-GB"/>
        </w:rPr>
        <w:t xml:space="preserve"> Hohmann-Marriott</w:t>
      </w:r>
      <w:r w:rsidR="00B045B3">
        <w:rPr>
          <w:lang w:val="en-GB"/>
        </w:rPr>
        <w:t>,</w:t>
      </w:r>
      <w:r w:rsidR="00B045B3" w:rsidRPr="009D7CF2">
        <w:rPr>
          <w:lang w:val="en-GB"/>
        </w:rPr>
        <w:t xml:space="preserve"> </w:t>
      </w:r>
      <w:r w:rsidR="00B045B3">
        <w:rPr>
          <w:lang w:val="en-GB"/>
        </w:rPr>
        <w:t>2007)</w:t>
      </w:r>
      <w:r w:rsidR="009F00FD">
        <w:rPr>
          <w:szCs w:val="24"/>
          <w:lang w:val="en-GB"/>
        </w:rPr>
        <w:t>.</w:t>
      </w:r>
    </w:p>
    <w:p w14:paraId="55EF9D2D" w14:textId="2A96BF06" w:rsidR="00C02812" w:rsidRDefault="00A540B4" w:rsidP="006F30EE">
      <w:pPr>
        <w:spacing w:line="480" w:lineRule="auto"/>
        <w:rPr>
          <w:szCs w:val="24"/>
          <w:lang w:val="en-GB"/>
        </w:rPr>
      </w:pPr>
      <w:r>
        <w:rPr>
          <w:szCs w:val="24"/>
          <w:lang w:val="en-GB"/>
        </w:rPr>
        <w:t>Furthermore, once we</w:t>
      </w:r>
      <w:r w:rsidR="00C02812">
        <w:rPr>
          <w:szCs w:val="24"/>
          <w:lang w:val="en-GB"/>
        </w:rPr>
        <w:t xml:space="preserve"> add these level-3 controls (and their interactions) into our models, we see little </w:t>
      </w:r>
      <w:r w:rsidR="004A2A99">
        <w:rPr>
          <w:szCs w:val="24"/>
          <w:lang w:val="en-GB"/>
        </w:rPr>
        <w:t>change</w:t>
      </w:r>
      <w:r w:rsidR="009F00FD">
        <w:rPr>
          <w:szCs w:val="24"/>
          <w:lang w:val="en-GB"/>
        </w:rPr>
        <w:t xml:space="preserve"> in</w:t>
      </w:r>
      <w:r w:rsidR="004A2A99">
        <w:rPr>
          <w:szCs w:val="24"/>
          <w:lang w:val="en-GB"/>
        </w:rPr>
        <w:t xml:space="preserve"> the effects of other variables</w:t>
      </w:r>
      <w:r w:rsidR="0011650F">
        <w:rPr>
          <w:szCs w:val="24"/>
          <w:lang w:val="en-GB"/>
        </w:rPr>
        <w:t xml:space="preserve">. </w:t>
      </w:r>
      <w:r w:rsidR="009F00FD">
        <w:rPr>
          <w:szCs w:val="24"/>
          <w:lang w:val="en-GB"/>
        </w:rPr>
        <w:t>One of the mo</w:t>
      </w:r>
      <w:r w:rsidR="0097637C">
        <w:rPr>
          <w:szCs w:val="24"/>
          <w:lang w:val="en-GB"/>
        </w:rPr>
        <w:t>re</w:t>
      </w:r>
      <w:r w:rsidR="009F00FD">
        <w:rPr>
          <w:szCs w:val="24"/>
          <w:lang w:val="en-GB"/>
        </w:rPr>
        <w:t xml:space="preserve"> salient modifications is found in Model 3.</w:t>
      </w:r>
      <w:r w:rsidR="0011650F">
        <w:rPr>
          <w:szCs w:val="24"/>
          <w:lang w:val="en-GB"/>
        </w:rPr>
        <w:t xml:space="preserve"> </w:t>
      </w:r>
      <w:r w:rsidR="009F00FD">
        <w:rPr>
          <w:szCs w:val="24"/>
          <w:lang w:val="en-GB"/>
        </w:rPr>
        <w:t xml:space="preserve">It </w:t>
      </w:r>
      <w:r w:rsidR="00C02812">
        <w:rPr>
          <w:szCs w:val="24"/>
          <w:lang w:val="en-GB"/>
        </w:rPr>
        <w:t>suggests</w:t>
      </w:r>
      <w:r w:rsidR="0011650F">
        <w:rPr>
          <w:szCs w:val="24"/>
          <w:lang w:val="en-GB"/>
        </w:rPr>
        <w:t xml:space="preserve"> that the </w:t>
      </w:r>
      <w:r w:rsidR="00C02812">
        <w:rPr>
          <w:szCs w:val="24"/>
          <w:lang w:val="en-GB"/>
        </w:rPr>
        <w:t xml:space="preserve">effect of sibship size (among not-coresiding students) does not change with development – it is </w:t>
      </w:r>
      <w:r w:rsidR="007215C0">
        <w:rPr>
          <w:szCs w:val="24"/>
          <w:lang w:val="en-GB"/>
        </w:rPr>
        <w:t>between -3.984 and -3.706 in the lowest and highest categories of HDI (</w:t>
      </w:r>
      <w:r w:rsidR="009F00FD">
        <w:rPr>
          <w:szCs w:val="24"/>
          <w:lang w:val="en-GB"/>
        </w:rPr>
        <w:t xml:space="preserve">with somewhat lower values in the middle two categories, </w:t>
      </w:r>
      <w:r w:rsidR="007215C0">
        <w:rPr>
          <w:szCs w:val="24"/>
          <w:lang w:val="en-GB"/>
        </w:rPr>
        <w:t>see Table 6). The effect of sibship size does, however,  change with HDI among students who coreside with their grandparents and it becomes more negative at</w:t>
      </w:r>
      <w:r w:rsidR="009F00FD">
        <w:rPr>
          <w:szCs w:val="24"/>
          <w:lang w:val="en-GB"/>
        </w:rPr>
        <w:t xml:space="preserve"> </w:t>
      </w:r>
      <w:r w:rsidR="007215C0">
        <w:rPr>
          <w:szCs w:val="24"/>
          <w:lang w:val="en-GB"/>
        </w:rPr>
        <w:t>higher development levels (see Table 6): for instance the effect of sibship size is -4.405, -5.273, -6.446, and -7.164  in the 1</w:t>
      </w:r>
      <w:r w:rsidR="007215C0" w:rsidRPr="007215C0">
        <w:rPr>
          <w:szCs w:val="24"/>
          <w:vertAlign w:val="superscript"/>
          <w:lang w:val="en-GB"/>
        </w:rPr>
        <w:t>st</w:t>
      </w:r>
      <w:r w:rsidR="007215C0">
        <w:rPr>
          <w:szCs w:val="24"/>
          <w:lang w:val="en-GB"/>
        </w:rPr>
        <w:t>, 2</w:t>
      </w:r>
      <w:r w:rsidR="007215C0" w:rsidRPr="007215C0">
        <w:rPr>
          <w:szCs w:val="24"/>
          <w:vertAlign w:val="superscript"/>
          <w:lang w:val="en-GB"/>
        </w:rPr>
        <w:t>nd</w:t>
      </w:r>
      <w:r w:rsidR="007215C0">
        <w:rPr>
          <w:szCs w:val="24"/>
          <w:lang w:val="en-GB"/>
        </w:rPr>
        <w:t>,</w:t>
      </w:r>
      <w:r w:rsidR="00414A70">
        <w:rPr>
          <w:szCs w:val="24"/>
          <w:lang w:val="en-GB"/>
        </w:rPr>
        <w:t xml:space="preserve"> 3</w:t>
      </w:r>
      <w:r w:rsidR="007215C0" w:rsidRPr="00414A70">
        <w:rPr>
          <w:szCs w:val="24"/>
          <w:vertAlign w:val="superscript"/>
          <w:lang w:val="en-GB"/>
        </w:rPr>
        <w:t>r</w:t>
      </w:r>
      <w:r w:rsidR="00414A70" w:rsidRPr="00414A70">
        <w:rPr>
          <w:szCs w:val="24"/>
          <w:vertAlign w:val="superscript"/>
          <w:lang w:val="en-GB"/>
        </w:rPr>
        <w:t>d</w:t>
      </w:r>
      <w:r w:rsidR="007215C0">
        <w:rPr>
          <w:szCs w:val="24"/>
          <w:lang w:val="en-GB"/>
        </w:rPr>
        <w:t>, and 4</w:t>
      </w:r>
      <w:r w:rsidR="007215C0" w:rsidRPr="007215C0">
        <w:rPr>
          <w:szCs w:val="24"/>
          <w:vertAlign w:val="superscript"/>
          <w:lang w:val="en-GB"/>
        </w:rPr>
        <w:t>th</w:t>
      </w:r>
      <w:r w:rsidR="007215C0">
        <w:rPr>
          <w:szCs w:val="24"/>
          <w:lang w:val="en-GB"/>
        </w:rPr>
        <w:t xml:space="preserve"> HDI quartiles</w:t>
      </w:r>
      <w:r w:rsidR="00414A70">
        <w:rPr>
          <w:szCs w:val="24"/>
          <w:lang w:val="en-GB"/>
        </w:rPr>
        <w:t>,</w:t>
      </w:r>
      <w:r w:rsidR="007215C0">
        <w:rPr>
          <w:szCs w:val="24"/>
          <w:lang w:val="en-GB"/>
        </w:rPr>
        <w:t xml:space="preserve"> respectively</w:t>
      </w:r>
      <w:r w:rsidR="0097637C">
        <w:rPr>
          <w:szCs w:val="24"/>
          <w:lang w:val="en-GB"/>
        </w:rPr>
        <w:t xml:space="preserve"> </w:t>
      </w:r>
      <w:r w:rsidR="007215C0">
        <w:rPr>
          <w:szCs w:val="24"/>
          <w:lang w:val="en-GB"/>
        </w:rPr>
        <w:t>(see Table 6</w:t>
      </w:r>
      <w:r w:rsidR="0097637C">
        <w:rPr>
          <w:szCs w:val="24"/>
          <w:lang w:val="en-GB"/>
        </w:rPr>
        <w:t>, Model 3</w:t>
      </w:r>
      <w:r w:rsidR="007215C0">
        <w:rPr>
          <w:szCs w:val="24"/>
          <w:lang w:val="en-GB"/>
        </w:rPr>
        <w:t>). Hence, sibship size effect incr</w:t>
      </w:r>
      <w:r w:rsidR="009F00FD">
        <w:rPr>
          <w:szCs w:val="24"/>
          <w:lang w:val="en-GB"/>
        </w:rPr>
        <w:t xml:space="preserve">eases with HDI when we look at </w:t>
      </w:r>
      <w:r w:rsidR="007215C0">
        <w:rPr>
          <w:szCs w:val="24"/>
          <w:lang w:val="en-GB"/>
        </w:rPr>
        <w:t>students living in three-generation households and it</w:t>
      </w:r>
      <w:r w:rsidR="00414A70">
        <w:rPr>
          <w:szCs w:val="24"/>
          <w:lang w:val="en-GB"/>
        </w:rPr>
        <w:t>s</w:t>
      </w:r>
      <w:r w:rsidR="007215C0">
        <w:rPr>
          <w:szCs w:val="24"/>
          <w:lang w:val="en-GB"/>
        </w:rPr>
        <w:t xml:space="preserve"> slope is significantly </w:t>
      </w:r>
      <w:r w:rsidR="009F00FD">
        <w:rPr>
          <w:szCs w:val="24"/>
          <w:lang w:val="en-GB"/>
        </w:rPr>
        <w:t xml:space="preserve">steeper than among students </w:t>
      </w:r>
      <w:r w:rsidR="007215C0">
        <w:rPr>
          <w:szCs w:val="24"/>
          <w:lang w:val="en-GB"/>
        </w:rPr>
        <w:t>not living in three-generation households.</w:t>
      </w:r>
    </w:p>
    <w:p w14:paraId="646DA1EF" w14:textId="77777777" w:rsidR="00CA28CB" w:rsidRDefault="007215C0" w:rsidP="006F30EE">
      <w:pPr>
        <w:spacing w:line="480" w:lineRule="auto"/>
        <w:rPr>
          <w:szCs w:val="24"/>
          <w:lang w:val="en-GB"/>
        </w:rPr>
      </w:pPr>
      <w:r>
        <w:rPr>
          <w:szCs w:val="24"/>
          <w:lang w:val="en-GB"/>
        </w:rPr>
        <w:lastRenderedPageBreak/>
        <w:t xml:space="preserve">Also Models </w:t>
      </w:r>
      <w:r w:rsidR="00414A70">
        <w:rPr>
          <w:szCs w:val="24"/>
          <w:lang w:val="en-GB"/>
        </w:rPr>
        <w:t xml:space="preserve">4 and 5 document </w:t>
      </w:r>
      <w:r w:rsidR="009F00FD">
        <w:rPr>
          <w:szCs w:val="24"/>
          <w:lang w:val="en-GB"/>
        </w:rPr>
        <w:t>that the effect of sibship size</w:t>
      </w:r>
      <w:r>
        <w:rPr>
          <w:szCs w:val="24"/>
          <w:lang w:val="en-GB"/>
        </w:rPr>
        <w:t xml:space="preserve"> </w:t>
      </w:r>
      <w:r w:rsidR="009F00FD">
        <w:rPr>
          <w:szCs w:val="24"/>
          <w:lang w:val="en-GB"/>
        </w:rPr>
        <w:t>changes</w:t>
      </w:r>
      <w:r w:rsidR="00414A70">
        <w:rPr>
          <w:szCs w:val="24"/>
          <w:lang w:val="en-GB"/>
        </w:rPr>
        <w:t xml:space="preserve"> more dramatically </w:t>
      </w:r>
      <w:r>
        <w:rPr>
          <w:szCs w:val="24"/>
          <w:lang w:val="en-GB"/>
        </w:rPr>
        <w:t xml:space="preserve">(i.e. </w:t>
      </w:r>
      <w:r w:rsidR="00414A70">
        <w:rPr>
          <w:szCs w:val="24"/>
          <w:lang w:val="en-GB"/>
        </w:rPr>
        <w:t xml:space="preserve">becomes </w:t>
      </w:r>
      <w:r>
        <w:rPr>
          <w:szCs w:val="24"/>
          <w:lang w:val="en-GB"/>
        </w:rPr>
        <w:t xml:space="preserve">more negative) </w:t>
      </w:r>
      <w:r w:rsidR="00414A70">
        <w:rPr>
          <w:szCs w:val="24"/>
          <w:lang w:val="en-GB"/>
        </w:rPr>
        <w:t xml:space="preserve">with HDI levels </w:t>
      </w:r>
      <w:r w:rsidR="009F00FD">
        <w:rPr>
          <w:szCs w:val="24"/>
          <w:lang w:val="en-GB"/>
        </w:rPr>
        <w:t xml:space="preserve">in three-generation households than in </w:t>
      </w:r>
      <w:r w:rsidR="00414A70">
        <w:rPr>
          <w:szCs w:val="24"/>
          <w:lang w:val="en-GB"/>
        </w:rPr>
        <w:t xml:space="preserve">two-generation households. </w:t>
      </w:r>
      <w:r>
        <w:rPr>
          <w:szCs w:val="24"/>
          <w:lang w:val="en-GB"/>
        </w:rPr>
        <w:t xml:space="preserve">For instance, Model 4, which controls for TPEE and its interaction with sibship size, </w:t>
      </w:r>
      <w:r w:rsidR="00414A70">
        <w:rPr>
          <w:szCs w:val="24"/>
          <w:lang w:val="en-GB"/>
        </w:rPr>
        <w:t>gives the</w:t>
      </w:r>
      <w:r w:rsidR="009F00FD">
        <w:rPr>
          <w:szCs w:val="24"/>
          <w:lang w:val="en-GB"/>
        </w:rPr>
        <w:t xml:space="preserve"> following</w:t>
      </w:r>
      <w:r w:rsidR="00414A70">
        <w:rPr>
          <w:szCs w:val="24"/>
          <w:lang w:val="en-GB"/>
        </w:rPr>
        <w:t xml:space="preserve"> point estimates of the sibship size effect in three-generation households: </w:t>
      </w:r>
      <w:r w:rsidR="00622377">
        <w:rPr>
          <w:szCs w:val="24"/>
          <w:lang w:val="en-GB"/>
        </w:rPr>
        <w:t>-2.867, -5.399, -6.945, and -7.537 in the 1</w:t>
      </w:r>
      <w:r w:rsidR="00622377" w:rsidRPr="00622377">
        <w:rPr>
          <w:szCs w:val="24"/>
          <w:vertAlign w:val="superscript"/>
          <w:lang w:val="en-GB"/>
        </w:rPr>
        <w:t>st</w:t>
      </w:r>
      <w:r w:rsidR="00622377">
        <w:rPr>
          <w:szCs w:val="24"/>
          <w:lang w:val="en-GB"/>
        </w:rPr>
        <w:t>, 2</w:t>
      </w:r>
      <w:r w:rsidR="00622377" w:rsidRPr="00622377">
        <w:rPr>
          <w:szCs w:val="24"/>
          <w:vertAlign w:val="superscript"/>
          <w:lang w:val="en-GB"/>
        </w:rPr>
        <w:t>nd</w:t>
      </w:r>
      <w:r w:rsidR="00622377">
        <w:rPr>
          <w:szCs w:val="24"/>
          <w:lang w:val="en-GB"/>
        </w:rPr>
        <w:t>, 3dr, and 4</w:t>
      </w:r>
      <w:r w:rsidR="00622377" w:rsidRPr="00622377">
        <w:rPr>
          <w:szCs w:val="24"/>
          <w:vertAlign w:val="superscript"/>
          <w:lang w:val="en-GB"/>
        </w:rPr>
        <w:t>th</w:t>
      </w:r>
      <w:r w:rsidR="00622377">
        <w:rPr>
          <w:szCs w:val="24"/>
          <w:lang w:val="en-GB"/>
        </w:rPr>
        <w:t xml:space="preserve"> </w:t>
      </w:r>
      <w:r w:rsidR="009F00FD">
        <w:rPr>
          <w:szCs w:val="24"/>
          <w:lang w:val="en-GB"/>
        </w:rPr>
        <w:t xml:space="preserve">quartiles </w:t>
      </w:r>
      <w:r w:rsidR="00622377">
        <w:rPr>
          <w:szCs w:val="24"/>
          <w:lang w:val="en-GB"/>
        </w:rPr>
        <w:t xml:space="preserve">of development (see Table 6). The sibship size effect grows only relatively </w:t>
      </w:r>
      <w:r w:rsidR="009F00FD">
        <w:rPr>
          <w:szCs w:val="24"/>
          <w:lang w:val="en-GB"/>
        </w:rPr>
        <w:t>moderately</w:t>
      </w:r>
      <w:r w:rsidR="00622377">
        <w:rPr>
          <w:szCs w:val="24"/>
          <w:lang w:val="en-GB"/>
        </w:rPr>
        <w:t xml:space="preserve"> with HDI in two-generation households, from -2.585 in the lowest HDI quartile to -4.103 n</w:t>
      </w:r>
      <w:r w:rsidR="009F00FD">
        <w:rPr>
          <w:szCs w:val="24"/>
          <w:lang w:val="en-GB"/>
        </w:rPr>
        <w:t xml:space="preserve"> the highest HDI quartile (see </w:t>
      </w:r>
      <w:r w:rsidR="00622377">
        <w:rPr>
          <w:szCs w:val="24"/>
          <w:lang w:val="en-GB"/>
        </w:rPr>
        <w:t xml:space="preserve">Table 6). Model 5 (which controls for CDR at level-3) confirms the same story. The sibship size effect among coresiding students grows from -2.955 at the lowest HDI level to -7.455 at the highest HDI level, while it increases from -2.668 to -4.023 only, when we look at students who are not coresiding with their grandparents (see Table 6). Hence,  even Models 3, 4, and 5 confirm that </w:t>
      </w:r>
      <w:r w:rsidR="009F00FD">
        <w:rPr>
          <w:szCs w:val="24"/>
          <w:lang w:val="en-GB"/>
        </w:rPr>
        <w:t xml:space="preserve">the </w:t>
      </w:r>
      <w:r w:rsidR="00622377">
        <w:rPr>
          <w:szCs w:val="24"/>
          <w:lang w:val="en-GB"/>
        </w:rPr>
        <w:t>effect of sibship size change</w:t>
      </w:r>
      <w:r w:rsidR="009F00FD">
        <w:rPr>
          <w:szCs w:val="24"/>
          <w:lang w:val="en-GB"/>
        </w:rPr>
        <w:t>s</w:t>
      </w:r>
      <w:r w:rsidR="00622377">
        <w:rPr>
          <w:szCs w:val="24"/>
          <w:lang w:val="en-GB"/>
        </w:rPr>
        <w:t xml:space="preserve"> to a significant degree with HDI levels when we look at three-generation households, whereas it changes comparatively little (or not at </w:t>
      </w:r>
      <w:r w:rsidR="009F00FD">
        <w:rPr>
          <w:szCs w:val="24"/>
          <w:lang w:val="en-GB"/>
        </w:rPr>
        <w:t xml:space="preserve">all) when we  investigate </w:t>
      </w:r>
      <w:r w:rsidR="00622377">
        <w:rPr>
          <w:szCs w:val="24"/>
          <w:lang w:val="en-GB"/>
        </w:rPr>
        <w:t>two-generation households only.</w:t>
      </w:r>
      <w:r w:rsidR="00426836">
        <w:rPr>
          <w:rStyle w:val="Znakapoznpodarou"/>
          <w:szCs w:val="24"/>
          <w:lang w:val="en-GB"/>
        </w:rPr>
        <w:footnoteReference w:id="3"/>
      </w:r>
    </w:p>
    <w:p w14:paraId="5CEA3ED1" w14:textId="77777777" w:rsidR="009F00FD" w:rsidRDefault="009F00FD" w:rsidP="007B14FB">
      <w:pPr>
        <w:spacing w:line="480" w:lineRule="auto"/>
        <w:jc w:val="center"/>
        <w:rPr>
          <w:szCs w:val="24"/>
          <w:lang w:val="en-GB"/>
        </w:rPr>
      </w:pPr>
    </w:p>
    <w:p w14:paraId="2178AE78" w14:textId="77777777" w:rsidR="007B14FB" w:rsidRDefault="007B14FB" w:rsidP="007B14FB">
      <w:pPr>
        <w:spacing w:line="480" w:lineRule="auto"/>
        <w:jc w:val="center"/>
        <w:rPr>
          <w:szCs w:val="24"/>
          <w:lang w:val="en-GB"/>
        </w:rPr>
      </w:pPr>
      <w:r>
        <w:rPr>
          <w:szCs w:val="24"/>
          <w:lang w:val="en-GB"/>
        </w:rPr>
        <w:t>&lt;Table 6 about here&gt;</w:t>
      </w:r>
    </w:p>
    <w:p w14:paraId="2DCA0391" w14:textId="77777777" w:rsidR="009F00FD" w:rsidRDefault="009F00FD" w:rsidP="007B14FB">
      <w:pPr>
        <w:spacing w:line="480" w:lineRule="auto"/>
        <w:jc w:val="center"/>
        <w:rPr>
          <w:szCs w:val="24"/>
          <w:lang w:val="en-GB"/>
        </w:rPr>
      </w:pPr>
    </w:p>
    <w:p w14:paraId="39F7A093" w14:textId="77777777" w:rsidR="00175AA9" w:rsidRPr="00654DF1" w:rsidRDefault="00175AA9" w:rsidP="006F30EE">
      <w:pPr>
        <w:pStyle w:val="Nadpis1"/>
      </w:pPr>
      <w:r w:rsidRPr="00654DF1">
        <w:lastRenderedPageBreak/>
        <w:t>Conclusions</w:t>
      </w:r>
      <w:r w:rsidR="00426836">
        <w:t xml:space="preserve"> and discussion</w:t>
      </w:r>
    </w:p>
    <w:p w14:paraId="6BD80B81" w14:textId="6810BD8E" w:rsidR="00426836" w:rsidRDefault="00175AA9" w:rsidP="006F30EE">
      <w:pPr>
        <w:spacing w:line="480" w:lineRule="auto"/>
        <w:rPr>
          <w:szCs w:val="24"/>
          <w:lang w:val="en-GB"/>
        </w:rPr>
      </w:pPr>
      <w:r>
        <w:rPr>
          <w:szCs w:val="24"/>
          <w:lang w:val="en-GB"/>
        </w:rPr>
        <w:t xml:space="preserve">We have documented that the </w:t>
      </w:r>
      <w:r w:rsidR="00E87383">
        <w:rPr>
          <w:szCs w:val="24"/>
          <w:lang w:val="en-GB"/>
        </w:rPr>
        <w:t xml:space="preserve">estimated associations between </w:t>
      </w:r>
      <w:r>
        <w:rPr>
          <w:szCs w:val="24"/>
          <w:lang w:val="en-GB"/>
        </w:rPr>
        <w:t xml:space="preserve">number of siblings </w:t>
      </w:r>
      <w:r w:rsidR="00E87383">
        <w:rPr>
          <w:szCs w:val="24"/>
          <w:lang w:val="en-GB"/>
        </w:rPr>
        <w:t xml:space="preserve">and </w:t>
      </w:r>
      <w:r>
        <w:rPr>
          <w:szCs w:val="24"/>
          <w:lang w:val="en-GB"/>
        </w:rPr>
        <w:t>readin</w:t>
      </w:r>
      <w:r w:rsidR="00E87383">
        <w:rPr>
          <w:szCs w:val="24"/>
          <w:lang w:val="en-GB"/>
        </w:rPr>
        <w:t>g test scores among 15-year</w:t>
      </w:r>
      <w:r w:rsidR="00F7262B">
        <w:rPr>
          <w:szCs w:val="24"/>
          <w:lang w:val="en-GB"/>
        </w:rPr>
        <w:t>-</w:t>
      </w:r>
      <w:r w:rsidR="00E87383">
        <w:rPr>
          <w:szCs w:val="24"/>
          <w:lang w:val="en-GB"/>
        </w:rPr>
        <w:t>old students</w:t>
      </w:r>
      <w:r>
        <w:rPr>
          <w:szCs w:val="24"/>
          <w:lang w:val="en-GB"/>
        </w:rPr>
        <w:t xml:space="preserve"> vary systematically with grandparental </w:t>
      </w:r>
      <w:r w:rsidR="00731759">
        <w:rPr>
          <w:szCs w:val="24"/>
          <w:lang w:val="en-GB"/>
        </w:rPr>
        <w:t>cores</w:t>
      </w:r>
      <w:r w:rsidR="00251BAD">
        <w:rPr>
          <w:szCs w:val="24"/>
          <w:lang w:val="en-GB"/>
        </w:rPr>
        <w:t>i</w:t>
      </w:r>
      <w:r>
        <w:rPr>
          <w:szCs w:val="24"/>
          <w:lang w:val="en-GB"/>
        </w:rPr>
        <w:t xml:space="preserve">dence and with the level of development as measured by the Human </w:t>
      </w:r>
      <w:r w:rsidR="007826FD">
        <w:rPr>
          <w:szCs w:val="24"/>
          <w:lang w:val="en-GB"/>
        </w:rPr>
        <w:t>D</w:t>
      </w:r>
      <w:r>
        <w:rPr>
          <w:szCs w:val="24"/>
          <w:lang w:val="en-GB"/>
        </w:rPr>
        <w:t xml:space="preserve">evelopment </w:t>
      </w:r>
      <w:r w:rsidR="007826FD">
        <w:rPr>
          <w:szCs w:val="24"/>
          <w:lang w:val="en-GB"/>
        </w:rPr>
        <w:t>I</w:t>
      </w:r>
      <w:r>
        <w:rPr>
          <w:szCs w:val="24"/>
          <w:lang w:val="en-GB"/>
        </w:rPr>
        <w:t>ndex</w:t>
      </w:r>
      <w:r w:rsidR="00E87383">
        <w:rPr>
          <w:szCs w:val="24"/>
          <w:lang w:val="en-GB"/>
        </w:rPr>
        <w:t xml:space="preserve"> in a sample of 40 countries</w:t>
      </w:r>
      <w:r>
        <w:rPr>
          <w:szCs w:val="24"/>
          <w:lang w:val="en-GB"/>
        </w:rPr>
        <w:t xml:space="preserve">. The negative </w:t>
      </w:r>
      <w:r w:rsidR="00E87383">
        <w:rPr>
          <w:szCs w:val="24"/>
          <w:lang w:val="en-GB"/>
        </w:rPr>
        <w:t xml:space="preserve">association between </w:t>
      </w:r>
      <w:r w:rsidR="005E51DB">
        <w:rPr>
          <w:szCs w:val="24"/>
          <w:lang w:val="en-GB"/>
        </w:rPr>
        <w:t>sibship</w:t>
      </w:r>
      <w:r w:rsidR="00E87383">
        <w:rPr>
          <w:szCs w:val="24"/>
          <w:lang w:val="en-GB"/>
        </w:rPr>
        <w:t xml:space="preserve"> size and reading scores </w:t>
      </w:r>
      <w:r>
        <w:rPr>
          <w:szCs w:val="24"/>
          <w:lang w:val="en-GB"/>
        </w:rPr>
        <w:t>was relatively modest</w:t>
      </w:r>
      <w:r w:rsidR="007826FD">
        <w:rPr>
          <w:szCs w:val="24"/>
          <w:lang w:val="en-GB"/>
        </w:rPr>
        <w:t>,</w:t>
      </w:r>
      <w:r>
        <w:rPr>
          <w:szCs w:val="24"/>
          <w:lang w:val="en-GB"/>
        </w:rPr>
        <w:t xml:space="preserve"> and did not differ by </w:t>
      </w:r>
      <w:r w:rsidR="00731759">
        <w:rPr>
          <w:szCs w:val="24"/>
          <w:lang w:val="en-GB"/>
        </w:rPr>
        <w:t>cores</w:t>
      </w:r>
      <w:r w:rsidR="00251BAD">
        <w:rPr>
          <w:szCs w:val="24"/>
          <w:lang w:val="en-GB"/>
        </w:rPr>
        <w:t>i</w:t>
      </w:r>
      <w:r>
        <w:rPr>
          <w:szCs w:val="24"/>
          <w:lang w:val="en-GB"/>
        </w:rPr>
        <w:t>dence</w:t>
      </w:r>
      <w:r w:rsidR="00D6490E">
        <w:rPr>
          <w:szCs w:val="24"/>
          <w:lang w:val="en-GB"/>
        </w:rPr>
        <w:t>,</w:t>
      </w:r>
      <w:r>
        <w:rPr>
          <w:szCs w:val="24"/>
          <w:lang w:val="en-GB"/>
        </w:rPr>
        <w:t xml:space="preserve"> in the least developed nations in our sample. Yet</w:t>
      </w:r>
      <w:r w:rsidR="00D6490E">
        <w:rPr>
          <w:szCs w:val="24"/>
          <w:lang w:val="en-GB"/>
        </w:rPr>
        <w:t>,</w:t>
      </w:r>
      <w:r>
        <w:rPr>
          <w:szCs w:val="24"/>
          <w:lang w:val="en-GB"/>
        </w:rPr>
        <w:t xml:space="preserve"> the</w:t>
      </w:r>
      <w:r w:rsidR="00E87383">
        <w:rPr>
          <w:szCs w:val="24"/>
          <w:lang w:val="en-GB"/>
        </w:rPr>
        <w:t>se</w:t>
      </w:r>
      <w:r>
        <w:rPr>
          <w:szCs w:val="24"/>
          <w:lang w:val="en-GB"/>
        </w:rPr>
        <w:t xml:space="preserve"> </w:t>
      </w:r>
      <w:r w:rsidR="00E87383">
        <w:rPr>
          <w:szCs w:val="24"/>
          <w:lang w:val="en-GB"/>
        </w:rPr>
        <w:t xml:space="preserve">associations </w:t>
      </w:r>
      <w:r>
        <w:rPr>
          <w:szCs w:val="24"/>
          <w:lang w:val="en-GB"/>
        </w:rPr>
        <w:t>tend to be more negative</w:t>
      </w:r>
      <w:r w:rsidR="00D6490E">
        <w:rPr>
          <w:szCs w:val="24"/>
          <w:lang w:val="en-GB"/>
        </w:rPr>
        <w:t xml:space="preserve"> at higher levels of HDI</w:t>
      </w:r>
      <w:r>
        <w:rPr>
          <w:szCs w:val="24"/>
          <w:lang w:val="en-GB"/>
        </w:rPr>
        <w:t xml:space="preserve">. </w:t>
      </w:r>
      <w:r w:rsidR="00E87383">
        <w:rPr>
          <w:szCs w:val="24"/>
          <w:lang w:val="en-GB"/>
        </w:rPr>
        <w:t xml:space="preserve">Furthermore, the </w:t>
      </w:r>
      <w:r>
        <w:rPr>
          <w:szCs w:val="24"/>
          <w:lang w:val="en-GB"/>
        </w:rPr>
        <w:t xml:space="preserve">increase </w:t>
      </w:r>
      <w:r w:rsidR="00F744B8">
        <w:rPr>
          <w:szCs w:val="24"/>
          <w:lang w:val="en-GB"/>
        </w:rPr>
        <w:t>is</w:t>
      </w:r>
      <w:r>
        <w:rPr>
          <w:szCs w:val="24"/>
          <w:lang w:val="en-GB"/>
        </w:rPr>
        <w:t xml:space="preserve"> greater among students </w:t>
      </w:r>
      <w:r w:rsidR="005F2674">
        <w:rPr>
          <w:szCs w:val="24"/>
          <w:lang w:val="en-GB"/>
        </w:rPr>
        <w:t>who</w:t>
      </w:r>
      <w:r>
        <w:rPr>
          <w:szCs w:val="24"/>
          <w:lang w:val="en-GB"/>
        </w:rPr>
        <w:t xml:space="preserve"> </w:t>
      </w:r>
      <w:r w:rsidR="00731759">
        <w:rPr>
          <w:szCs w:val="24"/>
          <w:lang w:val="en-GB"/>
        </w:rPr>
        <w:t>cores</w:t>
      </w:r>
      <w:r w:rsidR="00720ACF">
        <w:rPr>
          <w:szCs w:val="24"/>
          <w:lang w:val="en-GB"/>
        </w:rPr>
        <w:t>ide</w:t>
      </w:r>
      <w:r>
        <w:rPr>
          <w:szCs w:val="24"/>
          <w:lang w:val="en-GB"/>
        </w:rPr>
        <w:t xml:space="preserve"> with grandparents and relatively </w:t>
      </w:r>
      <w:r w:rsidR="00654DF1">
        <w:rPr>
          <w:szCs w:val="24"/>
          <w:lang w:val="en-GB"/>
        </w:rPr>
        <w:t xml:space="preserve">smaller </w:t>
      </w:r>
      <w:r>
        <w:rPr>
          <w:szCs w:val="24"/>
          <w:lang w:val="en-GB"/>
        </w:rPr>
        <w:t>(but still significant</w:t>
      </w:r>
      <w:r w:rsidR="0012382F">
        <w:rPr>
          <w:szCs w:val="24"/>
          <w:lang w:val="en-GB"/>
        </w:rPr>
        <w:t>ly different from zero</w:t>
      </w:r>
      <w:r>
        <w:rPr>
          <w:szCs w:val="24"/>
          <w:lang w:val="en-GB"/>
        </w:rPr>
        <w:t xml:space="preserve">) among students </w:t>
      </w:r>
      <w:r w:rsidR="005F2674">
        <w:rPr>
          <w:szCs w:val="24"/>
          <w:lang w:val="en-GB"/>
        </w:rPr>
        <w:t>who</w:t>
      </w:r>
      <w:r w:rsidR="00720ACF">
        <w:rPr>
          <w:szCs w:val="24"/>
          <w:lang w:val="en-GB"/>
        </w:rPr>
        <w:t xml:space="preserve"> live</w:t>
      </w:r>
      <w:r>
        <w:rPr>
          <w:szCs w:val="24"/>
          <w:lang w:val="en-GB"/>
        </w:rPr>
        <w:t xml:space="preserve"> separately from their grandparents.</w:t>
      </w:r>
      <w:r w:rsidR="00426836">
        <w:rPr>
          <w:szCs w:val="24"/>
          <w:lang w:val="en-GB"/>
        </w:rPr>
        <w:t xml:space="preserve"> </w:t>
      </w:r>
      <w:r w:rsidR="00F744B8">
        <w:rPr>
          <w:szCs w:val="24"/>
          <w:lang w:val="en-GB"/>
        </w:rPr>
        <w:t>Hence, three-generation coresidence magnifies the disadvantage stemming from large sibships</w:t>
      </w:r>
      <w:r w:rsidR="0012382F">
        <w:rPr>
          <w:szCs w:val="24"/>
          <w:lang w:val="en-GB"/>
        </w:rPr>
        <w:t xml:space="preserve"> </w:t>
      </w:r>
      <w:r w:rsidR="00F744B8">
        <w:rPr>
          <w:szCs w:val="24"/>
          <w:lang w:val="en-GB"/>
        </w:rPr>
        <w:t xml:space="preserve">and does so more strongly in the most advanced societies. </w:t>
      </w:r>
      <w:r w:rsidR="00426836">
        <w:rPr>
          <w:szCs w:val="24"/>
          <w:lang w:val="en-GB"/>
        </w:rPr>
        <w:t xml:space="preserve">The main findings are rather robust vis-à-vis </w:t>
      </w:r>
      <w:r w:rsidR="0012382F">
        <w:rPr>
          <w:szCs w:val="24"/>
          <w:lang w:val="en-GB"/>
        </w:rPr>
        <w:t xml:space="preserve">partial </w:t>
      </w:r>
      <w:r w:rsidR="00426836">
        <w:rPr>
          <w:szCs w:val="24"/>
          <w:lang w:val="en-GB"/>
        </w:rPr>
        <w:t xml:space="preserve">model </w:t>
      </w:r>
      <w:r w:rsidR="0012382F">
        <w:rPr>
          <w:szCs w:val="24"/>
          <w:lang w:val="en-GB"/>
        </w:rPr>
        <w:t>re-</w:t>
      </w:r>
      <w:r w:rsidR="00426836">
        <w:rPr>
          <w:szCs w:val="24"/>
          <w:lang w:val="en-GB"/>
        </w:rPr>
        <w:t>specification</w:t>
      </w:r>
      <w:r w:rsidR="0012382F">
        <w:rPr>
          <w:szCs w:val="24"/>
          <w:lang w:val="en-GB"/>
        </w:rPr>
        <w:t>s</w:t>
      </w:r>
      <w:r w:rsidR="00426836">
        <w:rPr>
          <w:szCs w:val="24"/>
          <w:lang w:val="en-GB"/>
        </w:rPr>
        <w:t xml:space="preserve"> including adding new macro-level covariates </w:t>
      </w:r>
      <w:r w:rsidR="001D20EB">
        <w:rPr>
          <w:szCs w:val="24"/>
          <w:lang w:val="en-GB"/>
        </w:rPr>
        <w:t>(and their interactions with sibship size)</w:t>
      </w:r>
      <w:r w:rsidR="00F744B8">
        <w:rPr>
          <w:szCs w:val="24"/>
          <w:lang w:val="en-GB"/>
        </w:rPr>
        <w:t xml:space="preserve"> </w:t>
      </w:r>
      <w:r w:rsidR="00426836">
        <w:rPr>
          <w:szCs w:val="24"/>
          <w:lang w:val="en-GB"/>
        </w:rPr>
        <w:t>such as public spending on education, public spending on social security, and crude divorce rate.</w:t>
      </w:r>
    </w:p>
    <w:p w14:paraId="5A3E477A" w14:textId="17F46D30" w:rsidR="00C43686" w:rsidRDefault="00175AA9" w:rsidP="006F30EE">
      <w:pPr>
        <w:spacing w:line="480" w:lineRule="auto"/>
        <w:rPr>
          <w:szCs w:val="24"/>
          <w:lang w:val="en-GB"/>
        </w:rPr>
      </w:pPr>
      <w:r>
        <w:rPr>
          <w:szCs w:val="24"/>
          <w:lang w:val="en-GB"/>
        </w:rPr>
        <w:t>Our finding</w:t>
      </w:r>
      <w:r w:rsidR="00654DF1">
        <w:rPr>
          <w:szCs w:val="24"/>
          <w:lang w:val="en-GB"/>
        </w:rPr>
        <w:t xml:space="preserve">s </w:t>
      </w:r>
      <w:r>
        <w:rPr>
          <w:szCs w:val="24"/>
          <w:lang w:val="en-GB"/>
        </w:rPr>
        <w:t xml:space="preserve">do not fully confirm our initial hypotheses that grandparental </w:t>
      </w:r>
      <w:r w:rsidR="00731759">
        <w:rPr>
          <w:szCs w:val="24"/>
          <w:lang w:val="en-GB"/>
        </w:rPr>
        <w:t>cores</w:t>
      </w:r>
      <w:r>
        <w:rPr>
          <w:szCs w:val="24"/>
          <w:lang w:val="en-GB"/>
        </w:rPr>
        <w:t xml:space="preserve">idence would protect students from the negative effects of resource scarcity </w:t>
      </w:r>
      <w:r w:rsidR="00654DF1">
        <w:rPr>
          <w:szCs w:val="24"/>
          <w:lang w:val="en-GB"/>
        </w:rPr>
        <w:t xml:space="preserve">resulting from a </w:t>
      </w:r>
      <w:r w:rsidR="00142710">
        <w:rPr>
          <w:szCs w:val="24"/>
          <w:lang w:val="en-GB"/>
        </w:rPr>
        <w:t xml:space="preserve">larger sibship </w:t>
      </w:r>
      <w:r>
        <w:rPr>
          <w:szCs w:val="24"/>
          <w:lang w:val="en-GB"/>
        </w:rPr>
        <w:t>at</w:t>
      </w:r>
      <w:r w:rsidR="00142710">
        <w:rPr>
          <w:szCs w:val="24"/>
          <w:lang w:val="en-GB"/>
        </w:rPr>
        <w:t xml:space="preserve"> </w:t>
      </w:r>
      <w:r>
        <w:rPr>
          <w:szCs w:val="24"/>
          <w:lang w:val="en-GB"/>
        </w:rPr>
        <w:t>lower levels of social development.</w:t>
      </w:r>
      <w:r w:rsidR="00142710">
        <w:rPr>
          <w:szCs w:val="24"/>
          <w:lang w:val="en-GB"/>
        </w:rPr>
        <w:t xml:space="preserve"> </w:t>
      </w:r>
      <w:r w:rsidR="007826FD">
        <w:rPr>
          <w:szCs w:val="24"/>
          <w:lang w:val="en-GB"/>
        </w:rPr>
        <w:t>I</w:t>
      </w:r>
      <w:r w:rsidR="00142710">
        <w:rPr>
          <w:szCs w:val="24"/>
          <w:lang w:val="en-GB"/>
        </w:rPr>
        <w:t xml:space="preserve">t is possible that </w:t>
      </w:r>
      <w:r w:rsidR="00731759">
        <w:rPr>
          <w:szCs w:val="24"/>
          <w:lang w:val="en-GB"/>
        </w:rPr>
        <w:t>cores</w:t>
      </w:r>
      <w:r w:rsidR="00142710">
        <w:rPr>
          <w:szCs w:val="24"/>
          <w:lang w:val="en-GB"/>
        </w:rPr>
        <w:t xml:space="preserve">idence with grandparents has this protective effect, but </w:t>
      </w:r>
      <w:r w:rsidR="00654DF1">
        <w:rPr>
          <w:szCs w:val="24"/>
          <w:lang w:val="en-GB"/>
        </w:rPr>
        <w:t>it might</w:t>
      </w:r>
      <w:r w:rsidR="007826FD">
        <w:rPr>
          <w:szCs w:val="24"/>
          <w:lang w:val="en-GB"/>
        </w:rPr>
        <w:t xml:space="preserve"> only</w:t>
      </w:r>
      <w:r w:rsidR="00654DF1">
        <w:rPr>
          <w:szCs w:val="24"/>
          <w:lang w:val="en-GB"/>
        </w:rPr>
        <w:t xml:space="preserve"> be detectible </w:t>
      </w:r>
      <w:r w:rsidR="00142710">
        <w:rPr>
          <w:szCs w:val="24"/>
          <w:lang w:val="en-GB"/>
        </w:rPr>
        <w:t xml:space="preserve">at much lower levels of development. Our analysis was based on </w:t>
      </w:r>
      <w:r w:rsidR="007826FD">
        <w:rPr>
          <w:szCs w:val="24"/>
          <w:lang w:val="en-GB"/>
        </w:rPr>
        <w:t xml:space="preserve">a </w:t>
      </w:r>
      <w:r w:rsidR="00142710">
        <w:rPr>
          <w:szCs w:val="24"/>
          <w:lang w:val="en-GB"/>
        </w:rPr>
        <w:t xml:space="preserve">sample of </w:t>
      </w:r>
      <w:r w:rsidR="00626C73">
        <w:rPr>
          <w:szCs w:val="24"/>
          <w:lang w:val="en-GB"/>
        </w:rPr>
        <w:t xml:space="preserve">40 </w:t>
      </w:r>
      <w:r w:rsidR="00142710">
        <w:rPr>
          <w:szCs w:val="24"/>
          <w:lang w:val="en-GB"/>
        </w:rPr>
        <w:t>relatively advanced societies that included OE</w:t>
      </w:r>
      <w:r w:rsidR="00654DF1">
        <w:rPr>
          <w:szCs w:val="24"/>
          <w:lang w:val="en-GB"/>
        </w:rPr>
        <w:t>C</w:t>
      </w:r>
      <w:r w:rsidR="00142710">
        <w:rPr>
          <w:szCs w:val="24"/>
          <w:lang w:val="en-GB"/>
        </w:rPr>
        <w:t xml:space="preserve">D countries and a handful of other, </w:t>
      </w:r>
      <w:r w:rsidR="00654DF1">
        <w:rPr>
          <w:szCs w:val="24"/>
          <w:lang w:val="en-GB"/>
        </w:rPr>
        <w:t xml:space="preserve">comparatively </w:t>
      </w:r>
      <w:r w:rsidR="00142710">
        <w:rPr>
          <w:szCs w:val="24"/>
          <w:lang w:val="en-GB"/>
        </w:rPr>
        <w:t xml:space="preserve">advanced nations. The lowest value of the Human </w:t>
      </w:r>
      <w:r w:rsidR="007826FD">
        <w:rPr>
          <w:szCs w:val="24"/>
          <w:lang w:val="en-GB"/>
        </w:rPr>
        <w:t>D</w:t>
      </w:r>
      <w:r w:rsidR="00142710">
        <w:rPr>
          <w:szCs w:val="24"/>
          <w:lang w:val="en-GB"/>
        </w:rPr>
        <w:t xml:space="preserve">evelopment </w:t>
      </w:r>
      <w:r w:rsidR="007826FD">
        <w:rPr>
          <w:szCs w:val="24"/>
          <w:lang w:val="en-GB"/>
        </w:rPr>
        <w:t>I</w:t>
      </w:r>
      <w:r w:rsidR="00142710">
        <w:rPr>
          <w:szCs w:val="24"/>
          <w:lang w:val="en-GB"/>
        </w:rPr>
        <w:t>ndex in our sample was 0.54</w:t>
      </w:r>
      <w:r w:rsidR="00E75160">
        <w:rPr>
          <w:szCs w:val="24"/>
          <w:lang w:val="en-GB"/>
        </w:rPr>
        <w:t>3</w:t>
      </w:r>
      <w:r w:rsidR="00142710">
        <w:rPr>
          <w:szCs w:val="24"/>
          <w:lang w:val="en-GB"/>
        </w:rPr>
        <w:t xml:space="preserve"> </w:t>
      </w:r>
      <w:r w:rsidR="00654DF1">
        <w:rPr>
          <w:szCs w:val="24"/>
          <w:lang w:val="en-GB"/>
        </w:rPr>
        <w:t>(</w:t>
      </w:r>
      <w:r w:rsidR="00142710">
        <w:rPr>
          <w:szCs w:val="24"/>
          <w:lang w:val="en-GB"/>
        </w:rPr>
        <w:t>in Indonesia</w:t>
      </w:r>
      <w:r w:rsidR="00654DF1">
        <w:rPr>
          <w:szCs w:val="24"/>
          <w:lang w:val="en-GB"/>
        </w:rPr>
        <w:t>)</w:t>
      </w:r>
      <w:r w:rsidR="00142710">
        <w:rPr>
          <w:szCs w:val="24"/>
          <w:lang w:val="en-GB"/>
        </w:rPr>
        <w:t>, with the average value being 0.80; i.e. it is possible t</w:t>
      </w:r>
      <w:r w:rsidR="00654DF1">
        <w:rPr>
          <w:szCs w:val="24"/>
          <w:lang w:val="en-GB"/>
        </w:rPr>
        <w:t xml:space="preserve">hat our data did not represent social </w:t>
      </w:r>
      <w:r w:rsidR="00142710">
        <w:rPr>
          <w:szCs w:val="24"/>
          <w:lang w:val="en-GB"/>
        </w:rPr>
        <w:t>contexts where the anticipated protective effect would play out fully.</w:t>
      </w:r>
      <w:r w:rsidR="001D20EB">
        <w:rPr>
          <w:szCs w:val="24"/>
          <w:lang w:val="en-GB"/>
        </w:rPr>
        <w:t xml:space="preserve"> We therefore believe that our hypothesis </w:t>
      </w:r>
      <w:r w:rsidR="001D20EB">
        <w:rPr>
          <w:szCs w:val="24"/>
          <w:lang w:val="en-GB"/>
        </w:rPr>
        <w:lastRenderedPageBreak/>
        <w:t>should also be examined in other, less advanced societies</w:t>
      </w:r>
      <w:r w:rsidR="00F744B8">
        <w:rPr>
          <w:szCs w:val="24"/>
          <w:lang w:val="en-GB"/>
        </w:rPr>
        <w:t xml:space="preserve"> in order to be subjected to a more complete test</w:t>
      </w:r>
      <w:r w:rsidR="001D20EB">
        <w:rPr>
          <w:szCs w:val="24"/>
          <w:lang w:val="en-GB"/>
        </w:rPr>
        <w:t>.</w:t>
      </w:r>
    </w:p>
    <w:p w14:paraId="2248F7A7" w14:textId="69DAFB61" w:rsidR="00B2675B" w:rsidRDefault="00B2675B" w:rsidP="006F30EE">
      <w:pPr>
        <w:spacing w:line="480" w:lineRule="auto"/>
        <w:rPr>
          <w:szCs w:val="24"/>
          <w:lang w:val="en-GB"/>
        </w:rPr>
      </w:pPr>
      <w:r>
        <w:rPr>
          <w:szCs w:val="24"/>
          <w:lang w:val="en-GB"/>
        </w:rPr>
        <w:t xml:space="preserve">The results do, however, provide evidence that </w:t>
      </w:r>
      <w:r w:rsidR="00731759">
        <w:rPr>
          <w:szCs w:val="24"/>
          <w:lang w:val="en-GB"/>
        </w:rPr>
        <w:t>cores</w:t>
      </w:r>
      <w:r>
        <w:rPr>
          <w:szCs w:val="24"/>
          <w:lang w:val="en-GB"/>
        </w:rPr>
        <w:t xml:space="preserve">idence of three generations </w:t>
      </w:r>
      <w:r w:rsidR="00D6490E">
        <w:rPr>
          <w:szCs w:val="24"/>
          <w:lang w:val="en-GB"/>
        </w:rPr>
        <w:t>is associated</w:t>
      </w:r>
      <w:r>
        <w:rPr>
          <w:szCs w:val="24"/>
          <w:lang w:val="en-GB"/>
        </w:rPr>
        <w:t>–on average–</w:t>
      </w:r>
      <w:r w:rsidR="00D6490E">
        <w:rPr>
          <w:szCs w:val="24"/>
          <w:lang w:val="en-GB"/>
        </w:rPr>
        <w:t xml:space="preserve">with </w:t>
      </w:r>
      <w:r>
        <w:rPr>
          <w:szCs w:val="24"/>
          <w:lang w:val="en-GB"/>
        </w:rPr>
        <w:t xml:space="preserve">a significant socio-economic disadvantage at higher levels of development. Indeed, this disadvantage increases at higher levels of modernization. We interpret this as an indication that grandparents </w:t>
      </w:r>
      <w:r w:rsidR="00D6490E">
        <w:rPr>
          <w:szCs w:val="24"/>
          <w:lang w:val="en-GB"/>
        </w:rPr>
        <w:t xml:space="preserve">tend to </w:t>
      </w:r>
      <w:r w:rsidR="00731759">
        <w:rPr>
          <w:szCs w:val="24"/>
          <w:lang w:val="en-GB"/>
        </w:rPr>
        <w:t>cores</w:t>
      </w:r>
      <w:r w:rsidR="00D6490E">
        <w:rPr>
          <w:szCs w:val="24"/>
          <w:lang w:val="en-GB"/>
        </w:rPr>
        <w:t xml:space="preserve">ide as dependents </w:t>
      </w:r>
      <w:r w:rsidR="001D20EB">
        <w:rPr>
          <w:szCs w:val="24"/>
          <w:lang w:val="en-GB"/>
        </w:rPr>
        <w:t xml:space="preserve">(rather than as providers) </w:t>
      </w:r>
      <w:r>
        <w:rPr>
          <w:szCs w:val="24"/>
          <w:lang w:val="en-GB"/>
        </w:rPr>
        <w:t xml:space="preserve">more often in more advanced socio-economic contexts. </w:t>
      </w:r>
      <w:r w:rsidR="003007A0">
        <w:rPr>
          <w:szCs w:val="24"/>
          <w:lang w:val="en-GB"/>
        </w:rPr>
        <w:t xml:space="preserve">While </w:t>
      </w:r>
      <w:r w:rsidR="00D6490E">
        <w:rPr>
          <w:szCs w:val="24"/>
          <w:lang w:val="en-GB"/>
        </w:rPr>
        <w:t xml:space="preserve">three-generation </w:t>
      </w:r>
      <w:r w:rsidR="003007A0">
        <w:rPr>
          <w:szCs w:val="24"/>
          <w:lang w:val="en-GB"/>
        </w:rPr>
        <w:t xml:space="preserve">households </w:t>
      </w:r>
      <w:r w:rsidR="00D6490E">
        <w:rPr>
          <w:szCs w:val="24"/>
          <w:lang w:val="en-GB"/>
        </w:rPr>
        <w:t xml:space="preserve">are </w:t>
      </w:r>
      <w:r w:rsidR="003007A0">
        <w:rPr>
          <w:szCs w:val="24"/>
          <w:lang w:val="en-GB"/>
        </w:rPr>
        <w:t xml:space="preserve">less and less common, </w:t>
      </w:r>
      <w:r w:rsidR="00D6490E">
        <w:rPr>
          <w:szCs w:val="24"/>
          <w:lang w:val="en-GB"/>
        </w:rPr>
        <w:t xml:space="preserve">they are </w:t>
      </w:r>
      <w:r w:rsidR="003007A0">
        <w:rPr>
          <w:szCs w:val="24"/>
          <w:lang w:val="en-GB"/>
        </w:rPr>
        <w:t>associated with growing socio-economic dis</w:t>
      </w:r>
      <w:r w:rsidR="00F744B8">
        <w:rPr>
          <w:szCs w:val="24"/>
          <w:lang w:val="en-GB"/>
        </w:rPr>
        <w:t>advantage</w:t>
      </w:r>
      <w:r w:rsidR="003007A0">
        <w:rPr>
          <w:szCs w:val="24"/>
          <w:lang w:val="en-GB"/>
        </w:rPr>
        <w:t xml:space="preserve">. </w:t>
      </w:r>
      <w:r>
        <w:rPr>
          <w:szCs w:val="24"/>
          <w:lang w:val="en-GB"/>
        </w:rPr>
        <w:t xml:space="preserve">To the extent that cross-sectional data may hint at future developments, one would anticipate that the </w:t>
      </w:r>
      <w:r w:rsidR="001D20EB">
        <w:rPr>
          <w:szCs w:val="24"/>
          <w:lang w:val="en-GB"/>
        </w:rPr>
        <w:t xml:space="preserve">harmful </w:t>
      </w:r>
      <w:r>
        <w:rPr>
          <w:szCs w:val="24"/>
          <w:lang w:val="en-GB"/>
        </w:rPr>
        <w:t xml:space="preserve">effects of three-generational </w:t>
      </w:r>
      <w:r w:rsidR="00731759">
        <w:rPr>
          <w:szCs w:val="24"/>
          <w:lang w:val="en-GB"/>
        </w:rPr>
        <w:t>cores</w:t>
      </w:r>
      <w:r>
        <w:rPr>
          <w:szCs w:val="24"/>
          <w:lang w:val="en-GB"/>
        </w:rPr>
        <w:t xml:space="preserve">idence would magnify in the coming decades </w:t>
      </w:r>
      <w:r w:rsidR="00D6490E">
        <w:rPr>
          <w:szCs w:val="24"/>
          <w:lang w:val="en-GB"/>
        </w:rPr>
        <w:t xml:space="preserve">if </w:t>
      </w:r>
      <w:r w:rsidR="00F744B8">
        <w:rPr>
          <w:szCs w:val="24"/>
          <w:lang w:val="en-GB"/>
        </w:rPr>
        <w:t xml:space="preserve">the </w:t>
      </w:r>
      <w:r w:rsidR="00D6490E">
        <w:rPr>
          <w:szCs w:val="24"/>
          <w:lang w:val="en-GB"/>
        </w:rPr>
        <w:t xml:space="preserve">modernization </w:t>
      </w:r>
      <w:r w:rsidR="00F744B8">
        <w:rPr>
          <w:szCs w:val="24"/>
          <w:lang w:val="en-GB"/>
        </w:rPr>
        <w:t xml:space="preserve">process </w:t>
      </w:r>
      <w:r w:rsidR="00D6490E">
        <w:rPr>
          <w:szCs w:val="24"/>
          <w:lang w:val="en-GB"/>
        </w:rPr>
        <w:t>continues.</w:t>
      </w:r>
      <w:r w:rsidR="00DF0662">
        <w:rPr>
          <w:szCs w:val="24"/>
          <w:lang w:val="en-GB"/>
        </w:rPr>
        <w:t xml:space="preserve"> </w:t>
      </w:r>
      <w:r w:rsidR="00D6490E">
        <w:rPr>
          <w:szCs w:val="24"/>
          <w:lang w:val="en-GB"/>
        </w:rPr>
        <w:t>If this development takes place, it would further highlight</w:t>
      </w:r>
      <w:r>
        <w:rPr>
          <w:szCs w:val="24"/>
          <w:lang w:val="en-GB"/>
        </w:rPr>
        <w:t xml:space="preserve"> the need to include multiple generations in</w:t>
      </w:r>
      <w:r w:rsidR="003007A0">
        <w:rPr>
          <w:szCs w:val="24"/>
          <w:lang w:val="en-GB"/>
        </w:rPr>
        <w:t xml:space="preserve"> status attainment models</w:t>
      </w:r>
      <w:r w:rsidR="0012382F">
        <w:rPr>
          <w:szCs w:val="24"/>
          <w:lang w:val="en-GB"/>
        </w:rPr>
        <w:t xml:space="preserve"> (see e.g. </w:t>
      </w:r>
      <w:r w:rsidR="0012382F">
        <w:rPr>
          <w:lang w:val="en-US"/>
        </w:rPr>
        <w:t xml:space="preserve">Chan &amp; Boliver, 2013; </w:t>
      </w:r>
      <w:r w:rsidR="0012382F" w:rsidRPr="00AB4E26">
        <w:rPr>
          <w:szCs w:val="18"/>
          <w:lang w:val="en-US"/>
        </w:rPr>
        <w:t>Hällsten</w:t>
      </w:r>
      <w:r w:rsidR="0012382F">
        <w:rPr>
          <w:szCs w:val="18"/>
          <w:lang w:val="en-US"/>
        </w:rPr>
        <w:t>, 2013;</w:t>
      </w:r>
      <w:r w:rsidR="0012382F">
        <w:rPr>
          <w:lang w:val="en-US"/>
        </w:rPr>
        <w:t xml:space="preserve"> Hertel &amp; Groh-Samberg, 2013; Jaeger, 2012; </w:t>
      </w:r>
      <w:r w:rsidR="0012382F">
        <w:rPr>
          <w:szCs w:val="24"/>
          <w:lang w:val="en-GB"/>
        </w:rPr>
        <w:t>Mare, 2011, 2014; Pfeffer, 2014)</w:t>
      </w:r>
      <w:r w:rsidR="003007A0">
        <w:rPr>
          <w:szCs w:val="24"/>
          <w:lang w:val="en-GB"/>
        </w:rPr>
        <w:t>.</w:t>
      </w:r>
    </w:p>
    <w:p w14:paraId="64517D75" w14:textId="78D631F3" w:rsidR="001D20EB" w:rsidRDefault="001D20EB" w:rsidP="006F30EE">
      <w:pPr>
        <w:spacing w:line="480" w:lineRule="auto"/>
        <w:rPr>
          <w:szCs w:val="24"/>
          <w:lang w:val="en-GB"/>
        </w:rPr>
      </w:pPr>
      <w:r>
        <w:rPr>
          <w:szCs w:val="24"/>
          <w:lang w:val="en-GB"/>
        </w:rPr>
        <w:t xml:space="preserve">Furthermore, our results suggest that </w:t>
      </w:r>
      <w:r w:rsidR="00F744B8">
        <w:rPr>
          <w:szCs w:val="24"/>
          <w:lang w:val="en-GB"/>
        </w:rPr>
        <w:t xml:space="preserve">a </w:t>
      </w:r>
      <w:r>
        <w:rPr>
          <w:szCs w:val="24"/>
          <w:lang w:val="en-GB"/>
        </w:rPr>
        <w:t xml:space="preserve">larger </w:t>
      </w:r>
      <w:r w:rsidR="00F744B8">
        <w:rPr>
          <w:szCs w:val="24"/>
          <w:lang w:val="en-GB"/>
        </w:rPr>
        <w:t>sibship</w:t>
      </w:r>
      <w:r>
        <w:rPr>
          <w:szCs w:val="24"/>
          <w:lang w:val="en-GB"/>
        </w:rPr>
        <w:t xml:space="preserve"> and three-generation coresidence represent two particular dimensions of disadvantage. When they are combined</w:t>
      </w:r>
      <w:r w:rsidR="00F744B8">
        <w:rPr>
          <w:szCs w:val="24"/>
          <w:lang w:val="en-GB"/>
        </w:rPr>
        <w:t>,</w:t>
      </w:r>
      <w:r>
        <w:rPr>
          <w:szCs w:val="24"/>
          <w:lang w:val="en-GB"/>
        </w:rPr>
        <w:t xml:space="preserve"> children’s tests scores are particularly strongly impacted</w:t>
      </w:r>
      <w:r w:rsidR="0012382F">
        <w:rPr>
          <w:szCs w:val="24"/>
          <w:lang w:val="en-GB"/>
        </w:rPr>
        <w:t>;</w:t>
      </w:r>
      <w:r>
        <w:rPr>
          <w:szCs w:val="24"/>
          <w:lang w:val="en-GB"/>
        </w:rPr>
        <w:t xml:space="preserve"> more </w:t>
      </w:r>
      <w:r w:rsidR="0012382F">
        <w:rPr>
          <w:szCs w:val="24"/>
          <w:lang w:val="en-GB"/>
        </w:rPr>
        <w:t xml:space="preserve">so </w:t>
      </w:r>
      <w:r>
        <w:rPr>
          <w:szCs w:val="24"/>
          <w:lang w:val="en-GB"/>
        </w:rPr>
        <w:t xml:space="preserve">than one would expect on the basis of each of these </w:t>
      </w:r>
      <w:r w:rsidR="0012382F">
        <w:rPr>
          <w:szCs w:val="24"/>
          <w:lang w:val="en-GB"/>
        </w:rPr>
        <w:t>circumstances</w:t>
      </w:r>
      <w:r>
        <w:rPr>
          <w:szCs w:val="24"/>
          <w:lang w:val="en-GB"/>
        </w:rPr>
        <w:t xml:space="preserve"> alone.</w:t>
      </w:r>
      <w:r w:rsidR="00237A19">
        <w:rPr>
          <w:szCs w:val="24"/>
          <w:lang w:val="en-GB"/>
        </w:rPr>
        <w:t xml:space="preserve"> This interaction also suggests that the disadvantages associated with coresidence and sibship size do not reflect one underlying scale (e.g. household density), because this argument would imply that </w:t>
      </w:r>
      <w:r w:rsidR="00E5351E">
        <w:rPr>
          <w:szCs w:val="24"/>
          <w:lang w:val="en-GB"/>
        </w:rPr>
        <w:t xml:space="preserve">– in the context of a multivariate statistical model – </w:t>
      </w:r>
      <w:r w:rsidR="00237A19">
        <w:rPr>
          <w:szCs w:val="24"/>
          <w:lang w:val="en-GB"/>
        </w:rPr>
        <w:t>both coresidence and sibship size should affect test score</w:t>
      </w:r>
      <w:r w:rsidR="0012382F">
        <w:rPr>
          <w:szCs w:val="24"/>
          <w:lang w:val="en-GB"/>
        </w:rPr>
        <w:t>s</w:t>
      </w:r>
      <w:r w:rsidR="00237A19">
        <w:rPr>
          <w:szCs w:val="24"/>
          <w:lang w:val="en-GB"/>
        </w:rPr>
        <w:t xml:space="preserve"> additively.</w:t>
      </w:r>
    </w:p>
    <w:p w14:paraId="2546EFC3" w14:textId="3BF8A5BE" w:rsidR="003D3F29" w:rsidRDefault="003D3F29" w:rsidP="006F30EE">
      <w:pPr>
        <w:spacing w:line="480" w:lineRule="auto"/>
        <w:rPr>
          <w:szCs w:val="24"/>
          <w:lang w:val="en-GB"/>
        </w:rPr>
      </w:pPr>
      <w:r>
        <w:rPr>
          <w:szCs w:val="24"/>
          <w:lang w:val="en-GB"/>
        </w:rPr>
        <w:t>This paper illustrates further the heterogeneity of sibship size effects. Other authors have shown that the sibship size effect may vary according to help coming from outside of the nuclear family, e.g. from the extended family (</w:t>
      </w:r>
      <w:r w:rsidR="00FC1E13">
        <w:rPr>
          <w:szCs w:val="24"/>
          <w:lang w:val="en-GB"/>
        </w:rPr>
        <w:t xml:space="preserve">Shavit &amp; </w:t>
      </w:r>
      <w:r>
        <w:rPr>
          <w:szCs w:val="24"/>
          <w:lang w:val="en-GB"/>
        </w:rPr>
        <w:t xml:space="preserve">Pierce, 1991), religious communities </w:t>
      </w:r>
      <w:r>
        <w:rPr>
          <w:szCs w:val="24"/>
          <w:lang w:val="en-GB"/>
        </w:rPr>
        <w:lastRenderedPageBreak/>
        <w:t>(Blake</w:t>
      </w:r>
      <w:r w:rsidR="00972832">
        <w:rPr>
          <w:szCs w:val="24"/>
          <w:lang w:val="en-GB"/>
        </w:rPr>
        <w:t>,</w:t>
      </w:r>
      <w:r>
        <w:rPr>
          <w:szCs w:val="24"/>
          <w:lang w:val="en-GB"/>
        </w:rPr>
        <w:t xml:space="preserve"> </w:t>
      </w:r>
      <w:r w:rsidR="00972832">
        <w:rPr>
          <w:szCs w:val="24"/>
          <w:lang w:val="en-GB"/>
        </w:rPr>
        <w:t>1989</w:t>
      </w:r>
      <w:r>
        <w:rPr>
          <w:szCs w:val="24"/>
          <w:lang w:val="en-GB"/>
        </w:rPr>
        <w:t>), or the state (Park</w:t>
      </w:r>
      <w:r w:rsidR="00972832">
        <w:rPr>
          <w:szCs w:val="24"/>
          <w:lang w:val="en-GB"/>
        </w:rPr>
        <w:t>,</w:t>
      </w:r>
      <w:r>
        <w:rPr>
          <w:szCs w:val="24"/>
          <w:lang w:val="en-GB"/>
        </w:rPr>
        <w:t xml:space="preserve"> 2008). We have shown that the sibship size effect also varies by level of over</w:t>
      </w:r>
      <w:r w:rsidR="00FC1E13">
        <w:rPr>
          <w:szCs w:val="24"/>
          <w:lang w:val="en-GB"/>
        </w:rPr>
        <w:t xml:space="preserve">all socioeconomic development, </w:t>
      </w:r>
      <w:r>
        <w:rPr>
          <w:szCs w:val="24"/>
          <w:lang w:val="en-GB"/>
        </w:rPr>
        <w:t xml:space="preserve">being relatively weak in less advanced societies and quite stronger in more advanced societal contexts. Furthermore, </w:t>
      </w:r>
      <w:r w:rsidR="00FC1E13">
        <w:rPr>
          <w:szCs w:val="24"/>
          <w:lang w:val="en-GB"/>
        </w:rPr>
        <w:t>we have shown that the sibship size effect interacts with three-generation coresidence: the sibship size effect is significantly stronger in three-generation household</w:t>
      </w:r>
      <w:r w:rsidR="0012382F">
        <w:rPr>
          <w:szCs w:val="24"/>
          <w:lang w:val="en-GB"/>
        </w:rPr>
        <w:t>s than in two generation households</w:t>
      </w:r>
      <w:r w:rsidR="00FC1E13">
        <w:rPr>
          <w:szCs w:val="24"/>
          <w:lang w:val="en-GB"/>
        </w:rPr>
        <w:t>. This finding, however</w:t>
      </w:r>
      <w:r w:rsidR="0012382F">
        <w:rPr>
          <w:szCs w:val="24"/>
          <w:lang w:val="en-GB"/>
        </w:rPr>
        <w:t>,</w:t>
      </w:r>
      <w:r w:rsidR="00FC1E13">
        <w:rPr>
          <w:szCs w:val="24"/>
          <w:lang w:val="en-GB"/>
        </w:rPr>
        <w:t xml:space="preserve"> </w:t>
      </w:r>
      <w:r w:rsidR="00972832">
        <w:rPr>
          <w:szCs w:val="24"/>
          <w:lang w:val="en-GB"/>
        </w:rPr>
        <w:t xml:space="preserve">is </w:t>
      </w:r>
      <w:r w:rsidR="00FC1E13">
        <w:rPr>
          <w:szCs w:val="24"/>
          <w:lang w:val="en-GB"/>
        </w:rPr>
        <w:t xml:space="preserve">only limited </w:t>
      </w:r>
      <w:r w:rsidR="00972832">
        <w:rPr>
          <w:szCs w:val="24"/>
          <w:lang w:val="en-GB"/>
        </w:rPr>
        <w:t xml:space="preserve">to the more advanced societies </w:t>
      </w:r>
      <w:r w:rsidR="00FC1E13">
        <w:rPr>
          <w:szCs w:val="24"/>
          <w:lang w:val="en-GB"/>
        </w:rPr>
        <w:t>in our sample.</w:t>
      </w:r>
      <w:r w:rsidR="00972832">
        <w:rPr>
          <w:szCs w:val="24"/>
          <w:lang w:val="en-GB"/>
        </w:rPr>
        <w:t xml:space="preserve"> </w:t>
      </w:r>
    </w:p>
    <w:p w14:paraId="2D68C1CA" w14:textId="1D274E3A" w:rsidR="00DB08A5" w:rsidRDefault="00C43686" w:rsidP="006F30EE">
      <w:pPr>
        <w:spacing w:line="480" w:lineRule="auto"/>
        <w:rPr>
          <w:szCs w:val="24"/>
          <w:lang w:val="en-GB"/>
        </w:rPr>
      </w:pPr>
      <w:r>
        <w:rPr>
          <w:szCs w:val="24"/>
          <w:lang w:val="en-GB"/>
        </w:rPr>
        <w:t xml:space="preserve">The purpose of this text was not to adjudicate the three competing interpretations of the </w:t>
      </w:r>
      <w:r w:rsidR="0012382F">
        <w:rPr>
          <w:szCs w:val="24"/>
          <w:lang w:val="en-GB"/>
        </w:rPr>
        <w:t xml:space="preserve">repeatedly reported </w:t>
      </w:r>
      <w:r>
        <w:rPr>
          <w:szCs w:val="24"/>
          <w:lang w:val="en-GB"/>
        </w:rPr>
        <w:t>associations between sibship size and educational achievement</w:t>
      </w:r>
      <w:r w:rsidR="0012382F">
        <w:rPr>
          <w:szCs w:val="24"/>
          <w:lang w:val="en-GB"/>
        </w:rPr>
        <w:t xml:space="preserve"> (</w:t>
      </w:r>
      <w:r w:rsidR="0012382F">
        <w:rPr>
          <w:color w:val="000000"/>
          <w:szCs w:val="24"/>
          <w:lang w:val="en-US"/>
        </w:rPr>
        <w:t>Booth &amp;</w:t>
      </w:r>
      <w:r w:rsidR="0012382F" w:rsidRPr="004B2B22">
        <w:rPr>
          <w:color w:val="000000"/>
          <w:szCs w:val="24"/>
          <w:lang w:val="en-US"/>
        </w:rPr>
        <w:t xml:space="preserve"> Kee</w:t>
      </w:r>
      <w:r w:rsidR="0012382F">
        <w:rPr>
          <w:color w:val="000000"/>
          <w:szCs w:val="24"/>
          <w:lang w:val="en-US"/>
        </w:rPr>
        <w:t>,</w:t>
      </w:r>
      <w:r w:rsidR="0012382F" w:rsidRPr="004B2B22">
        <w:rPr>
          <w:color w:val="000000"/>
          <w:szCs w:val="24"/>
          <w:lang w:val="en-US"/>
        </w:rPr>
        <w:t xml:space="preserve"> 2005; Jaeger</w:t>
      </w:r>
      <w:r w:rsidR="0012382F">
        <w:rPr>
          <w:color w:val="000000"/>
          <w:szCs w:val="24"/>
          <w:lang w:val="en-US"/>
        </w:rPr>
        <w:t>,</w:t>
      </w:r>
      <w:r w:rsidR="0012382F" w:rsidRPr="004B2B22">
        <w:rPr>
          <w:color w:val="000000"/>
          <w:szCs w:val="24"/>
          <w:lang w:val="en-US"/>
        </w:rPr>
        <w:t xml:space="preserve"> 2008; </w:t>
      </w:r>
      <w:r w:rsidR="0012382F">
        <w:rPr>
          <w:color w:val="000000"/>
          <w:szCs w:val="24"/>
          <w:lang w:val="en-US"/>
        </w:rPr>
        <w:t xml:space="preserve">Kuo &amp; Hauser, 1997; </w:t>
      </w:r>
      <w:r w:rsidR="0012382F" w:rsidRPr="004B2B22">
        <w:rPr>
          <w:color w:val="000000"/>
          <w:szCs w:val="24"/>
          <w:lang w:val="en-US"/>
        </w:rPr>
        <w:t>Park</w:t>
      </w:r>
      <w:r w:rsidR="0012382F">
        <w:rPr>
          <w:color w:val="000000"/>
          <w:szCs w:val="24"/>
          <w:lang w:val="en-US"/>
        </w:rPr>
        <w:t>,</w:t>
      </w:r>
      <w:r w:rsidR="0012382F" w:rsidRPr="004B2B22">
        <w:rPr>
          <w:color w:val="000000"/>
          <w:szCs w:val="24"/>
          <w:lang w:val="en-US"/>
        </w:rPr>
        <w:t xml:space="preserve"> </w:t>
      </w:r>
      <w:r w:rsidR="0012382F">
        <w:rPr>
          <w:color w:val="000000"/>
          <w:szCs w:val="24"/>
          <w:lang w:val="en-US"/>
        </w:rPr>
        <w:t>2008; van Eijck &amp;</w:t>
      </w:r>
      <w:r w:rsidR="0012382F" w:rsidRPr="004B2B22">
        <w:rPr>
          <w:color w:val="000000"/>
          <w:szCs w:val="24"/>
          <w:lang w:val="en-US"/>
        </w:rPr>
        <w:t xml:space="preserve"> de Graaf</w:t>
      </w:r>
      <w:r w:rsidR="0012382F">
        <w:rPr>
          <w:color w:val="000000"/>
          <w:szCs w:val="24"/>
          <w:lang w:val="en-US"/>
        </w:rPr>
        <w:t>,</w:t>
      </w:r>
      <w:r w:rsidR="0012382F" w:rsidRPr="004B2B22">
        <w:rPr>
          <w:color w:val="000000"/>
          <w:szCs w:val="24"/>
          <w:lang w:val="en-US"/>
        </w:rPr>
        <w:t xml:space="preserve"> 1995</w:t>
      </w:r>
      <w:r w:rsidR="0012382F">
        <w:rPr>
          <w:color w:val="000000"/>
          <w:szCs w:val="24"/>
          <w:lang w:val="en-US"/>
        </w:rPr>
        <w:t>)</w:t>
      </w:r>
      <w:r>
        <w:rPr>
          <w:szCs w:val="24"/>
          <w:lang w:val="en-GB"/>
        </w:rPr>
        <w:t>. On the contrary, our data make such adjudication unfeasible and we interpreted our results</w:t>
      </w:r>
      <w:r w:rsidR="00626C73">
        <w:rPr>
          <w:szCs w:val="24"/>
          <w:lang w:val="en-GB"/>
        </w:rPr>
        <w:t xml:space="preserve"> as purely descriptive, making </w:t>
      </w:r>
      <w:r>
        <w:rPr>
          <w:szCs w:val="24"/>
          <w:lang w:val="en-GB"/>
        </w:rPr>
        <w:t>n</w:t>
      </w:r>
      <w:r w:rsidR="00626C73">
        <w:rPr>
          <w:szCs w:val="24"/>
          <w:lang w:val="en-GB"/>
        </w:rPr>
        <w:t>o</w:t>
      </w:r>
      <w:r>
        <w:rPr>
          <w:szCs w:val="24"/>
          <w:lang w:val="en-GB"/>
        </w:rPr>
        <w:t xml:space="preserve"> assertions regarding the </w:t>
      </w:r>
      <w:r w:rsidR="00626C73">
        <w:rPr>
          <w:szCs w:val="24"/>
          <w:lang w:val="en-GB"/>
        </w:rPr>
        <w:t xml:space="preserve">nature of </w:t>
      </w:r>
      <w:r>
        <w:rPr>
          <w:szCs w:val="24"/>
          <w:lang w:val="en-GB"/>
        </w:rPr>
        <w:t>causal</w:t>
      </w:r>
      <w:r w:rsidR="00626C73">
        <w:rPr>
          <w:szCs w:val="24"/>
          <w:lang w:val="en-GB"/>
        </w:rPr>
        <w:t>ity</w:t>
      </w:r>
      <w:r>
        <w:rPr>
          <w:szCs w:val="24"/>
          <w:lang w:val="en-GB"/>
        </w:rPr>
        <w:t xml:space="preserve">. We believe that our results are in principle consistent with all three explanations of sibship size effects: resource dilution, the dynamics of intellectual environment in the family, as well as the possibility of a joint determination of both parental fertility and children’s schooling are all likely to change with socioeconomic development. Similarly, these processes are </w:t>
      </w:r>
      <w:r w:rsidR="0012382F">
        <w:rPr>
          <w:szCs w:val="24"/>
          <w:lang w:val="en-GB"/>
        </w:rPr>
        <w:t xml:space="preserve">equally </w:t>
      </w:r>
      <w:r>
        <w:rPr>
          <w:szCs w:val="24"/>
          <w:lang w:val="en-GB"/>
        </w:rPr>
        <w:t xml:space="preserve">likely to interact with three-generation </w:t>
      </w:r>
      <w:r w:rsidR="00731759">
        <w:rPr>
          <w:szCs w:val="24"/>
          <w:lang w:val="en-GB"/>
        </w:rPr>
        <w:t>cores</w:t>
      </w:r>
      <w:r>
        <w:rPr>
          <w:szCs w:val="24"/>
          <w:lang w:val="en-GB"/>
        </w:rPr>
        <w:t>idence.</w:t>
      </w:r>
    </w:p>
    <w:p w14:paraId="26DF33D5" w14:textId="77777777" w:rsidR="00DB08A5" w:rsidRPr="009109C5" w:rsidRDefault="00DB08A5" w:rsidP="00DB08A5">
      <w:pPr>
        <w:pStyle w:val="Nadpis1"/>
        <w:spacing w:before="0" w:afterLines="120" w:after="288" w:line="240" w:lineRule="auto"/>
        <w:ind w:left="720" w:hangingChars="300" w:hanging="720"/>
      </w:pPr>
      <w:r>
        <w:rPr>
          <w:lang w:val="en-GB"/>
        </w:rPr>
        <w:br w:type="page"/>
      </w:r>
      <w:r w:rsidRPr="009109C5">
        <w:lastRenderedPageBreak/>
        <w:t>References</w:t>
      </w:r>
      <w:r>
        <w:t xml:space="preserve"> </w:t>
      </w:r>
    </w:p>
    <w:p w14:paraId="5BD436DD" w14:textId="77777777" w:rsidR="00F74112" w:rsidRPr="008B766D" w:rsidRDefault="00F74112" w:rsidP="006F30EE">
      <w:pPr>
        <w:tabs>
          <w:tab w:val="right" w:pos="9072"/>
        </w:tabs>
        <w:spacing w:after="0" w:line="480" w:lineRule="auto"/>
        <w:ind w:left="709" w:hanging="567"/>
        <w:rPr>
          <w:szCs w:val="24"/>
          <w:lang w:val="en-US"/>
        </w:rPr>
      </w:pPr>
      <w:r w:rsidRPr="008B766D">
        <w:rPr>
          <w:szCs w:val="24"/>
          <w:lang w:val="en-US"/>
        </w:rPr>
        <w:t xml:space="preserve">Adams, R., &amp; Wu, M. (Eds.). (2002). </w:t>
      </w:r>
      <w:r w:rsidRPr="008B766D">
        <w:rPr>
          <w:i/>
          <w:szCs w:val="24"/>
          <w:lang w:val="en-US"/>
        </w:rPr>
        <w:t xml:space="preserve">PISA 2000 </w:t>
      </w:r>
      <w:r w:rsidR="00E75160" w:rsidRPr="008B766D">
        <w:rPr>
          <w:i/>
          <w:szCs w:val="24"/>
          <w:lang w:val="en-US"/>
        </w:rPr>
        <w:t>Technical</w:t>
      </w:r>
      <w:r w:rsidRPr="008B766D">
        <w:rPr>
          <w:i/>
          <w:szCs w:val="24"/>
          <w:lang w:val="en-US"/>
        </w:rPr>
        <w:t xml:space="preserve"> report</w:t>
      </w:r>
      <w:r w:rsidRPr="008B766D">
        <w:rPr>
          <w:szCs w:val="24"/>
          <w:lang w:val="en-US"/>
        </w:rPr>
        <w:t>. Paris</w:t>
      </w:r>
      <w:r w:rsidR="00861549" w:rsidRPr="008B766D">
        <w:rPr>
          <w:szCs w:val="24"/>
          <w:lang w:val="en-US"/>
        </w:rPr>
        <w:t>, France</w:t>
      </w:r>
      <w:r w:rsidRPr="008B766D">
        <w:rPr>
          <w:szCs w:val="24"/>
          <w:lang w:val="en-US"/>
        </w:rPr>
        <w:t>: OECD.</w:t>
      </w:r>
    </w:p>
    <w:p w14:paraId="774996DF" w14:textId="710CFF7B" w:rsidR="00F74112" w:rsidRPr="008B766D" w:rsidRDefault="00F74112" w:rsidP="006F30EE">
      <w:pPr>
        <w:spacing w:after="0" w:line="480" w:lineRule="auto"/>
        <w:ind w:left="709" w:hanging="567"/>
        <w:rPr>
          <w:szCs w:val="24"/>
          <w:lang w:val="en-US"/>
        </w:rPr>
      </w:pPr>
      <w:r w:rsidRPr="008B766D">
        <w:rPr>
          <w:szCs w:val="24"/>
          <w:lang w:val="en-US"/>
        </w:rPr>
        <w:t xml:space="preserve">Afsa, C., Blanchet, D., Marcus, V., Pionnier, P.-A., Rioux, L., d’Ercole, M. M., Ranuzzi, G., &amp; Schreyer, P. (2008). Survey of existing approaches to measuring socio-economic progress. </w:t>
      </w:r>
      <w:r w:rsidRPr="008B766D">
        <w:rPr>
          <w:i/>
          <w:szCs w:val="24"/>
          <w:lang w:val="en-US"/>
        </w:rPr>
        <w:t>Commission of Measurement of Economic Performance and Social Progress</w:t>
      </w:r>
      <w:r w:rsidRPr="008B766D">
        <w:rPr>
          <w:szCs w:val="24"/>
          <w:lang w:val="en-US"/>
        </w:rPr>
        <w:t xml:space="preserve">. Retrieved July 24, 2012, from </w:t>
      </w:r>
      <w:hyperlink r:id="rId11" w:history="1">
        <w:r w:rsidRPr="008B766D">
          <w:rPr>
            <w:rStyle w:val="Hypertextovodkaz"/>
            <w:szCs w:val="24"/>
            <w:lang w:val="en-US"/>
          </w:rPr>
          <w:t>http://www.stiglitz-sen-fitoussi.fr/documents/Survey_of_Existing_Approaches_to_Measuring_Socio-Economic_Progress.pdf</w:t>
        </w:r>
      </w:hyperlink>
    </w:p>
    <w:p w14:paraId="1F359761" w14:textId="77777777" w:rsidR="00463116" w:rsidRDefault="00F74112" w:rsidP="00463116">
      <w:pPr>
        <w:spacing w:after="0" w:line="480" w:lineRule="auto"/>
        <w:ind w:left="709" w:hanging="567"/>
        <w:rPr>
          <w:szCs w:val="24"/>
          <w:lang w:val="en-US"/>
        </w:rPr>
      </w:pPr>
      <w:r w:rsidRPr="008B766D">
        <w:rPr>
          <w:szCs w:val="24"/>
          <w:lang w:val="en-US"/>
        </w:rPr>
        <w:t xml:space="preserve">Albuquerque, P. (2008). </w:t>
      </w:r>
      <w:r w:rsidRPr="008B766D">
        <w:rPr>
          <w:i/>
          <w:szCs w:val="24"/>
          <w:lang w:val="en-US"/>
        </w:rPr>
        <w:t>Grandparents living in multigenerational households</w:t>
      </w:r>
      <w:r w:rsidRPr="008B766D">
        <w:rPr>
          <w:szCs w:val="24"/>
          <w:lang w:val="en-US"/>
        </w:rPr>
        <w:t xml:space="preserve"> (Working Paper WP 46/2008/DE/CISEP). Retrieved February 20, 2012, from </w:t>
      </w:r>
      <w:hyperlink r:id="rId12" w:history="1">
        <w:r w:rsidRPr="008B766D">
          <w:rPr>
            <w:rStyle w:val="Hypertextovodkaz"/>
            <w:szCs w:val="24"/>
            <w:lang w:val="en-US"/>
          </w:rPr>
          <w:t>http://www.repository.utl.pt/bitstream/10400.5/2479/1/wp462008.pdf</w:t>
        </w:r>
      </w:hyperlink>
    </w:p>
    <w:p w14:paraId="585176D4" w14:textId="65FD34B6" w:rsidR="00463116" w:rsidRPr="00463116" w:rsidRDefault="00463116" w:rsidP="00463116">
      <w:pPr>
        <w:spacing w:after="0" w:line="480" w:lineRule="auto"/>
        <w:ind w:left="709" w:hanging="567"/>
        <w:rPr>
          <w:szCs w:val="24"/>
          <w:lang w:val="en-US"/>
        </w:rPr>
      </w:pPr>
      <w:r>
        <w:rPr>
          <w:lang w:val="en-GB"/>
        </w:rPr>
        <w:t>Amato, P.</w:t>
      </w:r>
      <w:r w:rsidRPr="005A0108">
        <w:rPr>
          <w:lang w:val="en-GB"/>
        </w:rPr>
        <w:t xml:space="preserve"> R.</w:t>
      </w:r>
      <w:r>
        <w:rPr>
          <w:lang w:val="en-GB"/>
        </w:rPr>
        <w:t>, &amp; H</w:t>
      </w:r>
      <w:r w:rsidRPr="005A0108">
        <w:rPr>
          <w:lang w:val="en-GB"/>
        </w:rPr>
        <w:t>ohmann-Marriott</w:t>
      </w:r>
      <w:r>
        <w:rPr>
          <w:lang w:val="en-GB"/>
        </w:rPr>
        <w:t>, B.</w:t>
      </w:r>
      <w:r w:rsidRPr="005A0108">
        <w:rPr>
          <w:lang w:val="en-GB"/>
        </w:rPr>
        <w:t xml:space="preserve"> </w:t>
      </w:r>
      <w:r>
        <w:rPr>
          <w:lang w:val="en-GB"/>
        </w:rPr>
        <w:t>(</w:t>
      </w:r>
      <w:r w:rsidRPr="005A0108">
        <w:rPr>
          <w:lang w:val="en-GB"/>
        </w:rPr>
        <w:t>2007</w:t>
      </w:r>
      <w:r>
        <w:rPr>
          <w:lang w:val="en-GB"/>
        </w:rPr>
        <w:t xml:space="preserve">). </w:t>
      </w:r>
      <w:r w:rsidRPr="005A0108">
        <w:rPr>
          <w:lang w:val="en-GB"/>
        </w:rPr>
        <w:t xml:space="preserve">Comparison of </w:t>
      </w:r>
      <w:r>
        <w:rPr>
          <w:lang w:val="en-GB"/>
        </w:rPr>
        <w:t>high- and low-d</w:t>
      </w:r>
      <w:r w:rsidRPr="005A0108">
        <w:rPr>
          <w:lang w:val="en-GB"/>
        </w:rPr>
        <w:t>istress</w:t>
      </w:r>
      <w:r>
        <w:rPr>
          <w:lang w:val="en-GB"/>
        </w:rPr>
        <w:t xml:space="preserve"> marriages that end in divorce.</w:t>
      </w:r>
      <w:r w:rsidRPr="005A0108">
        <w:rPr>
          <w:lang w:val="en-GB"/>
        </w:rPr>
        <w:t xml:space="preserve"> </w:t>
      </w:r>
      <w:r w:rsidRPr="005A0108">
        <w:rPr>
          <w:i/>
          <w:iCs/>
          <w:lang w:val="en-GB"/>
        </w:rPr>
        <w:t>Journal of Marriage and Family</w:t>
      </w:r>
      <w:r>
        <w:rPr>
          <w:i/>
          <w:iCs/>
          <w:lang w:val="en-GB"/>
        </w:rPr>
        <w:t>,</w:t>
      </w:r>
      <w:r w:rsidRPr="005A0108">
        <w:rPr>
          <w:lang w:val="en-GB"/>
        </w:rPr>
        <w:t xml:space="preserve"> </w:t>
      </w:r>
      <w:r w:rsidRPr="00D12E1F">
        <w:rPr>
          <w:i/>
          <w:lang w:val="en-GB"/>
        </w:rPr>
        <w:t>69</w:t>
      </w:r>
      <w:r>
        <w:rPr>
          <w:lang w:val="en-GB"/>
        </w:rPr>
        <w:t>(3), 621</w:t>
      </w:r>
      <w:r>
        <w:rPr>
          <w:lang w:val="en-US"/>
        </w:rPr>
        <w:t>–</w:t>
      </w:r>
      <w:r w:rsidRPr="005A0108">
        <w:rPr>
          <w:lang w:val="en-GB"/>
        </w:rPr>
        <w:t>638.</w:t>
      </w:r>
    </w:p>
    <w:p w14:paraId="43112EE8" w14:textId="77777777" w:rsidR="00EB0CFC" w:rsidRPr="004443C5" w:rsidRDefault="00EB0CFC" w:rsidP="00EB0CFC">
      <w:pPr>
        <w:spacing w:after="0" w:line="480" w:lineRule="auto"/>
        <w:ind w:left="709" w:hanging="567"/>
        <w:rPr>
          <w:lang w:val="en-US"/>
        </w:rPr>
      </w:pPr>
      <w:r w:rsidRPr="004443C5">
        <w:rPr>
          <w:lang w:val="en-US"/>
        </w:rPr>
        <w:t xml:space="preserve">Angrist, J., Lavy, V. &amp; Schlosser, A. (2010). Multiple Experiments for the Causal Link between the Quantity and Quality of Children. </w:t>
      </w:r>
      <w:r w:rsidRPr="004443C5">
        <w:rPr>
          <w:i/>
          <w:lang w:val="en-US"/>
        </w:rPr>
        <w:t>Journal of Labor Economics</w:t>
      </w:r>
      <w:r w:rsidRPr="004443C5">
        <w:rPr>
          <w:lang w:val="en-US"/>
        </w:rPr>
        <w:t xml:space="preserve"> </w:t>
      </w:r>
      <w:r w:rsidRPr="004443C5">
        <w:rPr>
          <w:i/>
          <w:lang w:val="en-US"/>
        </w:rPr>
        <w:t>28</w:t>
      </w:r>
      <w:r w:rsidRPr="004443C5">
        <w:rPr>
          <w:lang w:val="en-US"/>
        </w:rPr>
        <w:t>(4), 773</w:t>
      </w:r>
      <w:r w:rsidRPr="008B766D">
        <w:rPr>
          <w:szCs w:val="24"/>
          <w:lang w:val="en-US"/>
        </w:rPr>
        <w:t>–</w:t>
      </w:r>
      <w:r w:rsidRPr="004443C5">
        <w:rPr>
          <w:lang w:val="en-US"/>
        </w:rPr>
        <w:t>824.</w:t>
      </w:r>
    </w:p>
    <w:p w14:paraId="05414C42" w14:textId="77777777" w:rsidR="00F74112" w:rsidRPr="008B766D" w:rsidRDefault="00F74112" w:rsidP="006F30EE">
      <w:pPr>
        <w:tabs>
          <w:tab w:val="left" w:pos="2970"/>
        </w:tabs>
        <w:spacing w:after="0" w:line="480" w:lineRule="auto"/>
        <w:ind w:left="709" w:hanging="567"/>
        <w:rPr>
          <w:szCs w:val="24"/>
          <w:lang w:val="en-US"/>
        </w:rPr>
      </w:pPr>
      <w:r w:rsidRPr="008B766D">
        <w:rPr>
          <w:szCs w:val="24"/>
          <w:lang w:val="en-US"/>
        </w:rPr>
        <w:t xml:space="preserve">Anh, T. S., Knodel, J., Lam, D., &amp; Friedman, J. (1998). Family size and children’s education in Vietnam. </w:t>
      </w:r>
      <w:r w:rsidRPr="008B766D">
        <w:rPr>
          <w:i/>
          <w:szCs w:val="24"/>
          <w:lang w:val="en-US"/>
        </w:rPr>
        <w:t>Demography</w:t>
      </w:r>
      <w:r w:rsidRPr="008B766D">
        <w:rPr>
          <w:szCs w:val="24"/>
          <w:lang w:val="en-US"/>
        </w:rPr>
        <w:t xml:space="preserve">, </w:t>
      </w:r>
      <w:r w:rsidRPr="008B766D">
        <w:rPr>
          <w:i/>
          <w:szCs w:val="24"/>
          <w:lang w:val="en-US"/>
        </w:rPr>
        <w:t>35</w:t>
      </w:r>
      <w:r w:rsidRPr="008B766D">
        <w:rPr>
          <w:szCs w:val="24"/>
          <w:lang w:val="en-US"/>
        </w:rPr>
        <w:t>(1), 57–70.</w:t>
      </w:r>
    </w:p>
    <w:p w14:paraId="35172884" w14:textId="77777777" w:rsidR="00F74112" w:rsidRPr="008B766D" w:rsidRDefault="00F74112" w:rsidP="006F30EE">
      <w:pPr>
        <w:spacing w:after="0" w:line="480" w:lineRule="auto"/>
        <w:ind w:left="709" w:hanging="567"/>
        <w:rPr>
          <w:bCs/>
          <w:szCs w:val="24"/>
          <w:lang w:val="en-US"/>
        </w:rPr>
      </w:pPr>
      <w:r w:rsidRPr="008B766D">
        <w:rPr>
          <w:bCs/>
          <w:szCs w:val="24"/>
          <w:lang w:val="en-US"/>
        </w:rPr>
        <w:t xml:space="preserve">Aquilino, W. S. (1996). The life course of children born to unmarried mothers: Childhood living arrangements and young adult outcomes. </w:t>
      </w:r>
      <w:r w:rsidRPr="008B766D">
        <w:rPr>
          <w:bCs/>
          <w:i/>
          <w:szCs w:val="24"/>
          <w:lang w:val="en-US"/>
        </w:rPr>
        <w:t>Journal of Marriage and the Family</w:t>
      </w:r>
      <w:r w:rsidRPr="008B766D">
        <w:rPr>
          <w:bCs/>
          <w:szCs w:val="24"/>
          <w:lang w:val="en-US"/>
        </w:rPr>
        <w:t xml:space="preserve">, </w:t>
      </w:r>
      <w:r w:rsidRPr="008B766D">
        <w:rPr>
          <w:bCs/>
          <w:i/>
          <w:szCs w:val="24"/>
          <w:lang w:val="en-US"/>
        </w:rPr>
        <w:t>58</w:t>
      </w:r>
      <w:r w:rsidRPr="008B766D">
        <w:rPr>
          <w:bCs/>
          <w:szCs w:val="24"/>
          <w:lang w:val="en-US"/>
        </w:rPr>
        <w:t>(2), 293</w:t>
      </w:r>
      <w:r w:rsidRPr="008B766D">
        <w:rPr>
          <w:szCs w:val="24"/>
          <w:lang w:val="en-US"/>
        </w:rPr>
        <w:t>–</w:t>
      </w:r>
      <w:r w:rsidRPr="008B766D">
        <w:rPr>
          <w:bCs/>
          <w:szCs w:val="24"/>
          <w:lang w:val="en-US"/>
        </w:rPr>
        <w:t>310.</w:t>
      </w:r>
    </w:p>
    <w:p w14:paraId="547A0DB1" w14:textId="77777777" w:rsidR="00F74112" w:rsidRPr="008B766D" w:rsidRDefault="00F74112" w:rsidP="006F30EE">
      <w:pPr>
        <w:spacing w:after="0" w:line="480" w:lineRule="auto"/>
        <w:ind w:left="709" w:hanging="567"/>
        <w:rPr>
          <w:lang w:val="en-US"/>
        </w:rPr>
      </w:pPr>
      <w:r w:rsidRPr="008B766D">
        <w:rPr>
          <w:lang w:val="en-US"/>
        </w:rPr>
        <w:t xml:space="preserve">Attias-Donfut, C., &amp; Segalen, M. (2002). The construction of grandparenthood. </w:t>
      </w:r>
      <w:r w:rsidRPr="008B766D">
        <w:rPr>
          <w:i/>
          <w:lang w:val="en-US"/>
        </w:rPr>
        <w:t>Current Sociology,</w:t>
      </w:r>
      <w:r w:rsidRPr="008B766D">
        <w:rPr>
          <w:lang w:val="en-US"/>
        </w:rPr>
        <w:t xml:space="preserve"> </w:t>
      </w:r>
      <w:r w:rsidRPr="008B766D">
        <w:rPr>
          <w:i/>
          <w:lang w:val="en-US"/>
        </w:rPr>
        <w:t>50</w:t>
      </w:r>
      <w:r w:rsidRPr="008B766D">
        <w:rPr>
          <w:lang w:val="en-US"/>
        </w:rPr>
        <w:t>(2), 281</w:t>
      </w:r>
      <w:r w:rsidRPr="008B766D">
        <w:rPr>
          <w:szCs w:val="24"/>
          <w:lang w:val="en-US"/>
        </w:rPr>
        <w:t>–</w:t>
      </w:r>
      <w:r w:rsidRPr="008B766D">
        <w:rPr>
          <w:lang w:val="en-US"/>
        </w:rPr>
        <w:t>294.</w:t>
      </w:r>
    </w:p>
    <w:p w14:paraId="696C32EA" w14:textId="77777777" w:rsidR="00BB6D53" w:rsidRPr="008B766D" w:rsidRDefault="00BB6D53" w:rsidP="00BB6D53">
      <w:pPr>
        <w:spacing w:after="0" w:line="480" w:lineRule="auto"/>
        <w:ind w:left="709" w:hanging="567"/>
        <w:rPr>
          <w:lang w:val="en-US"/>
        </w:rPr>
      </w:pPr>
      <w:r w:rsidRPr="008B766D">
        <w:rPr>
          <w:lang w:val="en-US"/>
        </w:rPr>
        <w:t xml:space="preserve">Becker, G. &amp; Lewis, H. G. (1973). On the Interaction between the Quantity and Quality of Children. </w:t>
      </w:r>
      <w:r w:rsidRPr="008B766D">
        <w:rPr>
          <w:i/>
          <w:lang w:val="en-US"/>
        </w:rPr>
        <w:t>Journal of Political Economy,</w:t>
      </w:r>
      <w:r w:rsidRPr="008B766D">
        <w:rPr>
          <w:lang w:val="en-US"/>
        </w:rPr>
        <w:t xml:space="preserve"> </w:t>
      </w:r>
      <w:r w:rsidRPr="008B766D">
        <w:rPr>
          <w:i/>
          <w:lang w:val="en-US"/>
        </w:rPr>
        <w:t>81</w:t>
      </w:r>
      <w:r w:rsidRPr="008B766D">
        <w:rPr>
          <w:lang w:val="en-US"/>
        </w:rPr>
        <w:t>(2) part 2, S279-S288.</w:t>
      </w:r>
    </w:p>
    <w:p w14:paraId="76EA1F42" w14:textId="77777777" w:rsidR="00BB6D53" w:rsidRPr="008B766D" w:rsidRDefault="00BB6D53" w:rsidP="00BB6D53">
      <w:pPr>
        <w:spacing w:after="0" w:line="480" w:lineRule="auto"/>
        <w:ind w:left="709" w:hanging="567"/>
        <w:rPr>
          <w:lang w:val="en-US"/>
        </w:rPr>
      </w:pPr>
      <w:r w:rsidRPr="008B766D">
        <w:rPr>
          <w:lang w:val="en-US"/>
        </w:rPr>
        <w:lastRenderedPageBreak/>
        <w:t xml:space="preserve">Becker, G. &amp; Tomes, N. (1976). Child Endowments and the Quantity and Quality of Children. </w:t>
      </w:r>
      <w:r w:rsidRPr="008B766D">
        <w:rPr>
          <w:i/>
          <w:lang w:val="en-US"/>
        </w:rPr>
        <w:t>Journal of Political Economy</w:t>
      </w:r>
      <w:r w:rsidRPr="008B766D">
        <w:rPr>
          <w:lang w:val="en-US"/>
        </w:rPr>
        <w:t xml:space="preserve"> </w:t>
      </w:r>
      <w:r w:rsidRPr="008B766D">
        <w:rPr>
          <w:i/>
          <w:lang w:val="en-US"/>
        </w:rPr>
        <w:t>84</w:t>
      </w:r>
      <w:r w:rsidRPr="008B766D">
        <w:rPr>
          <w:lang w:val="en-US"/>
        </w:rPr>
        <w:t xml:space="preserve">(4) part 2, S143-S162. </w:t>
      </w:r>
    </w:p>
    <w:p w14:paraId="0EBE2888" w14:textId="77777777" w:rsidR="00F74112" w:rsidRPr="008B766D" w:rsidRDefault="00F74112" w:rsidP="00BB6D53">
      <w:pPr>
        <w:pStyle w:val="Default"/>
        <w:spacing w:line="480" w:lineRule="auto"/>
        <w:ind w:left="709" w:hanging="567"/>
        <w:rPr>
          <w:lang w:val="en-US"/>
        </w:rPr>
      </w:pPr>
      <w:r w:rsidRPr="008B766D">
        <w:rPr>
          <w:lang w:val="en-US"/>
        </w:rPr>
        <w:t xml:space="preserve">Bengston, V. L. (2001). Beyond the nuclear family: The increasing importance of multigenerational bonds. </w:t>
      </w:r>
      <w:r w:rsidRPr="008B766D">
        <w:rPr>
          <w:i/>
          <w:lang w:val="en-US"/>
        </w:rPr>
        <w:t>Journal of Marriage and Family,</w:t>
      </w:r>
      <w:r w:rsidRPr="008B766D">
        <w:rPr>
          <w:lang w:val="en-US"/>
        </w:rPr>
        <w:t xml:space="preserve"> </w:t>
      </w:r>
      <w:r w:rsidRPr="008B766D">
        <w:rPr>
          <w:i/>
          <w:lang w:val="en-US"/>
        </w:rPr>
        <w:t>63</w:t>
      </w:r>
      <w:r w:rsidRPr="008B766D">
        <w:rPr>
          <w:lang w:val="en-US"/>
        </w:rPr>
        <w:t>(1), 1–16.</w:t>
      </w:r>
    </w:p>
    <w:p w14:paraId="30259F22" w14:textId="77777777" w:rsidR="00F74112" w:rsidRPr="008B766D" w:rsidRDefault="00F74112" w:rsidP="006F30EE">
      <w:pPr>
        <w:spacing w:after="0" w:line="480" w:lineRule="auto"/>
        <w:ind w:left="709" w:hanging="567"/>
        <w:rPr>
          <w:lang w:val="en-US"/>
        </w:rPr>
      </w:pPr>
      <w:r w:rsidRPr="008B766D">
        <w:rPr>
          <w:lang w:val="en-US"/>
        </w:rPr>
        <w:t xml:space="preserve">Black, S. E., Devereaux, P. G., &amp; Salvanes, K. G. (2005). The more the merrier? The effect of family composition on children’s education. </w:t>
      </w:r>
      <w:r w:rsidRPr="008B766D">
        <w:rPr>
          <w:i/>
          <w:lang w:val="en-US"/>
        </w:rPr>
        <w:t>Quarterly Journal of Economics,</w:t>
      </w:r>
      <w:r w:rsidRPr="008B766D">
        <w:rPr>
          <w:lang w:val="en-US"/>
        </w:rPr>
        <w:t xml:space="preserve"> </w:t>
      </w:r>
      <w:r w:rsidRPr="008B766D">
        <w:rPr>
          <w:i/>
          <w:lang w:val="en-US"/>
        </w:rPr>
        <w:t>120</w:t>
      </w:r>
      <w:r w:rsidRPr="008B766D">
        <w:rPr>
          <w:lang w:val="en-US"/>
        </w:rPr>
        <w:t>(2), 669–700.</w:t>
      </w:r>
    </w:p>
    <w:p w14:paraId="2E5697E5" w14:textId="77777777" w:rsidR="00972832" w:rsidRPr="008B766D" w:rsidRDefault="00972832" w:rsidP="00186A29">
      <w:pPr>
        <w:spacing w:after="0" w:line="480" w:lineRule="auto"/>
        <w:ind w:left="709" w:hanging="567"/>
        <w:rPr>
          <w:lang w:val="en-US"/>
        </w:rPr>
      </w:pPr>
      <w:r w:rsidRPr="008B766D">
        <w:rPr>
          <w:lang w:val="en-US"/>
        </w:rPr>
        <w:t xml:space="preserve">Blake, J. (1989). </w:t>
      </w:r>
      <w:r w:rsidR="00C6757E" w:rsidRPr="008B766D">
        <w:rPr>
          <w:i/>
          <w:lang w:val="en-US"/>
        </w:rPr>
        <w:t xml:space="preserve">Family size and Achievement. </w:t>
      </w:r>
      <w:r w:rsidR="00C6757E" w:rsidRPr="008B766D">
        <w:rPr>
          <w:lang w:val="en-US"/>
        </w:rPr>
        <w:t>Berkeley, CA: University of California Press.</w:t>
      </w:r>
    </w:p>
    <w:p w14:paraId="4B0DFD0A" w14:textId="77777777" w:rsidR="00F74112" w:rsidRPr="008B766D" w:rsidRDefault="00F74112" w:rsidP="00186A29">
      <w:pPr>
        <w:spacing w:after="0" w:line="480" w:lineRule="auto"/>
        <w:ind w:left="709" w:hanging="567"/>
        <w:rPr>
          <w:lang w:val="en-US"/>
        </w:rPr>
      </w:pPr>
      <w:r w:rsidRPr="008B766D">
        <w:rPr>
          <w:lang w:val="en-US"/>
        </w:rPr>
        <w:t xml:space="preserve">Blau, P. M., &amp; Duncan, O. D. (1967). </w:t>
      </w:r>
      <w:r w:rsidRPr="008B766D">
        <w:rPr>
          <w:i/>
          <w:lang w:val="en-US"/>
        </w:rPr>
        <w:t>The American occupational structure</w:t>
      </w:r>
      <w:r w:rsidRPr="008B766D">
        <w:rPr>
          <w:lang w:val="en-US"/>
        </w:rPr>
        <w:t>. New York, NY: John Wiley and Sons, Inc.</w:t>
      </w:r>
    </w:p>
    <w:p w14:paraId="72B14218" w14:textId="77777777" w:rsidR="00F74112" w:rsidRPr="008B766D" w:rsidRDefault="00F74112" w:rsidP="00186A29">
      <w:pPr>
        <w:spacing w:after="0" w:line="480" w:lineRule="auto"/>
        <w:ind w:left="709" w:hanging="567"/>
        <w:rPr>
          <w:lang w:val="en-US"/>
        </w:rPr>
      </w:pPr>
      <w:r w:rsidRPr="004443C5">
        <w:rPr>
          <w:lang w:val="en-US"/>
        </w:rPr>
        <w:t xml:space="preserve">Boarini, R., Johansson, A., &amp; d’Ercole, M. M. (2006). </w:t>
      </w:r>
      <w:r w:rsidR="000024C1" w:rsidRPr="004443C5">
        <w:rPr>
          <w:i/>
          <w:lang w:val="en-US"/>
        </w:rPr>
        <w:t>Alternative measures of well-b</w:t>
      </w:r>
      <w:r w:rsidRPr="004443C5">
        <w:rPr>
          <w:i/>
          <w:lang w:val="en-US"/>
        </w:rPr>
        <w:t>eing</w:t>
      </w:r>
      <w:r w:rsidRPr="004443C5">
        <w:rPr>
          <w:lang w:val="en-US"/>
        </w:rPr>
        <w:t xml:space="preserve">. OECD Social, Employment and Migration Working Papers No. 33. Retrieved February 6, 2013, from </w:t>
      </w:r>
      <w:hyperlink r:id="rId13" w:history="1">
        <w:r w:rsidRPr="004443C5">
          <w:rPr>
            <w:rStyle w:val="Hypertextovodkaz"/>
            <w:lang w:val="en-US"/>
          </w:rPr>
          <w:t>http://www.oecd.org/dataoecd/13/38/36165332.pdf</w:t>
        </w:r>
      </w:hyperlink>
    </w:p>
    <w:p w14:paraId="15418E47" w14:textId="3D67B793" w:rsidR="00F74112" w:rsidRPr="008B766D" w:rsidRDefault="00F74112" w:rsidP="006F30EE">
      <w:pPr>
        <w:spacing w:after="0" w:line="480" w:lineRule="auto"/>
        <w:ind w:left="709" w:hanging="567"/>
        <w:rPr>
          <w:lang w:val="en-US"/>
        </w:rPr>
      </w:pPr>
      <w:r w:rsidRPr="008B766D">
        <w:rPr>
          <w:szCs w:val="24"/>
          <w:lang w:val="en-US"/>
        </w:rPr>
        <w:t xml:space="preserve">Booth, A. L., &amp; Kee, H. J. (2005). </w:t>
      </w:r>
      <w:r w:rsidRPr="008B766D">
        <w:rPr>
          <w:i/>
          <w:szCs w:val="24"/>
          <w:lang w:val="en-US"/>
        </w:rPr>
        <w:t>Birth order matters: The effect of family size and birth order on educational attainment</w:t>
      </w:r>
      <w:r w:rsidRPr="008B766D">
        <w:rPr>
          <w:szCs w:val="24"/>
          <w:lang w:val="en-US"/>
        </w:rPr>
        <w:t xml:space="preserve"> (IZA Discussion Paper No. 1713). Bonn, Germany: Institute for the Study of Labor. Retrieved November 1, 2012, from </w:t>
      </w:r>
      <w:hyperlink r:id="rId14" w:history="1">
        <w:r w:rsidRPr="008B766D">
          <w:rPr>
            <w:rStyle w:val="Hypertextovodkaz"/>
            <w:lang w:val="en-US"/>
          </w:rPr>
          <w:t>http://ftp.iza.org/dp1713.pdf</w:t>
        </w:r>
      </w:hyperlink>
    </w:p>
    <w:p w14:paraId="0EFC0181" w14:textId="4EFA4922" w:rsidR="00F74112" w:rsidRPr="008B766D" w:rsidRDefault="00F74112" w:rsidP="006F30EE">
      <w:pPr>
        <w:spacing w:after="0" w:line="480" w:lineRule="auto"/>
        <w:ind w:left="709" w:hanging="567"/>
        <w:rPr>
          <w:szCs w:val="24"/>
          <w:lang w:val="en-US"/>
        </w:rPr>
      </w:pPr>
      <w:r w:rsidRPr="008B766D">
        <w:rPr>
          <w:szCs w:val="24"/>
          <w:lang w:val="en-US"/>
        </w:rPr>
        <w:t xml:space="preserve">Bryson, K, &amp; Casper, L. M. (1999). Coresident grandparents and grandchildren. </w:t>
      </w:r>
      <w:r w:rsidRPr="008B766D">
        <w:rPr>
          <w:i/>
          <w:szCs w:val="24"/>
          <w:lang w:val="en-US"/>
        </w:rPr>
        <w:t>U.S. Census Bureau, Current Population Reports</w:t>
      </w:r>
      <w:r w:rsidRPr="008B766D">
        <w:rPr>
          <w:szCs w:val="24"/>
          <w:lang w:val="en-US"/>
        </w:rPr>
        <w:t xml:space="preserve">. Retrieved January 16, 2012, from </w:t>
      </w:r>
      <w:hyperlink r:id="rId15" w:history="1">
        <w:r w:rsidRPr="008B766D">
          <w:rPr>
            <w:rStyle w:val="Hypertextovodkaz"/>
            <w:szCs w:val="24"/>
            <w:lang w:val="en-US"/>
          </w:rPr>
          <w:t>http://www.census.gov/prod/99pubs/p23-198.pdf</w:t>
        </w:r>
      </w:hyperlink>
    </w:p>
    <w:p w14:paraId="74D25ED1" w14:textId="77777777" w:rsidR="00F74112" w:rsidRPr="008B766D" w:rsidRDefault="00F74112" w:rsidP="006F30EE">
      <w:pPr>
        <w:tabs>
          <w:tab w:val="left" w:pos="915"/>
        </w:tabs>
        <w:spacing w:after="0" w:line="480" w:lineRule="auto"/>
        <w:ind w:left="709" w:hanging="567"/>
        <w:rPr>
          <w:szCs w:val="24"/>
          <w:lang w:val="en-US"/>
        </w:rPr>
      </w:pPr>
      <w:r w:rsidRPr="008B766D">
        <w:rPr>
          <w:szCs w:val="24"/>
          <w:lang w:val="en-US"/>
        </w:rPr>
        <w:t xml:space="preserve">Buchmann, C. (2000). Family structure, parental perceptions and child labor in Kenya: What factors determine who is enrolled in school? </w:t>
      </w:r>
      <w:r w:rsidRPr="008B766D">
        <w:rPr>
          <w:i/>
          <w:szCs w:val="24"/>
          <w:lang w:val="en-US"/>
        </w:rPr>
        <w:t>Social Forces</w:t>
      </w:r>
      <w:r w:rsidRPr="008B766D">
        <w:rPr>
          <w:szCs w:val="24"/>
          <w:lang w:val="en-US"/>
        </w:rPr>
        <w:t xml:space="preserve">, </w:t>
      </w:r>
      <w:r w:rsidRPr="008B766D">
        <w:rPr>
          <w:i/>
          <w:szCs w:val="24"/>
          <w:lang w:val="en-US"/>
        </w:rPr>
        <w:t>78</w:t>
      </w:r>
      <w:r w:rsidRPr="008B766D">
        <w:rPr>
          <w:szCs w:val="24"/>
          <w:lang w:val="en-US"/>
        </w:rPr>
        <w:t>(4), 1349–1379.</w:t>
      </w:r>
    </w:p>
    <w:p w14:paraId="458C7787" w14:textId="77777777" w:rsidR="00F74112" w:rsidRPr="008B766D" w:rsidRDefault="00F74112" w:rsidP="006B6432">
      <w:pPr>
        <w:spacing w:after="0" w:line="480" w:lineRule="auto"/>
        <w:ind w:left="709" w:hanging="567"/>
        <w:rPr>
          <w:lang w:val="en-US"/>
        </w:rPr>
      </w:pPr>
      <w:r w:rsidRPr="008B766D">
        <w:rPr>
          <w:lang w:val="en-US"/>
        </w:rPr>
        <w:t xml:space="preserve">Cáceras-Delpiano, J. (2006). The impacts of family size on investment in child quality. </w:t>
      </w:r>
      <w:r w:rsidRPr="008B766D">
        <w:rPr>
          <w:i/>
          <w:lang w:val="en-US"/>
        </w:rPr>
        <w:t>Journal of Human Resources,</w:t>
      </w:r>
      <w:r w:rsidRPr="008B766D">
        <w:rPr>
          <w:lang w:val="en-US"/>
        </w:rPr>
        <w:t xml:space="preserve"> </w:t>
      </w:r>
      <w:r w:rsidRPr="008B766D">
        <w:rPr>
          <w:i/>
          <w:lang w:val="en-US"/>
        </w:rPr>
        <w:t>41</w:t>
      </w:r>
      <w:r w:rsidRPr="008B766D">
        <w:rPr>
          <w:lang w:val="en-US"/>
        </w:rPr>
        <w:t>(4), 738</w:t>
      </w:r>
      <w:r w:rsidRPr="008B766D">
        <w:rPr>
          <w:szCs w:val="24"/>
          <w:lang w:val="en-US"/>
        </w:rPr>
        <w:t>–7</w:t>
      </w:r>
      <w:r w:rsidRPr="008B766D">
        <w:rPr>
          <w:lang w:val="en-US"/>
        </w:rPr>
        <w:t>54.</w:t>
      </w:r>
    </w:p>
    <w:p w14:paraId="38D25CC5" w14:textId="77777777" w:rsidR="00F74112" w:rsidRPr="004443C5" w:rsidRDefault="00F74112" w:rsidP="006B6432">
      <w:pPr>
        <w:spacing w:after="0" w:line="480" w:lineRule="auto"/>
        <w:ind w:left="709" w:hanging="567"/>
        <w:rPr>
          <w:lang w:val="en-US"/>
        </w:rPr>
      </w:pPr>
      <w:r w:rsidRPr="004443C5">
        <w:rPr>
          <w:lang w:val="en-US"/>
        </w:rPr>
        <w:lastRenderedPageBreak/>
        <w:t xml:space="preserve">Cahill, M. B. (2005). </w:t>
      </w:r>
      <w:r w:rsidR="00DE7C4B" w:rsidRPr="004443C5">
        <w:rPr>
          <w:lang w:val="en-US"/>
        </w:rPr>
        <w:t xml:space="preserve">Is the </w:t>
      </w:r>
      <w:r w:rsidR="003E466D" w:rsidRPr="004443C5">
        <w:rPr>
          <w:lang w:val="en-US"/>
        </w:rPr>
        <w:t>H</w:t>
      </w:r>
      <w:r w:rsidRPr="004443C5">
        <w:rPr>
          <w:lang w:val="en-US"/>
        </w:rPr>
        <w:t>uma</w:t>
      </w:r>
      <w:r w:rsidR="00DE7C4B" w:rsidRPr="004443C5">
        <w:rPr>
          <w:lang w:val="en-US"/>
        </w:rPr>
        <w:t>n development i</w:t>
      </w:r>
      <w:r w:rsidRPr="004443C5">
        <w:rPr>
          <w:lang w:val="en-US"/>
        </w:rPr>
        <w:t xml:space="preserve">ndex </w:t>
      </w:r>
      <w:r w:rsidR="00DE7C4B" w:rsidRPr="004443C5">
        <w:rPr>
          <w:lang w:val="en-US"/>
        </w:rPr>
        <w:t>r</w:t>
      </w:r>
      <w:r w:rsidRPr="004443C5">
        <w:rPr>
          <w:lang w:val="en-US"/>
        </w:rPr>
        <w:t xml:space="preserve">edundant? </w:t>
      </w:r>
      <w:r w:rsidRPr="004443C5">
        <w:rPr>
          <w:i/>
          <w:lang w:val="en-US"/>
        </w:rPr>
        <w:t>Eastern Economics Journal</w:t>
      </w:r>
      <w:r w:rsidRPr="004443C5">
        <w:rPr>
          <w:lang w:val="en-US"/>
        </w:rPr>
        <w:t xml:space="preserve">, </w:t>
      </w:r>
      <w:r w:rsidRPr="004443C5">
        <w:rPr>
          <w:i/>
          <w:lang w:val="en-US"/>
        </w:rPr>
        <w:t>31</w:t>
      </w:r>
      <w:r w:rsidRPr="004443C5">
        <w:rPr>
          <w:lang w:val="en-US"/>
        </w:rPr>
        <w:t>(1), 1</w:t>
      </w:r>
      <w:r w:rsidRPr="008B766D">
        <w:rPr>
          <w:szCs w:val="24"/>
          <w:lang w:val="en-US"/>
        </w:rPr>
        <w:t>–</w:t>
      </w:r>
      <w:r w:rsidRPr="004443C5">
        <w:rPr>
          <w:lang w:val="en-US"/>
        </w:rPr>
        <w:t>5.</w:t>
      </w:r>
    </w:p>
    <w:p w14:paraId="793DCC87" w14:textId="77777777" w:rsidR="00861CC4" w:rsidRPr="008B766D" w:rsidRDefault="00F74112" w:rsidP="00861CC4">
      <w:pPr>
        <w:spacing w:after="0" w:line="480" w:lineRule="auto"/>
        <w:ind w:left="709" w:hanging="567"/>
        <w:rPr>
          <w:lang w:val="en-US"/>
        </w:rPr>
      </w:pPr>
      <w:r w:rsidRPr="008B766D">
        <w:rPr>
          <w:lang w:val="en-US"/>
        </w:rPr>
        <w:t xml:space="preserve">Caputo, R. K. (2001). Grandparents and coresident grandchildren in a youth cohort. </w:t>
      </w:r>
      <w:r w:rsidRPr="008B766D">
        <w:rPr>
          <w:i/>
          <w:lang w:val="en-US"/>
        </w:rPr>
        <w:t>Journal of Family Issue</w:t>
      </w:r>
      <w:r w:rsidRPr="008B766D">
        <w:rPr>
          <w:lang w:val="en-US"/>
        </w:rPr>
        <w:t xml:space="preserve">s, </w:t>
      </w:r>
      <w:r w:rsidRPr="008B766D">
        <w:rPr>
          <w:i/>
          <w:lang w:val="en-US"/>
        </w:rPr>
        <w:t>22</w:t>
      </w:r>
      <w:r w:rsidRPr="008B766D">
        <w:rPr>
          <w:lang w:val="en-US"/>
        </w:rPr>
        <w:t>(5), 541</w:t>
      </w:r>
      <w:r w:rsidRPr="008B766D">
        <w:rPr>
          <w:szCs w:val="24"/>
          <w:lang w:val="en-US"/>
        </w:rPr>
        <w:t>–</w:t>
      </w:r>
      <w:r w:rsidR="00861CC4" w:rsidRPr="008B766D">
        <w:rPr>
          <w:lang w:val="en-US"/>
        </w:rPr>
        <w:t>556.</w:t>
      </w:r>
    </w:p>
    <w:p w14:paraId="52DC4483" w14:textId="77777777" w:rsidR="00861CC4" w:rsidRPr="008B766D" w:rsidRDefault="00861CC4" w:rsidP="00861CC4">
      <w:pPr>
        <w:spacing w:after="0" w:line="480" w:lineRule="auto"/>
        <w:ind w:left="709" w:hanging="567"/>
        <w:rPr>
          <w:sz w:val="32"/>
          <w:lang w:val="en-US"/>
        </w:rPr>
      </w:pPr>
      <w:r w:rsidRPr="004443C5">
        <w:rPr>
          <w:lang w:val="en-US"/>
        </w:rPr>
        <w:t xml:space="preserve">Chan, T. W., &amp; Boliver, V. (2013). Social mobility over three generations in Britain. </w:t>
      </w:r>
      <w:r w:rsidRPr="004443C5">
        <w:rPr>
          <w:i/>
          <w:lang w:val="en-US"/>
        </w:rPr>
        <w:t>American Sociological Review</w:t>
      </w:r>
      <w:r w:rsidRPr="004443C5">
        <w:rPr>
          <w:lang w:val="en-US"/>
        </w:rPr>
        <w:t>, forthcoming.</w:t>
      </w:r>
    </w:p>
    <w:p w14:paraId="673D3DF6" w14:textId="77777777" w:rsidR="00F74112" w:rsidRPr="008B766D" w:rsidRDefault="00F74112" w:rsidP="006F30EE">
      <w:pPr>
        <w:spacing w:after="0" w:line="480" w:lineRule="auto"/>
        <w:ind w:left="709" w:hanging="567"/>
        <w:rPr>
          <w:szCs w:val="24"/>
          <w:lang w:val="en-US"/>
        </w:rPr>
      </w:pPr>
      <w:r w:rsidRPr="008B766D">
        <w:rPr>
          <w:szCs w:val="24"/>
          <w:lang w:val="en-US"/>
        </w:rPr>
        <w:t xml:space="preserve">Cherlin, A. J., &amp; Furstenberg Jr., F. F. [1986] (1992). </w:t>
      </w:r>
      <w:r w:rsidRPr="008B766D">
        <w:rPr>
          <w:i/>
          <w:szCs w:val="24"/>
          <w:lang w:val="en-US"/>
        </w:rPr>
        <w:t>The new American grandparent: A place in the family, a life apart</w:t>
      </w:r>
      <w:r w:rsidRPr="008B766D">
        <w:rPr>
          <w:szCs w:val="24"/>
          <w:lang w:val="en-US"/>
        </w:rPr>
        <w:t>. Cambridge, MA: Harvard University Press.</w:t>
      </w:r>
    </w:p>
    <w:p w14:paraId="337F078B" w14:textId="77777777" w:rsidR="00F74112" w:rsidRPr="008B766D" w:rsidRDefault="00F74112" w:rsidP="006F30EE">
      <w:pPr>
        <w:spacing w:after="0" w:line="480" w:lineRule="auto"/>
        <w:ind w:left="709" w:hanging="567"/>
        <w:rPr>
          <w:szCs w:val="24"/>
          <w:lang w:val="en-US"/>
        </w:rPr>
      </w:pPr>
      <w:r w:rsidRPr="008B766D">
        <w:rPr>
          <w:szCs w:val="24"/>
          <w:lang w:val="en-US"/>
        </w:rPr>
        <w:t xml:space="preserve">Chernichovsky, D. (1985). Socioeconomic and demographic aspects of school enrollment and attendance in rural Botswana. </w:t>
      </w:r>
      <w:r w:rsidRPr="008B766D">
        <w:rPr>
          <w:i/>
          <w:szCs w:val="24"/>
          <w:lang w:val="en-US"/>
        </w:rPr>
        <w:t>Economic Development and Cultural Change</w:t>
      </w:r>
      <w:r w:rsidRPr="008B766D">
        <w:rPr>
          <w:szCs w:val="24"/>
          <w:lang w:val="en-US"/>
        </w:rPr>
        <w:t xml:space="preserve">, </w:t>
      </w:r>
      <w:r w:rsidRPr="008B766D">
        <w:rPr>
          <w:i/>
          <w:szCs w:val="24"/>
          <w:lang w:val="en-US"/>
        </w:rPr>
        <w:t>33</w:t>
      </w:r>
      <w:r w:rsidRPr="008B766D">
        <w:rPr>
          <w:szCs w:val="24"/>
          <w:lang w:val="en-US"/>
        </w:rPr>
        <w:t>(2), 319–332.</w:t>
      </w:r>
    </w:p>
    <w:p w14:paraId="2B513F08" w14:textId="77777777" w:rsidR="00F74112" w:rsidRPr="008B766D" w:rsidRDefault="00F74112" w:rsidP="006F30EE">
      <w:pPr>
        <w:spacing w:after="0" w:line="480" w:lineRule="auto"/>
        <w:ind w:left="709" w:hanging="567"/>
        <w:rPr>
          <w:szCs w:val="24"/>
          <w:lang w:val="en-US"/>
        </w:rPr>
      </w:pPr>
      <w:r w:rsidRPr="008B766D">
        <w:rPr>
          <w:szCs w:val="24"/>
          <w:lang w:val="en-US"/>
        </w:rPr>
        <w:t xml:space="preserve">Ciftci, S. (2010). Modernization, Islam, or social capital: What explains attitudes toward democracy in the Muslim world? </w:t>
      </w:r>
      <w:r w:rsidRPr="008B766D">
        <w:rPr>
          <w:i/>
          <w:szCs w:val="24"/>
          <w:lang w:val="en-US"/>
        </w:rPr>
        <w:t>Comparative Political Studies, 43</w:t>
      </w:r>
      <w:r w:rsidRPr="008B766D">
        <w:rPr>
          <w:szCs w:val="24"/>
          <w:lang w:val="en-US"/>
        </w:rPr>
        <w:t>(11), 1442–1470.</w:t>
      </w:r>
    </w:p>
    <w:p w14:paraId="66EBE015" w14:textId="77777777" w:rsidR="00F74112" w:rsidRPr="008B766D" w:rsidRDefault="00F74112" w:rsidP="006F30EE">
      <w:pPr>
        <w:spacing w:after="0" w:line="480" w:lineRule="auto"/>
        <w:ind w:left="709" w:hanging="567"/>
        <w:rPr>
          <w:lang w:val="en-US"/>
        </w:rPr>
      </w:pPr>
      <w:r w:rsidRPr="008B766D">
        <w:rPr>
          <w:lang w:val="en-US"/>
        </w:rPr>
        <w:t xml:space="preserve">Conley, D., &amp; Glauber, R. (2006). Parental educational investment and children’s academic risk: Estimates of the impact of sibship size and birth order from exogenous variations in fertility. </w:t>
      </w:r>
      <w:r w:rsidRPr="008B766D">
        <w:rPr>
          <w:i/>
          <w:lang w:val="en-US"/>
        </w:rPr>
        <w:t>Journal of Human Resources,</w:t>
      </w:r>
      <w:r w:rsidRPr="008B766D">
        <w:rPr>
          <w:lang w:val="en-US"/>
        </w:rPr>
        <w:t xml:space="preserve"> </w:t>
      </w:r>
      <w:r w:rsidRPr="008B766D">
        <w:rPr>
          <w:i/>
          <w:lang w:val="en-US"/>
        </w:rPr>
        <w:t>41</w:t>
      </w:r>
      <w:r w:rsidRPr="008B766D">
        <w:rPr>
          <w:lang w:val="en-US"/>
        </w:rPr>
        <w:t>(4), 722</w:t>
      </w:r>
      <w:r w:rsidRPr="008B766D">
        <w:rPr>
          <w:szCs w:val="24"/>
          <w:lang w:val="en-US"/>
        </w:rPr>
        <w:t>–</w:t>
      </w:r>
      <w:r w:rsidRPr="008B766D">
        <w:rPr>
          <w:lang w:val="en-US"/>
        </w:rPr>
        <w:t>737.</w:t>
      </w:r>
    </w:p>
    <w:p w14:paraId="02007F17" w14:textId="77777777" w:rsidR="00F74112" w:rsidRPr="008B766D" w:rsidRDefault="00F74112" w:rsidP="006F30EE">
      <w:pPr>
        <w:spacing w:after="0" w:line="480" w:lineRule="auto"/>
        <w:ind w:left="709" w:hanging="567"/>
        <w:rPr>
          <w:lang w:val="en-US"/>
        </w:rPr>
      </w:pPr>
      <w:r w:rsidRPr="008B766D">
        <w:rPr>
          <w:lang w:val="en-US"/>
        </w:rPr>
        <w:t xml:space="preserve">De Graaf, P. M., &amp; Huinink, J. J. (1992). Trends in measured and unmeasured effects of family background on educational attainment and occupational status in the Federal Republic of Germany. </w:t>
      </w:r>
      <w:r w:rsidRPr="008B766D">
        <w:rPr>
          <w:i/>
          <w:lang w:val="en-US"/>
        </w:rPr>
        <w:t>Social Science Research,</w:t>
      </w:r>
      <w:r w:rsidRPr="008B766D">
        <w:rPr>
          <w:lang w:val="en-US"/>
        </w:rPr>
        <w:t xml:space="preserve"> </w:t>
      </w:r>
      <w:r w:rsidRPr="008B766D">
        <w:rPr>
          <w:i/>
          <w:lang w:val="en-US"/>
        </w:rPr>
        <w:t>21</w:t>
      </w:r>
      <w:r w:rsidRPr="008B766D">
        <w:rPr>
          <w:lang w:val="en-US"/>
        </w:rPr>
        <w:t>(1), 84</w:t>
      </w:r>
      <w:r w:rsidRPr="008B766D">
        <w:rPr>
          <w:szCs w:val="24"/>
          <w:lang w:val="en-US"/>
        </w:rPr>
        <w:t>–</w:t>
      </w:r>
      <w:r w:rsidRPr="008B766D">
        <w:rPr>
          <w:lang w:val="en-US"/>
        </w:rPr>
        <w:t>112.</w:t>
      </w:r>
    </w:p>
    <w:p w14:paraId="681859B0" w14:textId="72D4892C" w:rsidR="00F74112" w:rsidRPr="008B766D" w:rsidRDefault="00F74112" w:rsidP="006F30EE">
      <w:pPr>
        <w:spacing w:after="0" w:line="480" w:lineRule="auto"/>
        <w:ind w:left="709" w:hanging="567"/>
        <w:rPr>
          <w:szCs w:val="24"/>
          <w:lang w:val="en-US"/>
        </w:rPr>
      </w:pPr>
      <w:r w:rsidRPr="008B766D">
        <w:rPr>
          <w:szCs w:val="24"/>
          <w:lang w:val="en-US"/>
        </w:rPr>
        <w:t xml:space="preserve">De Jong Gierveld, J., de Valk, H., &amp; Blommesteijn, M. (1999). </w:t>
      </w:r>
      <w:r w:rsidRPr="008B766D">
        <w:rPr>
          <w:i/>
          <w:szCs w:val="24"/>
          <w:lang w:val="en-US"/>
        </w:rPr>
        <w:t>Living arrangements of older persons and family support in more developed countries</w:t>
      </w:r>
      <w:r w:rsidRPr="008B766D">
        <w:rPr>
          <w:szCs w:val="24"/>
          <w:lang w:val="en-US"/>
        </w:rPr>
        <w:t xml:space="preserve"> (UN/POP/AGE/2000/5). Retrieved February 28, 2012, from </w:t>
      </w:r>
      <w:hyperlink r:id="rId16" w:history="1">
        <w:r w:rsidRPr="008B766D">
          <w:rPr>
            <w:rStyle w:val="Hypertextovodkaz"/>
            <w:szCs w:val="24"/>
            <w:lang w:val="en-US"/>
          </w:rPr>
          <w:t>http://www.un.org/esa/population/pubsarchive/untech/pdf/untech5b.pdf</w:t>
        </w:r>
      </w:hyperlink>
    </w:p>
    <w:p w14:paraId="0935A7F5" w14:textId="77777777" w:rsidR="00F74112" w:rsidRPr="008B766D" w:rsidRDefault="00F74112" w:rsidP="006F30EE">
      <w:pPr>
        <w:spacing w:after="0" w:line="480" w:lineRule="auto"/>
        <w:ind w:left="709" w:hanging="567"/>
        <w:rPr>
          <w:szCs w:val="24"/>
          <w:lang w:val="en-US"/>
        </w:rPr>
      </w:pPr>
      <w:r w:rsidRPr="008B766D">
        <w:rPr>
          <w:szCs w:val="24"/>
          <w:lang w:val="en-US"/>
        </w:rPr>
        <w:t xml:space="preserve">De Jong Gierveld, J., </w:t>
      </w:r>
      <w:r w:rsidR="00560F21" w:rsidRPr="008B766D">
        <w:rPr>
          <w:szCs w:val="24"/>
          <w:lang w:val="en-US"/>
        </w:rPr>
        <w:t xml:space="preserve">de </w:t>
      </w:r>
      <w:r w:rsidRPr="008B766D">
        <w:rPr>
          <w:szCs w:val="24"/>
          <w:lang w:val="en-US"/>
        </w:rPr>
        <w:t xml:space="preserve">Valk, H., &amp; Blommesteijn, M. (2001). Living arrangements of older persons and family support in more developed countries. </w:t>
      </w:r>
      <w:r w:rsidRPr="008B766D">
        <w:rPr>
          <w:i/>
          <w:szCs w:val="24"/>
          <w:lang w:val="en-US"/>
        </w:rPr>
        <w:t xml:space="preserve">Population Bulletin of the </w:t>
      </w:r>
      <w:r w:rsidRPr="008B766D">
        <w:rPr>
          <w:i/>
          <w:szCs w:val="24"/>
          <w:lang w:val="en-US"/>
        </w:rPr>
        <w:lastRenderedPageBreak/>
        <w:t>United Nations, special issue, living arrangements of older persons: Critical Issues and Policy Responses</w:t>
      </w:r>
      <w:r w:rsidRPr="008B766D">
        <w:rPr>
          <w:szCs w:val="24"/>
          <w:lang w:val="en-US"/>
        </w:rPr>
        <w:t xml:space="preserve">, </w:t>
      </w:r>
      <w:r w:rsidRPr="008B766D">
        <w:rPr>
          <w:i/>
          <w:szCs w:val="24"/>
          <w:lang w:val="en-US"/>
        </w:rPr>
        <w:t>42/43</w:t>
      </w:r>
      <w:r w:rsidRPr="008B766D">
        <w:rPr>
          <w:szCs w:val="24"/>
          <w:lang w:val="en-US"/>
        </w:rPr>
        <w:t>, 193–217.</w:t>
      </w:r>
    </w:p>
    <w:p w14:paraId="6A792583" w14:textId="77777777" w:rsidR="00F74112" w:rsidRPr="008B766D" w:rsidRDefault="00F74112" w:rsidP="006F30EE">
      <w:pPr>
        <w:pStyle w:val="Default"/>
        <w:spacing w:line="480" w:lineRule="auto"/>
        <w:ind w:left="709" w:hanging="567"/>
        <w:rPr>
          <w:lang w:val="en-US"/>
        </w:rPr>
      </w:pPr>
      <w:r w:rsidRPr="008B766D">
        <w:rPr>
          <w:lang w:val="en-US"/>
        </w:rPr>
        <w:t xml:space="preserve">Deleire, T., &amp; Kalil, A. (2002). Good things come in threes: Single-parent multigenerational family structure and adolescent adjustment. </w:t>
      </w:r>
      <w:r w:rsidRPr="008B766D">
        <w:rPr>
          <w:i/>
          <w:lang w:val="en-US"/>
        </w:rPr>
        <w:t>Demography,</w:t>
      </w:r>
      <w:r w:rsidRPr="008B766D">
        <w:rPr>
          <w:lang w:val="en-US"/>
        </w:rPr>
        <w:t xml:space="preserve"> </w:t>
      </w:r>
      <w:r w:rsidRPr="008B766D">
        <w:rPr>
          <w:i/>
          <w:lang w:val="en-US"/>
        </w:rPr>
        <w:t>39</w:t>
      </w:r>
      <w:r w:rsidRPr="008B766D">
        <w:rPr>
          <w:lang w:val="en-US"/>
        </w:rPr>
        <w:t>(2), 393–413.</w:t>
      </w:r>
    </w:p>
    <w:p w14:paraId="44A105AE" w14:textId="77777777" w:rsidR="00F74112" w:rsidRPr="008B766D" w:rsidRDefault="00F74112" w:rsidP="006F30EE">
      <w:pPr>
        <w:spacing w:after="0" w:line="480" w:lineRule="auto"/>
        <w:ind w:left="709" w:hanging="567"/>
        <w:rPr>
          <w:szCs w:val="24"/>
          <w:lang w:val="en-US"/>
        </w:rPr>
      </w:pPr>
      <w:r w:rsidRPr="008B766D">
        <w:rPr>
          <w:szCs w:val="24"/>
          <w:lang w:val="en-US"/>
        </w:rPr>
        <w:t xml:space="preserve">Denham, T. E., &amp; Smith, C. W. (1989). The influence of grandparents on grandchildren: A review of the literature and resources. </w:t>
      </w:r>
      <w:r w:rsidRPr="008B766D">
        <w:rPr>
          <w:i/>
          <w:szCs w:val="24"/>
          <w:lang w:val="en-US"/>
        </w:rPr>
        <w:t>Family Relations, 38</w:t>
      </w:r>
      <w:r w:rsidRPr="008B766D">
        <w:rPr>
          <w:szCs w:val="24"/>
          <w:lang w:val="en-US"/>
        </w:rPr>
        <w:t>(3), 345–350.</w:t>
      </w:r>
    </w:p>
    <w:p w14:paraId="7063BE0C" w14:textId="77777777" w:rsidR="00F74112" w:rsidRPr="008B766D" w:rsidRDefault="00F74112" w:rsidP="006F30EE">
      <w:pPr>
        <w:spacing w:after="0" w:line="480" w:lineRule="auto"/>
        <w:ind w:left="709" w:hanging="567"/>
        <w:rPr>
          <w:lang w:val="en-US"/>
        </w:rPr>
      </w:pPr>
      <w:r w:rsidRPr="008B766D">
        <w:rPr>
          <w:lang w:val="en-US"/>
        </w:rPr>
        <w:t xml:space="preserve">Desai, S. (1995). When are children from large families disadvantaged? Evidence from cross-national analyses. </w:t>
      </w:r>
      <w:r w:rsidRPr="008B766D">
        <w:rPr>
          <w:i/>
          <w:lang w:val="en-US"/>
        </w:rPr>
        <w:t>Population Studies,</w:t>
      </w:r>
      <w:r w:rsidRPr="008B766D">
        <w:rPr>
          <w:lang w:val="en-US"/>
        </w:rPr>
        <w:t xml:space="preserve"> </w:t>
      </w:r>
      <w:r w:rsidRPr="008B766D">
        <w:rPr>
          <w:i/>
          <w:lang w:val="en-US"/>
        </w:rPr>
        <w:t>49</w:t>
      </w:r>
      <w:r w:rsidRPr="008B766D">
        <w:rPr>
          <w:lang w:val="en-US"/>
        </w:rPr>
        <w:t>(2), 195</w:t>
      </w:r>
      <w:r w:rsidRPr="008B766D">
        <w:rPr>
          <w:szCs w:val="24"/>
          <w:lang w:val="en-US"/>
        </w:rPr>
        <w:t>–</w:t>
      </w:r>
      <w:r w:rsidRPr="008B766D">
        <w:rPr>
          <w:lang w:val="en-US"/>
        </w:rPr>
        <w:t>210.</w:t>
      </w:r>
    </w:p>
    <w:p w14:paraId="3D7ECA65" w14:textId="77777777" w:rsidR="00F74112" w:rsidRPr="008B766D" w:rsidRDefault="00F74112" w:rsidP="006F30EE">
      <w:pPr>
        <w:spacing w:after="0" w:line="480" w:lineRule="auto"/>
        <w:ind w:left="709" w:hanging="567"/>
        <w:rPr>
          <w:szCs w:val="24"/>
          <w:lang w:val="en-US"/>
        </w:rPr>
      </w:pPr>
      <w:r w:rsidRPr="008B766D">
        <w:rPr>
          <w:szCs w:val="24"/>
          <w:lang w:val="en-US"/>
        </w:rPr>
        <w:t xml:space="preserve">Divale, W., &amp; Seda, A. (2000). Cross-cultural codes of modernization. </w:t>
      </w:r>
      <w:r w:rsidRPr="008B766D">
        <w:rPr>
          <w:i/>
          <w:szCs w:val="24"/>
          <w:lang w:val="en-US"/>
        </w:rPr>
        <w:t>World Cultures,</w:t>
      </w:r>
      <w:r w:rsidRPr="008B766D">
        <w:rPr>
          <w:szCs w:val="24"/>
          <w:lang w:val="en-US"/>
        </w:rPr>
        <w:t xml:space="preserve"> </w:t>
      </w:r>
      <w:r w:rsidRPr="008B766D">
        <w:rPr>
          <w:i/>
          <w:szCs w:val="24"/>
          <w:lang w:val="en-US"/>
        </w:rPr>
        <w:t>11</w:t>
      </w:r>
      <w:r w:rsidRPr="008B766D">
        <w:rPr>
          <w:szCs w:val="24"/>
          <w:lang w:val="en-US"/>
        </w:rPr>
        <w:t>(2), 152–170.</w:t>
      </w:r>
    </w:p>
    <w:p w14:paraId="44275E3B" w14:textId="77777777" w:rsidR="00F74112" w:rsidRPr="008B766D" w:rsidRDefault="00F74112" w:rsidP="006F30EE">
      <w:pPr>
        <w:spacing w:after="0" w:line="480" w:lineRule="auto"/>
        <w:ind w:left="709" w:hanging="567"/>
        <w:rPr>
          <w:szCs w:val="24"/>
          <w:lang w:val="en-US"/>
        </w:rPr>
      </w:pPr>
      <w:r w:rsidRPr="008B766D">
        <w:rPr>
          <w:szCs w:val="24"/>
          <w:lang w:val="en-US"/>
        </w:rPr>
        <w:t xml:space="preserve">Downey, D. B. (1995). When bigger is not better: Family size, parental resources, and children’s educational performance. </w:t>
      </w:r>
      <w:r w:rsidRPr="008B766D">
        <w:rPr>
          <w:i/>
          <w:szCs w:val="24"/>
          <w:lang w:val="en-US"/>
        </w:rPr>
        <w:t>American Sociological Review,</w:t>
      </w:r>
      <w:r w:rsidRPr="008B766D">
        <w:rPr>
          <w:szCs w:val="24"/>
          <w:lang w:val="en-US"/>
        </w:rPr>
        <w:t xml:space="preserve"> </w:t>
      </w:r>
      <w:r w:rsidRPr="008B766D">
        <w:rPr>
          <w:i/>
          <w:szCs w:val="24"/>
          <w:lang w:val="en-US"/>
        </w:rPr>
        <w:t>60</w:t>
      </w:r>
      <w:r w:rsidRPr="008B766D">
        <w:rPr>
          <w:szCs w:val="24"/>
          <w:lang w:val="en-US"/>
        </w:rPr>
        <w:t>(5), 746–761.</w:t>
      </w:r>
    </w:p>
    <w:p w14:paraId="3556D999" w14:textId="77777777" w:rsidR="00F74112" w:rsidRPr="008B766D" w:rsidRDefault="00F74112" w:rsidP="006F30EE">
      <w:pPr>
        <w:pStyle w:val="Default"/>
        <w:spacing w:line="480" w:lineRule="auto"/>
        <w:ind w:left="709" w:hanging="567"/>
        <w:rPr>
          <w:lang w:val="en-US"/>
        </w:rPr>
      </w:pPr>
      <w:r w:rsidRPr="008B766D">
        <w:rPr>
          <w:lang w:val="en-US"/>
        </w:rPr>
        <w:t xml:space="preserve">Dunifon, R., &amp; Kowaleski-Jones, L. (2007). The influence of grandparents in single-mother families. </w:t>
      </w:r>
      <w:r w:rsidRPr="008B766D">
        <w:rPr>
          <w:i/>
          <w:lang w:val="en-US"/>
        </w:rPr>
        <w:t>Journal of Marriage and Family,</w:t>
      </w:r>
      <w:r w:rsidRPr="008B766D">
        <w:rPr>
          <w:lang w:val="en-US"/>
        </w:rPr>
        <w:t xml:space="preserve"> </w:t>
      </w:r>
      <w:r w:rsidRPr="008B766D">
        <w:rPr>
          <w:i/>
          <w:lang w:val="en-US"/>
        </w:rPr>
        <w:t>62</w:t>
      </w:r>
      <w:r w:rsidRPr="008B766D">
        <w:rPr>
          <w:lang w:val="en-US"/>
        </w:rPr>
        <w:t>(2), 465–481.</w:t>
      </w:r>
    </w:p>
    <w:p w14:paraId="5FE68617" w14:textId="5E9F456F" w:rsidR="00F74112" w:rsidRPr="008B766D" w:rsidRDefault="00F74112" w:rsidP="006F30EE">
      <w:pPr>
        <w:pStyle w:val="Default"/>
        <w:spacing w:line="480" w:lineRule="auto"/>
        <w:ind w:left="709" w:hanging="567"/>
        <w:rPr>
          <w:lang w:val="en-US"/>
        </w:rPr>
      </w:pPr>
      <w:r w:rsidRPr="008B766D">
        <w:rPr>
          <w:lang w:val="en-US"/>
        </w:rPr>
        <w:t xml:space="preserve">Eurostat. (2010). Measuring more than ‘just’ economic development. Retrieved July 24, 2012, from </w:t>
      </w:r>
      <w:hyperlink r:id="rId17" w:history="1">
        <w:r w:rsidRPr="008B766D">
          <w:rPr>
            <w:rStyle w:val="Hypertextovodkaz"/>
            <w:lang w:val="en-US"/>
          </w:rPr>
          <w:t>http://epp.eurostat.ec.europa.eu/statistics_explained/index.php/Measuring_more_than_'just'_economic_development</w:t>
        </w:r>
      </w:hyperlink>
    </w:p>
    <w:p w14:paraId="29B31372" w14:textId="77777777" w:rsidR="00F74112" w:rsidRPr="008B766D" w:rsidRDefault="00F74112" w:rsidP="006F30EE">
      <w:pPr>
        <w:spacing w:after="0" w:line="480" w:lineRule="auto"/>
        <w:ind w:left="720" w:hanging="567"/>
        <w:rPr>
          <w:lang w:val="en-US"/>
        </w:rPr>
      </w:pPr>
      <w:r w:rsidRPr="008B766D">
        <w:rPr>
          <w:lang w:val="en-US"/>
        </w:rPr>
        <w:t xml:space="preserve">Featherman, D. L., &amp; Carter, T. M. (1976). Discontinuities in schooling and the socioeconomic life cycle. In W. H. Sewell, R. M. Hauser, &amp; D. L. Featherman (Eds.), </w:t>
      </w:r>
      <w:r w:rsidRPr="008B766D">
        <w:rPr>
          <w:i/>
          <w:lang w:val="en-US"/>
        </w:rPr>
        <w:t xml:space="preserve">Schooling and Achievement in American Society </w:t>
      </w:r>
      <w:r w:rsidRPr="008B766D">
        <w:rPr>
          <w:lang w:val="en-US"/>
        </w:rPr>
        <w:t>(pp. 133</w:t>
      </w:r>
      <w:r w:rsidRPr="008B766D">
        <w:rPr>
          <w:szCs w:val="24"/>
          <w:lang w:val="en-US"/>
        </w:rPr>
        <w:t>–</w:t>
      </w:r>
      <w:r w:rsidRPr="008B766D">
        <w:rPr>
          <w:lang w:val="en-US"/>
        </w:rPr>
        <w:t>160). New York, NY: Academic Press.</w:t>
      </w:r>
    </w:p>
    <w:p w14:paraId="55FDD641" w14:textId="77777777" w:rsidR="00F74112" w:rsidRPr="008B766D" w:rsidRDefault="00F74112" w:rsidP="006F30EE">
      <w:pPr>
        <w:spacing w:after="0" w:line="480" w:lineRule="auto"/>
        <w:ind w:left="709" w:hanging="567"/>
        <w:rPr>
          <w:szCs w:val="24"/>
          <w:lang w:val="en-US"/>
        </w:rPr>
      </w:pPr>
      <w:r w:rsidRPr="008B766D">
        <w:rPr>
          <w:szCs w:val="24"/>
          <w:lang w:val="en-US"/>
        </w:rPr>
        <w:t xml:space="preserve">Featherman, D. L., &amp; Hauser, R. M. (1978). </w:t>
      </w:r>
      <w:r w:rsidRPr="008B766D">
        <w:rPr>
          <w:i/>
          <w:szCs w:val="24"/>
          <w:lang w:val="en-US"/>
        </w:rPr>
        <w:t>Opportunity and change</w:t>
      </w:r>
      <w:r w:rsidRPr="008B766D">
        <w:rPr>
          <w:szCs w:val="24"/>
          <w:lang w:val="en-US"/>
        </w:rPr>
        <w:t>. New York, NY: Academic Press.</w:t>
      </w:r>
    </w:p>
    <w:p w14:paraId="06114D4A" w14:textId="77777777" w:rsidR="00F74112" w:rsidRPr="008B766D" w:rsidRDefault="00F74112" w:rsidP="006F30EE">
      <w:pPr>
        <w:spacing w:after="0" w:line="480" w:lineRule="auto"/>
        <w:ind w:left="720" w:hanging="567"/>
        <w:rPr>
          <w:lang w:val="en-US"/>
        </w:rPr>
      </w:pPr>
      <w:r w:rsidRPr="004443C5">
        <w:rPr>
          <w:lang w:val="en-US"/>
        </w:rPr>
        <w:lastRenderedPageBreak/>
        <w:t>Ganzeboom, H. B</w:t>
      </w:r>
      <w:r w:rsidR="00861549" w:rsidRPr="004443C5">
        <w:rPr>
          <w:lang w:val="en-US"/>
        </w:rPr>
        <w:t>. G, Treiman, D. J, &amp; Ultee, W.</w:t>
      </w:r>
      <w:r w:rsidRPr="004443C5">
        <w:rPr>
          <w:lang w:val="en-US"/>
        </w:rPr>
        <w:t xml:space="preserve"> (1991). </w:t>
      </w:r>
      <w:r w:rsidRPr="008B766D">
        <w:rPr>
          <w:lang w:val="en-US"/>
        </w:rPr>
        <w:t xml:space="preserve">Comparative intergenerational stratification research: Three generations and beyond. </w:t>
      </w:r>
      <w:r w:rsidRPr="008B766D">
        <w:rPr>
          <w:i/>
          <w:lang w:val="en-US"/>
        </w:rPr>
        <w:t>Annual Review of Sociology, 17</w:t>
      </w:r>
      <w:r w:rsidRPr="008B766D">
        <w:rPr>
          <w:lang w:val="en-US"/>
        </w:rPr>
        <w:t>(1), 277</w:t>
      </w:r>
      <w:r w:rsidRPr="008B766D">
        <w:rPr>
          <w:szCs w:val="24"/>
          <w:lang w:val="en-US"/>
        </w:rPr>
        <w:t>–</w:t>
      </w:r>
      <w:r w:rsidRPr="008B766D">
        <w:rPr>
          <w:lang w:val="en-US"/>
        </w:rPr>
        <w:t>302.</w:t>
      </w:r>
    </w:p>
    <w:p w14:paraId="60CEC2E8" w14:textId="77777777" w:rsidR="00F74112" w:rsidRPr="008B766D" w:rsidRDefault="00F74112" w:rsidP="006F30EE">
      <w:pPr>
        <w:spacing w:after="0" w:line="480" w:lineRule="auto"/>
        <w:ind w:left="709" w:hanging="567"/>
        <w:rPr>
          <w:szCs w:val="24"/>
          <w:lang w:val="en-US"/>
        </w:rPr>
      </w:pPr>
      <w:r w:rsidRPr="008B766D">
        <w:rPr>
          <w:szCs w:val="24"/>
          <w:lang w:val="en-US"/>
        </w:rPr>
        <w:t xml:space="preserve">Ganzeboom, H. B. G., &amp; Treiman, D. J.  (1996). Internationally </w:t>
      </w:r>
      <w:r w:rsidR="003E466D" w:rsidRPr="008B766D">
        <w:rPr>
          <w:szCs w:val="24"/>
          <w:lang w:val="en-US"/>
        </w:rPr>
        <w:t>comparable m</w:t>
      </w:r>
      <w:r w:rsidRPr="008B766D">
        <w:rPr>
          <w:szCs w:val="24"/>
          <w:lang w:val="en-US"/>
        </w:rPr>
        <w:t xml:space="preserve">easures of </w:t>
      </w:r>
      <w:r w:rsidR="003E466D" w:rsidRPr="008B766D">
        <w:rPr>
          <w:szCs w:val="24"/>
          <w:lang w:val="en-US"/>
        </w:rPr>
        <w:t>o</w:t>
      </w:r>
      <w:r w:rsidRPr="008B766D">
        <w:rPr>
          <w:szCs w:val="24"/>
          <w:lang w:val="en-US"/>
        </w:rPr>
        <w:t xml:space="preserve">ccupational </w:t>
      </w:r>
      <w:r w:rsidR="003E466D" w:rsidRPr="008B766D">
        <w:rPr>
          <w:szCs w:val="24"/>
          <w:lang w:val="en-US"/>
        </w:rPr>
        <w:t>s</w:t>
      </w:r>
      <w:r w:rsidRPr="008B766D">
        <w:rPr>
          <w:szCs w:val="24"/>
          <w:lang w:val="en-US"/>
        </w:rPr>
        <w:t>ta</w:t>
      </w:r>
      <w:r w:rsidR="003E466D" w:rsidRPr="008B766D">
        <w:rPr>
          <w:szCs w:val="24"/>
          <w:lang w:val="en-US"/>
        </w:rPr>
        <w:t>tus for the 1988 International s</w:t>
      </w:r>
      <w:r w:rsidRPr="008B766D">
        <w:rPr>
          <w:szCs w:val="24"/>
          <w:lang w:val="en-US"/>
        </w:rPr>
        <w:t>tandard</w:t>
      </w:r>
      <w:r w:rsidR="003E466D" w:rsidRPr="008B766D">
        <w:rPr>
          <w:szCs w:val="24"/>
          <w:lang w:val="en-US"/>
        </w:rPr>
        <w:t xml:space="preserve"> classification of o</w:t>
      </w:r>
      <w:r w:rsidRPr="008B766D">
        <w:rPr>
          <w:szCs w:val="24"/>
          <w:lang w:val="en-US"/>
        </w:rPr>
        <w:t xml:space="preserve">ccupations.   </w:t>
      </w:r>
      <w:r w:rsidRPr="008B766D">
        <w:rPr>
          <w:i/>
          <w:szCs w:val="24"/>
          <w:lang w:val="en-US"/>
        </w:rPr>
        <w:t>Social Science Research</w:t>
      </w:r>
      <w:r w:rsidRPr="008B766D">
        <w:rPr>
          <w:szCs w:val="24"/>
          <w:lang w:val="en-US"/>
        </w:rPr>
        <w:t xml:space="preserve">, </w:t>
      </w:r>
      <w:r w:rsidRPr="008B766D">
        <w:rPr>
          <w:i/>
          <w:szCs w:val="24"/>
          <w:lang w:val="en-US"/>
        </w:rPr>
        <w:t>25</w:t>
      </w:r>
      <w:r w:rsidRPr="008B766D">
        <w:rPr>
          <w:szCs w:val="24"/>
          <w:lang w:val="en-US"/>
        </w:rPr>
        <w:t>(3), 201–239.</w:t>
      </w:r>
    </w:p>
    <w:p w14:paraId="771832DE" w14:textId="1F37951C" w:rsidR="00F74112" w:rsidRPr="008B766D" w:rsidRDefault="00F74112" w:rsidP="006F30EE">
      <w:pPr>
        <w:spacing w:after="0" w:line="480" w:lineRule="auto"/>
        <w:ind w:left="709" w:hanging="567"/>
        <w:rPr>
          <w:szCs w:val="24"/>
          <w:lang w:val="en-US"/>
        </w:rPr>
      </w:pPr>
      <w:r w:rsidRPr="008B766D">
        <w:rPr>
          <w:szCs w:val="24"/>
          <w:lang w:val="en-US"/>
        </w:rPr>
        <w:t xml:space="preserve">Glaser, K., Montserrat, E. R., Waginger, U., Price, D., Stuchbury, R., &amp; Tinker, A. (2010). </w:t>
      </w:r>
      <w:r w:rsidRPr="008B766D">
        <w:rPr>
          <w:i/>
          <w:szCs w:val="24"/>
          <w:lang w:val="en-US"/>
        </w:rPr>
        <w:t>Grandparenting in Europe. Report June 2010</w:t>
      </w:r>
      <w:r w:rsidRPr="008B766D">
        <w:rPr>
          <w:szCs w:val="24"/>
          <w:lang w:val="en-US"/>
        </w:rPr>
        <w:t xml:space="preserve">. London: Grandparents Plus. Retrieved February 28, 2012, from </w:t>
      </w:r>
      <w:hyperlink r:id="rId18" w:history="1">
        <w:r w:rsidRPr="008B766D">
          <w:rPr>
            <w:rStyle w:val="Hypertextovodkaz"/>
            <w:szCs w:val="24"/>
            <w:lang w:val="en-US"/>
          </w:rPr>
          <w:t>http://www.grandparentsplus.org.uk/wp-content/uploads/2011/03/Grandparenting-in-Europe-Report.pdf</w:t>
        </w:r>
      </w:hyperlink>
    </w:p>
    <w:p w14:paraId="766460C3" w14:textId="77777777" w:rsidR="00F74112" w:rsidRPr="008B766D" w:rsidRDefault="00F74112" w:rsidP="006F30EE">
      <w:pPr>
        <w:spacing w:after="0" w:line="480" w:lineRule="auto"/>
        <w:ind w:left="709" w:hanging="567"/>
        <w:rPr>
          <w:lang w:val="en-US"/>
        </w:rPr>
      </w:pPr>
      <w:r w:rsidRPr="008B766D">
        <w:rPr>
          <w:lang w:val="en-US"/>
        </w:rPr>
        <w:t xml:space="preserve">Glazer, K., Agree, E. M., Costenbader, E., Camargo, A., Trench, B., Natividad, J., &amp; Chuang, Y.-L. (2006). Fertility decline, family structure, and support for older persons in Latin America and Asia. </w:t>
      </w:r>
      <w:r w:rsidRPr="008B766D">
        <w:rPr>
          <w:i/>
          <w:lang w:val="en-US"/>
        </w:rPr>
        <w:t>Journal of Aging and Health,</w:t>
      </w:r>
      <w:r w:rsidRPr="008B766D">
        <w:rPr>
          <w:lang w:val="en-US"/>
        </w:rPr>
        <w:t xml:space="preserve"> </w:t>
      </w:r>
      <w:r w:rsidRPr="008B766D">
        <w:rPr>
          <w:i/>
          <w:lang w:val="en-US"/>
        </w:rPr>
        <w:t>18</w:t>
      </w:r>
      <w:r w:rsidRPr="008B766D">
        <w:rPr>
          <w:lang w:val="en-US"/>
        </w:rPr>
        <w:t>(2), 259</w:t>
      </w:r>
      <w:r w:rsidRPr="008B766D">
        <w:rPr>
          <w:szCs w:val="24"/>
          <w:lang w:val="en-US"/>
        </w:rPr>
        <w:t>–</w:t>
      </w:r>
      <w:r w:rsidRPr="008B766D">
        <w:rPr>
          <w:lang w:val="en-US"/>
        </w:rPr>
        <w:t>291.</w:t>
      </w:r>
    </w:p>
    <w:p w14:paraId="03E10B42" w14:textId="77777777" w:rsidR="00F74112" w:rsidRPr="008B766D" w:rsidRDefault="00F74112" w:rsidP="006F30EE">
      <w:pPr>
        <w:tabs>
          <w:tab w:val="left" w:pos="2970"/>
        </w:tabs>
        <w:spacing w:after="0" w:line="480" w:lineRule="auto"/>
        <w:ind w:left="709" w:hanging="567"/>
        <w:rPr>
          <w:szCs w:val="24"/>
          <w:lang w:val="en-US"/>
        </w:rPr>
      </w:pPr>
      <w:r w:rsidRPr="008B766D">
        <w:rPr>
          <w:szCs w:val="24"/>
          <w:lang w:val="en-US"/>
        </w:rPr>
        <w:t xml:space="preserve">Gomes, M. (1984). Family size and educational attainment in Kenya. </w:t>
      </w:r>
      <w:r w:rsidRPr="008B766D">
        <w:rPr>
          <w:i/>
          <w:szCs w:val="24"/>
          <w:lang w:val="en-US"/>
        </w:rPr>
        <w:t>Population and Development Review,</w:t>
      </w:r>
      <w:r w:rsidRPr="008B766D">
        <w:rPr>
          <w:szCs w:val="24"/>
          <w:lang w:val="en-US"/>
        </w:rPr>
        <w:t xml:space="preserve"> </w:t>
      </w:r>
      <w:r w:rsidRPr="008B766D">
        <w:rPr>
          <w:i/>
          <w:szCs w:val="24"/>
          <w:lang w:val="en-US"/>
        </w:rPr>
        <w:t>10</w:t>
      </w:r>
      <w:r w:rsidRPr="008B766D">
        <w:rPr>
          <w:szCs w:val="24"/>
          <w:lang w:val="en-US"/>
        </w:rPr>
        <w:t>(4), 647–</w:t>
      </w:r>
      <w:r w:rsidR="00560F21" w:rsidRPr="008B766D">
        <w:rPr>
          <w:szCs w:val="24"/>
          <w:lang w:val="en-US"/>
        </w:rPr>
        <w:t>6</w:t>
      </w:r>
      <w:r w:rsidRPr="008B766D">
        <w:rPr>
          <w:szCs w:val="24"/>
          <w:lang w:val="en-US"/>
        </w:rPr>
        <w:t>60.</w:t>
      </w:r>
    </w:p>
    <w:p w14:paraId="6B79A489" w14:textId="77777777" w:rsidR="00F74112" w:rsidRPr="008B766D" w:rsidRDefault="00F74112" w:rsidP="006F30EE">
      <w:pPr>
        <w:spacing w:after="0" w:line="480" w:lineRule="auto"/>
        <w:ind w:left="709" w:hanging="567"/>
        <w:rPr>
          <w:szCs w:val="24"/>
          <w:lang w:val="en-US"/>
        </w:rPr>
      </w:pPr>
      <w:r w:rsidRPr="008B766D">
        <w:rPr>
          <w:szCs w:val="24"/>
          <w:lang w:val="en-US"/>
        </w:rPr>
        <w:t xml:space="preserve">Guo, G., &amp; VanWey, L. K. (1999). Sibship size and intellectual development: Is the relationship causal? </w:t>
      </w:r>
      <w:r w:rsidRPr="008B766D">
        <w:rPr>
          <w:i/>
          <w:szCs w:val="24"/>
          <w:lang w:val="en-US"/>
        </w:rPr>
        <w:t>American Sociological Review,</w:t>
      </w:r>
      <w:r w:rsidRPr="008B766D">
        <w:rPr>
          <w:szCs w:val="24"/>
          <w:lang w:val="en-US"/>
        </w:rPr>
        <w:t xml:space="preserve"> </w:t>
      </w:r>
      <w:r w:rsidRPr="008B766D">
        <w:rPr>
          <w:i/>
          <w:szCs w:val="24"/>
          <w:lang w:val="en-US"/>
        </w:rPr>
        <w:t>64</w:t>
      </w:r>
      <w:r w:rsidRPr="008B766D">
        <w:rPr>
          <w:szCs w:val="24"/>
          <w:lang w:val="en-US"/>
        </w:rPr>
        <w:t>(2), 169–187.</w:t>
      </w:r>
    </w:p>
    <w:p w14:paraId="5F8ACBE7" w14:textId="1A18F508" w:rsidR="00AB4E26" w:rsidRPr="00AB4E26" w:rsidRDefault="00AB4E26" w:rsidP="006F30EE">
      <w:pPr>
        <w:spacing w:after="0" w:line="480" w:lineRule="auto"/>
        <w:ind w:left="709" w:hanging="567"/>
        <w:rPr>
          <w:sz w:val="36"/>
          <w:lang w:val="en-US"/>
        </w:rPr>
      </w:pPr>
      <w:r w:rsidRPr="00AB4E26">
        <w:rPr>
          <w:szCs w:val="18"/>
          <w:lang w:val="en-US"/>
        </w:rPr>
        <w:t xml:space="preserve">Hällsten, M. </w:t>
      </w:r>
      <w:r>
        <w:rPr>
          <w:szCs w:val="18"/>
          <w:lang w:val="en-US"/>
        </w:rPr>
        <w:t xml:space="preserve">(2013). </w:t>
      </w:r>
      <w:r w:rsidRPr="00AB4E26">
        <w:rPr>
          <w:szCs w:val="18"/>
          <w:lang w:val="en-US"/>
        </w:rPr>
        <w:t xml:space="preserve">Inequality across three and four generations in Egalitarian Sweden: 1st and 2nd cousin correlations in socio-economic outcomes. </w:t>
      </w:r>
      <w:r w:rsidRPr="00AB4E26">
        <w:rPr>
          <w:i/>
          <w:iCs/>
          <w:szCs w:val="18"/>
          <w:lang w:val="en-US"/>
        </w:rPr>
        <w:t>Research in Social S</w:t>
      </w:r>
      <w:r>
        <w:rPr>
          <w:i/>
          <w:iCs/>
          <w:szCs w:val="18"/>
          <w:lang w:val="en-US"/>
        </w:rPr>
        <w:t>tratification and Mobility</w:t>
      </w:r>
      <w:r w:rsidRPr="00AB4E26">
        <w:rPr>
          <w:szCs w:val="18"/>
          <w:lang w:val="en-US"/>
        </w:rPr>
        <w:t xml:space="preserve">, </w:t>
      </w:r>
      <w:hyperlink r:id="rId19" w:history="1">
        <w:r w:rsidRPr="003A3D29">
          <w:rPr>
            <w:rStyle w:val="Hypertextovodkaz"/>
            <w:szCs w:val="18"/>
            <w:lang w:val="en-US"/>
          </w:rPr>
          <w:t>http://dx.doi.org/10.1016/j.rssm.2013.09.002</w:t>
        </w:r>
      </w:hyperlink>
    </w:p>
    <w:p w14:paraId="34AA1980" w14:textId="77777777" w:rsidR="00F74112" w:rsidRPr="008B766D" w:rsidRDefault="00F74112" w:rsidP="006F30EE">
      <w:pPr>
        <w:spacing w:after="0" w:line="480" w:lineRule="auto"/>
        <w:ind w:left="709" w:hanging="567"/>
        <w:rPr>
          <w:lang w:val="en-US"/>
        </w:rPr>
      </w:pPr>
      <w:r w:rsidRPr="008B766D">
        <w:rPr>
          <w:lang w:val="en-US"/>
        </w:rPr>
        <w:t xml:space="preserve">Hauser, R. M., &amp; Featherman, D. L. (1977). </w:t>
      </w:r>
      <w:r w:rsidRPr="008B766D">
        <w:rPr>
          <w:i/>
          <w:lang w:val="en-US"/>
        </w:rPr>
        <w:t>The process of stratification. Trends and analyses</w:t>
      </w:r>
      <w:r w:rsidRPr="008B766D">
        <w:rPr>
          <w:lang w:val="en-US"/>
        </w:rPr>
        <w:t>. New York, NY: Academic Press.</w:t>
      </w:r>
    </w:p>
    <w:p w14:paraId="7CA1158B" w14:textId="77777777" w:rsidR="00F74112" w:rsidRPr="008B766D" w:rsidRDefault="00F74112" w:rsidP="006F30EE">
      <w:pPr>
        <w:spacing w:after="0" w:line="480" w:lineRule="auto"/>
        <w:ind w:left="709" w:hanging="567"/>
        <w:rPr>
          <w:szCs w:val="24"/>
          <w:lang w:val="en-US"/>
        </w:rPr>
      </w:pPr>
      <w:r w:rsidRPr="008B766D">
        <w:rPr>
          <w:szCs w:val="24"/>
          <w:lang w:val="en-US"/>
        </w:rPr>
        <w:t xml:space="preserve">Hayslip Jr., B., &amp; Kaminski, P. L. (2005). Grandparents raising their grandchildren:  A review of the literature and suggestions for practice. </w:t>
      </w:r>
      <w:r w:rsidRPr="008B766D">
        <w:rPr>
          <w:i/>
          <w:szCs w:val="24"/>
          <w:lang w:val="en-US"/>
        </w:rPr>
        <w:t>The Gerontologist,</w:t>
      </w:r>
      <w:r w:rsidRPr="008B766D">
        <w:rPr>
          <w:szCs w:val="24"/>
          <w:lang w:val="en-US"/>
        </w:rPr>
        <w:t xml:space="preserve"> </w:t>
      </w:r>
      <w:r w:rsidRPr="008B766D">
        <w:rPr>
          <w:i/>
          <w:szCs w:val="24"/>
          <w:lang w:val="en-US"/>
        </w:rPr>
        <w:t>45</w:t>
      </w:r>
      <w:r w:rsidRPr="008B766D">
        <w:rPr>
          <w:szCs w:val="24"/>
          <w:lang w:val="en-US"/>
        </w:rPr>
        <w:t>(2), 262–269.</w:t>
      </w:r>
    </w:p>
    <w:p w14:paraId="4AC471BA" w14:textId="77777777" w:rsidR="00F74112" w:rsidRPr="008B766D" w:rsidRDefault="00F74112" w:rsidP="006F30EE">
      <w:pPr>
        <w:tabs>
          <w:tab w:val="right" w:pos="9072"/>
        </w:tabs>
        <w:spacing w:after="0" w:line="480" w:lineRule="auto"/>
        <w:ind w:left="720" w:hanging="567"/>
        <w:rPr>
          <w:szCs w:val="24"/>
          <w:lang w:val="en-US"/>
        </w:rPr>
      </w:pPr>
      <w:r w:rsidRPr="008B766D">
        <w:rPr>
          <w:szCs w:val="24"/>
          <w:lang w:val="en-US"/>
        </w:rPr>
        <w:lastRenderedPageBreak/>
        <w:t xml:space="preserve">Heer, D. M. (1985). Effects of sibling number on child outcome. </w:t>
      </w:r>
      <w:r w:rsidRPr="008B766D">
        <w:rPr>
          <w:i/>
          <w:szCs w:val="24"/>
          <w:lang w:val="en-US"/>
        </w:rPr>
        <w:t>Annual Review of Sociology, 11</w:t>
      </w:r>
      <w:r w:rsidRPr="008B766D">
        <w:rPr>
          <w:szCs w:val="24"/>
          <w:lang w:val="en-US"/>
        </w:rPr>
        <w:t>, 27–47.</w:t>
      </w:r>
    </w:p>
    <w:p w14:paraId="4BA3DA65" w14:textId="77777777" w:rsidR="00FE6017" w:rsidRDefault="00F74112" w:rsidP="00FE6017">
      <w:pPr>
        <w:tabs>
          <w:tab w:val="right" w:pos="9072"/>
        </w:tabs>
        <w:spacing w:after="0" w:line="480" w:lineRule="auto"/>
        <w:ind w:left="720" w:hanging="567"/>
        <w:rPr>
          <w:szCs w:val="24"/>
          <w:lang w:val="en-US"/>
        </w:rPr>
      </w:pPr>
      <w:r w:rsidRPr="008B766D">
        <w:rPr>
          <w:szCs w:val="24"/>
          <w:lang w:val="en-US"/>
        </w:rPr>
        <w:t xml:space="preserve">Heer, D. M. (1986). Effect of number, order, and spacing on child and adult outcomes: An overview of current research. </w:t>
      </w:r>
      <w:r w:rsidRPr="008B766D">
        <w:rPr>
          <w:i/>
          <w:szCs w:val="24"/>
          <w:lang w:val="en-US"/>
        </w:rPr>
        <w:t>Biodemography and Social Biology, 33</w:t>
      </w:r>
      <w:r w:rsidRPr="008B766D">
        <w:rPr>
          <w:szCs w:val="24"/>
          <w:lang w:val="en-US"/>
        </w:rPr>
        <w:t>(1–2), 1–4.</w:t>
      </w:r>
    </w:p>
    <w:p w14:paraId="7B9FC5C7" w14:textId="120D90B2" w:rsidR="00B6116E" w:rsidRPr="00B6116E" w:rsidRDefault="00B6116E" w:rsidP="00FE6017">
      <w:pPr>
        <w:tabs>
          <w:tab w:val="right" w:pos="9072"/>
        </w:tabs>
        <w:spacing w:after="0" w:line="480" w:lineRule="auto"/>
        <w:ind w:left="720" w:hanging="567"/>
        <w:rPr>
          <w:szCs w:val="18"/>
        </w:rPr>
      </w:pPr>
      <w:r w:rsidRPr="00B6116E">
        <w:rPr>
          <w:szCs w:val="18"/>
        </w:rPr>
        <w:t xml:space="preserve">Hertel, F. R., &amp; Groh-Samberg, O. </w:t>
      </w:r>
      <w:r>
        <w:rPr>
          <w:szCs w:val="18"/>
        </w:rPr>
        <w:t>(201</w:t>
      </w:r>
      <w:r w:rsidR="00D14189">
        <w:rPr>
          <w:szCs w:val="18"/>
        </w:rPr>
        <w:t>3</w:t>
      </w:r>
      <w:r>
        <w:rPr>
          <w:szCs w:val="18"/>
        </w:rPr>
        <w:t xml:space="preserve">). </w:t>
      </w:r>
      <w:r w:rsidRPr="00B6116E">
        <w:rPr>
          <w:szCs w:val="18"/>
        </w:rPr>
        <w:t xml:space="preserve">Class mobility across three generations in the U.S. and Germany. </w:t>
      </w:r>
      <w:r w:rsidRPr="00B6116E">
        <w:rPr>
          <w:i/>
          <w:iCs/>
          <w:szCs w:val="18"/>
        </w:rPr>
        <w:t xml:space="preserve">Research in Social Stratification and Mobility </w:t>
      </w:r>
      <w:r w:rsidRPr="00B6116E">
        <w:rPr>
          <w:szCs w:val="18"/>
        </w:rPr>
        <w:t>(201</w:t>
      </w:r>
      <w:r w:rsidR="00D14189">
        <w:rPr>
          <w:szCs w:val="18"/>
        </w:rPr>
        <w:t>3</w:t>
      </w:r>
      <w:r w:rsidRPr="00B6116E">
        <w:rPr>
          <w:szCs w:val="18"/>
        </w:rPr>
        <w:t xml:space="preserve">), </w:t>
      </w:r>
      <w:hyperlink r:id="rId20" w:history="1">
        <w:r w:rsidR="00D14189" w:rsidRPr="003A3D29">
          <w:rPr>
            <w:rStyle w:val="Hypertextovodkaz"/>
            <w:szCs w:val="18"/>
          </w:rPr>
          <w:t>http://dx.doi.org/10.1016/j.rssm.2013.09.007</w:t>
        </w:r>
      </w:hyperlink>
    </w:p>
    <w:p w14:paraId="5C248F89" w14:textId="3B734E5E" w:rsidR="00FE6017" w:rsidRPr="00FE6017" w:rsidRDefault="00FE6017" w:rsidP="00FE6017">
      <w:pPr>
        <w:tabs>
          <w:tab w:val="right" w:pos="9072"/>
        </w:tabs>
        <w:spacing w:after="0" w:line="480" w:lineRule="auto"/>
        <w:ind w:left="720" w:hanging="567"/>
        <w:rPr>
          <w:szCs w:val="24"/>
          <w:lang w:val="en-US"/>
        </w:rPr>
      </w:pPr>
      <w:r>
        <w:rPr>
          <w:szCs w:val="24"/>
        </w:rPr>
        <w:t xml:space="preserve">Hirschová, M., Kreidl, M. (2012). </w:t>
      </w:r>
      <w:r w:rsidRPr="00482F4D">
        <w:rPr>
          <w:szCs w:val="24"/>
        </w:rPr>
        <w:t>Vliv počtu sourozenců na matematickou, čtenářskou a přírodovědnou gramotnost v</w:t>
      </w:r>
      <w:r>
        <w:rPr>
          <w:szCs w:val="24"/>
        </w:rPr>
        <w:t> </w:t>
      </w:r>
      <w:r w:rsidRPr="00482F4D">
        <w:rPr>
          <w:szCs w:val="24"/>
        </w:rPr>
        <w:t>ČR</w:t>
      </w:r>
      <w:r>
        <w:rPr>
          <w:szCs w:val="24"/>
        </w:rPr>
        <w:t xml:space="preserve">. </w:t>
      </w:r>
      <w:r w:rsidRPr="00FE6017">
        <w:rPr>
          <w:szCs w:val="24"/>
          <w:lang w:val="en-US"/>
        </w:rPr>
        <w:t>[The Effect of Sibship Size on School Achievement in Mathematics, Reading</w:t>
      </w:r>
      <w:r>
        <w:rPr>
          <w:szCs w:val="24"/>
          <w:lang w:val="en-US"/>
        </w:rPr>
        <w:t xml:space="preserve">, </w:t>
      </w:r>
      <w:r w:rsidRPr="00FE6017">
        <w:rPr>
          <w:szCs w:val="24"/>
          <w:lang w:val="en-US"/>
        </w:rPr>
        <w:t>and Science in the Czech Republic</w:t>
      </w:r>
      <w:r>
        <w:rPr>
          <w:szCs w:val="24"/>
          <w:lang w:val="en-US"/>
        </w:rPr>
        <w:t xml:space="preserve">] </w:t>
      </w:r>
      <w:r w:rsidRPr="006810BA">
        <w:rPr>
          <w:i/>
          <w:szCs w:val="24"/>
        </w:rPr>
        <w:t xml:space="preserve">Sociologický časopis/Czech </w:t>
      </w:r>
      <w:r w:rsidRPr="00F41A76">
        <w:rPr>
          <w:i/>
          <w:szCs w:val="24"/>
          <w:lang w:val="en-US"/>
        </w:rPr>
        <w:t>Sociological Review</w:t>
      </w:r>
      <w:r>
        <w:rPr>
          <w:i/>
          <w:szCs w:val="24"/>
          <w:lang w:val="en-US"/>
        </w:rPr>
        <w:t>,</w:t>
      </w:r>
      <w:r>
        <w:rPr>
          <w:i/>
          <w:szCs w:val="24"/>
        </w:rPr>
        <w:t xml:space="preserve"> </w:t>
      </w:r>
      <w:r w:rsidRPr="00FE6017">
        <w:rPr>
          <w:i/>
          <w:szCs w:val="24"/>
        </w:rPr>
        <w:t>48</w:t>
      </w:r>
      <w:r>
        <w:rPr>
          <w:szCs w:val="24"/>
        </w:rPr>
        <w:t>(4), 697</w:t>
      </w:r>
      <w:r w:rsidRPr="008B766D">
        <w:rPr>
          <w:szCs w:val="24"/>
          <w:lang w:val="en-US"/>
        </w:rPr>
        <w:t>–</w:t>
      </w:r>
      <w:r>
        <w:rPr>
          <w:szCs w:val="24"/>
        </w:rPr>
        <w:t>735.</w:t>
      </w:r>
    </w:p>
    <w:p w14:paraId="0FF8F0F5" w14:textId="01A352BD" w:rsidR="00F74112" w:rsidRPr="008B766D" w:rsidRDefault="00F74112" w:rsidP="006F30EE">
      <w:pPr>
        <w:tabs>
          <w:tab w:val="right" w:pos="9072"/>
        </w:tabs>
        <w:spacing w:after="0" w:line="480" w:lineRule="auto"/>
        <w:ind w:left="720" w:hanging="567"/>
        <w:rPr>
          <w:szCs w:val="24"/>
          <w:lang w:val="en-US"/>
        </w:rPr>
      </w:pPr>
      <w:r w:rsidRPr="008B766D">
        <w:rPr>
          <w:szCs w:val="24"/>
          <w:lang w:val="en-US"/>
        </w:rPr>
        <w:t xml:space="preserve">Hox, J. (2002). </w:t>
      </w:r>
      <w:r w:rsidRPr="008B766D">
        <w:rPr>
          <w:i/>
          <w:szCs w:val="24"/>
          <w:lang w:val="en-US"/>
        </w:rPr>
        <w:t>Multilevel analysis. Techniques and applications</w:t>
      </w:r>
      <w:r w:rsidRPr="008B766D">
        <w:rPr>
          <w:szCs w:val="24"/>
          <w:lang w:val="en-US"/>
        </w:rPr>
        <w:t>. Mahwah, NJ: Lawrence Erlbaum.</w:t>
      </w:r>
    </w:p>
    <w:p w14:paraId="5C409948" w14:textId="77777777" w:rsidR="00F74112" w:rsidRPr="008B766D" w:rsidRDefault="00F74112" w:rsidP="000655E7">
      <w:pPr>
        <w:tabs>
          <w:tab w:val="right" w:pos="9072"/>
        </w:tabs>
        <w:spacing w:after="0" w:line="480" w:lineRule="auto"/>
        <w:ind w:left="720" w:hanging="567"/>
        <w:rPr>
          <w:szCs w:val="24"/>
          <w:lang w:val="en-US"/>
        </w:rPr>
      </w:pPr>
      <w:r w:rsidRPr="004443C5">
        <w:rPr>
          <w:lang w:val="en-US"/>
        </w:rPr>
        <w:t xml:space="preserve">International Labour Office. (2010). </w:t>
      </w:r>
      <w:r w:rsidR="0018138D" w:rsidRPr="004443C5">
        <w:rPr>
          <w:i/>
          <w:lang w:val="en-US"/>
        </w:rPr>
        <w:t>World social s</w:t>
      </w:r>
      <w:r w:rsidRPr="004443C5">
        <w:rPr>
          <w:i/>
          <w:lang w:val="en-US"/>
        </w:rPr>
        <w:t>ecu</w:t>
      </w:r>
      <w:r w:rsidR="0018138D" w:rsidRPr="004443C5">
        <w:rPr>
          <w:i/>
          <w:lang w:val="en-US"/>
        </w:rPr>
        <w:t>rity r</w:t>
      </w:r>
      <w:r w:rsidRPr="004443C5">
        <w:rPr>
          <w:i/>
          <w:lang w:val="en-US"/>
        </w:rPr>
        <w:t xml:space="preserve">eport 2010/11. Providing </w:t>
      </w:r>
      <w:r w:rsidR="0018138D" w:rsidRPr="004443C5">
        <w:rPr>
          <w:i/>
          <w:lang w:val="en-US"/>
        </w:rPr>
        <w:t>coverage in t</w:t>
      </w:r>
      <w:r w:rsidRPr="004443C5">
        <w:rPr>
          <w:i/>
          <w:lang w:val="en-US"/>
        </w:rPr>
        <w:t xml:space="preserve">imes of </w:t>
      </w:r>
      <w:r w:rsidR="0018138D" w:rsidRPr="004443C5">
        <w:rPr>
          <w:i/>
          <w:lang w:val="en-US"/>
        </w:rPr>
        <w:t>crisis and b</w:t>
      </w:r>
      <w:r w:rsidRPr="004443C5">
        <w:rPr>
          <w:i/>
          <w:lang w:val="en-US"/>
        </w:rPr>
        <w:t>eyond</w:t>
      </w:r>
      <w:r w:rsidRPr="004443C5">
        <w:rPr>
          <w:lang w:val="en-US"/>
        </w:rPr>
        <w:t>. Geneva</w:t>
      </w:r>
      <w:r w:rsidR="00861549" w:rsidRPr="004443C5">
        <w:rPr>
          <w:lang w:val="en-US"/>
        </w:rPr>
        <w:t>, Switzerland</w:t>
      </w:r>
      <w:r w:rsidRPr="004443C5">
        <w:rPr>
          <w:lang w:val="en-US"/>
        </w:rPr>
        <w:t xml:space="preserve">: ILO. Retrieved March 14, 2013, from </w:t>
      </w:r>
      <w:hyperlink r:id="rId21" w:history="1">
        <w:r w:rsidRPr="004443C5">
          <w:rPr>
            <w:rStyle w:val="Hypertextovodkaz"/>
            <w:lang w:val="en-US"/>
          </w:rPr>
          <w:t>http://www.ilo.org/public/english/protection/secsoc/downloads/policy/wssr.pdf</w:t>
        </w:r>
      </w:hyperlink>
    </w:p>
    <w:p w14:paraId="3545346D" w14:textId="77777777" w:rsidR="00F74112" w:rsidRPr="008B766D" w:rsidRDefault="00F74112" w:rsidP="006F30EE">
      <w:pPr>
        <w:spacing w:after="0" w:line="480" w:lineRule="auto"/>
        <w:ind w:left="709" w:hanging="567"/>
        <w:rPr>
          <w:szCs w:val="24"/>
          <w:lang w:val="en-US"/>
        </w:rPr>
      </w:pPr>
      <w:r w:rsidRPr="008B766D">
        <w:rPr>
          <w:szCs w:val="24"/>
          <w:lang w:val="en-US"/>
        </w:rPr>
        <w:t xml:space="preserve">Jaeger, M. M. (2008). Do large sibships really lead to lower educational attainment? New evidence from quasi-experimental variation in couples’ reproductive capacity. </w:t>
      </w:r>
      <w:r w:rsidRPr="008B766D">
        <w:rPr>
          <w:i/>
          <w:szCs w:val="24"/>
          <w:lang w:val="en-US"/>
        </w:rPr>
        <w:t>Acta Sociologica,</w:t>
      </w:r>
      <w:r w:rsidRPr="008B766D">
        <w:rPr>
          <w:szCs w:val="24"/>
          <w:lang w:val="en-US"/>
        </w:rPr>
        <w:t xml:space="preserve"> </w:t>
      </w:r>
      <w:r w:rsidRPr="008B766D">
        <w:rPr>
          <w:i/>
          <w:szCs w:val="24"/>
          <w:lang w:val="en-US"/>
        </w:rPr>
        <w:t>51</w:t>
      </w:r>
      <w:r w:rsidRPr="008B766D">
        <w:rPr>
          <w:szCs w:val="24"/>
          <w:lang w:val="en-US"/>
        </w:rPr>
        <w:t>(3), 217–235.</w:t>
      </w:r>
    </w:p>
    <w:p w14:paraId="3AF90833" w14:textId="77777777" w:rsidR="00861CC4" w:rsidRPr="008B766D" w:rsidRDefault="00F74112" w:rsidP="00861CC4">
      <w:pPr>
        <w:spacing w:after="0" w:line="480" w:lineRule="auto"/>
        <w:ind w:left="709" w:hanging="567"/>
        <w:rPr>
          <w:szCs w:val="24"/>
          <w:lang w:val="en-US"/>
        </w:rPr>
      </w:pPr>
      <w:r w:rsidRPr="008B766D">
        <w:rPr>
          <w:szCs w:val="24"/>
          <w:lang w:val="en-US"/>
        </w:rPr>
        <w:t xml:space="preserve">Jaeger, M. M. (2009). Sibship size and educational attainment. A joint test of the confluence model and the resource dilution hypothesis. </w:t>
      </w:r>
      <w:r w:rsidRPr="008B766D">
        <w:rPr>
          <w:i/>
          <w:szCs w:val="24"/>
          <w:lang w:val="en-US"/>
        </w:rPr>
        <w:t>Research in Social Stratification and Mobility,</w:t>
      </w:r>
      <w:r w:rsidRPr="008B766D">
        <w:rPr>
          <w:szCs w:val="24"/>
          <w:lang w:val="en-US"/>
        </w:rPr>
        <w:t xml:space="preserve"> </w:t>
      </w:r>
      <w:r w:rsidRPr="008B766D">
        <w:rPr>
          <w:i/>
          <w:szCs w:val="24"/>
          <w:lang w:val="en-US"/>
        </w:rPr>
        <w:t>27</w:t>
      </w:r>
      <w:r w:rsidRPr="008B766D">
        <w:rPr>
          <w:szCs w:val="24"/>
          <w:lang w:val="en-US"/>
        </w:rPr>
        <w:t>(1), 1–</w:t>
      </w:r>
      <w:r w:rsidR="00861CC4" w:rsidRPr="008B766D">
        <w:rPr>
          <w:szCs w:val="24"/>
          <w:lang w:val="en-US"/>
        </w:rPr>
        <w:t>12.</w:t>
      </w:r>
    </w:p>
    <w:p w14:paraId="7EBC54C1" w14:textId="77777777" w:rsidR="00861CC4" w:rsidRPr="008B766D" w:rsidRDefault="00861CC4" w:rsidP="00861CC4">
      <w:pPr>
        <w:spacing w:after="0" w:line="480" w:lineRule="auto"/>
        <w:ind w:left="709" w:hanging="567"/>
        <w:rPr>
          <w:sz w:val="32"/>
          <w:szCs w:val="24"/>
          <w:lang w:val="en-US"/>
        </w:rPr>
      </w:pPr>
      <w:r w:rsidRPr="004443C5">
        <w:rPr>
          <w:lang w:val="en-US"/>
        </w:rPr>
        <w:t xml:space="preserve">Jaeger, M. M. (2012). The Extended Family and Children’s Educational Success. </w:t>
      </w:r>
      <w:r w:rsidRPr="004443C5">
        <w:rPr>
          <w:i/>
          <w:lang w:val="en-US"/>
        </w:rPr>
        <w:t>American Sociological Review</w:t>
      </w:r>
      <w:r w:rsidRPr="004443C5">
        <w:rPr>
          <w:lang w:val="en-US"/>
        </w:rPr>
        <w:t xml:space="preserve"> </w:t>
      </w:r>
      <w:r w:rsidRPr="004443C5">
        <w:rPr>
          <w:i/>
          <w:lang w:val="en-US"/>
        </w:rPr>
        <w:t>77</w:t>
      </w:r>
      <w:r w:rsidRPr="004443C5">
        <w:rPr>
          <w:lang w:val="en-US"/>
        </w:rPr>
        <w:t>(6),</w:t>
      </w:r>
      <w:r w:rsidRPr="004443C5">
        <w:rPr>
          <w:i/>
          <w:lang w:val="en-US"/>
        </w:rPr>
        <w:t xml:space="preserve"> </w:t>
      </w:r>
      <w:r w:rsidRPr="004443C5">
        <w:rPr>
          <w:lang w:val="en-US"/>
        </w:rPr>
        <w:t>903–922.</w:t>
      </w:r>
      <w:r w:rsidRPr="008B766D">
        <w:rPr>
          <w:sz w:val="32"/>
          <w:szCs w:val="24"/>
          <w:lang w:val="en-US"/>
        </w:rPr>
        <w:t xml:space="preserve"> </w:t>
      </w:r>
    </w:p>
    <w:p w14:paraId="1A0C7437" w14:textId="77777777" w:rsidR="00F74112" w:rsidRPr="008B766D" w:rsidRDefault="00F74112" w:rsidP="00861CC4">
      <w:pPr>
        <w:spacing w:after="0" w:line="480" w:lineRule="auto"/>
        <w:ind w:left="709" w:hanging="567"/>
        <w:rPr>
          <w:szCs w:val="24"/>
          <w:lang w:val="en-US"/>
        </w:rPr>
      </w:pPr>
      <w:r w:rsidRPr="008B766D">
        <w:rPr>
          <w:szCs w:val="24"/>
          <w:lang w:val="en-US"/>
        </w:rPr>
        <w:lastRenderedPageBreak/>
        <w:t xml:space="preserve">Jendrek, M. P. (1994). Grandparents who parent their grandchildren: Circumstances and decisions. </w:t>
      </w:r>
      <w:r w:rsidRPr="008B766D">
        <w:rPr>
          <w:i/>
          <w:szCs w:val="24"/>
          <w:lang w:val="en-US"/>
        </w:rPr>
        <w:t>The Gerontologist,</w:t>
      </w:r>
      <w:r w:rsidRPr="008B766D">
        <w:rPr>
          <w:szCs w:val="24"/>
          <w:lang w:val="en-US"/>
        </w:rPr>
        <w:t xml:space="preserve"> </w:t>
      </w:r>
      <w:r w:rsidRPr="008B766D">
        <w:rPr>
          <w:i/>
          <w:szCs w:val="24"/>
          <w:lang w:val="en-US"/>
        </w:rPr>
        <w:t>34</w:t>
      </w:r>
      <w:r w:rsidRPr="008B766D">
        <w:rPr>
          <w:szCs w:val="24"/>
          <w:lang w:val="en-US"/>
        </w:rPr>
        <w:t>(2), 206–216.</w:t>
      </w:r>
    </w:p>
    <w:p w14:paraId="6AD31E72" w14:textId="77777777" w:rsidR="00F74112" w:rsidRPr="008B766D" w:rsidRDefault="00F74112" w:rsidP="006F30EE">
      <w:pPr>
        <w:pStyle w:val="Default"/>
        <w:spacing w:line="480" w:lineRule="auto"/>
        <w:ind w:left="709" w:hanging="567"/>
        <w:rPr>
          <w:lang w:val="en-US"/>
        </w:rPr>
      </w:pPr>
      <w:r w:rsidRPr="008B766D">
        <w:rPr>
          <w:lang w:val="en-US"/>
        </w:rPr>
        <w:t xml:space="preserve">Kelch-Oliver, K. (2011). African American grandchildren raised in grandparent-headed families: An exploratory study. </w:t>
      </w:r>
      <w:r w:rsidRPr="008B766D">
        <w:rPr>
          <w:i/>
          <w:lang w:val="en-US"/>
        </w:rPr>
        <w:t>The Family Journal,</w:t>
      </w:r>
      <w:r w:rsidRPr="008B766D">
        <w:rPr>
          <w:lang w:val="en-US"/>
        </w:rPr>
        <w:t xml:space="preserve"> </w:t>
      </w:r>
      <w:r w:rsidRPr="008B766D">
        <w:rPr>
          <w:i/>
          <w:lang w:val="en-US"/>
        </w:rPr>
        <w:t>19</w:t>
      </w:r>
      <w:r w:rsidRPr="008B766D">
        <w:rPr>
          <w:lang w:val="en-US"/>
        </w:rPr>
        <w:t>(4), 396–406.</w:t>
      </w:r>
    </w:p>
    <w:p w14:paraId="4043EBA8" w14:textId="32600839" w:rsidR="001C0467" w:rsidRPr="008B766D" w:rsidRDefault="001C0467" w:rsidP="006F30EE">
      <w:pPr>
        <w:spacing w:after="0" w:line="480" w:lineRule="auto"/>
        <w:ind w:left="720" w:hanging="567"/>
        <w:rPr>
          <w:lang w:val="en-US"/>
        </w:rPr>
      </w:pPr>
      <w:r w:rsidRPr="008B766D">
        <w:rPr>
          <w:lang w:val="en-US"/>
        </w:rPr>
        <w:t>Kreuter, F., &amp; Va</w:t>
      </w:r>
      <w:r w:rsidR="00EF6A07">
        <w:rPr>
          <w:lang w:val="en-US"/>
        </w:rPr>
        <w:t xml:space="preserve">lliant, R. (2007). A Survey on </w:t>
      </w:r>
      <w:r>
        <w:rPr>
          <w:lang w:val="en-US"/>
        </w:rPr>
        <w:t>Survey Statistics</w:t>
      </w:r>
      <w:r w:rsidR="00EF6A07">
        <w:rPr>
          <w:lang w:val="en-US"/>
        </w:rPr>
        <w:t>: What is done and can be d</w:t>
      </w:r>
      <w:r w:rsidRPr="008B766D">
        <w:rPr>
          <w:lang w:val="en-US"/>
        </w:rPr>
        <w:t xml:space="preserve">one in STATA. </w:t>
      </w:r>
      <w:r w:rsidRPr="008B766D">
        <w:rPr>
          <w:i/>
          <w:lang w:val="en-US"/>
        </w:rPr>
        <w:t>The Stata Journal, 7</w:t>
      </w:r>
      <w:r w:rsidRPr="008B766D">
        <w:rPr>
          <w:lang w:val="en-US"/>
        </w:rPr>
        <w:t>(1), 1</w:t>
      </w:r>
      <w:r w:rsidR="00EF6A07" w:rsidRPr="008B766D">
        <w:rPr>
          <w:lang w:val="en-US"/>
        </w:rPr>
        <w:t>–</w:t>
      </w:r>
      <w:r w:rsidRPr="008B766D">
        <w:rPr>
          <w:lang w:val="en-US"/>
        </w:rPr>
        <w:t>21.</w:t>
      </w:r>
    </w:p>
    <w:p w14:paraId="08B469C5" w14:textId="77777777" w:rsidR="00F74112" w:rsidRPr="008B766D" w:rsidRDefault="00F74112" w:rsidP="006F30EE">
      <w:pPr>
        <w:spacing w:after="0" w:line="480" w:lineRule="auto"/>
        <w:ind w:left="720" w:hanging="567"/>
        <w:rPr>
          <w:lang w:val="en-US"/>
        </w:rPr>
      </w:pPr>
      <w:r w:rsidRPr="008B766D">
        <w:rPr>
          <w:lang w:val="en-US"/>
        </w:rPr>
        <w:t xml:space="preserve">Kuo, H.-H. D., &amp;, Hauser, R. M. (1997). How does size of sibship matter? Family configuration and family effects on educational attainment. </w:t>
      </w:r>
      <w:r w:rsidRPr="008B766D">
        <w:rPr>
          <w:i/>
          <w:lang w:val="en-US"/>
        </w:rPr>
        <w:t>Social Science Research,</w:t>
      </w:r>
      <w:r w:rsidRPr="008B766D">
        <w:rPr>
          <w:lang w:val="en-US"/>
        </w:rPr>
        <w:t xml:space="preserve"> </w:t>
      </w:r>
      <w:r w:rsidRPr="008B766D">
        <w:rPr>
          <w:i/>
          <w:lang w:val="en-US"/>
        </w:rPr>
        <w:t>26</w:t>
      </w:r>
      <w:r w:rsidRPr="008B766D">
        <w:rPr>
          <w:lang w:val="en-US"/>
        </w:rPr>
        <w:t>(1)</w:t>
      </w:r>
      <w:r w:rsidRPr="008B766D">
        <w:rPr>
          <w:i/>
          <w:lang w:val="en-US"/>
        </w:rPr>
        <w:t>,</w:t>
      </w:r>
      <w:r w:rsidRPr="008B766D">
        <w:rPr>
          <w:lang w:val="en-US"/>
        </w:rPr>
        <w:t xml:space="preserve"> 69</w:t>
      </w:r>
      <w:r w:rsidRPr="008B766D">
        <w:rPr>
          <w:szCs w:val="24"/>
          <w:lang w:val="en-US"/>
        </w:rPr>
        <w:t>–</w:t>
      </w:r>
      <w:r w:rsidRPr="008B766D">
        <w:rPr>
          <w:lang w:val="en-US"/>
        </w:rPr>
        <w:t>94.</w:t>
      </w:r>
    </w:p>
    <w:p w14:paraId="0C4A66F6" w14:textId="77777777" w:rsidR="00F74112" w:rsidRPr="008B766D" w:rsidRDefault="00F74112" w:rsidP="006F30EE">
      <w:pPr>
        <w:spacing w:after="0" w:line="480" w:lineRule="auto"/>
        <w:ind w:left="720" w:hanging="567"/>
        <w:rPr>
          <w:lang w:val="en-US"/>
        </w:rPr>
      </w:pPr>
      <w:r w:rsidRPr="008B766D">
        <w:rPr>
          <w:lang w:val="en-US"/>
        </w:rPr>
        <w:t>Lee, T., &amp; Cai, L. (2012)</w:t>
      </w:r>
      <w:r w:rsidR="0018138D" w:rsidRPr="008B766D">
        <w:rPr>
          <w:lang w:val="en-US"/>
        </w:rPr>
        <w:t>. Alternative multiple imputation inference for mean and covariance structure m</w:t>
      </w:r>
      <w:r w:rsidRPr="008B766D">
        <w:rPr>
          <w:lang w:val="en-US"/>
        </w:rPr>
        <w:t xml:space="preserve">odeling. </w:t>
      </w:r>
      <w:r w:rsidRPr="008B766D">
        <w:rPr>
          <w:i/>
          <w:lang w:val="en-US"/>
        </w:rPr>
        <w:t>Journal of Educational and Behavioral Statistics</w:t>
      </w:r>
      <w:r w:rsidRPr="008B766D">
        <w:rPr>
          <w:lang w:val="en-US"/>
        </w:rPr>
        <w:t xml:space="preserve"> OnlineFirst Oct. 8, 2012. DOI: 10.3102/1076998612458320</w:t>
      </w:r>
    </w:p>
    <w:p w14:paraId="1D5CAE48" w14:textId="77777777" w:rsidR="00F74112" w:rsidRPr="008B766D" w:rsidRDefault="00F74112" w:rsidP="006F30EE">
      <w:pPr>
        <w:spacing w:after="0" w:line="480" w:lineRule="auto"/>
        <w:ind w:left="720" w:hanging="567"/>
        <w:rPr>
          <w:lang w:val="en-US"/>
        </w:rPr>
      </w:pPr>
      <w:r w:rsidRPr="008B766D">
        <w:rPr>
          <w:lang w:val="en-US"/>
        </w:rPr>
        <w:t xml:space="preserve">Lindert, P. H. (1977). Sibling position and achievement. </w:t>
      </w:r>
      <w:r w:rsidRPr="008B766D">
        <w:rPr>
          <w:i/>
          <w:lang w:val="en-US"/>
        </w:rPr>
        <w:t>Journal of Human Resources,</w:t>
      </w:r>
      <w:r w:rsidRPr="008B766D">
        <w:rPr>
          <w:lang w:val="en-US"/>
        </w:rPr>
        <w:t xml:space="preserve"> </w:t>
      </w:r>
      <w:r w:rsidRPr="008B766D">
        <w:rPr>
          <w:i/>
          <w:lang w:val="en-US"/>
        </w:rPr>
        <w:t>12</w:t>
      </w:r>
      <w:r w:rsidRPr="008B766D">
        <w:rPr>
          <w:lang w:val="en-US"/>
        </w:rPr>
        <w:t>(2), 198</w:t>
      </w:r>
      <w:r w:rsidRPr="008B766D">
        <w:rPr>
          <w:szCs w:val="24"/>
          <w:lang w:val="en-US"/>
        </w:rPr>
        <w:t>–</w:t>
      </w:r>
      <w:r w:rsidRPr="008B766D">
        <w:rPr>
          <w:lang w:val="en-US"/>
        </w:rPr>
        <w:t>219.</w:t>
      </w:r>
    </w:p>
    <w:p w14:paraId="0796BB81" w14:textId="77777777" w:rsidR="001756ED" w:rsidRPr="008B766D" w:rsidRDefault="00F74112" w:rsidP="001756ED">
      <w:pPr>
        <w:spacing w:after="0" w:line="480" w:lineRule="auto"/>
        <w:ind w:left="709" w:hanging="567"/>
        <w:rPr>
          <w:szCs w:val="24"/>
          <w:lang w:val="en-US"/>
        </w:rPr>
      </w:pPr>
      <w:r w:rsidRPr="004443C5">
        <w:rPr>
          <w:lang w:val="en-US"/>
        </w:rPr>
        <w:t xml:space="preserve">Lu, Y., &amp; Treiman, D. J. (2008). </w:t>
      </w:r>
      <w:r w:rsidRPr="008B766D">
        <w:rPr>
          <w:szCs w:val="24"/>
          <w:lang w:val="en-US"/>
        </w:rPr>
        <w:t xml:space="preserve">The effect of sibship size on educational attainment in China: Period variations. </w:t>
      </w:r>
      <w:r w:rsidRPr="008B766D">
        <w:rPr>
          <w:i/>
          <w:szCs w:val="24"/>
          <w:lang w:val="en-US"/>
        </w:rPr>
        <w:t>American Sociological Review,</w:t>
      </w:r>
      <w:r w:rsidRPr="008B766D">
        <w:rPr>
          <w:szCs w:val="24"/>
          <w:lang w:val="en-US"/>
        </w:rPr>
        <w:t xml:space="preserve"> </w:t>
      </w:r>
      <w:r w:rsidRPr="008B766D">
        <w:rPr>
          <w:i/>
          <w:szCs w:val="24"/>
          <w:lang w:val="en-US"/>
        </w:rPr>
        <w:t>73</w:t>
      </w:r>
      <w:r w:rsidRPr="008B766D">
        <w:rPr>
          <w:szCs w:val="24"/>
          <w:lang w:val="en-US"/>
        </w:rPr>
        <w:t>(5), 813–</w:t>
      </w:r>
      <w:r w:rsidR="001756ED" w:rsidRPr="008B766D">
        <w:rPr>
          <w:szCs w:val="24"/>
          <w:lang w:val="en-US"/>
        </w:rPr>
        <w:t>834.</w:t>
      </w:r>
    </w:p>
    <w:p w14:paraId="3CA3F1F2" w14:textId="77777777" w:rsidR="001756ED" w:rsidRPr="008B766D" w:rsidRDefault="001756ED" w:rsidP="001756ED">
      <w:pPr>
        <w:spacing w:after="0" w:line="480" w:lineRule="auto"/>
        <w:ind w:left="709" w:hanging="567"/>
        <w:rPr>
          <w:szCs w:val="24"/>
          <w:lang w:val="en-US"/>
        </w:rPr>
      </w:pPr>
      <w:r w:rsidRPr="008B766D">
        <w:rPr>
          <w:lang w:val="en-US"/>
        </w:rPr>
        <w:t xml:space="preserve">Lu, Y. (2009). </w:t>
      </w:r>
      <w:r w:rsidRPr="004443C5">
        <w:rPr>
          <w:lang w:val="en-US"/>
        </w:rPr>
        <w:t xml:space="preserve">Sibship size and education in South Africa: Black–White variations. </w:t>
      </w:r>
      <w:r w:rsidRPr="004443C5">
        <w:rPr>
          <w:i/>
          <w:lang w:val="en-US"/>
        </w:rPr>
        <w:t>Research in Social Stratification and Mobility,</w:t>
      </w:r>
      <w:r w:rsidRPr="004443C5">
        <w:rPr>
          <w:lang w:val="en-US"/>
        </w:rPr>
        <w:t xml:space="preserve"> </w:t>
      </w:r>
      <w:r w:rsidRPr="004443C5">
        <w:rPr>
          <w:i/>
          <w:lang w:val="en-US"/>
        </w:rPr>
        <w:t>27</w:t>
      </w:r>
      <w:r w:rsidR="001C0D0A" w:rsidRPr="004443C5">
        <w:rPr>
          <w:lang w:val="en-US"/>
        </w:rPr>
        <w:t>(2), 110</w:t>
      </w:r>
      <w:r w:rsidR="001C0D0A" w:rsidRPr="008B766D">
        <w:rPr>
          <w:szCs w:val="24"/>
          <w:lang w:val="en-US"/>
        </w:rPr>
        <w:t>–</w:t>
      </w:r>
      <w:r w:rsidR="001C0D0A" w:rsidRPr="004443C5">
        <w:rPr>
          <w:lang w:val="en-US"/>
        </w:rPr>
        <w:t>125.</w:t>
      </w:r>
    </w:p>
    <w:p w14:paraId="78859F96" w14:textId="77777777" w:rsidR="00F74112" w:rsidRPr="008B766D" w:rsidRDefault="00F74112" w:rsidP="00625419">
      <w:pPr>
        <w:tabs>
          <w:tab w:val="left" w:pos="2970"/>
        </w:tabs>
        <w:spacing w:after="0" w:line="480" w:lineRule="auto"/>
        <w:ind w:left="709" w:hanging="567"/>
        <w:rPr>
          <w:lang w:val="en-US"/>
        </w:rPr>
      </w:pPr>
      <w:r w:rsidRPr="008B766D">
        <w:rPr>
          <w:lang w:val="en-US"/>
        </w:rPr>
        <w:t xml:space="preserve">Maralani, V. (2008). The changing relationship between family size and educational attainment over the course of socioeconomic development: Evidence from Indonesia. </w:t>
      </w:r>
      <w:r w:rsidRPr="008B766D">
        <w:rPr>
          <w:i/>
          <w:lang w:val="en-US"/>
        </w:rPr>
        <w:t>Demography, 45</w:t>
      </w:r>
      <w:r w:rsidRPr="008B766D">
        <w:rPr>
          <w:lang w:val="en-US"/>
        </w:rPr>
        <w:t>(3), 693</w:t>
      </w:r>
      <w:r w:rsidRPr="008B766D">
        <w:rPr>
          <w:szCs w:val="24"/>
          <w:lang w:val="en-US"/>
        </w:rPr>
        <w:t>–</w:t>
      </w:r>
      <w:r w:rsidRPr="008B766D">
        <w:rPr>
          <w:lang w:val="en-US"/>
        </w:rPr>
        <w:t>717.</w:t>
      </w:r>
    </w:p>
    <w:p w14:paraId="3948330E" w14:textId="77777777" w:rsidR="00F74112" w:rsidRDefault="00F74112" w:rsidP="00625419">
      <w:pPr>
        <w:tabs>
          <w:tab w:val="left" w:pos="2970"/>
        </w:tabs>
        <w:spacing w:after="0" w:line="480" w:lineRule="auto"/>
        <w:ind w:left="709" w:hanging="567"/>
        <w:rPr>
          <w:lang w:val="en-US"/>
        </w:rPr>
      </w:pPr>
      <w:r w:rsidRPr="008B766D">
        <w:rPr>
          <w:lang w:val="en-US"/>
        </w:rPr>
        <w:t xml:space="preserve">Mare, R. D. (2011). A </w:t>
      </w:r>
      <w:r w:rsidR="0018138D" w:rsidRPr="008B766D">
        <w:rPr>
          <w:lang w:val="en-US"/>
        </w:rPr>
        <w:t>m</w:t>
      </w:r>
      <w:r w:rsidRPr="008B766D">
        <w:rPr>
          <w:lang w:val="en-US"/>
        </w:rPr>
        <w:t xml:space="preserve">ultigenerational </w:t>
      </w:r>
      <w:r w:rsidR="0018138D" w:rsidRPr="008B766D">
        <w:rPr>
          <w:lang w:val="en-US"/>
        </w:rPr>
        <w:t>view of i</w:t>
      </w:r>
      <w:r w:rsidRPr="008B766D">
        <w:rPr>
          <w:lang w:val="en-US"/>
        </w:rPr>
        <w:t xml:space="preserve">nequality. </w:t>
      </w:r>
      <w:r w:rsidRPr="008B766D">
        <w:rPr>
          <w:i/>
          <w:lang w:val="en-US"/>
        </w:rPr>
        <w:t>Demography,</w:t>
      </w:r>
      <w:r w:rsidRPr="008B766D">
        <w:rPr>
          <w:lang w:val="en-US"/>
        </w:rPr>
        <w:t xml:space="preserve"> </w:t>
      </w:r>
      <w:r w:rsidRPr="008B766D">
        <w:rPr>
          <w:i/>
          <w:lang w:val="en-US"/>
        </w:rPr>
        <w:t>48</w:t>
      </w:r>
      <w:r w:rsidRPr="008B766D">
        <w:rPr>
          <w:lang w:val="en-US"/>
        </w:rPr>
        <w:t>(1), 1</w:t>
      </w:r>
      <w:r w:rsidRPr="008B766D">
        <w:rPr>
          <w:szCs w:val="24"/>
          <w:lang w:val="en-US"/>
        </w:rPr>
        <w:t>–</w:t>
      </w:r>
      <w:r w:rsidRPr="008B766D">
        <w:rPr>
          <w:lang w:val="en-US"/>
        </w:rPr>
        <w:t>23.</w:t>
      </w:r>
    </w:p>
    <w:p w14:paraId="2D74AD98" w14:textId="7ACC0084" w:rsidR="00BE326C" w:rsidRPr="00BE326C" w:rsidRDefault="00BE326C" w:rsidP="00625419">
      <w:pPr>
        <w:tabs>
          <w:tab w:val="left" w:pos="2970"/>
        </w:tabs>
        <w:spacing w:after="0" w:line="480" w:lineRule="auto"/>
        <w:ind w:left="709" w:hanging="567"/>
        <w:rPr>
          <w:sz w:val="36"/>
          <w:lang w:val="en-US"/>
        </w:rPr>
      </w:pPr>
      <w:r w:rsidRPr="00BE326C">
        <w:rPr>
          <w:szCs w:val="18"/>
          <w:lang w:val="en-US"/>
        </w:rPr>
        <w:t xml:space="preserve">Mare, R.D. </w:t>
      </w:r>
      <w:r>
        <w:rPr>
          <w:szCs w:val="18"/>
          <w:lang w:val="en-US"/>
        </w:rPr>
        <w:t xml:space="preserve">(2014). </w:t>
      </w:r>
      <w:r w:rsidRPr="00BE326C">
        <w:rPr>
          <w:szCs w:val="18"/>
          <w:lang w:val="en-US"/>
        </w:rPr>
        <w:t xml:space="preserve">Multigenerational aspects of social stratification: Issues for further research. </w:t>
      </w:r>
      <w:r w:rsidRPr="00BE326C">
        <w:rPr>
          <w:i/>
          <w:iCs/>
          <w:szCs w:val="18"/>
          <w:lang w:val="en-US"/>
        </w:rPr>
        <w:t>Research in Soc</w:t>
      </w:r>
      <w:r>
        <w:rPr>
          <w:i/>
          <w:iCs/>
          <w:szCs w:val="18"/>
          <w:lang w:val="en-US"/>
        </w:rPr>
        <w:t>ial Stratification and Mobility</w:t>
      </w:r>
      <w:r w:rsidRPr="00BE326C">
        <w:rPr>
          <w:szCs w:val="18"/>
          <w:lang w:val="en-US"/>
        </w:rPr>
        <w:t xml:space="preserve">, </w:t>
      </w:r>
      <w:hyperlink r:id="rId22" w:history="1">
        <w:r w:rsidRPr="003A3D29">
          <w:rPr>
            <w:rStyle w:val="Hypertextovodkaz"/>
            <w:szCs w:val="18"/>
            <w:lang w:val="en-US"/>
          </w:rPr>
          <w:t>http://dx.doi.org/10.1016/j.rssm.2014.01.004</w:t>
        </w:r>
      </w:hyperlink>
    </w:p>
    <w:p w14:paraId="21DB79C7" w14:textId="77777777" w:rsidR="00F74112" w:rsidRPr="008B766D" w:rsidRDefault="00F74112" w:rsidP="006B6432">
      <w:pPr>
        <w:spacing w:after="0" w:line="480" w:lineRule="auto"/>
        <w:ind w:left="709" w:hanging="567"/>
        <w:rPr>
          <w:szCs w:val="24"/>
          <w:lang w:val="en-US"/>
        </w:rPr>
      </w:pPr>
      <w:r w:rsidRPr="008B766D">
        <w:rPr>
          <w:szCs w:val="24"/>
          <w:lang w:val="en-US"/>
        </w:rPr>
        <w:lastRenderedPageBreak/>
        <w:t xml:space="preserve">Marks, G. (2009). Modernization theory and changes over time in reproduction of socioeconomic inequalities in Australia. </w:t>
      </w:r>
      <w:r w:rsidRPr="008B766D">
        <w:rPr>
          <w:i/>
          <w:szCs w:val="24"/>
          <w:lang w:val="en-US"/>
        </w:rPr>
        <w:t>Social Forces,</w:t>
      </w:r>
      <w:r w:rsidRPr="008B766D">
        <w:rPr>
          <w:szCs w:val="24"/>
          <w:lang w:val="en-US"/>
        </w:rPr>
        <w:t xml:space="preserve"> </w:t>
      </w:r>
      <w:r w:rsidRPr="008B766D">
        <w:rPr>
          <w:i/>
          <w:szCs w:val="24"/>
          <w:lang w:val="en-US"/>
        </w:rPr>
        <w:t>88</w:t>
      </w:r>
      <w:r w:rsidRPr="008B766D">
        <w:rPr>
          <w:szCs w:val="24"/>
          <w:lang w:val="en-US"/>
        </w:rPr>
        <w:t>(2), 917–944.</w:t>
      </w:r>
    </w:p>
    <w:p w14:paraId="7BDB8B06" w14:textId="77777777" w:rsidR="00F74112" w:rsidRPr="008B766D" w:rsidRDefault="00F74112" w:rsidP="006B6432">
      <w:pPr>
        <w:spacing w:after="0" w:line="480" w:lineRule="auto"/>
        <w:ind w:left="709" w:hanging="567"/>
        <w:rPr>
          <w:szCs w:val="24"/>
          <w:lang w:val="en-US"/>
        </w:rPr>
      </w:pPr>
      <w:r w:rsidRPr="004443C5">
        <w:rPr>
          <w:lang w:val="en-US"/>
        </w:rPr>
        <w:t xml:space="preserve">McGillivray, M. &amp; White, H. (1993). </w:t>
      </w:r>
      <w:r w:rsidR="0018138D" w:rsidRPr="004443C5">
        <w:rPr>
          <w:lang w:val="en-US"/>
        </w:rPr>
        <w:t>Measuring d</w:t>
      </w:r>
      <w:r w:rsidRPr="004443C5">
        <w:rPr>
          <w:lang w:val="en-US"/>
        </w:rPr>
        <w:t xml:space="preserve">evelopment? The </w:t>
      </w:r>
      <w:r w:rsidR="0018138D" w:rsidRPr="004443C5">
        <w:rPr>
          <w:lang w:val="en-US"/>
        </w:rPr>
        <w:t>UNDP’s Human development i</w:t>
      </w:r>
      <w:r w:rsidRPr="004443C5">
        <w:rPr>
          <w:lang w:val="en-US"/>
        </w:rPr>
        <w:t xml:space="preserve">ndex. </w:t>
      </w:r>
      <w:r w:rsidRPr="004443C5">
        <w:rPr>
          <w:i/>
          <w:lang w:val="en-US"/>
        </w:rPr>
        <w:t>Journal of International Development</w:t>
      </w:r>
      <w:r w:rsidRPr="004443C5">
        <w:rPr>
          <w:lang w:val="en-US"/>
        </w:rPr>
        <w:t xml:space="preserve">, </w:t>
      </w:r>
      <w:r w:rsidRPr="004443C5">
        <w:rPr>
          <w:i/>
          <w:lang w:val="en-US"/>
        </w:rPr>
        <w:t>5</w:t>
      </w:r>
      <w:r w:rsidRPr="004443C5">
        <w:rPr>
          <w:lang w:val="en-US"/>
        </w:rPr>
        <w:t>(2), 183</w:t>
      </w:r>
      <w:r w:rsidRPr="008B766D">
        <w:rPr>
          <w:szCs w:val="24"/>
          <w:lang w:val="en-US"/>
        </w:rPr>
        <w:t>–</w:t>
      </w:r>
      <w:r w:rsidRPr="004443C5">
        <w:rPr>
          <w:lang w:val="en-US"/>
        </w:rPr>
        <w:t>192.</w:t>
      </w:r>
    </w:p>
    <w:p w14:paraId="30716D2D" w14:textId="77777777" w:rsidR="00F74112" w:rsidRPr="008B766D" w:rsidRDefault="00F74112" w:rsidP="006F30EE">
      <w:pPr>
        <w:spacing w:after="0" w:line="480" w:lineRule="auto"/>
        <w:ind w:left="709" w:hanging="567"/>
        <w:rPr>
          <w:szCs w:val="24"/>
          <w:lang w:val="en-US"/>
        </w:rPr>
      </w:pPr>
      <w:r w:rsidRPr="008B766D">
        <w:rPr>
          <w:szCs w:val="24"/>
          <w:lang w:val="en-US"/>
        </w:rPr>
        <w:t xml:space="preserve">McLanahan, S., &amp; Sandefur, G. D. (1994). </w:t>
      </w:r>
      <w:r w:rsidRPr="008B766D">
        <w:rPr>
          <w:i/>
          <w:szCs w:val="24"/>
          <w:lang w:val="en-US"/>
        </w:rPr>
        <w:t>Growing up with a single parent: What hurts, what helps</w:t>
      </w:r>
      <w:r w:rsidRPr="008B766D">
        <w:rPr>
          <w:szCs w:val="24"/>
          <w:lang w:val="en-US"/>
        </w:rPr>
        <w:t>. Cambridge, MA: Harvard University Press.</w:t>
      </w:r>
    </w:p>
    <w:p w14:paraId="0A7624E7" w14:textId="77777777" w:rsidR="00F74112" w:rsidRPr="008B766D" w:rsidRDefault="00F74112" w:rsidP="006F30EE">
      <w:pPr>
        <w:spacing w:after="0" w:line="480" w:lineRule="auto"/>
        <w:ind w:left="709" w:hanging="567"/>
        <w:rPr>
          <w:szCs w:val="24"/>
          <w:lang w:val="en-US"/>
        </w:rPr>
      </w:pPr>
      <w:r w:rsidRPr="008B766D">
        <w:rPr>
          <w:szCs w:val="24"/>
          <w:lang w:val="en-US"/>
        </w:rPr>
        <w:t xml:space="preserve">Minkler, M. (1999). Intergenerational households headed by grandparents: Contexts, realities, and implications for policy. </w:t>
      </w:r>
      <w:r w:rsidRPr="008B766D">
        <w:rPr>
          <w:i/>
          <w:szCs w:val="24"/>
          <w:lang w:val="en-US"/>
        </w:rPr>
        <w:t>Journal of Aging Studies,</w:t>
      </w:r>
      <w:r w:rsidRPr="008B766D">
        <w:rPr>
          <w:szCs w:val="24"/>
          <w:lang w:val="en-US"/>
        </w:rPr>
        <w:t xml:space="preserve"> </w:t>
      </w:r>
      <w:r w:rsidRPr="008B766D">
        <w:rPr>
          <w:i/>
          <w:szCs w:val="24"/>
          <w:lang w:val="en-US"/>
        </w:rPr>
        <w:t>13</w:t>
      </w:r>
      <w:r w:rsidRPr="008B766D">
        <w:rPr>
          <w:szCs w:val="24"/>
          <w:lang w:val="en-US"/>
        </w:rPr>
        <w:t>(2), 199–218.</w:t>
      </w:r>
    </w:p>
    <w:p w14:paraId="71726551" w14:textId="29283D43" w:rsidR="00F74112" w:rsidRPr="008B766D" w:rsidRDefault="00F74112" w:rsidP="006F30EE">
      <w:pPr>
        <w:spacing w:after="0" w:line="480" w:lineRule="auto"/>
        <w:ind w:left="709" w:hanging="567"/>
        <w:rPr>
          <w:lang w:val="en-US"/>
        </w:rPr>
      </w:pPr>
      <w:r w:rsidRPr="008B766D">
        <w:rPr>
          <w:lang w:val="en-US"/>
        </w:rPr>
        <w:t xml:space="preserve">Monserud, M. A., &amp; Elder, G. H., Jr. (2010). </w:t>
      </w:r>
      <w:r w:rsidRPr="008B766D">
        <w:rPr>
          <w:i/>
          <w:lang w:val="en-US"/>
        </w:rPr>
        <w:t>Household structure and children’s educational attainment: A perspective on co-resident grandparents</w:t>
      </w:r>
      <w:r w:rsidRPr="008B766D">
        <w:rPr>
          <w:lang w:val="en-US"/>
        </w:rPr>
        <w:t xml:space="preserve"> (Paper presented at the annual meeting of the American Sociological Association, Hilton Atlanta and Atlanta Marriott Marquis, Atlanta, GA). Retrieved February 20, 2012, from </w:t>
      </w:r>
      <w:hyperlink r:id="rId23" w:history="1">
        <w:r w:rsidRPr="008B766D">
          <w:rPr>
            <w:rStyle w:val="Hypertextovodkaz"/>
            <w:lang w:val="en-US"/>
          </w:rPr>
          <w:t>http://www.allacademic.com/meta/p411276_index.html</w:t>
        </w:r>
      </w:hyperlink>
    </w:p>
    <w:p w14:paraId="4CA5C57E" w14:textId="77777777" w:rsidR="00F74112" w:rsidRPr="008B766D" w:rsidRDefault="00F74112" w:rsidP="006F30EE">
      <w:pPr>
        <w:pStyle w:val="Default"/>
        <w:spacing w:line="480" w:lineRule="auto"/>
        <w:ind w:left="709" w:hanging="567"/>
        <w:rPr>
          <w:lang w:val="en-US"/>
        </w:rPr>
      </w:pPr>
      <w:r w:rsidRPr="008B766D">
        <w:rPr>
          <w:lang w:val="en-US"/>
        </w:rPr>
        <w:t xml:space="preserve">Mutchler, J. E., &amp; Baker, L. A. (2009). The implications of grandparent coresidence for economic hardship among children in mother-only families. </w:t>
      </w:r>
      <w:r w:rsidRPr="008B766D">
        <w:rPr>
          <w:i/>
          <w:lang w:val="en-US"/>
        </w:rPr>
        <w:t>Journal of Family Issues,</w:t>
      </w:r>
      <w:r w:rsidRPr="008B766D">
        <w:rPr>
          <w:lang w:val="en-US"/>
        </w:rPr>
        <w:t xml:space="preserve"> </w:t>
      </w:r>
      <w:r w:rsidRPr="008B766D">
        <w:rPr>
          <w:i/>
          <w:lang w:val="en-US"/>
        </w:rPr>
        <w:t>30</w:t>
      </w:r>
      <w:r w:rsidRPr="008B766D">
        <w:rPr>
          <w:lang w:val="en-US"/>
        </w:rPr>
        <w:t>(11), 1576–1597.</w:t>
      </w:r>
    </w:p>
    <w:p w14:paraId="0E96505D" w14:textId="77777777" w:rsidR="00F74112" w:rsidRPr="008B766D" w:rsidRDefault="00F74112" w:rsidP="006F30EE">
      <w:pPr>
        <w:spacing w:after="0" w:line="480" w:lineRule="auto"/>
        <w:ind w:left="709" w:hanging="567"/>
        <w:rPr>
          <w:szCs w:val="24"/>
          <w:lang w:val="en-US"/>
        </w:rPr>
      </w:pPr>
      <w:r w:rsidRPr="008B766D">
        <w:rPr>
          <w:szCs w:val="24"/>
          <w:lang w:val="en-US"/>
        </w:rPr>
        <w:t xml:space="preserve">OECD. (2001). </w:t>
      </w:r>
      <w:r w:rsidRPr="008B766D">
        <w:rPr>
          <w:i/>
          <w:szCs w:val="24"/>
          <w:lang w:val="en-US"/>
        </w:rPr>
        <w:t>Knowledge and skills for life. First results from PISA 2000</w:t>
      </w:r>
      <w:r w:rsidRPr="008B766D">
        <w:rPr>
          <w:szCs w:val="24"/>
          <w:lang w:val="en-US"/>
        </w:rPr>
        <w:t>. Paris</w:t>
      </w:r>
      <w:r w:rsidR="00861549" w:rsidRPr="008B766D">
        <w:rPr>
          <w:szCs w:val="24"/>
          <w:lang w:val="en-US"/>
        </w:rPr>
        <w:t>, France</w:t>
      </w:r>
      <w:r w:rsidRPr="008B766D">
        <w:rPr>
          <w:szCs w:val="24"/>
          <w:lang w:val="en-US"/>
        </w:rPr>
        <w:t>: OECD Publishing.</w:t>
      </w:r>
    </w:p>
    <w:p w14:paraId="3795AE3E" w14:textId="07C302EB" w:rsidR="00F74112" w:rsidRPr="008B766D" w:rsidRDefault="00F74112" w:rsidP="006F30EE">
      <w:pPr>
        <w:tabs>
          <w:tab w:val="right" w:pos="9072"/>
        </w:tabs>
        <w:spacing w:after="0" w:line="480" w:lineRule="auto"/>
        <w:ind w:left="709" w:hanging="567"/>
        <w:rPr>
          <w:szCs w:val="24"/>
          <w:lang w:val="en-US"/>
        </w:rPr>
      </w:pPr>
      <w:r w:rsidRPr="008B766D">
        <w:rPr>
          <w:szCs w:val="24"/>
          <w:lang w:val="en-US"/>
        </w:rPr>
        <w:t xml:space="preserve">OECD. (2002). </w:t>
      </w:r>
      <w:r w:rsidRPr="008B766D">
        <w:rPr>
          <w:i/>
          <w:szCs w:val="24"/>
          <w:lang w:val="en-US"/>
        </w:rPr>
        <w:t>Manual for the PISA 2000 database</w:t>
      </w:r>
      <w:r w:rsidRPr="008B766D">
        <w:rPr>
          <w:szCs w:val="24"/>
          <w:lang w:val="en-US"/>
        </w:rPr>
        <w:t>. Paris</w:t>
      </w:r>
      <w:r w:rsidR="00861549" w:rsidRPr="008B766D">
        <w:rPr>
          <w:szCs w:val="24"/>
          <w:lang w:val="en-US"/>
        </w:rPr>
        <w:t>, France</w:t>
      </w:r>
      <w:r w:rsidRPr="008B766D">
        <w:rPr>
          <w:szCs w:val="24"/>
          <w:lang w:val="en-US"/>
        </w:rPr>
        <w:t xml:space="preserve">: OECD Publishing. Retrieved July 31, 2012, from </w:t>
      </w:r>
      <w:hyperlink r:id="rId24" w:history="1">
        <w:r w:rsidRPr="008B766D">
          <w:rPr>
            <w:rStyle w:val="Hypertextovodkaz"/>
            <w:szCs w:val="24"/>
            <w:lang w:val="en-US"/>
          </w:rPr>
          <w:t>http://www.oecd.org/edu/preschoolandschool/programmeforinternationalstudentassessmentpisa/33688135.pdf</w:t>
        </w:r>
      </w:hyperlink>
    </w:p>
    <w:p w14:paraId="044A4BAE" w14:textId="77777777" w:rsidR="00F74112" w:rsidRPr="008B766D" w:rsidRDefault="00F74112" w:rsidP="006F30EE">
      <w:pPr>
        <w:spacing w:after="0" w:line="480" w:lineRule="auto"/>
        <w:ind w:left="709" w:hanging="567"/>
        <w:rPr>
          <w:szCs w:val="24"/>
          <w:lang w:val="en-US"/>
        </w:rPr>
      </w:pPr>
      <w:r w:rsidRPr="008B766D">
        <w:rPr>
          <w:szCs w:val="24"/>
          <w:lang w:val="en-US"/>
        </w:rPr>
        <w:t xml:space="preserve">Olneck, M. R., </w:t>
      </w:r>
      <w:r w:rsidRPr="008B766D">
        <w:rPr>
          <w:lang w:val="en-US"/>
        </w:rPr>
        <w:t xml:space="preserve">&amp; </w:t>
      </w:r>
      <w:r w:rsidRPr="008B766D">
        <w:rPr>
          <w:szCs w:val="24"/>
          <w:lang w:val="en-US"/>
        </w:rPr>
        <w:t xml:space="preserve">Bills, D. B. (1979). Family configuration and achievement: Effects of birth order and family size in a sample of brothers. </w:t>
      </w:r>
      <w:r w:rsidRPr="008B766D">
        <w:rPr>
          <w:i/>
          <w:szCs w:val="24"/>
          <w:lang w:val="en-US"/>
        </w:rPr>
        <w:t>Social Psychology Quarterly,</w:t>
      </w:r>
      <w:r w:rsidRPr="008B766D">
        <w:rPr>
          <w:szCs w:val="24"/>
          <w:lang w:val="en-US"/>
        </w:rPr>
        <w:t xml:space="preserve"> </w:t>
      </w:r>
      <w:r w:rsidRPr="008B766D">
        <w:rPr>
          <w:i/>
          <w:szCs w:val="24"/>
          <w:lang w:val="en-US"/>
        </w:rPr>
        <w:t>42</w:t>
      </w:r>
      <w:r w:rsidRPr="008B766D">
        <w:rPr>
          <w:szCs w:val="24"/>
          <w:lang w:val="en-US"/>
        </w:rPr>
        <w:t>(2), 135–148.</w:t>
      </w:r>
    </w:p>
    <w:p w14:paraId="31460CCE" w14:textId="77777777" w:rsidR="00F74112" w:rsidRPr="008B766D" w:rsidRDefault="00F74112" w:rsidP="006F30EE">
      <w:pPr>
        <w:spacing w:after="0" w:line="480" w:lineRule="auto"/>
        <w:ind w:left="709" w:hanging="567"/>
        <w:rPr>
          <w:szCs w:val="24"/>
          <w:lang w:val="en-US"/>
        </w:rPr>
      </w:pPr>
      <w:r w:rsidRPr="008B766D">
        <w:rPr>
          <w:szCs w:val="24"/>
          <w:lang w:val="en-US"/>
        </w:rPr>
        <w:lastRenderedPageBreak/>
        <w:t xml:space="preserve">Park, H. (2008). Public policy and the effect of sibship on educational achievement: A comparative study of 20 countries. </w:t>
      </w:r>
      <w:r w:rsidRPr="008B766D">
        <w:rPr>
          <w:i/>
          <w:szCs w:val="24"/>
          <w:lang w:val="en-US"/>
        </w:rPr>
        <w:t>Social Science Research, 37</w:t>
      </w:r>
      <w:r w:rsidRPr="008B766D">
        <w:rPr>
          <w:szCs w:val="24"/>
          <w:lang w:val="en-US"/>
        </w:rPr>
        <w:t xml:space="preserve">(3), 874–887. </w:t>
      </w:r>
    </w:p>
    <w:p w14:paraId="67661652" w14:textId="5F53A119" w:rsidR="00F74112" w:rsidRPr="008B766D" w:rsidRDefault="00F74112" w:rsidP="006F30EE">
      <w:pPr>
        <w:spacing w:after="0" w:line="480" w:lineRule="auto"/>
        <w:ind w:left="709" w:hanging="567"/>
        <w:rPr>
          <w:szCs w:val="24"/>
          <w:lang w:val="en-US"/>
        </w:rPr>
      </w:pPr>
      <w:r w:rsidRPr="008B766D">
        <w:rPr>
          <w:szCs w:val="24"/>
          <w:lang w:val="en-US"/>
        </w:rPr>
        <w:t xml:space="preserve">Park, H.-O. (2005). Grandmothers raising grandchildren: Family well-being and economic assistance. </w:t>
      </w:r>
      <w:r w:rsidRPr="008B766D">
        <w:rPr>
          <w:i/>
          <w:szCs w:val="24"/>
          <w:lang w:val="en-US"/>
        </w:rPr>
        <w:t>Focus,</w:t>
      </w:r>
      <w:r w:rsidRPr="008B766D">
        <w:rPr>
          <w:szCs w:val="24"/>
          <w:lang w:val="en-US"/>
        </w:rPr>
        <w:t xml:space="preserve"> </w:t>
      </w:r>
      <w:r w:rsidRPr="008B766D">
        <w:rPr>
          <w:i/>
          <w:szCs w:val="24"/>
          <w:lang w:val="en-US"/>
        </w:rPr>
        <w:t>24</w:t>
      </w:r>
      <w:r w:rsidRPr="008B766D">
        <w:rPr>
          <w:szCs w:val="24"/>
          <w:lang w:val="en-US"/>
        </w:rPr>
        <w:t xml:space="preserve">(1), 19–27. Retrieved February 28, 2012, from </w:t>
      </w:r>
      <w:hyperlink r:id="rId25" w:history="1">
        <w:r w:rsidRPr="008B766D">
          <w:rPr>
            <w:rStyle w:val="Hypertextovodkaz"/>
            <w:szCs w:val="24"/>
            <w:lang w:val="en-US"/>
          </w:rPr>
          <w:t>http://www.irp.wisc.edu/publications/focus/pdfs/foc241d.pdf</w:t>
        </w:r>
      </w:hyperlink>
    </w:p>
    <w:p w14:paraId="52733FAC" w14:textId="77777777" w:rsidR="00F74112" w:rsidRPr="008B766D" w:rsidRDefault="00F74112" w:rsidP="006F30EE">
      <w:pPr>
        <w:spacing w:after="0" w:line="480" w:lineRule="auto"/>
        <w:ind w:left="709" w:hanging="567"/>
        <w:rPr>
          <w:szCs w:val="24"/>
          <w:lang w:val="en-US"/>
        </w:rPr>
      </w:pPr>
      <w:r w:rsidRPr="008B766D">
        <w:rPr>
          <w:szCs w:val="24"/>
          <w:lang w:val="en-US"/>
        </w:rPr>
        <w:t xml:space="preserve">Parker, E. M., </w:t>
      </w:r>
      <w:r w:rsidRPr="008B766D">
        <w:rPr>
          <w:lang w:val="en-US"/>
        </w:rPr>
        <w:t xml:space="preserve">&amp; </w:t>
      </w:r>
      <w:r w:rsidRPr="008B766D">
        <w:rPr>
          <w:szCs w:val="24"/>
          <w:lang w:val="en-US"/>
        </w:rPr>
        <w:t xml:space="preserve">Short, S. E. (2009). Grandmother coresidence, maternal orphans, and school enrollment in Sub-Saharan Africa. </w:t>
      </w:r>
      <w:r w:rsidRPr="008B766D">
        <w:rPr>
          <w:i/>
          <w:szCs w:val="24"/>
          <w:lang w:val="en-US"/>
        </w:rPr>
        <w:t>Journal of Family Issues,</w:t>
      </w:r>
      <w:r w:rsidRPr="008B766D">
        <w:rPr>
          <w:szCs w:val="24"/>
          <w:lang w:val="en-US"/>
        </w:rPr>
        <w:t xml:space="preserve"> </w:t>
      </w:r>
      <w:r w:rsidRPr="008B766D">
        <w:rPr>
          <w:i/>
          <w:szCs w:val="24"/>
          <w:lang w:val="en-US"/>
        </w:rPr>
        <w:t>30</w:t>
      </w:r>
      <w:r w:rsidRPr="008B766D">
        <w:rPr>
          <w:szCs w:val="24"/>
          <w:lang w:val="en-US"/>
        </w:rPr>
        <w:t>(6), 813–836.</w:t>
      </w:r>
    </w:p>
    <w:p w14:paraId="2A5E9B4D" w14:textId="77777777" w:rsidR="00F74112" w:rsidRPr="008B766D" w:rsidRDefault="00F74112" w:rsidP="006F30EE">
      <w:pPr>
        <w:pStyle w:val="Default"/>
        <w:spacing w:line="480" w:lineRule="auto"/>
        <w:ind w:left="709" w:hanging="567"/>
        <w:rPr>
          <w:lang w:val="en-US"/>
        </w:rPr>
      </w:pPr>
      <w:r w:rsidRPr="008B766D">
        <w:rPr>
          <w:lang w:val="en-US"/>
        </w:rPr>
        <w:t xml:space="preserve">Pebley, A. R., &amp; Rudkin, L. L. (1999). Grandparents caring for grandchildren: What do we know? </w:t>
      </w:r>
      <w:r w:rsidRPr="008B766D">
        <w:rPr>
          <w:i/>
          <w:lang w:val="en-US"/>
        </w:rPr>
        <w:t>Journal of Family Issues,</w:t>
      </w:r>
      <w:r w:rsidRPr="008B766D">
        <w:rPr>
          <w:lang w:val="en-US"/>
        </w:rPr>
        <w:t xml:space="preserve"> </w:t>
      </w:r>
      <w:r w:rsidRPr="008B766D">
        <w:rPr>
          <w:i/>
          <w:lang w:val="en-US"/>
        </w:rPr>
        <w:t>20</w:t>
      </w:r>
      <w:r w:rsidRPr="008B766D">
        <w:rPr>
          <w:lang w:val="en-US"/>
        </w:rPr>
        <w:t>(2), 218–242.</w:t>
      </w:r>
    </w:p>
    <w:p w14:paraId="5269B5D3" w14:textId="4A58D038" w:rsidR="00D14189" w:rsidRPr="00BE326C" w:rsidRDefault="00D14189" w:rsidP="006F30EE">
      <w:pPr>
        <w:spacing w:after="0" w:line="480" w:lineRule="auto"/>
        <w:ind w:left="709" w:hanging="567"/>
        <w:rPr>
          <w:sz w:val="36"/>
          <w:szCs w:val="24"/>
          <w:lang w:val="en-US"/>
        </w:rPr>
      </w:pPr>
      <w:r w:rsidRPr="00BE326C">
        <w:rPr>
          <w:szCs w:val="18"/>
          <w:lang w:val="en-US"/>
        </w:rPr>
        <w:t xml:space="preserve">Pfeffer, F.T. (2014). Multigenerational approaches to social mobility. A multifaceted research agenda. </w:t>
      </w:r>
      <w:r w:rsidRPr="00BE326C">
        <w:rPr>
          <w:i/>
          <w:iCs/>
          <w:szCs w:val="18"/>
          <w:lang w:val="en-US"/>
        </w:rPr>
        <w:t>Research in Social Stratification and Mobility</w:t>
      </w:r>
      <w:r w:rsidRPr="00BE326C">
        <w:rPr>
          <w:szCs w:val="18"/>
          <w:lang w:val="en-US"/>
        </w:rPr>
        <w:t xml:space="preserve">, </w:t>
      </w:r>
      <w:hyperlink r:id="rId26" w:history="1">
        <w:r w:rsidRPr="00BE326C">
          <w:rPr>
            <w:rStyle w:val="Hypertextovodkaz"/>
            <w:szCs w:val="18"/>
            <w:lang w:val="en-US"/>
          </w:rPr>
          <w:t>http://dx.doi.org/10.1016/j.rssm.2014.01.001</w:t>
        </w:r>
      </w:hyperlink>
    </w:p>
    <w:p w14:paraId="0A78AF72" w14:textId="77777777" w:rsidR="00F74112" w:rsidRPr="008B766D" w:rsidRDefault="00F74112" w:rsidP="006F30EE">
      <w:pPr>
        <w:spacing w:after="0" w:line="480" w:lineRule="auto"/>
        <w:ind w:left="709" w:hanging="567"/>
        <w:rPr>
          <w:szCs w:val="24"/>
          <w:lang w:val="en-US"/>
        </w:rPr>
      </w:pPr>
      <w:r w:rsidRPr="008B766D">
        <w:rPr>
          <w:szCs w:val="24"/>
          <w:lang w:val="en-US"/>
        </w:rPr>
        <w:t>P</w:t>
      </w:r>
      <w:r w:rsidR="0018138D" w:rsidRPr="008B766D">
        <w:rPr>
          <w:szCs w:val="24"/>
          <w:lang w:val="en-US"/>
        </w:rPr>
        <w:t>ilkauskas, N. V. (2012). Three-generation family households: Differences by family s</w:t>
      </w:r>
      <w:r w:rsidRPr="008B766D">
        <w:rPr>
          <w:szCs w:val="24"/>
          <w:lang w:val="en-US"/>
        </w:rPr>
        <w:t>t</w:t>
      </w:r>
      <w:r w:rsidR="0018138D" w:rsidRPr="008B766D">
        <w:rPr>
          <w:szCs w:val="24"/>
          <w:lang w:val="en-US"/>
        </w:rPr>
        <w:t>ructure at b</w:t>
      </w:r>
      <w:r w:rsidRPr="008B766D">
        <w:rPr>
          <w:szCs w:val="24"/>
          <w:lang w:val="en-US"/>
        </w:rPr>
        <w:t xml:space="preserve">irth. </w:t>
      </w:r>
      <w:r w:rsidRPr="008B766D">
        <w:rPr>
          <w:i/>
          <w:szCs w:val="24"/>
          <w:lang w:val="en-US"/>
        </w:rPr>
        <w:t>Journal of Marriage and Family, 74</w:t>
      </w:r>
      <w:r w:rsidRPr="008B766D">
        <w:rPr>
          <w:szCs w:val="24"/>
          <w:lang w:val="en-US"/>
        </w:rPr>
        <w:t>(5), 931</w:t>
      </w:r>
      <w:r w:rsidRPr="008B766D">
        <w:rPr>
          <w:lang w:val="en-US"/>
        </w:rPr>
        <w:t>–</w:t>
      </w:r>
      <w:r w:rsidRPr="008B766D">
        <w:rPr>
          <w:szCs w:val="24"/>
          <w:lang w:val="en-US"/>
        </w:rPr>
        <w:t>943.</w:t>
      </w:r>
    </w:p>
    <w:p w14:paraId="52EF4D0E" w14:textId="265830F9" w:rsidR="00F74112" w:rsidRPr="008B766D" w:rsidRDefault="00F74112" w:rsidP="006F30EE">
      <w:pPr>
        <w:spacing w:after="0" w:line="480" w:lineRule="auto"/>
        <w:ind w:left="709" w:hanging="567"/>
        <w:rPr>
          <w:szCs w:val="24"/>
          <w:lang w:val="en-US"/>
        </w:rPr>
      </w:pPr>
      <w:r w:rsidRPr="008B766D">
        <w:rPr>
          <w:szCs w:val="24"/>
          <w:lang w:val="en-US"/>
        </w:rPr>
        <w:t xml:space="preserve">Pong, S.-L., </w:t>
      </w:r>
      <w:r w:rsidRPr="008B766D">
        <w:rPr>
          <w:lang w:val="en-US"/>
        </w:rPr>
        <w:t xml:space="preserve">&amp; </w:t>
      </w:r>
      <w:r w:rsidRPr="008B766D">
        <w:rPr>
          <w:szCs w:val="24"/>
          <w:lang w:val="en-US"/>
        </w:rPr>
        <w:t xml:space="preserve">Chen, V. W. (2007). Living with grandparents, family relations, and grandchildren’s school achievement in Taiwan. Retrieved February 1, 2012, from </w:t>
      </w:r>
      <w:hyperlink r:id="rId27" w:history="1">
        <w:r w:rsidRPr="008B766D">
          <w:rPr>
            <w:rStyle w:val="Hypertextovodkaz"/>
            <w:szCs w:val="24"/>
            <w:lang w:val="en-US"/>
          </w:rPr>
          <w:t>http://paa2007.princeton.edu/download.aspx?submissionId=72063</w:t>
        </w:r>
      </w:hyperlink>
    </w:p>
    <w:p w14:paraId="416BE51B" w14:textId="77777777" w:rsidR="00F74112" w:rsidRPr="008B766D" w:rsidRDefault="00F74112" w:rsidP="006F30EE">
      <w:pPr>
        <w:spacing w:after="0" w:line="480" w:lineRule="auto"/>
        <w:ind w:left="709" w:hanging="567"/>
        <w:rPr>
          <w:szCs w:val="24"/>
          <w:lang w:val="en-US"/>
        </w:rPr>
      </w:pPr>
      <w:r w:rsidRPr="008B766D">
        <w:rPr>
          <w:szCs w:val="24"/>
          <w:lang w:val="en-US"/>
        </w:rPr>
        <w:t xml:space="preserve">Pong, S.-L., </w:t>
      </w:r>
      <w:r w:rsidRPr="008B766D">
        <w:rPr>
          <w:lang w:val="en-US"/>
        </w:rPr>
        <w:t xml:space="preserve">&amp; </w:t>
      </w:r>
      <w:r w:rsidRPr="008B766D">
        <w:rPr>
          <w:szCs w:val="24"/>
          <w:lang w:val="en-US"/>
        </w:rPr>
        <w:t xml:space="preserve">Chen, V. W. (2010). Co-resident grandparents and grandchildren’s academic performance in Taiwan. </w:t>
      </w:r>
      <w:r w:rsidRPr="008B766D">
        <w:rPr>
          <w:i/>
          <w:szCs w:val="24"/>
          <w:lang w:val="en-US"/>
        </w:rPr>
        <w:t>Journal of Comparative Family Studies,</w:t>
      </w:r>
      <w:r w:rsidRPr="008B766D">
        <w:rPr>
          <w:szCs w:val="24"/>
          <w:lang w:val="en-US"/>
        </w:rPr>
        <w:t xml:space="preserve"> </w:t>
      </w:r>
      <w:r w:rsidRPr="008B766D">
        <w:rPr>
          <w:i/>
          <w:szCs w:val="24"/>
          <w:lang w:val="en-US"/>
        </w:rPr>
        <w:t>41</w:t>
      </w:r>
      <w:r w:rsidRPr="008B766D">
        <w:rPr>
          <w:szCs w:val="24"/>
          <w:lang w:val="en-US"/>
        </w:rPr>
        <w:t>(1), 111–130.</w:t>
      </w:r>
    </w:p>
    <w:p w14:paraId="63412089" w14:textId="205B81B9" w:rsidR="00F74112" w:rsidRPr="008B766D" w:rsidRDefault="00F74112" w:rsidP="006F30EE">
      <w:pPr>
        <w:spacing w:after="0" w:line="480" w:lineRule="auto"/>
        <w:ind w:left="709" w:hanging="567"/>
        <w:rPr>
          <w:szCs w:val="24"/>
          <w:lang w:val="en-US"/>
        </w:rPr>
      </w:pPr>
      <w:r w:rsidRPr="008B766D">
        <w:rPr>
          <w:szCs w:val="24"/>
          <w:lang w:val="en-US"/>
        </w:rPr>
        <w:t xml:space="preserve">Pong, S.-L., Frick, W, </w:t>
      </w:r>
      <w:r w:rsidRPr="008B766D">
        <w:rPr>
          <w:lang w:val="en-US"/>
        </w:rPr>
        <w:t xml:space="preserve">&amp; </w:t>
      </w:r>
      <w:r w:rsidRPr="008B766D">
        <w:rPr>
          <w:szCs w:val="24"/>
          <w:lang w:val="en-US"/>
        </w:rPr>
        <w:t xml:space="preserve">Moyi, P. (2004). Coresident grandparents and grandchildren’s academic performance. Retrieved February 27, 2012, from </w:t>
      </w:r>
      <w:hyperlink r:id="rId28" w:history="1">
        <w:r w:rsidRPr="008B766D">
          <w:rPr>
            <w:rStyle w:val="Hypertextovodkaz"/>
            <w:szCs w:val="24"/>
            <w:lang w:val="en-US"/>
          </w:rPr>
          <w:t>http://citation.allacademic.com/meta/p_mla_apa_research_citation/1/0/9/1/8/pages109182/p109182-1.php</w:t>
        </w:r>
      </w:hyperlink>
    </w:p>
    <w:p w14:paraId="548A1EE8" w14:textId="77777777" w:rsidR="00F74112" w:rsidRPr="008B766D" w:rsidRDefault="00F74112" w:rsidP="006B6432">
      <w:pPr>
        <w:spacing w:after="0" w:line="480" w:lineRule="auto"/>
        <w:ind w:left="709" w:hanging="567"/>
        <w:rPr>
          <w:szCs w:val="24"/>
          <w:lang w:val="en-US"/>
        </w:rPr>
      </w:pPr>
      <w:r w:rsidRPr="008B766D">
        <w:rPr>
          <w:szCs w:val="24"/>
          <w:lang w:val="en-US"/>
        </w:rPr>
        <w:t xml:space="preserve">Popenoe, D. (1987). Beyond the nuclear family: A statistical portrait of the changing family in Sweden. </w:t>
      </w:r>
      <w:r w:rsidRPr="008B766D">
        <w:rPr>
          <w:i/>
          <w:szCs w:val="24"/>
          <w:lang w:val="en-US"/>
        </w:rPr>
        <w:t>Journal of Marriage and the Family,</w:t>
      </w:r>
      <w:r w:rsidRPr="008B766D">
        <w:rPr>
          <w:szCs w:val="24"/>
          <w:lang w:val="en-US"/>
        </w:rPr>
        <w:t xml:space="preserve"> </w:t>
      </w:r>
      <w:r w:rsidRPr="008B766D">
        <w:rPr>
          <w:i/>
          <w:szCs w:val="24"/>
          <w:lang w:val="en-US"/>
        </w:rPr>
        <w:t>49</w:t>
      </w:r>
      <w:r w:rsidRPr="008B766D">
        <w:rPr>
          <w:szCs w:val="24"/>
          <w:lang w:val="en-US"/>
        </w:rPr>
        <w:t>(1), 173–183.</w:t>
      </w:r>
    </w:p>
    <w:p w14:paraId="51D07CC7" w14:textId="77777777" w:rsidR="00F74112" w:rsidRPr="008B766D" w:rsidRDefault="00F74112" w:rsidP="006B6432">
      <w:pPr>
        <w:spacing w:after="0" w:line="480" w:lineRule="auto"/>
        <w:ind w:left="709" w:hanging="567"/>
        <w:rPr>
          <w:szCs w:val="24"/>
          <w:lang w:val="en-US"/>
        </w:rPr>
      </w:pPr>
      <w:r w:rsidRPr="004443C5">
        <w:rPr>
          <w:lang w:val="en-US"/>
        </w:rPr>
        <w:lastRenderedPageBreak/>
        <w:t xml:space="preserve">Ranis, G., Stewart, F., &amp; Samman, E. 2006. </w:t>
      </w:r>
      <w:r w:rsidR="00E037CD" w:rsidRPr="004443C5">
        <w:rPr>
          <w:lang w:val="en-US"/>
        </w:rPr>
        <w:t>Human d</w:t>
      </w:r>
      <w:r w:rsidRPr="004443C5">
        <w:rPr>
          <w:lang w:val="en-US"/>
        </w:rPr>
        <w:t xml:space="preserve">evelopment: Beyond the </w:t>
      </w:r>
      <w:r w:rsidR="00EF6A07" w:rsidRPr="004443C5">
        <w:rPr>
          <w:lang w:val="en-US"/>
        </w:rPr>
        <w:t>H</w:t>
      </w:r>
      <w:r w:rsidRPr="004443C5">
        <w:rPr>
          <w:lang w:val="en-US"/>
        </w:rPr>
        <w:t xml:space="preserve">uman </w:t>
      </w:r>
      <w:r w:rsidR="00E037CD" w:rsidRPr="004443C5">
        <w:rPr>
          <w:lang w:val="en-US"/>
        </w:rPr>
        <w:t>development i</w:t>
      </w:r>
      <w:r w:rsidRPr="004443C5">
        <w:rPr>
          <w:lang w:val="en-US"/>
        </w:rPr>
        <w:t xml:space="preserve">ndex. </w:t>
      </w:r>
      <w:r w:rsidRPr="004443C5">
        <w:rPr>
          <w:i/>
          <w:lang w:val="en-US"/>
        </w:rPr>
        <w:t>Journal of Human Development</w:t>
      </w:r>
      <w:r w:rsidRPr="004443C5">
        <w:rPr>
          <w:lang w:val="en-US"/>
        </w:rPr>
        <w:t xml:space="preserve">, </w:t>
      </w:r>
      <w:r w:rsidRPr="004443C5">
        <w:rPr>
          <w:i/>
          <w:lang w:val="en-US"/>
        </w:rPr>
        <w:t>7</w:t>
      </w:r>
      <w:r w:rsidRPr="004443C5">
        <w:rPr>
          <w:lang w:val="en-US"/>
        </w:rPr>
        <w:t>(3), 323</w:t>
      </w:r>
      <w:r w:rsidRPr="008B766D">
        <w:rPr>
          <w:szCs w:val="24"/>
          <w:lang w:val="en-US"/>
        </w:rPr>
        <w:t>–</w:t>
      </w:r>
      <w:r w:rsidRPr="004443C5">
        <w:rPr>
          <w:lang w:val="en-US"/>
        </w:rPr>
        <w:t>358.</w:t>
      </w:r>
    </w:p>
    <w:p w14:paraId="464FB79C" w14:textId="77777777" w:rsidR="00F74112" w:rsidRPr="008B766D" w:rsidRDefault="00F74112" w:rsidP="006F30EE">
      <w:pPr>
        <w:spacing w:after="0" w:line="480" w:lineRule="auto"/>
        <w:ind w:left="709" w:hanging="567"/>
        <w:rPr>
          <w:lang w:val="en-US"/>
        </w:rPr>
      </w:pPr>
      <w:r w:rsidRPr="008B766D">
        <w:rPr>
          <w:lang w:val="en-US"/>
        </w:rPr>
        <w:t xml:space="preserve">Ruggles, S., &amp; Heggeness, M. (2008). Intergenerational coresidence in developing countries. </w:t>
      </w:r>
      <w:r w:rsidRPr="008B766D">
        <w:rPr>
          <w:i/>
          <w:lang w:val="en-US"/>
        </w:rPr>
        <w:t>Population Development Review,</w:t>
      </w:r>
      <w:r w:rsidRPr="008B766D">
        <w:rPr>
          <w:lang w:val="en-US"/>
        </w:rPr>
        <w:t xml:space="preserve"> </w:t>
      </w:r>
      <w:r w:rsidRPr="008B766D">
        <w:rPr>
          <w:i/>
          <w:lang w:val="en-US"/>
        </w:rPr>
        <w:t>34</w:t>
      </w:r>
      <w:r w:rsidRPr="008B766D">
        <w:rPr>
          <w:lang w:val="en-US"/>
        </w:rPr>
        <w:t>(2), 253</w:t>
      </w:r>
      <w:r w:rsidRPr="008B766D">
        <w:rPr>
          <w:szCs w:val="24"/>
          <w:lang w:val="en-US"/>
        </w:rPr>
        <w:t>–</w:t>
      </w:r>
      <w:r w:rsidRPr="008B766D">
        <w:rPr>
          <w:lang w:val="en-US"/>
        </w:rPr>
        <w:t>281.</w:t>
      </w:r>
    </w:p>
    <w:p w14:paraId="7B43A2ED" w14:textId="77777777" w:rsidR="00F74112" w:rsidRPr="008B766D" w:rsidRDefault="00F74112" w:rsidP="006F30EE">
      <w:pPr>
        <w:spacing w:after="0" w:line="480" w:lineRule="auto"/>
        <w:ind w:left="709" w:hanging="567"/>
        <w:rPr>
          <w:lang w:val="en-US"/>
        </w:rPr>
      </w:pPr>
      <w:r w:rsidRPr="008B766D">
        <w:rPr>
          <w:lang w:val="en-US"/>
        </w:rPr>
        <w:t xml:space="preserve">Sandefur, G. D., &amp; Wells, T. (1999). Does family structure really inﬂuence educational attainment? </w:t>
      </w:r>
      <w:r w:rsidRPr="008B766D">
        <w:rPr>
          <w:i/>
          <w:lang w:val="en-US"/>
        </w:rPr>
        <w:t>Social Science Research,</w:t>
      </w:r>
      <w:r w:rsidRPr="008B766D">
        <w:rPr>
          <w:lang w:val="en-US"/>
        </w:rPr>
        <w:t xml:space="preserve"> </w:t>
      </w:r>
      <w:r w:rsidRPr="008B766D">
        <w:rPr>
          <w:i/>
          <w:lang w:val="en-US"/>
        </w:rPr>
        <w:t>28</w:t>
      </w:r>
      <w:r w:rsidRPr="008B766D">
        <w:rPr>
          <w:lang w:val="en-US"/>
        </w:rPr>
        <w:t>(4), 331</w:t>
      </w:r>
      <w:r w:rsidRPr="008B766D">
        <w:rPr>
          <w:szCs w:val="24"/>
          <w:lang w:val="en-US"/>
        </w:rPr>
        <w:t>–</w:t>
      </w:r>
      <w:r w:rsidRPr="008B766D">
        <w:rPr>
          <w:lang w:val="en-US"/>
        </w:rPr>
        <w:t>357.</w:t>
      </w:r>
    </w:p>
    <w:p w14:paraId="6CCE5455" w14:textId="77777777" w:rsidR="00EB04D1" w:rsidRPr="008B766D" w:rsidRDefault="00F74112" w:rsidP="00EB04D1">
      <w:pPr>
        <w:spacing w:after="0" w:line="480" w:lineRule="auto"/>
        <w:ind w:left="709" w:hanging="567"/>
        <w:rPr>
          <w:lang w:val="en-US"/>
        </w:rPr>
      </w:pPr>
      <w:r w:rsidRPr="008B766D">
        <w:rPr>
          <w:lang w:val="en-US"/>
        </w:rPr>
        <w:t xml:space="preserve">Shah, N. M., Badr, H. E., Yount, K., &amp; Shah, M. A. (2011). Decline in co-residence of parents and children among older Kuwaiti men and women: What are the significant correlates? </w:t>
      </w:r>
      <w:r w:rsidRPr="008B766D">
        <w:rPr>
          <w:i/>
          <w:lang w:val="en-US"/>
        </w:rPr>
        <w:t>Journal of Cross-Cultural Gerontology,</w:t>
      </w:r>
      <w:r w:rsidRPr="008B766D">
        <w:rPr>
          <w:lang w:val="en-US"/>
        </w:rPr>
        <w:t xml:space="preserve"> </w:t>
      </w:r>
      <w:r w:rsidRPr="008B766D">
        <w:rPr>
          <w:i/>
          <w:lang w:val="en-US"/>
        </w:rPr>
        <w:t>26</w:t>
      </w:r>
      <w:r w:rsidRPr="008B766D">
        <w:rPr>
          <w:lang w:val="en-US"/>
        </w:rPr>
        <w:t>(2), 157</w:t>
      </w:r>
      <w:r w:rsidRPr="008B766D">
        <w:rPr>
          <w:szCs w:val="24"/>
          <w:lang w:val="en-US"/>
        </w:rPr>
        <w:t>–</w:t>
      </w:r>
      <w:r w:rsidR="00EB04D1" w:rsidRPr="008B766D">
        <w:rPr>
          <w:lang w:val="en-US"/>
        </w:rPr>
        <w:t>174.</w:t>
      </w:r>
    </w:p>
    <w:p w14:paraId="428632FF" w14:textId="0FB7812F" w:rsidR="00EB04D1" w:rsidRPr="004443C5" w:rsidRDefault="00EB04D1" w:rsidP="00EF6A07">
      <w:pPr>
        <w:spacing w:after="0" w:line="480" w:lineRule="auto"/>
        <w:ind w:left="709" w:hanging="567"/>
        <w:rPr>
          <w:lang w:val="en-US"/>
        </w:rPr>
      </w:pPr>
      <w:r w:rsidRPr="004443C5">
        <w:rPr>
          <w:lang w:val="en-US"/>
        </w:rPr>
        <w:t>Sharkey, P., &amp; Elwert, F. (2011)</w:t>
      </w:r>
      <w:r w:rsidR="00EF6A07" w:rsidRPr="004443C5">
        <w:rPr>
          <w:lang w:val="en-US"/>
        </w:rPr>
        <w:t xml:space="preserve">. The </w:t>
      </w:r>
      <w:r w:rsidR="00EF6A07">
        <w:rPr>
          <w:szCs w:val="20"/>
          <w:lang w:val="en-US" w:eastAsia="cs-CZ"/>
        </w:rPr>
        <w:t>l</w:t>
      </w:r>
      <w:r w:rsidRPr="008B766D">
        <w:rPr>
          <w:szCs w:val="20"/>
          <w:lang w:val="en-US" w:eastAsia="cs-CZ"/>
        </w:rPr>
        <w:t>egacy</w:t>
      </w:r>
      <w:r w:rsidRPr="004443C5">
        <w:rPr>
          <w:lang w:val="en-US"/>
        </w:rPr>
        <w:t xml:space="preserve"> of </w:t>
      </w:r>
      <w:r w:rsidR="00EF6A07">
        <w:rPr>
          <w:szCs w:val="20"/>
          <w:lang w:val="en-US" w:eastAsia="cs-CZ"/>
        </w:rPr>
        <w:t>disadvantage</w:t>
      </w:r>
      <w:r w:rsidR="00EF6A07" w:rsidRPr="004443C5">
        <w:rPr>
          <w:lang w:val="en-US"/>
        </w:rPr>
        <w:t xml:space="preserve">. Multigenerational </w:t>
      </w:r>
      <w:r w:rsidR="00EF6A07">
        <w:rPr>
          <w:szCs w:val="20"/>
          <w:lang w:val="en-US" w:eastAsia="cs-CZ"/>
        </w:rPr>
        <w:t>neighborhood effects</w:t>
      </w:r>
      <w:r w:rsidR="00EF6A07" w:rsidRPr="004443C5">
        <w:rPr>
          <w:lang w:val="en-US"/>
        </w:rPr>
        <w:t xml:space="preserve"> on </w:t>
      </w:r>
      <w:r w:rsidR="00EF6A07">
        <w:rPr>
          <w:szCs w:val="20"/>
          <w:lang w:val="en-US" w:eastAsia="cs-CZ"/>
        </w:rPr>
        <w:t>c</w:t>
      </w:r>
      <w:r w:rsidRPr="008B766D">
        <w:rPr>
          <w:szCs w:val="20"/>
          <w:lang w:val="en-US" w:eastAsia="cs-CZ"/>
        </w:rPr>
        <w:t>ognitiv</w:t>
      </w:r>
      <w:r w:rsidR="00EF6A07">
        <w:rPr>
          <w:szCs w:val="20"/>
          <w:lang w:val="en-US" w:eastAsia="cs-CZ"/>
        </w:rPr>
        <w:t>e a</w:t>
      </w:r>
      <w:r w:rsidRPr="008B766D">
        <w:rPr>
          <w:szCs w:val="20"/>
          <w:lang w:val="en-US" w:eastAsia="cs-CZ"/>
        </w:rPr>
        <w:t>bility</w:t>
      </w:r>
      <w:r w:rsidRPr="004443C5">
        <w:rPr>
          <w:lang w:val="en-US"/>
        </w:rPr>
        <w:t xml:space="preserve">. </w:t>
      </w:r>
      <w:r w:rsidRPr="004443C5">
        <w:rPr>
          <w:i/>
          <w:lang w:val="en-US"/>
        </w:rPr>
        <w:t>American Journal of Sociology</w:t>
      </w:r>
      <w:r w:rsidRPr="004443C5">
        <w:rPr>
          <w:lang w:val="en-US"/>
        </w:rPr>
        <w:t xml:space="preserve"> </w:t>
      </w:r>
      <w:r w:rsidRPr="004443C5">
        <w:rPr>
          <w:i/>
          <w:lang w:val="en-US"/>
        </w:rPr>
        <w:t>116</w:t>
      </w:r>
      <w:r w:rsidRPr="004443C5">
        <w:rPr>
          <w:lang w:val="en-US"/>
        </w:rPr>
        <w:t>(6), 1934–1981.</w:t>
      </w:r>
    </w:p>
    <w:p w14:paraId="315F2CB1" w14:textId="77777777" w:rsidR="00F74112" w:rsidRPr="008B766D" w:rsidRDefault="00F74112" w:rsidP="006F30EE">
      <w:pPr>
        <w:spacing w:after="0" w:line="480" w:lineRule="auto"/>
        <w:ind w:left="709" w:hanging="567"/>
        <w:rPr>
          <w:szCs w:val="24"/>
          <w:lang w:val="en-US"/>
        </w:rPr>
      </w:pPr>
      <w:r w:rsidRPr="008B766D">
        <w:rPr>
          <w:szCs w:val="24"/>
          <w:lang w:val="en-US"/>
        </w:rPr>
        <w:t xml:space="preserve">Shavit, Y., </w:t>
      </w:r>
      <w:r w:rsidRPr="008B766D">
        <w:rPr>
          <w:lang w:val="en-US"/>
        </w:rPr>
        <w:t>&amp;</w:t>
      </w:r>
      <w:r w:rsidRPr="008B766D">
        <w:rPr>
          <w:szCs w:val="24"/>
          <w:lang w:val="en-US"/>
        </w:rPr>
        <w:t xml:space="preserve"> Pierce, J. (1991). Sibship size and educational attainment in nuclear and extended families: Arabs and Jews in Israel. </w:t>
      </w:r>
      <w:r w:rsidRPr="008B766D">
        <w:rPr>
          <w:i/>
          <w:szCs w:val="24"/>
          <w:lang w:val="en-US"/>
        </w:rPr>
        <w:t>American Sociological Review,</w:t>
      </w:r>
      <w:r w:rsidRPr="008B766D">
        <w:rPr>
          <w:szCs w:val="24"/>
          <w:lang w:val="en-US"/>
        </w:rPr>
        <w:t xml:space="preserve"> </w:t>
      </w:r>
      <w:r w:rsidRPr="008B766D">
        <w:rPr>
          <w:i/>
          <w:szCs w:val="24"/>
          <w:lang w:val="en-US"/>
        </w:rPr>
        <w:t>56</w:t>
      </w:r>
      <w:r w:rsidRPr="008B766D">
        <w:rPr>
          <w:szCs w:val="24"/>
          <w:lang w:val="en-US"/>
        </w:rPr>
        <w:t>(3), 321–330.</w:t>
      </w:r>
    </w:p>
    <w:p w14:paraId="2B4243CA" w14:textId="77777777" w:rsidR="00F74112" w:rsidRPr="008B766D" w:rsidRDefault="00F74112" w:rsidP="006F30EE">
      <w:pPr>
        <w:spacing w:after="0" w:line="480" w:lineRule="auto"/>
        <w:ind w:left="709" w:hanging="567"/>
        <w:rPr>
          <w:szCs w:val="24"/>
          <w:lang w:val="en-US"/>
        </w:rPr>
      </w:pPr>
      <w:r w:rsidRPr="008B766D">
        <w:rPr>
          <w:szCs w:val="24"/>
          <w:lang w:val="en-US"/>
        </w:rPr>
        <w:t xml:space="preserve">Shore, R., &amp; Hayslip, B. (1994). Custodial grandparenting: Implications for children’s development. In A. E. Gottfried &amp; A. W. Gottfried (Eds.), </w:t>
      </w:r>
      <w:r w:rsidRPr="008B766D">
        <w:rPr>
          <w:i/>
          <w:szCs w:val="24"/>
          <w:lang w:val="en-US"/>
        </w:rPr>
        <w:t>Redefining families: Implications for children’s development</w:t>
      </w:r>
      <w:r w:rsidRPr="008B766D">
        <w:rPr>
          <w:szCs w:val="24"/>
          <w:lang w:val="en-US"/>
        </w:rPr>
        <w:t xml:space="preserve"> (pp. 171–218). New York, NY: Plenum Press.</w:t>
      </w:r>
    </w:p>
    <w:p w14:paraId="282F6CC8" w14:textId="77777777" w:rsidR="00F74112" w:rsidRPr="008B766D" w:rsidRDefault="00F74112" w:rsidP="006F30EE">
      <w:pPr>
        <w:spacing w:after="0" w:line="480" w:lineRule="auto"/>
        <w:ind w:left="709" w:hanging="567"/>
        <w:rPr>
          <w:lang w:val="en-US"/>
        </w:rPr>
      </w:pPr>
      <w:r w:rsidRPr="008B766D">
        <w:rPr>
          <w:lang w:val="en-US"/>
        </w:rPr>
        <w:t xml:space="preserve">Sieben, I., Huinink, J., &amp; de Graaf, P. M. (2001). Family background and sibling resemblance in educational attainment. Trends in the former FRG, the former GDR, and the Netherlands. </w:t>
      </w:r>
      <w:r w:rsidRPr="008B766D">
        <w:rPr>
          <w:i/>
          <w:lang w:val="en-US"/>
        </w:rPr>
        <w:t>European Sociological Review,</w:t>
      </w:r>
      <w:r w:rsidRPr="008B766D">
        <w:rPr>
          <w:lang w:val="en-US"/>
        </w:rPr>
        <w:t xml:space="preserve"> </w:t>
      </w:r>
      <w:r w:rsidRPr="008B766D">
        <w:rPr>
          <w:i/>
          <w:lang w:val="en-US"/>
        </w:rPr>
        <w:t>17</w:t>
      </w:r>
      <w:r w:rsidRPr="008B766D">
        <w:rPr>
          <w:lang w:val="en-US"/>
        </w:rPr>
        <w:t>(4), 401</w:t>
      </w:r>
      <w:r w:rsidRPr="008B766D">
        <w:rPr>
          <w:szCs w:val="24"/>
          <w:lang w:val="en-US"/>
        </w:rPr>
        <w:t>–</w:t>
      </w:r>
      <w:r w:rsidRPr="008B766D">
        <w:rPr>
          <w:lang w:val="en-US"/>
        </w:rPr>
        <w:t>430.</w:t>
      </w:r>
    </w:p>
    <w:p w14:paraId="3E6D0AAD" w14:textId="77777777" w:rsidR="00F74112" w:rsidRPr="008B766D" w:rsidRDefault="00F74112" w:rsidP="006F30EE">
      <w:pPr>
        <w:spacing w:after="0" w:line="480" w:lineRule="auto"/>
        <w:ind w:left="709" w:hanging="567"/>
        <w:rPr>
          <w:lang w:val="en-US"/>
        </w:rPr>
      </w:pPr>
      <w:r w:rsidRPr="008B766D">
        <w:rPr>
          <w:szCs w:val="24"/>
          <w:lang w:val="en-US"/>
        </w:rPr>
        <w:t xml:space="preserve">STATA Corp. (2011a). </w:t>
      </w:r>
      <w:r w:rsidR="00E037CD" w:rsidRPr="008B766D">
        <w:rPr>
          <w:i/>
          <w:lang w:val="en-US"/>
        </w:rPr>
        <w:t>STATA longitudinal data/panel data reference m</w:t>
      </w:r>
      <w:r w:rsidRPr="008B766D">
        <w:rPr>
          <w:i/>
          <w:lang w:val="en-US"/>
        </w:rPr>
        <w:t>anual. Release 12</w:t>
      </w:r>
      <w:r w:rsidRPr="008B766D">
        <w:rPr>
          <w:lang w:val="en-US"/>
        </w:rPr>
        <w:t>. College Station, TX: STATA Press.</w:t>
      </w:r>
    </w:p>
    <w:p w14:paraId="783F5667" w14:textId="77777777" w:rsidR="00F74112" w:rsidRPr="008B766D" w:rsidRDefault="00F74112" w:rsidP="006F30EE">
      <w:pPr>
        <w:spacing w:after="0" w:line="480" w:lineRule="auto"/>
        <w:ind w:left="709" w:hanging="567"/>
        <w:rPr>
          <w:lang w:val="en-US"/>
        </w:rPr>
      </w:pPr>
      <w:r w:rsidRPr="008B766D">
        <w:rPr>
          <w:szCs w:val="24"/>
          <w:lang w:val="en-US"/>
        </w:rPr>
        <w:t xml:space="preserve">STATA Corp. (2011b). </w:t>
      </w:r>
      <w:r w:rsidR="00E037CD" w:rsidRPr="008B766D">
        <w:rPr>
          <w:i/>
          <w:lang w:val="en-US"/>
        </w:rPr>
        <w:t>STATA m</w:t>
      </w:r>
      <w:r w:rsidRPr="008B766D">
        <w:rPr>
          <w:i/>
          <w:lang w:val="en-US"/>
        </w:rPr>
        <w:t xml:space="preserve">ultiple </w:t>
      </w:r>
      <w:r w:rsidR="00E037CD" w:rsidRPr="008B766D">
        <w:rPr>
          <w:i/>
          <w:lang w:val="en-US"/>
        </w:rPr>
        <w:t>i</w:t>
      </w:r>
      <w:r w:rsidR="006E00A3" w:rsidRPr="008B766D">
        <w:rPr>
          <w:i/>
          <w:lang w:val="en-US"/>
        </w:rPr>
        <w:t>mputation reference m</w:t>
      </w:r>
      <w:r w:rsidRPr="008B766D">
        <w:rPr>
          <w:i/>
          <w:lang w:val="en-US"/>
        </w:rPr>
        <w:t>anual. Release 12</w:t>
      </w:r>
      <w:r w:rsidRPr="008B766D">
        <w:rPr>
          <w:lang w:val="en-US"/>
        </w:rPr>
        <w:t>. College Station, TX: STATA Press.</w:t>
      </w:r>
    </w:p>
    <w:p w14:paraId="30E2992B" w14:textId="77777777" w:rsidR="00F74112" w:rsidRPr="008B766D" w:rsidRDefault="00F74112" w:rsidP="006F30EE">
      <w:pPr>
        <w:spacing w:after="0" w:line="480" w:lineRule="auto"/>
        <w:ind w:left="709" w:hanging="567"/>
        <w:rPr>
          <w:szCs w:val="24"/>
          <w:lang w:val="en-US"/>
        </w:rPr>
      </w:pPr>
      <w:r w:rsidRPr="008B766D">
        <w:rPr>
          <w:szCs w:val="24"/>
          <w:lang w:val="en-US"/>
        </w:rPr>
        <w:lastRenderedPageBreak/>
        <w:t xml:space="preserve">Steelman, L. C. (1985). A tale of two variables: A review of the intellectual consequences of sibship size and birth order. </w:t>
      </w:r>
      <w:r w:rsidRPr="008B766D">
        <w:rPr>
          <w:i/>
          <w:szCs w:val="24"/>
          <w:lang w:val="en-US"/>
        </w:rPr>
        <w:t>Review of Educational Research,</w:t>
      </w:r>
      <w:r w:rsidRPr="008B766D">
        <w:rPr>
          <w:szCs w:val="24"/>
          <w:lang w:val="en-US"/>
        </w:rPr>
        <w:t xml:space="preserve"> </w:t>
      </w:r>
      <w:r w:rsidRPr="008B766D">
        <w:rPr>
          <w:i/>
          <w:szCs w:val="24"/>
          <w:lang w:val="en-US"/>
        </w:rPr>
        <w:t>55</w:t>
      </w:r>
      <w:r w:rsidRPr="008B766D">
        <w:rPr>
          <w:szCs w:val="24"/>
          <w:lang w:val="en-US"/>
        </w:rPr>
        <w:t>(3), 353–386.</w:t>
      </w:r>
    </w:p>
    <w:p w14:paraId="001AC1E5" w14:textId="77777777" w:rsidR="00F74112" w:rsidRPr="008B766D" w:rsidRDefault="00F74112" w:rsidP="006F30EE">
      <w:pPr>
        <w:spacing w:after="0" w:line="480" w:lineRule="auto"/>
        <w:ind w:left="709" w:hanging="567"/>
        <w:rPr>
          <w:lang w:val="en-US"/>
        </w:rPr>
      </w:pPr>
      <w:r w:rsidRPr="008B766D">
        <w:rPr>
          <w:lang w:val="en-US"/>
        </w:rPr>
        <w:t xml:space="preserve">Steelman, L. Carr, Powell, B., Werum, R., &amp; Carter, S. (2002). Reconsidering the effects of sibling configuration: Recent advances and challenges. </w:t>
      </w:r>
      <w:r w:rsidRPr="008B766D">
        <w:rPr>
          <w:i/>
          <w:lang w:val="en-US"/>
        </w:rPr>
        <w:t>Annual Review of Sociology,</w:t>
      </w:r>
      <w:r w:rsidRPr="008B766D">
        <w:rPr>
          <w:lang w:val="en-US"/>
        </w:rPr>
        <w:t xml:space="preserve"> </w:t>
      </w:r>
      <w:r w:rsidRPr="008B766D">
        <w:rPr>
          <w:i/>
          <w:lang w:val="en-US"/>
        </w:rPr>
        <w:t>28</w:t>
      </w:r>
      <w:r w:rsidRPr="008B766D">
        <w:rPr>
          <w:lang w:val="en-US"/>
        </w:rPr>
        <w:t>(1), 243</w:t>
      </w:r>
      <w:r w:rsidRPr="008B766D">
        <w:rPr>
          <w:szCs w:val="24"/>
          <w:lang w:val="en-US"/>
        </w:rPr>
        <w:t>–</w:t>
      </w:r>
      <w:r w:rsidRPr="008B766D">
        <w:rPr>
          <w:lang w:val="en-US"/>
        </w:rPr>
        <w:t>269.</w:t>
      </w:r>
    </w:p>
    <w:p w14:paraId="1D8D154E" w14:textId="77777777" w:rsidR="00F74112" w:rsidRPr="008B766D" w:rsidRDefault="00F74112" w:rsidP="006F30EE">
      <w:pPr>
        <w:tabs>
          <w:tab w:val="left" w:pos="2970"/>
        </w:tabs>
        <w:spacing w:after="0" w:line="480" w:lineRule="auto"/>
        <w:ind w:left="709" w:hanging="567"/>
        <w:rPr>
          <w:szCs w:val="24"/>
          <w:lang w:val="en-US"/>
        </w:rPr>
      </w:pPr>
      <w:r w:rsidRPr="008B766D">
        <w:rPr>
          <w:szCs w:val="24"/>
          <w:lang w:val="en-US"/>
        </w:rPr>
        <w:t xml:space="preserve">Sudha, S. (1997). Family size, sex composition and children’s education: Ethnic differentials over development in Peninsular Malaysia. </w:t>
      </w:r>
      <w:r w:rsidRPr="008B766D">
        <w:rPr>
          <w:i/>
          <w:szCs w:val="24"/>
          <w:lang w:val="en-US"/>
        </w:rPr>
        <w:t>Population Studies,</w:t>
      </w:r>
      <w:r w:rsidRPr="008B766D">
        <w:rPr>
          <w:szCs w:val="24"/>
          <w:lang w:val="en-US"/>
        </w:rPr>
        <w:t xml:space="preserve"> </w:t>
      </w:r>
      <w:r w:rsidRPr="008B766D">
        <w:rPr>
          <w:i/>
          <w:szCs w:val="24"/>
          <w:lang w:val="en-US"/>
        </w:rPr>
        <w:t>51</w:t>
      </w:r>
      <w:r w:rsidRPr="008B766D">
        <w:rPr>
          <w:szCs w:val="24"/>
          <w:lang w:val="en-US"/>
        </w:rPr>
        <w:t>(2), 139–151.</w:t>
      </w:r>
    </w:p>
    <w:p w14:paraId="48772422" w14:textId="77777777" w:rsidR="00F74112" w:rsidRPr="008B766D" w:rsidRDefault="00F74112" w:rsidP="000655E7">
      <w:pPr>
        <w:spacing w:after="0" w:line="480" w:lineRule="auto"/>
        <w:ind w:left="709" w:hanging="567"/>
        <w:rPr>
          <w:lang w:val="en-US"/>
        </w:rPr>
      </w:pPr>
      <w:r w:rsidRPr="008B766D">
        <w:rPr>
          <w:lang w:val="en-US"/>
        </w:rPr>
        <w:t xml:space="preserve">Takagi, E., Silverstein, M., &amp; Crimmins, E. (2007). Intergenerational coresidence of older adults in Japan: Conditions for cultural plasticity. </w:t>
      </w:r>
      <w:r w:rsidRPr="008B766D">
        <w:rPr>
          <w:i/>
          <w:lang w:val="en-US"/>
        </w:rPr>
        <w:t>Journal of Gerontology,</w:t>
      </w:r>
      <w:r w:rsidRPr="008B766D">
        <w:rPr>
          <w:lang w:val="en-US"/>
        </w:rPr>
        <w:t xml:space="preserve"> </w:t>
      </w:r>
      <w:r w:rsidRPr="008B766D">
        <w:rPr>
          <w:i/>
          <w:lang w:val="en-US"/>
        </w:rPr>
        <w:t>62B</w:t>
      </w:r>
      <w:r w:rsidRPr="008B766D">
        <w:rPr>
          <w:lang w:val="en-US"/>
        </w:rPr>
        <w:t>(5), S330</w:t>
      </w:r>
      <w:r w:rsidRPr="008B766D">
        <w:rPr>
          <w:szCs w:val="24"/>
          <w:lang w:val="en-US"/>
        </w:rPr>
        <w:t>–</w:t>
      </w:r>
      <w:r w:rsidRPr="008B766D">
        <w:rPr>
          <w:lang w:val="en-US"/>
        </w:rPr>
        <w:t>S339.</w:t>
      </w:r>
    </w:p>
    <w:p w14:paraId="1DB20991" w14:textId="0DE391AA" w:rsidR="001C0467" w:rsidRPr="008B766D" w:rsidRDefault="001C0467" w:rsidP="000655E7">
      <w:pPr>
        <w:spacing w:after="0" w:line="480" w:lineRule="auto"/>
        <w:ind w:left="709" w:hanging="567"/>
        <w:rPr>
          <w:lang w:val="en-US"/>
        </w:rPr>
      </w:pPr>
      <w:r w:rsidRPr="008B766D">
        <w:rPr>
          <w:lang w:val="en-US"/>
        </w:rPr>
        <w:t xml:space="preserve">Treiman, D. J. (2009). </w:t>
      </w:r>
      <w:r w:rsidRPr="004443C5">
        <w:rPr>
          <w:i/>
          <w:lang w:val="en-US"/>
        </w:rPr>
        <w:t>Quantitative Data Analysis: Doing Research to Test Ideas</w:t>
      </w:r>
      <w:r w:rsidR="00F842AC">
        <w:rPr>
          <w:lang w:val="en-US"/>
        </w:rPr>
        <w:t>. San Francisco, CA:</w:t>
      </w:r>
      <w:r w:rsidRPr="008B766D">
        <w:rPr>
          <w:lang w:val="en-US"/>
        </w:rPr>
        <w:t xml:space="preserve"> Jossey-Bass.</w:t>
      </w:r>
    </w:p>
    <w:p w14:paraId="5225B1A7" w14:textId="77777777" w:rsidR="00F74112" w:rsidRPr="008B766D" w:rsidRDefault="00F74112" w:rsidP="006F30EE">
      <w:pPr>
        <w:tabs>
          <w:tab w:val="right" w:pos="9072"/>
        </w:tabs>
        <w:spacing w:after="0" w:line="480" w:lineRule="auto"/>
        <w:ind w:left="709" w:hanging="567"/>
        <w:rPr>
          <w:szCs w:val="24"/>
          <w:lang w:val="en-US"/>
        </w:rPr>
      </w:pPr>
      <w:r w:rsidRPr="008B766D">
        <w:rPr>
          <w:szCs w:val="24"/>
          <w:lang w:val="en-US"/>
        </w:rPr>
        <w:t>United Nations Development Programme. (1990)</w:t>
      </w:r>
      <w:r w:rsidRPr="008B766D">
        <w:rPr>
          <w:i/>
          <w:szCs w:val="24"/>
          <w:lang w:val="en-US"/>
        </w:rPr>
        <w:t>. Human development report 1990</w:t>
      </w:r>
      <w:r w:rsidRPr="008B766D">
        <w:rPr>
          <w:szCs w:val="24"/>
          <w:lang w:val="en-US"/>
        </w:rPr>
        <w:t>. Oxford</w:t>
      </w:r>
      <w:r w:rsidR="00861549" w:rsidRPr="008B766D">
        <w:rPr>
          <w:szCs w:val="24"/>
          <w:lang w:val="en-US"/>
        </w:rPr>
        <w:t xml:space="preserve">, </w:t>
      </w:r>
      <w:r w:rsidR="00861549" w:rsidRPr="008B766D">
        <w:rPr>
          <w:lang w:val="en-US"/>
        </w:rPr>
        <w:t>United Kingdom</w:t>
      </w:r>
      <w:r w:rsidRPr="008B766D">
        <w:rPr>
          <w:szCs w:val="24"/>
          <w:lang w:val="en-US"/>
        </w:rPr>
        <w:t xml:space="preserve">: Oxford University Press. </w:t>
      </w:r>
    </w:p>
    <w:p w14:paraId="0B1D336E" w14:textId="718C51B3" w:rsidR="00F74112" w:rsidRPr="008B766D" w:rsidRDefault="00F74112" w:rsidP="006F30EE">
      <w:pPr>
        <w:spacing w:after="0" w:line="480" w:lineRule="auto"/>
        <w:ind w:left="720" w:hanging="567"/>
        <w:rPr>
          <w:lang w:val="en-US"/>
        </w:rPr>
      </w:pPr>
      <w:r w:rsidRPr="008B766D">
        <w:rPr>
          <w:lang w:val="en-US"/>
        </w:rPr>
        <w:t xml:space="preserve">United Nations Development Programme. (2011). </w:t>
      </w:r>
      <w:r w:rsidR="008F2B0B" w:rsidRPr="008B766D">
        <w:rPr>
          <w:i/>
          <w:lang w:val="en-US"/>
        </w:rPr>
        <w:t>Human development report 2011. Sustainability and equity: A better future for a</w:t>
      </w:r>
      <w:r w:rsidRPr="008B766D">
        <w:rPr>
          <w:i/>
          <w:lang w:val="en-US"/>
        </w:rPr>
        <w:t>ll</w:t>
      </w:r>
      <w:r w:rsidRPr="008B766D">
        <w:rPr>
          <w:lang w:val="en-US"/>
        </w:rPr>
        <w:t xml:space="preserve">. Basingstoke, United Kingdom: Palgrave Macmillan. Retrieved October 29, 2012, from </w:t>
      </w:r>
      <w:hyperlink r:id="rId29" w:history="1">
        <w:r w:rsidRPr="008B766D">
          <w:rPr>
            <w:rStyle w:val="Hypertextovodkaz"/>
            <w:lang w:val="en-US"/>
          </w:rPr>
          <w:t>http://hdr.undp.org/en/media/HDR_2011_EN_Complete.pdf</w:t>
        </w:r>
      </w:hyperlink>
    </w:p>
    <w:p w14:paraId="7A4ABBAE" w14:textId="77777777" w:rsidR="00F74112" w:rsidRPr="008B766D" w:rsidRDefault="00F74112" w:rsidP="000655E7">
      <w:pPr>
        <w:spacing w:after="0" w:line="480" w:lineRule="auto"/>
        <w:ind w:left="709" w:hanging="567"/>
        <w:rPr>
          <w:lang w:val="en-US"/>
        </w:rPr>
      </w:pPr>
      <w:r w:rsidRPr="004443C5">
        <w:rPr>
          <w:lang w:val="en-US"/>
        </w:rPr>
        <w:t xml:space="preserve">United Nations. (2006). </w:t>
      </w:r>
      <w:r w:rsidR="008F2B0B" w:rsidRPr="004443C5">
        <w:rPr>
          <w:i/>
          <w:lang w:val="en-US"/>
        </w:rPr>
        <w:t>2003 Demographic y</w:t>
      </w:r>
      <w:r w:rsidRPr="004443C5">
        <w:rPr>
          <w:i/>
          <w:lang w:val="en-US"/>
        </w:rPr>
        <w:t>earbook</w:t>
      </w:r>
      <w:r w:rsidRPr="004443C5">
        <w:rPr>
          <w:lang w:val="en-US"/>
        </w:rPr>
        <w:t xml:space="preserve">. New York, NY: United Nations. Retrieved March 14, 2013, from </w:t>
      </w:r>
      <w:hyperlink r:id="rId30" w:history="1">
        <w:r w:rsidRPr="004443C5">
          <w:rPr>
            <w:rStyle w:val="Hypertextovodkaz"/>
            <w:lang w:val="en-US"/>
          </w:rPr>
          <w:t>http://unstats.un.org/unsd/demographic/products/dyb/dybsets/2003%20DYB.pdf</w:t>
        </w:r>
      </w:hyperlink>
    </w:p>
    <w:p w14:paraId="200EEF4F" w14:textId="6E57D2F7" w:rsidR="00F74112" w:rsidRPr="008B766D" w:rsidRDefault="00872DB6" w:rsidP="000655E7">
      <w:pPr>
        <w:spacing w:after="0" w:line="480" w:lineRule="auto"/>
        <w:ind w:left="709" w:hanging="567"/>
        <w:rPr>
          <w:szCs w:val="24"/>
          <w:lang w:val="en-US"/>
        </w:rPr>
      </w:pPr>
      <w:r>
        <w:rPr>
          <w:szCs w:val="24"/>
          <w:lang w:val="en-US"/>
        </w:rPr>
        <w:t>V</w:t>
      </w:r>
      <w:r w:rsidR="00F74112" w:rsidRPr="008B766D">
        <w:rPr>
          <w:szCs w:val="24"/>
          <w:lang w:val="en-US"/>
        </w:rPr>
        <w:t>an</w:t>
      </w:r>
      <w:r w:rsidR="00F74112" w:rsidRPr="004443C5">
        <w:rPr>
          <w:lang w:val="en-US"/>
        </w:rPr>
        <w:t xml:space="preserve"> Eijck, K., &amp; de Graaf, P. M. (1995). </w:t>
      </w:r>
      <w:r w:rsidR="00F74112" w:rsidRPr="008B766D">
        <w:rPr>
          <w:szCs w:val="24"/>
          <w:lang w:val="en-US"/>
        </w:rPr>
        <w:t xml:space="preserve">The effects of family structure on the educational attainment of siblings in Hungary. </w:t>
      </w:r>
      <w:r w:rsidR="00F74112" w:rsidRPr="008B766D">
        <w:rPr>
          <w:i/>
          <w:szCs w:val="24"/>
          <w:lang w:val="en-US"/>
        </w:rPr>
        <w:t>European Sociological Review,</w:t>
      </w:r>
      <w:r w:rsidR="00F74112" w:rsidRPr="008B766D">
        <w:rPr>
          <w:szCs w:val="24"/>
          <w:lang w:val="en-US"/>
        </w:rPr>
        <w:t xml:space="preserve"> </w:t>
      </w:r>
      <w:r w:rsidR="00F74112" w:rsidRPr="008B766D">
        <w:rPr>
          <w:i/>
          <w:szCs w:val="24"/>
          <w:lang w:val="en-US"/>
        </w:rPr>
        <w:t>11</w:t>
      </w:r>
      <w:r w:rsidR="00F74112" w:rsidRPr="008B766D">
        <w:rPr>
          <w:szCs w:val="24"/>
          <w:lang w:val="en-US"/>
        </w:rPr>
        <w:t>(3), 273–292.</w:t>
      </w:r>
    </w:p>
    <w:p w14:paraId="77FF6F28" w14:textId="2F272269" w:rsidR="00F74112" w:rsidRPr="008B766D" w:rsidRDefault="00F74112" w:rsidP="006F30EE">
      <w:pPr>
        <w:spacing w:after="0" w:line="480" w:lineRule="auto"/>
        <w:ind w:left="709" w:hanging="567"/>
        <w:rPr>
          <w:szCs w:val="24"/>
          <w:lang w:val="en-US"/>
        </w:rPr>
      </w:pPr>
      <w:r w:rsidRPr="008B766D">
        <w:rPr>
          <w:szCs w:val="24"/>
          <w:lang w:val="en-US"/>
        </w:rPr>
        <w:lastRenderedPageBreak/>
        <w:t xml:space="preserve">Wolter, S. C. (2003). </w:t>
      </w:r>
      <w:r w:rsidRPr="008B766D">
        <w:rPr>
          <w:i/>
          <w:szCs w:val="24"/>
          <w:lang w:val="en-US"/>
        </w:rPr>
        <w:t>Sibling rivalry: A six country comparison</w:t>
      </w:r>
      <w:r w:rsidRPr="008B766D">
        <w:rPr>
          <w:szCs w:val="24"/>
          <w:lang w:val="en-US"/>
        </w:rPr>
        <w:t xml:space="preserve"> (Discussion Paper No. 734). Bonn, Germany: Institute for the Study of Labor. Retrieved May 21, 2012, from </w:t>
      </w:r>
      <w:hyperlink r:id="rId31" w:history="1">
        <w:r w:rsidRPr="008B766D">
          <w:rPr>
            <w:rStyle w:val="Hypertextovodkaz"/>
            <w:szCs w:val="24"/>
            <w:lang w:val="en-US"/>
          </w:rPr>
          <w:t>ftp://repec.iza.org/dps/dp734.pdf</w:t>
        </w:r>
      </w:hyperlink>
    </w:p>
    <w:p w14:paraId="1D5839FC" w14:textId="77777777" w:rsidR="00F74112" w:rsidRPr="008B766D" w:rsidRDefault="00F74112" w:rsidP="000655E7">
      <w:pPr>
        <w:spacing w:after="0" w:line="480" w:lineRule="auto"/>
        <w:ind w:left="709" w:hanging="567"/>
        <w:rPr>
          <w:szCs w:val="24"/>
          <w:lang w:val="en-US"/>
        </w:rPr>
      </w:pPr>
      <w:r w:rsidRPr="004443C5">
        <w:rPr>
          <w:lang w:val="en-US"/>
        </w:rPr>
        <w:t xml:space="preserve">World Bank. (2003). </w:t>
      </w:r>
      <w:r w:rsidR="008F2B0B" w:rsidRPr="004443C5">
        <w:rPr>
          <w:i/>
          <w:lang w:val="en-US"/>
        </w:rPr>
        <w:t>Restoring fiscal discipline for poverty reduction in Peru. A public expenditure r</w:t>
      </w:r>
      <w:r w:rsidRPr="004443C5">
        <w:rPr>
          <w:i/>
          <w:lang w:val="en-US"/>
        </w:rPr>
        <w:t>eview</w:t>
      </w:r>
      <w:r w:rsidRPr="004443C5">
        <w:rPr>
          <w:lang w:val="en-US"/>
        </w:rPr>
        <w:t xml:space="preserve">. Washington, DC: The World Bank. </w:t>
      </w:r>
    </w:p>
    <w:p w14:paraId="5CB5341D" w14:textId="77777777" w:rsidR="00F74112" w:rsidRPr="008B766D" w:rsidRDefault="00F74112" w:rsidP="000655E7">
      <w:pPr>
        <w:spacing w:after="0" w:line="480" w:lineRule="auto"/>
        <w:ind w:left="709" w:hanging="567"/>
        <w:rPr>
          <w:szCs w:val="24"/>
          <w:lang w:val="en-US"/>
        </w:rPr>
      </w:pPr>
      <w:r w:rsidRPr="004443C5">
        <w:rPr>
          <w:lang w:val="en-US"/>
        </w:rPr>
        <w:t xml:space="preserve">World Bank. (2013). World </w:t>
      </w:r>
      <w:r w:rsidR="008F2B0B" w:rsidRPr="004443C5">
        <w:rPr>
          <w:lang w:val="en-US"/>
        </w:rPr>
        <w:t>d</w:t>
      </w:r>
      <w:r w:rsidRPr="004443C5">
        <w:rPr>
          <w:lang w:val="en-US"/>
        </w:rPr>
        <w:t xml:space="preserve">evelopment </w:t>
      </w:r>
      <w:r w:rsidR="008F2B0B" w:rsidRPr="004443C5">
        <w:rPr>
          <w:lang w:val="en-US"/>
        </w:rPr>
        <w:t>i</w:t>
      </w:r>
      <w:r w:rsidRPr="004443C5">
        <w:rPr>
          <w:lang w:val="en-US"/>
        </w:rPr>
        <w:t xml:space="preserve">ndicators: Public </w:t>
      </w:r>
      <w:r w:rsidR="008F2B0B" w:rsidRPr="004443C5">
        <w:rPr>
          <w:lang w:val="en-US"/>
        </w:rPr>
        <w:t>s</w:t>
      </w:r>
      <w:r w:rsidRPr="004443C5">
        <w:rPr>
          <w:lang w:val="en-US"/>
        </w:rPr>
        <w:t xml:space="preserve">pending on </w:t>
      </w:r>
      <w:r w:rsidR="008F2B0B" w:rsidRPr="004443C5">
        <w:rPr>
          <w:lang w:val="en-US"/>
        </w:rPr>
        <w:t>education, t</w:t>
      </w:r>
      <w:r w:rsidRPr="004443C5">
        <w:rPr>
          <w:lang w:val="en-US"/>
        </w:rPr>
        <w:t>otal (% of GDP)</w:t>
      </w:r>
      <w:r w:rsidRPr="004443C5">
        <w:rPr>
          <w:i/>
          <w:lang w:val="en-US"/>
        </w:rPr>
        <w:t>.</w:t>
      </w:r>
      <w:r w:rsidRPr="004443C5">
        <w:rPr>
          <w:lang w:val="en-US"/>
        </w:rPr>
        <w:t xml:space="preserve"> Retrieved March 14, 2013, from </w:t>
      </w:r>
      <w:hyperlink r:id="rId32" w:history="1">
        <w:r w:rsidRPr="004443C5">
          <w:rPr>
            <w:rStyle w:val="Hypertextovodkaz"/>
            <w:lang w:val="en-US"/>
          </w:rPr>
          <w:t>http://data.worldbank.org/indicator/SE.XPD.TOTL.GD.ZS?page=2</w:t>
        </w:r>
      </w:hyperlink>
    </w:p>
    <w:p w14:paraId="2E9D25E3" w14:textId="77777777" w:rsidR="005D7CC1" w:rsidRPr="008B766D" w:rsidRDefault="00F74112" w:rsidP="005D7CC1">
      <w:pPr>
        <w:spacing w:after="0" w:line="480" w:lineRule="auto"/>
        <w:ind w:left="709" w:hanging="567"/>
        <w:rPr>
          <w:szCs w:val="24"/>
          <w:lang w:val="en-US"/>
        </w:rPr>
      </w:pPr>
      <w:r w:rsidRPr="004443C5">
        <w:rPr>
          <w:lang w:val="en-US"/>
        </w:rPr>
        <w:t xml:space="preserve">Zajonc, R. B., &amp; Markus, G. B. (1975). </w:t>
      </w:r>
      <w:r w:rsidRPr="008B766D">
        <w:rPr>
          <w:szCs w:val="24"/>
          <w:lang w:val="en-US"/>
        </w:rPr>
        <w:t xml:space="preserve">Birth order and intellectual development. </w:t>
      </w:r>
      <w:r w:rsidRPr="008B766D">
        <w:rPr>
          <w:i/>
          <w:szCs w:val="24"/>
          <w:lang w:val="en-US"/>
        </w:rPr>
        <w:t>Psychological Review, 82</w:t>
      </w:r>
      <w:r w:rsidRPr="008B766D">
        <w:rPr>
          <w:szCs w:val="24"/>
          <w:lang w:val="en-US"/>
        </w:rPr>
        <w:t>(1), 74–88.</w:t>
      </w:r>
    </w:p>
    <w:p w14:paraId="5DC337C6" w14:textId="2E4A04D5" w:rsidR="001B5660" w:rsidRPr="004443C5" w:rsidRDefault="001B5660" w:rsidP="005D7CC1">
      <w:pPr>
        <w:spacing w:after="0" w:line="480" w:lineRule="auto"/>
        <w:ind w:left="709" w:hanging="567"/>
        <w:rPr>
          <w:lang w:val="en-US"/>
        </w:rPr>
      </w:pPr>
      <w:r w:rsidRPr="004443C5">
        <w:rPr>
          <w:lang w:val="en-US"/>
        </w:rPr>
        <w:t>Zeng, Z., &amp; Xie</w:t>
      </w:r>
      <w:r w:rsidR="005D7CC1" w:rsidRPr="004443C5">
        <w:rPr>
          <w:lang w:val="en-US"/>
        </w:rPr>
        <w:t xml:space="preserve">, Y. (2011). </w:t>
      </w:r>
      <w:r w:rsidRPr="004443C5">
        <w:rPr>
          <w:i/>
          <w:lang w:val="en-US"/>
        </w:rPr>
        <w:t xml:space="preserve">The </w:t>
      </w:r>
      <w:r w:rsidR="00A00C08">
        <w:rPr>
          <w:rFonts w:eastAsia="Times New Roman"/>
          <w:i/>
          <w:szCs w:val="24"/>
          <w:lang w:val="en-US" w:eastAsia="cs-CZ"/>
        </w:rPr>
        <w:t>e</w:t>
      </w:r>
      <w:r w:rsidRPr="008B766D">
        <w:rPr>
          <w:rFonts w:eastAsia="Times New Roman"/>
          <w:i/>
          <w:szCs w:val="24"/>
          <w:lang w:val="en-US" w:eastAsia="cs-CZ"/>
        </w:rPr>
        <w:t>ffects</w:t>
      </w:r>
      <w:r w:rsidRPr="004443C5">
        <w:rPr>
          <w:i/>
          <w:lang w:val="en-US"/>
        </w:rPr>
        <w:t xml:space="preserve"> of </w:t>
      </w:r>
      <w:r w:rsidR="00A00C08">
        <w:rPr>
          <w:rFonts w:eastAsia="Times New Roman"/>
          <w:i/>
          <w:szCs w:val="24"/>
          <w:lang w:val="en-US" w:eastAsia="cs-CZ"/>
        </w:rPr>
        <w:t>g</w:t>
      </w:r>
      <w:r w:rsidRPr="008B766D">
        <w:rPr>
          <w:rFonts w:eastAsia="Times New Roman"/>
          <w:i/>
          <w:szCs w:val="24"/>
          <w:lang w:val="en-US" w:eastAsia="cs-CZ"/>
        </w:rPr>
        <w:t>randparents</w:t>
      </w:r>
      <w:r w:rsidRPr="004443C5">
        <w:rPr>
          <w:i/>
          <w:lang w:val="en-US"/>
        </w:rPr>
        <w:t xml:space="preserve"> on </w:t>
      </w:r>
      <w:r w:rsidR="00A00C08">
        <w:rPr>
          <w:rFonts w:eastAsia="Times New Roman"/>
          <w:i/>
          <w:szCs w:val="24"/>
          <w:lang w:val="en-US" w:eastAsia="cs-CZ"/>
        </w:rPr>
        <w:t>children’s s</w:t>
      </w:r>
      <w:r w:rsidRPr="008B766D">
        <w:rPr>
          <w:rFonts w:eastAsia="Times New Roman"/>
          <w:i/>
          <w:szCs w:val="24"/>
          <w:lang w:val="en-US" w:eastAsia="cs-CZ"/>
        </w:rPr>
        <w:t>chooling</w:t>
      </w:r>
      <w:r w:rsidRPr="004443C5">
        <w:rPr>
          <w:i/>
          <w:lang w:val="en-US"/>
        </w:rPr>
        <w:t>:</w:t>
      </w:r>
      <w:r w:rsidR="005D7CC1" w:rsidRPr="004443C5">
        <w:rPr>
          <w:i/>
          <w:lang w:val="en-US"/>
        </w:rPr>
        <w:t xml:space="preserve"> </w:t>
      </w:r>
      <w:r w:rsidR="00211079" w:rsidRPr="004443C5">
        <w:rPr>
          <w:i/>
          <w:lang w:val="en-US"/>
        </w:rPr>
        <w:t xml:space="preserve">Evidence from </w:t>
      </w:r>
      <w:r w:rsidR="00A00C08">
        <w:rPr>
          <w:rFonts w:eastAsia="Times New Roman"/>
          <w:i/>
          <w:szCs w:val="24"/>
          <w:lang w:val="en-US" w:eastAsia="cs-CZ"/>
        </w:rPr>
        <w:t>r</w:t>
      </w:r>
      <w:r w:rsidR="00211079" w:rsidRPr="008B766D">
        <w:rPr>
          <w:rFonts w:eastAsia="Times New Roman"/>
          <w:i/>
          <w:szCs w:val="24"/>
          <w:lang w:val="en-US" w:eastAsia="cs-CZ"/>
        </w:rPr>
        <w:t>ural</w:t>
      </w:r>
      <w:r w:rsidR="00211079" w:rsidRPr="004443C5">
        <w:rPr>
          <w:i/>
          <w:lang w:val="en-US"/>
        </w:rPr>
        <w:t xml:space="preserve"> China</w:t>
      </w:r>
      <w:r w:rsidR="00211079" w:rsidRPr="008B766D">
        <w:rPr>
          <w:rFonts w:eastAsia="Times New Roman"/>
          <w:szCs w:val="24"/>
          <w:lang w:val="en-US" w:eastAsia="cs-CZ"/>
        </w:rPr>
        <w:t>.</w:t>
      </w:r>
      <w:r w:rsidRPr="004443C5">
        <w:rPr>
          <w:lang w:val="en-US"/>
        </w:rPr>
        <w:t xml:space="preserve"> Demography and Ecology Center Working Paper No. 2011-11, University of Wisconsin-</w:t>
      </w:r>
      <w:r w:rsidR="005D7CC1" w:rsidRPr="004443C5">
        <w:rPr>
          <w:lang w:val="en-US"/>
        </w:rPr>
        <w:t xml:space="preserve">Madison. Retrieved April 14, 2013, from </w:t>
      </w:r>
      <w:hyperlink r:id="rId33" w:history="1">
        <w:r w:rsidR="005D7CC1" w:rsidRPr="004443C5">
          <w:rPr>
            <w:rStyle w:val="Hypertextovodkaz"/>
            <w:lang w:val="en-US"/>
          </w:rPr>
          <w:t>http://www.ssc.wisc.edu/cde/cdewp/2011-11.pdf</w:t>
        </w:r>
      </w:hyperlink>
    </w:p>
    <w:p w14:paraId="253F9D9E" w14:textId="77777777" w:rsidR="001F33F1" w:rsidRPr="008B766D" w:rsidRDefault="001F33F1" w:rsidP="001F33F1">
      <w:pPr>
        <w:pStyle w:val="Nadpis1"/>
        <w:spacing w:before="0" w:afterLines="120" w:after="288" w:line="240" w:lineRule="auto"/>
        <w:ind w:left="720" w:hangingChars="300" w:hanging="720"/>
      </w:pPr>
      <w:r w:rsidRPr="004443C5">
        <w:br w:type="page"/>
      </w:r>
      <w:r w:rsidRPr="008B766D">
        <w:lastRenderedPageBreak/>
        <w:t xml:space="preserve">Appendix </w:t>
      </w:r>
    </w:p>
    <w:p w14:paraId="148E8573" w14:textId="77777777" w:rsidR="00CB62C8" w:rsidRPr="004443C5" w:rsidRDefault="00CB62C8" w:rsidP="00CB62C8">
      <w:pPr>
        <w:spacing w:line="480" w:lineRule="auto"/>
        <w:jc w:val="center"/>
        <w:rPr>
          <w:lang w:val="en-US"/>
        </w:rPr>
      </w:pPr>
      <w:r w:rsidRPr="004443C5">
        <w:rPr>
          <w:lang w:val="en-US"/>
        </w:rPr>
        <w:t>&lt;Table A.1 about here&gt;</w:t>
      </w:r>
    </w:p>
    <w:p w14:paraId="3AA25875" w14:textId="77777777" w:rsidR="00CB62C8" w:rsidRPr="004443C5" w:rsidRDefault="00CB62C8" w:rsidP="00CB62C8">
      <w:pPr>
        <w:spacing w:line="480" w:lineRule="auto"/>
        <w:jc w:val="center"/>
        <w:rPr>
          <w:lang w:val="en-US"/>
        </w:rPr>
      </w:pPr>
      <w:r w:rsidRPr="004443C5">
        <w:rPr>
          <w:lang w:val="en-US"/>
        </w:rPr>
        <w:t>&lt;Table A.2 about here&gt;</w:t>
      </w:r>
    </w:p>
    <w:p w14:paraId="01284584" w14:textId="77777777" w:rsidR="00CB62C8" w:rsidRPr="004443C5" w:rsidRDefault="00CB62C8" w:rsidP="00CB62C8">
      <w:pPr>
        <w:spacing w:line="480" w:lineRule="auto"/>
        <w:jc w:val="center"/>
        <w:rPr>
          <w:lang w:val="en-US"/>
        </w:rPr>
      </w:pPr>
      <w:r w:rsidRPr="004443C5">
        <w:rPr>
          <w:lang w:val="en-US"/>
        </w:rPr>
        <w:t>&lt;Table A.3 about here&gt;</w:t>
      </w:r>
    </w:p>
    <w:p w14:paraId="36EECDCD" w14:textId="77777777" w:rsidR="009B57E2" w:rsidRDefault="009B57E2" w:rsidP="009B57E2">
      <w:pPr>
        <w:spacing w:after="0"/>
        <w:rPr>
          <w:b/>
          <w:szCs w:val="24"/>
          <w:lang w:val="en-GB"/>
        </w:rPr>
      </w:pPr>
      <w:r>
        <w:rPr>
          <w:lang w:val="en-US"/>
        </w:rPr>
        <w:br w:type="page"/>
      </w:r>
      <w:r>
        <w:rPr>
          <w:b/>
          <w:szCs w:val="24"/>
          <w:lang w:val="en-GB"/>
        </w:rPr>
        <w:lastRenderedPageBreak/>
        <w:t>Tables and Figures</w:t>
      </w:r>
    </w:p>
    <w:p w14:paraId="025A0C24" w14:textId="77777777" w:rsidR="009B57E2" w:rsidRDefault="009B57E2" w:rsidP="009B57E2">
      <w:pPr>
        <w:spacing w:after="0"/>
        <w:rPr>
          <w:b/>
          <w:szCs w:val="24"/>
          <w:lang w:val="en-GB"/>
        </w:rPr>
      </w:pPr>
    </w:p>
    <w:p w14:paraId="53906C50" w14:textId="77777777" w:rsidR="009B57E2" w:rsidRPr="00AD775F" w:rsidRDefault="009B57E2" w:rsidP="009B57E2">
      <w:pPr>
        <w:spacing w:after="0"/>
        <w:rPr>
          <w:b/>
          <w:szCs w:val="24"/>
          <w:lang w:val="en-GB"/>
        </w:rPr>
      </w:pPr>
      <w:r w:rsidRPr="00AD775F">
        <w:rPr>
          <w:b/>
          <w:szCs w:val="24"/>
          <w:lang w:val="en-GB"/>
        </w:rPr>
        <w:t>Table 1: Descriptive statistics of level-1 variables used in the analysis. 15-year-old students in selected countries in 2000. Number of level-1 observations (students) = 151377.</w:t>
      </w:r>
    </w:p>
    <w:tbl>
      <w:tblPr>
        <w:tblW w:w="0" w:type="auto"/>
        <w:tblBorders>
          <w:top w:val="single" w:sz="12" w:space="0" w:color="auto"/>
          <w:bottom w:val="single" w:sz="12" w:space="0" w:color="auto"/>
        </w:tblBorders>
        <w:tblLook w:val="04A0" w:firstRow="1" w:lastRow="0" w:firstColumn="1" w:lastColumn="0" w:noHBand="0" w:noVBand="1"/>
      </w:tblPr>
      <w:tblGrid>
        <w:gridCol w:w="5417"/>
        <w:gridCol w:w="3655"/>
      </w:tblGrid>
      <w:tr w:rsidR="009B57E2" w:rsidRPr="00732886" w14:paraId="24C0745E" w14:textId="77777777" w:rsidTr="00B64335">
        <w:trPr>
          <w:trHeight w:val="397"/>
        </w:trPr>
        <w:tc>
          <w:tcPr>
            <w:tcW w:w="5495" w:type="dxa"/>
            <w:vAlign w:val="center"/>
          </w:tcPr>
          <w:p w14:paraId="66980B7C" w14:textId="77777777" w:rsidR="009B57E2" w:rsidRPr="00732886" w:rsidRDefault="009B57E2" w:rsidP="00B64335">
            <w:pPr>
              <w:spacing w:after="0" w:line="240" w:lineRule="auto"/>
              <w:rPr>
                <w:b/>
                <w:sz w:val="20"/>
                <w:szCs w:val="20"/>
                <w:lang w:val="en-GB"/>
              </w:rPr>
            </w:pPr>
            <w:r w:rsidRPr="00732886">
              <w:rPr>
                <w:b/>
                <w:sz w:val="20"/>
                <w:szCs w:val="20"/>
                <w:lang w:val="en-GB"/>
              </w:rPr>
              <w:t xml:space="preserve">Reading literacy score </w:t>
            </w:r>
            <w:r w:rsidRPr="00732886">
              <w:rPr>
                <w:sz w:val="20"/>
                <w:szCs w:val="20"/>
                <w:lang w:val="en-GB"/>
              </w:rPr>
              <w:t>(mean)</w:t>
            </w:r>
          </w:p>
        </w:tc>
        <w:tc>
          <w:tcPr>
            <w:tcW w:w="3717" w:type="dxa"/>
            <w:vAlign w:val="center"/>
          </w:tcPr>
          <w:p w14:paraId="71FD7D65" w14:textId="77777777" w:rsidR="009B57E2" w:rsidRPr="00732886" w:rsidRDefault="009B57E2" w:rsidP="00B64335">
            <w:pPr>
              <w:spacing w:after="0" w:line="240" w:lineRule="auto"/>
              <w:jc w:val="center"/>
              <w:rPr>
                <w:sz w:val="20"/>
                <w:szCs w:val="20"/>
                <w:lang w:val="en-GB"/>
              </w:rPr>
            </w:pPr>
            <w:r w:rsidRPr="00732886">
              <w:rPr>
                <w:sz w:val="20"/>
                <w:szCs w:val="20"/>
                <w:lang w:val="en-GB"/>
              </w:rPr>
              <w:t>485</w:t>
            </w:r>
          </w:p>
        </w:tc>
      </w:tr>
      <w:tr w:rsidR="009B57E2" w:rsidRPr="00732886" w14:paraId="67A5E94B" w14:textId="77777777" w:rsidTr="00B64335">
        <w:trPr>
          <w:trHeight w:val="397"/>
        </w:trPr>
        <w:tc>
          <w:tcPr>
            <w:tcW w:w="5495" w:type="dxa"/>
            <w:vAlign w:val="center"/>
          </w:tcPr>
          <w:p w14:paraId="063D0A8D" w14:textId="77777777" w:rsidR="009B57E2" w:rsidRPr="00732886" w:rsidRDefault="009B57E2" w:rsidP="00B64335">
            <w:pPr>
              <w:spacing w:after="0" w:line="240" w:lineRule="auto"/>
              <w:rPr>
                <w:sz w:val="20"/>
                <w:szCs w:val="20"/>
                <w:lang w:val="en-GB"/>
              </w:rPr>
            </w:pPr>
            <w:r w:rsidRPr="00732886">
              <w:rPr>
                <w:b/>
                <w:sz w:val="20"/>
                <w:szCs w:val="20"/>
                <w:lang w:val="en-GB"/>
              </w:rPr>
              <w:t>Female</w:t>
            </w:r>
          </w:p>
        </w:tc>
        <w:tc>
          <w:tcPr>
            <w:tcW w:w="3717" w:type="dxa"/>
            <w:vAlign w:val="center"/>
          </w:tcPr>
          <w:p w14:paraId="6ECA72E0" w14:textId="77777777" w:rsidR="009B57E2" w:rsidRPr="00732886" w:rsidRDefault="009B57E2" w:rsidP="00B64335">
            <w:pPr>
              <w:spacing w:after="0" w:line="240" w:lineRule="auto"/>
              <w:jc w:val="center"/>
              <w:rPr>
                <w:sz w:val="20"/>
                <w:szCs w:val="20"/>
                <w:lang w:val="en-GB"/>
              </w:rPr>
            </w:pPr>
            <w:r w:rsidRPr="00732886">
              <w:rPr>
                <w:sz w:val="20"/>
                <w:szCs w:val="20"/>
                <w:lang w:val="en-GB"/>
              </w:rPr>
              <w:t>50.7 %</w:t>
            </w:r>
          </w:p>
        </w:tc>
      </w:tr>
      <w:tr w:rsidR="009B57E2" w:rsidRPr="00732886" w14:paraId="1D7CBDE9" w14:textId="77777777" w:rsidTr="00B64335">
        <w:trPr>
          <w:trHeight w:val="397"/>
        </w:trPr>
        <w:tc>
          <w:tcPr>
            <w:tcW w:w="5495" w:type="dxa"/>
            <w:vAlign w:val="center"/>
          </w:tcPr>
          <w:p w14:paraId="62F3CE11" w14:textId="77777777" w:rsidR="009B57E2" w:rsidRPr="00732886" w:rsidRDefault="009B57E2" w:rsidP="00B64335">
            <w:pPr>
              <w:spacing w:after="0" w:line="240" w:lineRule="auto"/>
              <w:rPr>
                <w:sz w:val="20"/>
                <w:szCs w:val="20"/>
                <w:lang w:val="en-GB"/>
              </w:rPr>
            </w:pPr>
            <w:r w:rsidRPr="00732886">
              <w:rPr>
                <w:b/>
                <w:sz w:val="20"/>
                <w:szCs w:val="20"/>
                <w:lang w:val="en-GB"/>
              </w:rPr>
              <w:t>Parental HISEI</w:t>
            </w:r>
            <w:r w:rsidRPr="00732886">
              <w:rPr>
                <w:sz w:val="20"/>
                <w:szCs w:val="20"/>
                <w:lang w:val="en-GB"/>
              </w:rPr>
              <w:t xml:space="preserve"> (mean, before </w:t>
            </w:r>
            <w:r w:rsidRPr="00732886">
              <w:rPr>
                <w:sz w:val="20"/>
                <w:szCs w:val="20"/>
                <w:lang w:val="en-US"/>
              </w:rPr>
              <w:t>centering</w:t>
            </w:r>
            <w:r w:rsidRPr="00732886">
              <w:rPr>
                <w:sz w:val="20"/>
                <w:szCs w:val="20"/>
                <w:lang w:val="en-GB"/>
              </w:rPr>
              <w:t>)</w:t>
            </w:r>
          </w:p>
        </w:tc>
        <w:tc>
          <w:tcPr>
            <w:tcW w:w="3717" w:type="dxa"/>
            <w:vAlign w:val="center"/>
          </w:tcPr>
          <w:p w14:paraId="3E354AA0" w14:textId="77777777" w:rsidR="009B57E2" w:rsidRPr="00732886" w:rsidRDefault="009B57E2" w:rsidP="00B64335">
            <w:pPr>
              <w:spacing w:after="0" w:line="240" w:lineRule="auto"/>
              <w:jc w:val="center"/>
              <w:rPr>
                <w:sz w:val="20"/>
                <w:szCs w:val="20"/>
                <w:lang w:val="en-GB"/>
              </w:rPr>
            </w:pPr>
            <w:r w:rsidRPr="00732886">
              <w:rPr>
                <w:sz w:val="20"/>
                <w:szCs w:val="20"/>
                <w:lang w:val="en-GB"/>
              </w:rPr>
              <w:t>47.9</w:t>
            </w:r>
          </w:p>
        </w:tc>
      </w:tr>
      <w:tr w:rsidR="009B57E2" w:rsidRPr="00732886" w14:paraId="43F3F6EB" w14:textId="77777777" w:rsidTr="00B64335">
        <w:trPr>
          <w:trHeight w:val="397"/>
        </w:trPr>
        <w:tc>
          <w:tcPr>
            <w:tcW w:w="5495" w:type="dxa"/>
            <w:vAlign w:val="center"/>
          </w:tcPr>
          <w:p w14:paraId="558E48B1" w14:textId="77777777" w:rsidR="009B57E2" w:rsidRPr="00732886" w:rsidRDefault="009B57E2" w:rsidP="00B64335">
            <w:pPr>
              <w:spacing w:after="0" w:line="240" w:lineRule="auto"/>
              <w:rPr>
                <w:sz w:val="20"/>
                <w:szCs w:val="20"/>
                <w:lang w:val="en-GB"/>
              </w:rPr>
            </w:pPr>
            <w:r w:rsidRPr="00732886">
              <w:rPr>
                <w:b/>
                <w:sz w:val="20"/>
                <w:szCs w:val="20"/>
                <w:lang w:val="en-GB"/>
              </w:rPr>
              <w:t xml:space="preserve">Education of </w:t>
            </w:r>
            <w:r>
              <w:rPr>
                <w:b/>
                <w:sz w:val="20"/>
                <w:szCs w:val="20"/>
                <w:lang w:val="en-GB"/>
              </w:rPr>
              <w:t xml:space="preserve">the better </w:t>
            </w:r>
            <w:r w:rsidRPr="00732886">
              <w:rPr>
                <w:b/>
                <w:sz w:val="20"/>
                <w:szCs w:val="20"/>
                <w:lang w:val="en-GB"/>
              </w:rPr>
              <w:t>educated parent</w:t>
            </w:r>
            <w:r>
              <w:rPr>
                <w:b/>
                <w:sz w:val="20"/>
                <w:szCs w:val="20"/>
                <w:lang w:val="en-GB"/>
              </w:rPr>
              <w:t xml:space="preserve"> (ISCED)</w:t>
            </w:r>
          </w:p>
        </w:tc>
        <w:tc>
          <w:tcPr>
            <w:tcW w:w="3717" w:type="dxa"/>
            <w:vAlign w:val="center"/>
          </w:tcPr>
          <w:p w14:paraId="4E879F38" w14:textId="77777777" w:rsidR="009B57E2" w:rsidRPr="00732886" w:rsidRDefault="009B57E2" w:rsidP="00B64335">
            <w:pPr>
              <w:spacing w:after="0" w:line="240" w:lineRule="auto"/>
              <w:jc w:val="center"/>
              <w:rPr>
                <w:sz w:val="20"/>
                <w:szCs w:val="20"/>
                <w:lang w:val="en-GB"/>
              </w:rPr>
            </w:pPr>
          </w:p>
        </w:tc>
      </w:tr>
      <w:tr w:rsidR="009B57E2" w:rsidRPr="00732886" w14:paraId="34C40DBE" w14:textId="77777777" w:rsidTr="00B64335">
        <w:trPr>
          <w:trHeight w:val="397"/>
        </w:trPr>
        <w:tc>
          <w:tcPr>
            <w:tcW w:w="5495" w:type="dxa"/>
            <w:vAlign w:val="center"/>
          </w:tcPr>
          <w:p w14:paraId="01546B78" w14:textId="77777777" w:rsidR="009B57E2" w:rsidRPr="00732886" w:rsidRDefault="009B57E2" w:rsidP="00B64335">
            <w:pPr>
              <w:spacing w:after="0" w:line="240" w:lineRule="auto"/>
              <w:ind w:left="170"/>
              <w:rPr>
                <w:sz w:val="20"/>
                <w:szCs w:val="20"/>
                <w:lang w:val="en-GB"/>
              </w:rPr>
            </w:pPr>
            <w:r w:rsidRPr="00732886">
              <w:rPr>
                <w:sz w:val="20"/>
                <w:szCs w:val="20"/>
                <w:lang w:val="en-GB"/>
              </w:rPr>
              <w:t>Level 1 or less (primary education or less)</w:t>
            </w:r>
          </w:p>
        </w:tc>
        <w:tc>
          <w:tcPr>
            <w:tcW w:w="3717" w:type="dxa"/>
            <w:vAlign w:val="center"/>
          </w:tcPr>
          <w:p w14:paraId="1EAB82C2" w14:textId="77777777" w:rsidR="009B57E2" w:rsidRPr="00732886" w:rsidRDefault="009B57E2" w:rsidP="00B64335">
            <w:pPr>
              <w:spacing w:after="0" w:line="240" w:lineRule="auto"/>
              <w:jc w:val="center"/>
              <w:rPr>
                <w:sz w:val="20"/>
                <w:szCs w:val="20"/>
                <w:lang w:val="en-GB"/>
              </w:rPr>
            </w:pPr>
            <w:r w:rsidRPr="00732886">
              <w:rPr>
                <w:sz w:val="20"/>
                <w:szCs w:val="20"/>
                <w:lang w:val="en-GB"/>
              </w:rPr>
              <w:t>9.9 %</w:t>
            </w:r>
          </w:p>
        </w:tc>
      </w:tr>
      <w:tr w:rsidR="009B57E2" w:rsidRPr="00732886" w14:paraId="6225FEED" w14:textId="77777777" w:rsidTr="00B64335">
        <w:trPr>
          <w:trHeight w:val="397"/>
        </w:trPr>
        <w:tc>
          <w:tcPr>
            <w:tcW w:w="5495" w:type="dxa"/>
            <w:vAlign w:val="center"/>
          </w:tcPr>
          <w:p w14:paraId="604FF904" w14:textId="77777777" w:rsidR="009B57E2" w:rsidRPr="00732886" w:rsidRDefault="009B57E2" w:rsidP="00B64335">
            <w:pPr>
              <w:spacing w:after="0" w:line="240" w:lineRule="auto"/>
              <w:ind w:left="170"/>
              <w:rPr>
                <w:sz w:val="20"/>
                <w:szCs w:val="20"/>
                <w:lang w:val="en-GB"/>
              </w:rPr>
            </w:pPr>
            <w:r w:rsidRPr="00732886">
              <w:rPr>
                <w:sz w:val="20"/>
                <w:szCs w:val="20"/>
                <w:lang w:val="en-GB"/>
              </w:rPr>
              <w:t>Level 2 (lower secondary)</w:t>
            </w:r>
          </w:p>
        </w:tc>
        <w:tc>
          <w:tcPr>
            <w:tcW w:w="3717" w:type="dxa"/>
            <w:vAlign w:val="center"/>
          </w:tcPr>
          <w:p w14:paraId="7710FF7B" w14:textId="77777777" w:rsidR="009B57E2" w:rsidRPr="00732886" w:rsidRDefault="009B57E2" w:rsidP="00B64335">
            <w:pPr>
              <w:spacing w:after="0" w:line="240" w:lineRule="auto"/>
              <w:jc w:val="center"/>
              <w:rPr>
                <w:sz w:val="20"/>
                <w:szCs w:val="20"/>
                <w:lang w:val="en-GB"/>
              </w:rPr>
            </w:pPr>
            <w:r w:rsidRPr="00732886">
              <w:rPr>
                <w:sz w:val="20"/>
                <w:szCs w:val="20"/>
                <w:lang w:val="en-GB"/>
              </w:rPr>
              <w:t>12.3 %</w:t>
            </w:r>
          </w:p>
        </w:tc>
      </w:tr>
      <w:tr w:rsidR="009B57E2" w:rsidRPr="00732886" w14:paraId="7B1F7D83" w14:textId="77777777" w:rsidTr="00B64335">
        <w:trPr>
          <w:trHeight w:val="397"/>
        </w:trPr>
        <w:tc>
          <w:tcPr>
            <w:tcW w:w="5495" w:type="dxa"/>
            <w:vAlign w:val="center"/>
          </w:tcPr>
          <w:p w14:paraId="66B1C401" w14:textId="77777777" w:rsidR="009B57E2" w:rsidRPr="00732886" w:rsidRDefault="009B57E2" w:rsidP="00B64335">
            <w:pPr>
              <w:spacing w:after="0" w:line="240" w:lineRule="auto"/>
              <w:ind w:left="170"/>
              <w:rPr>
                <w:sz w:val="20"/>
                <w:szCs w:val="20"/>
                <w:lang w:val="en-GB"/>
              </w:rPr>
            </w:pPr>
            <w:r w:rsidRPr="00732886">
              <w:rPr>
                <w:sz w:val="20"/>
                <w:szCs w:val="20"/>
                <w:lang w:val="en-GB"/>
              </w:rPr>
              <w:t>Level 3B or 3C (upper secondary)</w:t>
            </w:r>
          </w:p>
        </w:tc>
        <w:tc>
          <w:tcPr>
            <w:tcW w:w="3717" w:type="dxa"/>
            <w:vAlign w:val="center"/>
          </w:tcPr>
          <w:p w14:paraId="4CB94882" w14:textId="77777777" w:rsidR="009B57E2" w:rsidRPr="00732886" w:rsidRDefault="009B57E2" w:rsidP="00B64335">
            <w:pPr>
              <w:spacing w:after="0" w:line="240" w:lineRule="auto"/>
              <w:jc w:val="center"/>
              <w:rPr>
                <w:sz w:val="20"/>
                <w:szCs w:val="20"/>
                <w:lang w:val="en-GB"/>
              </w:rPr>
            </w:pPr>
            <w:r w:rsidRPr="00732886">
              <w:rPr>
                <w:sz w:val="20"/>
                <w:szCs w:val="20"/>
                <w:lang w:val="en-GB"/>
              </w:rPr>
              <w:t>13.0 %</w:t>
            </w:r>
          </w:p>
        </w:tc>
      </w:tr>
      <w:tr w:rsidR="009B57E2" w:rsidRPr="00732886" w14:paraId="4C4CD627" w14:textId="77777777" w:rsidTr="00B64335">
        <w:trPr>
          <w:trHeight w:val="397"/>
        </w:trPr>
        <w:tc>
          <w:tcPr>
            <w:tcW w:w="5495" w:type="dxa"/>
            <w:vAlign w:val="center"/>
          </w:tcPr>
          <w:p w14:paraId="021F0613" w14:textId="77777777" w:rsidR="009B57E2" w:rsidRPr="00732886" w:rsidRDefault="009B57E2" w:rsidP="00B64335">
            <w:pPr>
              <w:spacing w:after="0" w:line="240" w:lineRule="auto"/>
              <w:ind w:left="170"/>
              <w:rPr>
                <w:sz w:val="20"/>
                <w:szCs w:val="20"/>
                <w:lang w:val="en-GB"/>
              </w:rPr>
            </w:pPr>
            <w:r w:rsidRPr="00732886">
              <w:rPr>
                <w:sz w:val="20"/>
                <w:szCs w:val="20"/>
                <w:lang w:val="en-GB"/>
              </w:rPr>
              <w:t>Level 3A (upper secondary)</w:t>
            </w:r>
          </w:p>
        </w:tc>
        <w:tc>
          <w:tcPr>
            <w:tcW w:w="3717" w:type="dxa"/>
            <w:vAlign w:val="center"/>
          </w:tcPr>
          <w:p w14:paraId="7B38C790" w14:textId="77777777" w:rsidR="009B57E2" w:rsidRPr="00732886" w:rsidRDefault="009B57E2" w:rsidP="00B64335">
            <w:pPr>
              <w:spacing w:after="0" w:line="240" w:lineRule="auto"/>
              <w:jc w:val="center"/>
              <w:rPr>
                <w:sz w:val="20"/>
                <w:szCs w:val="20"/>
                <w:lang w:val="en-GB"/>
              </w:rPr>
            </w:pPr>
            <w:r w:rsidRPr="00732886">
              <w:rPr>
                <w:sz w:val="20"/>
                <w:szCs w:val="20"/>
                <w:lang w:val="en-GB"/>
              </w:rPr>
              <w:t>26.3 %</w:t>
            </w:r>
          </w:p>
        </w:tc>
      </w:tr>
      <w:tr w:rsidR="009B57E2" w:rsidRPr="00732886" w14:paraId="5C8CF628" w14:textId="77777777" w:rsidTr="00B64335">
        <w:trPr>
          <w:trHeight w:val="397"/>
        </w:trPr>
        <w:tc>
          <w:tcPr>
            <w:tcW w:w="5495" w:type="dxa"/>
            <w:vAlign w:val="center"/>
          </w:tcPr>
          <w:p w14:paraId="3AC063DF" w14:textId="77777777" w:rsidR="009B57E2" w:rsidRPr="00732886" w:rsidRDefault="009B57E2" w:rsidP="00B64335">
            <w:pPr>
              <w:spacing w:after="0" w:line="240" w:lineRule="auto"/>
              <w:ind w:left="170"/>
              <w:rPr>
                <w:sz w:val="20"/>
                <w:szCs w:val="20"/>
                <w:lang w:val="en-GB"/>
              </w:rPr>
            </w:pPr>
            <w:r w:rsidRPr="00732886">
              <w:rPr>
                <w:sz w:val="20"/>
                <w:szCs w:val="20"/>
                <w:lang w:val="en-GB"/>
              </w:rPr>
              <w:t>Level 5A, 5B, or 6 (tertiary)</w:t>
            </w:r>
          </w:p>
        </w:tc>
        <w:tc>
          <w:tcPr>
            <w:tcW w:w="3717" w:type="dxa"/>
            <w:vAlign w:val="center"/>
          </w:tcPr>
          <w:p w14:paraId="01C4235A" w14:textId="77777777" w:rsidR="009B57E2" w:rsidRPr="00732886" w:rsidRDefault="009B57E2" w:rsidP="00B64335">
            <w:pPr>
              <w:spacing w:after="0" w:line="240" w:lineRule="auto"/>
              <w:jc w:val="center"/>
              <w:rPr>
                <w:sz w:val="20"/>
                <w:szCs w:val="20"/>
                <w:lang w:val="en-GB"/>
              </w:rPr>
            </w:pPr>
            <w:r w:rsidRPr="00732886">
              <w:rPr>
                <w:sz w:val="20"/>
                <w:szCs w:val="20"/>
                <w:lang w:val="en-GB"/>
              </w:rPr>
              <w:t>38.5 %</w:t>
            </w:r>
          </w:p>
        </w:tc>
      </w:tr>
      <w:tr w:rsidR="009B57E2" w:rsidRPr="00732886" w14:paraId="69DD404F" w14:textId="77777777" w:rsidTr="00B64335">
        <w:trPr>
          <w:trHeight w:val="397"/>
        </w:trPr>
        <w:tc>
          <w:tcPr>
            <w:tcW w:w="5495" w:type="dxa"/>
            <w:vAlign w:val="center"/>
          </w:tcPr>
          <w:p w14:paraId="26CC3ACC" w14:textId="77777777" w:rsidR="009B57E2" w:rsidRPr="00732886" w:rsidRDefault="009B57E2" w:rsidP="00B64335">
            <w:pPr>
              <w:spacing w:after="0" w:line="240" w:lineRule="auto"/>
              <w:rPr>
                <w:sz w:val="20"/>
                <w:szCs w:val="20"/>
                <w:lang w:val="en-GB"/>
              </w:rPr>
            </w:pPr>
            <w:r w:rsidRPr="00732886">
              <w:rPr>
                <w:b/>
                <w:sz w:val="20"/>
                <w:szCs w:val="20"/>
                <w:lang w:val="en-GB"/>
              </w:rPr>
              <w:t>Number of siblings</w:t>
            </w:r>
            <w:r w:rsidRPr="00732886">
              <w:rPr>
                <w:sz w:val="20"/>
                <w:szCs w:val="20"/>
                <w:lang w:val="en-GB"/>
              </w:rPr>
              <w:t xml:space="preserve"> (mean)</w:t>
            </w:r>
          </w:p>
        </w:tc>
        <w:tc>
          <w:tcPr>
            <w:tcW w:w="3717" w:type="dxa"/>
            <w:vAlign w:val="center"/>
          </w:tcPr>
          <w:p w14:paraId="03F85B8F" w14:textId="77777777" w:rsidR="009B57E2" w:rsidRPr="00732886" w:rsidRDefault="009B57E2" w:rsidP="00B64335">
            <w:pPr>
              <w:spacing w:after="0" w:line="240" w:lineRule="auto"/>
              <w:jc w:val="center"/>
              <w:rPr>
                <w:sz w:val="20"/>
                <w:szCs w:val="20"/>
                <w:lang w:val="en-GB"/>
              </w:rPr>
            </w:pPr>
            <w:r w:rsidRPr="00732886">
              <w:rPr>
                <w:sz w:val="20"/>
                <w:szCs w:val="20"/>
                <w:lang w:val="en-GB"/>
              </w:rPr>
              <w:t>1.9</w:t>
            </w:r>
          </w:p>
        </w:tc>
      </w:tr>
      <w:tr w:rsidR="009B57E2" w:rsidRPr="00732886" w14:paraId="765DC0B6" w14:textId="77777777" w:rsidTr="00B64335">
        <w:trPr>
          <w:trHeight w:val="397"/>
        </w:trPr>
        <w:tc>
          <w:tcPr>
            <w:tcW w:w="5495" w:type="dxa"/>
            <w:vAlign w:val="center"/>
          </w:tcPr>
          <w:p w14:paraId="67F8FBDA" w14:textId="77777777" w:rsidR="009B57E2" w:rsidRPr="00732886" w:rsidRDefault="009B57E2" w:rsidP="00B64335">
            <w:pPr>
              <w:spacing w:after="0" w:line="240" w:lineRule="auto"/>
              <w:rPr>
                <w:sz w:val="20"/>
                <w:szCs w:val="20"/>
                <w:lang w:val="en-GB"/>
              </w:rPr>
            </w:pPr>
            <w:r>
              <w:rPr>
                <w:b/>
                <w:sz w:val="20"/>
                <w:szCs w:val="20"/>
                <w:lang w:val="en-GB"/>
              </w:rPr>
              <w:t xml:space="preserve">Mother is employed </w:t>
            </w:r>
            <w:r w:rsidRPr="00732886">
              <w:rPr>
                <w:sz w:val="20"/>
                <w:szCs w:val="20"/>
                <w:lang w:val="en-GB"/>
              </w:rPr>
              <w:t>(</w:t>
            </w:r>
            <w:r>
              <w:rPr>
                <w:sz w:val="20"/>
                <w:szCs w:val="20"/>
                <w:lang w:val="en-GB"/>
              </w:rPr>
              <w:t>proportion</w:t>
            </w:r>
            <w:r w:rsidRPr="00732886">
              <w:rPr>
                <w:sz w:val="20"/>
                <w:szCs w:val="20"/>
                <w:lang w:val="en-GB"/>
              </w:rPr>
              <w:t>)</w:t>
            </w:r>
          </w:p>
        </w:tc>
        <w:tc>
          <w:tcPr>
            <w:tcW w:w="3717" w:type="dxa"/>
            <w:vAlign w:val="center"/>
          </w:tcPr>
          <w:p w14:paraId="55E2BC47" w14:textId="77777777" w:rsidR="009B57E2" w:rsidRPr="00732886" w:rsidRDefault="009B57E2" w:rsidP="00B64335">
            <w:pPr>
              <w:spacing w:after="0" w:line="240" w:lineRule="auto"/>
              <w:jc w:val="center"/>
              <w:rPr>
                <w:sz w:val="20"/>
                <w:szCs w:val="20"/>
                <w:lang w:val="en-GB"/>
              </w:rPr>
            </w:pPr>
            <w:r>
              <w:rPr>
                <w:sz w:val="20"/>
                <w:szCs w:val="20"/>
                <w:lang w:val="en-GB"/>
              </w:rPr>
              <w:t>66.3 %</w:t>
            </w:r>
          </w:p>
        </w:tc>
      </w:tr>
      <w:tr w:rsidR="009B57E2" w:rsidRPr="00732886" w14:paraId="2B985382" w14:textId="77777777" w:rsidTr="00B64335">
        <w:trPr>
          <w:trHeight w:val="397"/>
        </w:trPr>
        <w:tc>
          <w:tcPr>
            <w:tcW w:w="5495" w:type="dxa"/>
            <w:vAlign w:val="center"/>
          </w:tcPr>
          <w:p w14:paraId="05B70CEB" w14:textId="77777777" w:rsidR="009B57E2" w:rsidRPr="00732886" w:rsidRDefault="009B57E2" w:rsidP="00B64335">
            <w:pPr>
              <w:spacing w:after="0" w:line="240" w:lineRule="auto"/>
              <w:rPr>
                <w:sz w:val="20"/>
                <w:szCs w:val="20"/>
                <w:lang w:val="en-GB"/>
              </w:rPr>
            </w:pPr>
            <w:r w:rsidRPr="00732886">
              <w:rPr>
                <w:b/>
                <w:sz w:val="20"/>
                <w:szCs w:val="20"/>
                <w:lang w:val="en-GB"/>
              </w:rPr>
              <w:t>Family structure</w:t>
            </w:r>
            <w:r w:rsidRPr="00732886">
              <w:rPr>
                <w:sz w:val="20"/>
                <w:szCs w:val="20"/>
                <w:lang w:val="en-GB"/>
              </w:rPr>
              <w:t xml:space="preserve"> (proportion): </w:t>
            </w:r>
          </w:p>
        </w:tc>
        <w:tc>
          <w:tcPr>
            <w:tcW w:w="3717" w:type="dxa"/>
            <w:vAlign w:val="center"/>
          </w:tcPr>
          <w:p w14:paraId="5A773E27" w14:textId="77777777" w:rsidR="009B57E2" w:rsidRPr="00732886" w:rsidRDefault="009B57E2" w:rsidP="00B64335">
            <w:pPr>
              <w:spacing w:after="0" w:line="240" w:lineRule="auto"/>
              <w:jc w:val="center"/>
              <w:rPr>
                <w:sz w:val="20"/>
                <w:szCs w:val="20"/>
                <w:lang w:val="en-GB"/>
              </w:rPr>
            </w:pPr>
          </w:p>
        </w:tc>
      </w:tr>
      <w:tr w:rsidR="009B57E2" w:rsidRPr="00732886" w14:paraId="17F4DE0F" w14:textId="77777777" w:rsidTr="00B64335">
        <w:trPr>
          <w:trHeight w:val="397"/>
        </w:trPr>
        <w:tc>
          <w:tcPr>
            <w:tcW w:w="5495" w:type="dxa"/>
            <w:vAlign w:val="center"/>
          </w:tcPr>
          <w:p w14:paraId="0DC866F0" w14:textId="77777777" w:rsidR="009B57E2" w:rsidRPr="00732886" w:rsidRDefault="009B57E2" w:rsidP="00B64335">
            <w:pPr>
              <w:spacing w:after="0" w:line="240" w:lineRule="auto"/>
              <w:ind w:left="170"/>
              <w:rPr>
                <w:sz w:val="20"/>
                <w:szCs w:val="20"/>
                <w:lang w:val="en-GB"/>
              </w:rPr>
            </w:pPr>
            <w:r w:rsidRPr="00732886">
              <w:rPr>
                <w:sz w:val="20"/>
                <w:szCs w:val="20"/>
                <w:lang w:val="en-GB"/>
              </w:rPr>
              <w:t xml:space="preserve">Two biological parents </w:t>
            </w:r>
          </w:p>
        </w:tc>
        <w:tc>
          <w:tcPr>
            <w:tcW w:w="3717" w:type="dxa"/>
            <w:vAlign w:val="center"/>
          </w:tcPr>
          <w:p w14:paraId="5C21CE51" w14:textId="77777777" w:rsidR="009B57E2" w:rsidRPr="00732886" w:rsidRDefault="009B57E2" w:rsidP="00B64335">
            <w:pPr>
              <w:spacing w:after="0" w:line="240" w:lineRule="auto"/>
              <w:jc w:val="center"/>
              <w:rPr>
                <w:sz w:val="20"/>
                <w:szCs w:val="20"/>
                <w:lang w:val="en-GB"/>
              </w:rPr>
            </w:pPr>
            <w:r w:rsidRPr="00732886">
              <w:rPr>
                <w:sz w:val="20"/>
                <w:szCs w:val="20"/>
                <w:lang w:val="en-GB"/>
              </w:rPr>
              <w:t>80.3 %</w:t>
            </w:r>
          </w:p>
        </w:tc>
      </w:tr>
      <w:tr w:rsidR="009B57E2" w:rsidRPr="00732886" w14:paraId="3EFB9921" w14:textId="77777777" w:rsidTr="00B64335">
        <w:trPr>
          <w:trHeight w:val="397"/>
        </w:trPr>
        <w:tc>
          <w:tcPr>
            <w:tcW w:w="5495" w:type="dxa"/>
            <w:vAlign w:val="center"/>
          </w:tcPr>
          <w:p w14:paraId="27F796C1" w14:textId="77777777" w:rsidR="009B57E2" w:rsidRPr="00732886" w:rsidRDefault="009B57E2" w:rsidP="00B64335">
            <w:pPr>
              <w:spacing w:after="0" w:line="240" w:lineRule="auto"/>
              <w:ind w:left="170"/>
              <w:rPr>
                <w:sz w:val="20"/>
                <w:szCs w:val="20"/>
                <w:lang w:val="en-GB"/>
              </w:rPr>
            </w:pPr>
            <w:r w:rsidRPr="00732886">
              <w:rPr>
                <w:sz w:val="20"/>
                <w:szCs w:val="20"/>
                <w:lang w:val="en-GB"/>
              </w:rPr>
              <w:t xml:space="preserve">Single biological parent </w:t>
            </w:r>
          </w:p>
        </w:tc>
        <w:tc>
          <w:tcPr>
            <w:tcW w:w="3717" w:type="dxa"/>
            <w:vAlign w:val="center"/>
          </w:tcPr>
          <w:p w14:paraId="605F3185" w14:textId="77777777" w:rsidR="009B57E2" w:rsidRPr="00732886" w:rsidRDefault="009B57E2" w:rsidP="00B64335">
            <w:pPr>
              <w:spacing w:after="0" w:line="240" w:lineRule="auto"/>
              <w:jc w:val="center"/>
              <w:rPr>
                <w:sz w:val="20"/>
                <w:szCs w:val="20"/>
                <w:lang w:val="en-GB"/>
              </w:rPr>
            </w:pPr>
            <w:r w:rsidRPr="00732886">
              <w:rPr>
                <w:sz w:val="20"/>
                <w:szCs w:val="20"/>
                <w:lang w:val="en-GB"/>
              </w:rPr>
              <w:t>13.0 %</w:t>
            </w:r>
          </w:p>
        </w:tc>
      </w:tr>
      <w:tr w:rsidR="009B57E2" w:rsidRPr="00732886" w14:paraId="1C630021" w14:textId="77777777" w:rsidTr="00B64335">
        <w:trPr>
          <w:trHeight w:val="397"/>
        </w:trPr>
        <w:tc>
          <w:tcPr>
            <w:tcW w:w="5495" w:type="dxa"/>
            <w:vAlign w:val="center"/>
          </w:tcPr>
          <w:p w14:paraId="552E4A59" w14:textId="77777777" w:rsidR="009B57E2" w:rsidRPr="00732886" w:rsidRDefault="009B57E2" w:rsidP="00B64335">
            <w:pPr>
              <w:spacing w:after="0" w:line="240" w:lineRule="auto"/>
              <w:ind w:left="170"/>
              <w:rPr>
                <w:sz w:val="20"/>
                <w:szCs w:val="20"/>
                <w:lang w:val="en-GB"/>
              </w:rPr>
            </w:pPr>
            <w:r w:rsidRPr="00732886">
              <w:rPr>
                <w:sz w:val="20"/>
                <w:szCs w:val="20"/>
                <w:lang w:val="en-GB"/>
              </w:rPr>
              <w:t xml:space="preserve">One biological parent and their partner </w:t>
            </w:r>
          </w:p>
        </w:tc>
        <w:tc>
          <w:tcPr>
            <w:tcW w:w="3717" w:type="dxa"/>
            <w:vAlign w:val="center"/>
          </w:tcPr>
          <w:p w14:paraId="6BE71D7C" w14:textId="77777777" w:rsidR="009B57E2" w:rsidRPr="00732886" w:rsidRDefault="009B57E2" w:rsidP="00B64335">
            <w:pPr>
              <w:spacing w:after="0" w:line="240" w:lineRule="auto"/>
              <w:jc w:val="center"/>
              <w:rPr>
                <w:sz w:val="20"/>
                <w:szCs w:val="20"/>
                <w:lang w:val="en-GB"/>
              </w:rPr>
            </w:pPr>
            <w:r w:rsidRPr="00732886">
              <w:rPr>
                <w:sz w:val="20"/>
                <w:szCs w:val="20"/>
                <w:lang w:val="en-GB"/>
              </w:rPr>
              <w:t>6.8 %</w:t>
            </w:r>
          </w:p>
        </w:tc>
      </w:tr>
      <w:tr w:rsidR="009B57E2" w:rsidRPr="00732886" w14:paraId="02EF4B3C" w14:textId="77777777" w:rsidTr="00B64335">
        <w:trPr>
          <w:trHeight w:val="397"/>
        </w:trPr>
        <w:tc>
          <w:tcPr>
            <w:tcW w:w="5495" w:type="dxa"/>
            <w:vAlign w:val="center"/>
          </w:tcPr>
          <w:p w14:paraId="1D08C2FD" w14:textId="77777777" w:rsidR="009B57E2" w:rsidRPr="00732886" w:rsidRDefault="009B57E2" w:rsidP="00B64335">
            <w:pPr>
              <w:spacing w:after="0" w:line="240" w:lineRule="auto"/>
              <w:rPr>
                <w:sz w:val="20"/>
                <w:szCs w:val="20"/>
                <w:lang w:val="en-GB"/>
              </w:rPr>
            </w:pPr>
            <w:r w:rsidRPr="00732886">
              <w:rPr>
                <w:b/>
                <w:sz w:val="20"/>
                <w:szCs w:val="20"/>
                <w:lang w:val="en-GB"/>
              </w:rPr>
              <w:t>Co-resident grandparent(s)</w:t>
            </w:r>
            <w:r w:rsidRPr="00732886">
              <w:rPr>
                <w:sz w:val="20"/>
                <w:szCs w:val="20"/>
                <w:lang w:val="en-GB"/>
              </w:rPr>
              <w:t xml:space="preserve"> (proportion)</w:t>
            </w:r>
          </w:p>
        </w:tc>
        <w:tc>
          <w:tcPr>
            <w:tcW w:w="3717" w:type="dxa"/>
            <w:vAlign w:val="center"/>
          </w:tcPr>
          <w:p w14:paraId="742D24F2" w14:textId="77777777" w:rsidR="009B57E2" w:rsidRPr="00732886" w:rsidRDefault="009B57E2" w:rsidP="00B64335">
            <w:pPr>
              <w:spacing w:after="0" w:line="240" w:lineRule="auto"/>
              <w:jc w:val="center"/>
              <w:rPr>
                <w:sz w:val="20"/>
                <w:szCs w:val="20"/>
                <w:lang w:val="en-GB"/>
              </w:rPr>
            </w:pPr>
            <w:r w:rsidRPr="00732886">
              <w:rPr>
                <w:sz w:val="20"/>
                <w:szCs w:val="20"/>
                <w:lang w:val="en-GB"/>
              </w:rPr>
              <w:t>19.8 %</w:t>
            </w:r>
          </w:p>
        </w:tc>
      </w:tr>
    </w:tbl>
    <w:p w14:paraId="3125DEE4" w14:textId="77777777" w:rsidR="009B57E2" w:rsidRPr="00AD775F" w:rsidRDefault="009B57E2" w:rsidP="009B57E2">
      <w:pPr>
        <w:spacing w:after="0" w:line="240" w:lineRule="auto"/>
        <w:rPr>
          <w:b/>
          <w:szCs w:val="24"/>
          <w:lang w:val="en-GB"/>
        </w:rPr>
      </w:pPr>
      <w:r w:rsidRPr="00494CA7">
        <w:rPr>
          <w:b/>
          <w:szCs w:val="24"/>
          <w:lang w:val="en-GB"/>
        </w:rPr>
        <w:br w:type="page"/>
      </w:r>
      <w:r w:rsidRPr="00AD775F">
        <w:rPr>
          <w:b/>
          <w:szCs w:val="24"/>
          <w:lang w:val="en-GB"/>
        </w:rPr>
        <w:lastRenderedPageBreak/>
        <w:t>Table 2: Per cent co-residing with grandparents by family type. 15-year-old students in selected countries in 2000. Number of level-1 observations (students) = 151377.</w:t>
      </w:r>
    </w:p>
    <w:tbl>
      <w:tblPr>
        <w:tblW w:w="0" w:type="auto"/>
        <w:tblBorders>
          <w:top w:val="single" w:sz="12" w:space="0" w:color="auto"/>
          <w:bottom w:val="single" w:sz="12" w:space="0" w:color="auto"/>
        </w:tblBorders>
        <w:tblLook w:val="04A0" w:firstRow="1" w:lastRow="0" w:firstColumn="1" w:lastColumn="0" w:noHBand="0" w:noVBand="1"/>
      </w:tblPr>
      <w:tblGrid>
        <w:gridCol w:w="4537"/>
        <w:gridCol w:w="4535"/>
      </w:tblGrid>
      <w:tr w:rsidR="009B57E2" w:rsidRPr="00732886" w14:paraId="479D6639" w14:textId="77777777" w:rsidTr="00B64335">
        <w:trPr>
          <w:trHeight w:val="397"/>
        </w:trPr>
        <w:tc>
          <w:tcPr>
            <w:tcW w:w="4606" w:type="dxa"/>
            <w:vAlign w:val="center"/>
          </w:tcPr>
          <w:p w14:paraId="14E49D1C" w14:textId="77777777" w:rsidR="009B57E2" w:rsidRPr="00732886" w:rsidRDefault="009B57E2" w:rsidP="00B64335">
            <w:pPr>
              <w:spacing w:after="0" w:line="240" w:lineRule="auto"/>
              <w:rPr>
                <w:b/>
                <w:sz w:val="20"/>
                <w:szCs w:val="20"/>
                <w:lang w:val="en-GB"/>
              </w:rPr>
            </w:pPr>
            <w:r w:rsidRPr="00732886">
              <w:rPr>
                <w:b/>
                <w:sz w:val="20"/>
                <w:szCs w:val="20"/>
                <w:lang w:val="en-GB"/>
              </w:rPr>
              <w:t>Family type</w:t>
            </w:r>
          </w:p>
        </w:tc>
        <w:tc>
          <w:tcPr>
            <w:tcW w:w="4606" w:type="dxa"/>
            <w:vAlign w:val="center"/>
          </w:tcPr>
          <w:p w14:paraId="216C0235" w14:textId="77777777" w:rsidR="009B57E2" w:rsidRPr="00732886" w:rsidRDefault="009B57E2" w:rsidP="00B64335">
            <w:pPr>
              <w:spacing w:after="0" w:line="240" w:lineRule="auto"/>
              <w:jc w:val="center"/>
              <w:rPr>
                <w:sz w:val="20"/>
                <w:szCs w:val="20"/>
                <w:lang w:val="en-GB"/>
              </w:rPr>
            </w:pPr>
            <w:r w:rsidRPr="00732886">
              <w:rPr>
                <w:b/>
                <w:sz w:val="20"/>
                <w:szCs w:val="20"/>
                <w:lang w:val="en-GB"/>
              </w:rPr>
              <w:t>% co-residing</w:t>
            </w:r>
          </w:p>
        </w:tc>
      </w:tr>
      <w:tr w:rsidR="009B57E2" w:rsidRPr="00732886" w14:paraId="5032819A" w14:textId="77777777" w:rsidTr="00B64335">
        <w:trPr>
          <w:trHeight w:val="397"/>
        </w:trPr>
        <w:tc>
          <w:tcPr>
            <w:tcW w:w="4606" w:type="dxa"/>
            <w:vAlign w:val="center"/>
          </w:tcPr>
          <w:p w14:paraId="7C6770AB" w14:textId="77777777" w:rsidR="009B57E2" w:rsidRPr="00732886" w:rsidRDefault="009B57E2" w:rsidP="00B64335">
            <w:pPr>
              <w:spacing w:after="0" w:line="240" w:lineRule="auto"/>
              <w:rPr>
                <w:sz w:val="20"/>
                <w:szCs w:val="20"/>
                <w:lang w:val="en-US"/>
              </w:rPr>
            </w:pPr>
            <w:r w:rsidRPr="00732886">
              <w:rPr>
                <w:sz w:val="20"/>
                <w:szCs w:val="20"/>
                <w:lang w:val="en-GB"/>
              </w:rPr>
              <w:t xml:space="preserve">Intact family </w:t>
            </w:r>
            <w:r w:rsidRPr="00732886">
              <w:rPr>
                <w:sz w:val="20"/>
                <w:szCs w:val="20"/>
                <w:lang w:val="en-US"/>
              </w:rPr>
              <w:t>(two biological parents)</w:t>
            </w:r>
          </w:p>
        </w:tc>
        <w:tc>
          <w:tcPr>
            <w:tcW w:w="4606" w:type="dxa"/>
            <w:vAlign w:val="center"/>
          </w:tcPr>
          <w:p w14:paraId="275A59C4" w14:textId="77777777" w:rsidR="009B57E2" w:rsidRPr="00732886" w:rsidRDefault="009B57E2" w:rsidP="00B64335">
            <w:pPr>
              <w:spacing w:after="0" w:line="240" w:lineRule="auto"/>
              <w:jc w:val="center"/>
              <w:rPr>
                <w:sz w:val="20"/>
                <w:szCs w:val="20"/>
                <w:lang w:val="en-GB"/>
              </w:rPr>
            </w:pPr>
            <w:r w:rsidRPr="00732886">
              <w:rPr>
                <w:sz w:val="20"/>
                <w:szCs w:val="20"/>
                <w:lang w:val="en-GB"/>
              </w:rPr>
              <w:t>20.3 %</w:t>
            </w:r>
          </w:p>
        </w:tc>
      </w:tr>
      <w:tr w:rsidR="009B57E2" w:rsidRPr="00732886" w14:paraId="59B79828" w14:textId="77777777" w:rsidTr="00B64335">
        <w:trPr>
          <w:trHeight w:val="397"/>
        </w:trPr>
        <w:tc>
          <w:tcPr>
            <w:tcW w:w="4606" w:type="dxa"/>
            <w:vAlign w:val="center"/>
          </w:tcPr>
          <w:p w14:paraId="3CA2E323" w14:textId="77777777" w:rsidR="009B57E2" w:rsidRPr="00732886" w:rsidRDefault="009B57E2" w:rsidP="00B64335">
            <w:pPr>
              <w:spacing w:after="0" w:line="240" w:lineRule="auto"/>
              <w:rPr>
                <w:sz w:val="20"/>
                <w:szCs w:val="20"/>
                <w:lang w:val="en-GB"/>
              </w:rPr>
            </w:pPr>
            <w:r w:rsidRPr="00732886">
              <w:rPr>
                <w:sz w:val="20"/>
                <w:szCs w:val="20"/>
                <w:lang w:val="en-GB"/>
              </w:rPr>
              <w:t>Single parent</w:t>
            </w:r>
          </w:p>
        </w:tc>
        <w:tc>
          <w:tcPr>
            <w:tcW w:w="4606" w:type="dxa"/>
            <w:vAlign w:val="center"/>
          </w:tcPr>
          <w:p w14:paraId="4FF088A9" w14:textId="77777777" w:rsidR="009B57E2" w:rsidRPr="00732886" w:rsidRDefault="009B57E2" w:rsidP="00B64335">
            <w:pPr>
              <w:spacing w:after="0" w:line="240" w:lineRule="auto"/>
              <w:jc w:val="center"/>
              <w:rPr>
                <w:sz w:val="20"/>
                <w:szCs w:val="20"/>
                <w:lang w:val="en-GB"/>
              </w:rPr>
            </w:pPr>
            <w:r w:rsidRPr="00732886">
              <w:rPr>
                <w:sz w:val="20"/>
                <w:szCs w:val="20"/>
                <w:lang w:val="en-GB"/>
              </w:rPr>
              <w:t>19.7 %</w:t>
            </w:r>
          </w:p>
        </w:tc>
      </w:tr>
      <w:tr w:rsidR="009B57E2" w:rsidRPr="00732886" w14:paraId="546E3DAE" w14:textId="77777777" w:rsidTr="00B64335">
        <w:trPr>
          <w:trHeight w:val="397"/>
        </w:trPr>
        <w:tc>
          <w:tcPr>
            <w:tcW w:w="4606" w:type="dxa"/>
            <w:vAlign w:val="center"/>
          </w:tcPr>
          <w:p w14:paraId="73550B6C" w14:textId="77777777" w:rsidR="009B57E2" w:rsidRPr="00732886" w:rsidRDefault="009B57E2" w:rsidP="00B64335">
            <w:pPr>
              <w:spacing w:after="0" w:line="240" w:lineRule="auto"/>
              <w:rPr>
                <w:sz w:val="20"/>
                <w:szCs w:val="20"/>
                <w:lang w:val="en-GB"/>
              </w:rPr>
            </w:pPr>
            <w:r w:rsidRPr="00732886">
              <w:rPr>
                <w:sz w:val="20"/>
                <w:szCs w:val="20"/>
                <w:lang w:val="en-GB"/>
              </w:rPr>
              <w:t>Biological parent and a step-parent</w:t>
            </w:r>
          </w:p>
        </w:tc>
        <w:tc>
          <w:tcPr>
            <w:tcW w:w="4606" w:type="dxa"/>
            <w:vAlign w:val="center"/>
          </w:tcPr>
          <w:p w14:paraId="20A426B9" w14:textId="77777777" w:rsidR="009B57E2" w:rsidRPr="00732886" w:rsidRDefault="009B57E2" w:rsidP="00B64335">
            <w:pPr>
              <w:spacing w:after="0" w:line="240" w:lineRule="auto"/>
              <w:jc w:val="center"/>
              <w:rPr>
                <w:sz w:val="20"/>
                <w:szCs w:val="20"/>
                <w:lang w:val="en-GB"/>
              </w:rPr>
            </w:pPr>
            <w:r w:rsidRPr="00732886">
              <w:rPr>
                <w:sz w:val="20"/>
                <w:szCs w:val="20"/>
                <w:lang w:val="en-GB"/>
              </w:rPr>
              <w:t>13.6 %</w:t>
            </w:r>
          </w:p>
        </w:tc>
      </w:tr>
    </w:tbl>
    <w:p w14:paraId="24411813" w14:textId="77777777" w:rsidR="009B57E2" w:rsidRDefault="009B57E2" w:rsidP="009B57E2">
      <w:pPr>
        <w:spacing w:after="0"/>
        <w:rPr>
          <w:b/>
          <w:szCs w:val="24"/>
          <w:lang w:val="en-GB"/>
        </w:rPr>
      </w:pPr>
    </w:p>
    <w:p w14:paraId="70455EE6" w14:textId="77777777" w:rsidR="009B57E2" w:rsidRPr="00AD775F" w:rsidRDefault="009B57E2" w:rsidP="009B57E2">
      <w:pPr>
        <w:spacing w:after="0" w:line="240" w:lineRule="auto"/>
        <w:rPr>
          <w:b/>
          <w:szCs w:val="24"/>
          <w:lang w:val="en-GB"/>
        </w:rPr>
      </w:pPr>
      <w:r>
        <w:rPr>
          <w:b/>
          <w:szCs w:val="24"/>
          <w:lang w:val="en-GB"/>
        </w:rPr>
        <w:br w:type="page"/>
      </w:r>
      <w:r w:rsidRPr="00AD775F">
        <w:rPr>
          <w:b/>
          <w:szCs w:val="24"/>
          <w:lang w:val="en-GB"/>
        </w:rPr>
        <w:lastRenderedPageBreak/>
        <w:t>Table 3: Correlations and descriptive statistics of macro-level variables used in the analysis. Number of level-</w:t>
      </w:r>
      <w:r w:rsidRPr="00AD775F">
        <w:rPr>
          <w:b/>
          <w:szCs w:val="24"/>
          <w:lang w:val="en-US"/>
        </w:rPr>
        <w:t xml:space="preserve">3 </w:t>
      </w:r>
      <w:r w:rsidRPr="00AD775F">
        <w:rPr>
          <w:b/>
          <w:szCs w:val="24"/>
          <w:lang w:val="en-GB"/>
        </w:rPr>
        <w:t xml:space="preserve">observations </w:t>
      </w:r>
      <w:r w:rsidRPr="00AD775F">
        <w:rPr>
          <w:b/>
          <w:szCs w:val="24"/>
          <w:lang w:val="en-US"/>
        </w:rPr>
        <w:t>(countries) = 40</w:t>
      </w:r>
      <w:r w:rsidRPr="00AD775F">
        <w:rPr>
          <w:b/>
          <w:szCs w:val="24"/>
          <w:lang w:val="en-GB"/>
        </w:rPr>
        <w:t>.</w:t>
      </w:r>
    </w:p>
    <w:tbl>
      <w:tblPr>
        <w:tblW w:w="9525" w:type="dxa"/>
        <w:tblBorders>
          <w:top w:val="single" w:sz="12" w:space="0" w:color="auto"/>
          <w:bottom w:val="single" w:sz="12" w:space="0" w:color="auto"/>
        </w:tblBorders>
        <w:tblLook w:val="04A0" w:firstRow="1" w:lastRow="0" w:firstColumn="1" w:lastColumn="0" w:noHBand="0" w:noVBand="1"/>
      </w:tblPr>
      <w:tblGrid>
        <w:gridCol w:w="4309"/>
        <w:gridCol w:w="1304"/>
        <w:gridCol w:w="1304"/>
        <w:gridCol w:w="1304"/>
        <w:gridCol w:w="1304"/>
      </w:tblGrid>
      <w:tr w:rsidR="009B57E2" w:rsidRPr="00732886" w14:paraId="6F3C3C65" w14:textId="77777777" w:rsidTr="00B64335">
        <w:trPr>
          <w:trHeight w:val="397"/>
        </w:trPr>
        <w:tc>
          <w:tcPr>
            <w:tcW w:w="4309" w:type="dxa"/>
            <w:tcBorders>
              <w:top w:val="single" w:sz="12" w:space="0" w:color="auto"/>
              <w:bottom w:val="single" w:sz="4" w:space="0" w:color="auto"/>
            </w:tcBorders>
            <w:vAlign w:val="center"/>
          </w:tcPr>
          <w:p w14:paraId="3056A121" w14:textId="77777777" w:rsidR="009B57E2" w:rsidRPr="00732886" w:rsidRDefault="009B57E2" w:rsidP="00B64335">
            <w:pPr>
              <w:spacing w:after="0" w:line="240" w:lineRule="auto"/>
              <w:rPr>
                <w:sz w:val="20"/>
                <w:szCs w:val="20"/>
                <w:lang w:val="en-GB"/>
              </w:rPr>
            </w:pPr>
          </w:p>
        </w:tc>
        <w:tc>
          <w:tcPr>
            <w:tcW w:w="1304" w:type="dxa"/>
            <w:tcBorders>
              <w:top w:val="single" w:sz="12" w:space="0" w:color="auto"/>
              <w:bottom w:val="single" w:sz="4" w:space="0" w:color="auto"/>
            </w:tcBorders>
            <w:vAlign w:val="center"/>
          </w:tcPr>
          <w:p w14:paraId="06704755" w14:textId="77777777" w:rsidR="009B57E2" w:rsidRPr="00732886" w:rsidRDefault="009B57E2" w:rsidP="00B64335">
            <w:pPr>
              <w:spacing w:after="0" w:line="240" w:lineRule="auto"/>
              <w:jc w:val="center"/>
              <w:rPr>
                <w:sz w:val="20"/>
                <w:szCs w:val="20"/>
                <w:lang w:val="en-GB"/>
              </w:rPr>
            </w:pPr>
            <w:r w:rsidRPr="00732886">
              <w:rPr>
                <w:sz w:val="20"/>
                <w:szCs w:val="20"/>
                <w:lang w:val="en-GB"/>
              </w:rPr>
              <w:t>HDI</w:t>
            </w:r>
          </w:p>
        </w:tc>
        <w:tc>
          <w:tcPr>
            <w:tcW w:w="1304" w:type="dxa"/>
            <w:tcBorders>
              <w:top w:val="single" w:sz="12" w:space="0" w:color="auto"/>
              <w:bottom w:val="single" w:sz="4" w:space="0" w:color="auto"/>
            </w:tcBorders>
            <w:vAlign w:val="center"/>
          </w:tcPr>
          <w:p w14:paraId="1C6D4147" w14:textId="77777777" w:rsidR="009B57E2" w:rsidRPr="00732886" w:rsidRDefault="009B57E2" w:rsidP="00B64335">
            <w:pPr>
              <w:spacing w:after="0" w:line="240" w:lineRule="auto"/>
              <w:jc w:val="center"/>
              <w:rPr>
                <w:sz w:val="20"/>
                <w:szCs w:val="20"/>
                <w:lang w:val="en-GB"/>
              </w:rPr>
            </w:pPr>
            <w:r w:rsidRPr="00732886">
              <w:rPr>
                <w:sz w:val="20"/>
                <w:szCs w:val="20"/>
                <w:lang w:val="en-GB"/>
              </w:rPr>
              <w:t>TPEE</w:t>
            </w:r>
          </w:p>
        </w:tc>
        <w:tc>
          <w:tcPr>
            <w:tcW w:w="1304" w:type="dxa"/>
            <w:tcBorders>
              <w:top w:val="single" w:sz="12" w:space="0" w:color="auto"/>
              <w:bottom w:val="single" w:sz="4" w:space="0" w:color="auto"/>
            </w:tcBorders>
            <w:vAlign w:val="center"/>
          </w:tcPr>
          <w:p w14:paraId="266DF984" w14:textId="77777777" w:rsidR="009B57E2" w:rsidRPr="00732886" w:rsidRDefault="009B57E2" w:rsidP="00B64335">
            <w:pPr>
              <w:spacing w:after="0" w:line="240" w:lineRule="auto"/>
              <w:jc w:val="center"/>
              <w:rPr>
                <w:sz w:val="20"/>
                <w:szCs w:val="20"/>
                <w:lang w:val="en-GB"/>
              </w:rPr>
            </w:pPr>
            <w:r w:rsidRPr="00732886">
              <w:rPr>
                <w:sz w:val="20"/>
                <w:szCs w:val="20"/>
                <w:lang w:val="en-GB"/>
              </w:rPr>
              <w:t>TPSE</w:t>
            </w:r>
          </w:p>
        </w:tc>
        <w:tc>
          <w:tcPr>
            <w:tcW w:w="1304" w:type="dxa"/>
            <w:tcBorders>
              <w:top w:val="single" w:sz="12" w:space="0" w:color="auto"/>
              <w:bottom w:val="single" w:sz="4" w:space="0" w:color="auto"/>
            </w:tcBorders>
            <w:vAlign w:val="center"/>
          </w:tcPr>
          <w:p w14:paraId="640A03AF" w14:textId="77777777" w:rsidR="009B57E2" w:rsidRPr="00732886" w:rsidRDefault="009B57E2" w:rsidP="00B64335">
            <w:pPr>
              <w:spacing w:after="0" w:line="240" w:lineRule="auto"/>
              <w:jc w:val="center"/>
              <w:rPr>
                <w:sz w:val="20"/>
                <w:szCs w:val="20"/>
                <w:lang w:val="en-GB"/>
              </w:rPr>
            </w:pPr>
            <w:r w:rsidRPr="00732886">
              <w:rPr>
                <w:sz w:val="20"/>
                <w:szCs w:val="20"/>
                <w:lang w:val="en-GB"/>
              </w:rPr>
              <w:t>CDR</w:t>
            </w:r>
          </w:p>
        </w:tc>
      </w:tr>
      <w:tr w:rsidR="009B57E2" w:rsidRPr="00732886" w14:paraId="603D709B" w14:textId="77777777" w:rsidTr="00B64335">
        <w:trPr>
          <w:trHeight w:val="397"/>
        </w:trPr>
        <w:tc>
          <w:tcPr>
            <w:tcW w:w="4309" w:type="dxa"/>
            <w:tcBorders>
              <w:top w:val="single" w:sz="4" w:space="0" w:color="auto"/>
            </w:tcBorders>
            <w:vAlign w:val="center"/>
          </w:tcPr>
          <w:p w14:paraId="74E5D723" w14:textId="77777777" w:rsidR="009B57E2" w:rsidRPr="00732886" w:rsidRDefault="009B57E2" w:rsidP="00B64335">
            <w:pPr>
              <w:spacing w:after="0" w:line="240" w:lineRule="auto"/>
              <w:rPr>
                <w:sz w:val="20"/>
                <w:szCs w:val="20"/>
                <w:lang w:val="en-US"/>
              </w:rPr>
            </w:pPr>
            <w:r w:rsidRPr="00732886">
              <w:rPr>
                <w:sz w:val="20"/>
                <w:szCs w:val="20"/>
                <w:lang w:val="en-GB"/>
              </w:rPr>
              <w:t>HDI</w:t>
            </w:r>
          </w:p>
        </w:tc>
        <w:tc>
          <w:tcPr>
            <w:tcW w:w="1304" w:type="dxa"/>
            <w:tcBorders>
              <w:top w:val="single" w:sz="4" w:space="0" w:color="auto"/>
            </w:tcBorders>
            <w:vAlign w:val="center"/>
          </w:tcPr>
          <w:p w14:paraId="307B6203" w14:textId="77777777" w:rsidR="009B57E2" w:rsidRPr="00732886" w:rsidRDefault="009B57E2" w:rsidP="00B64335">
            <w:pPr>
              <w:spacing w:after="0" w:line="240" w:lineRule="auto"/>
              <w:jc w:val="center"/>
              <w:rPr>
                <w:sz w:val="20"/>
                <w:szCs w:val="20"/>
                <w:lang w:val="en-GB"/>
              </w:rPr>
            </w:pPr>
            <w:r w:rsidRPr="00732886">
              <w:rPr>
                <w:sz w:val="20"/>
                <w:szCs w:val="20"/>
                <w:lang w:val="en-GB"/>
              </w:rPr>
              <w:t>1.00</w:t>
            </w:r>
          </w:p>
        </w:tc>
        <w:tc>
          <w:tcPr>
            <w:tcW w:w="1304" w:type="dxa"/>
            <w:tcBorders>
              <w:top w:val="single" w:sz="4" w:space="0" w:color="auto"/>
            </w:tcBorders>
            <w:vAlign w:val="center"/>
          </w:tcPr>
          <w:p w14:paraId="086BD028" w14:textId="77777777" w:rsidR="009B57E2" w:rsidRPr="00732886" w:rsidRDefault="009B57E2" w:rsidP="00B64335">
            <w:pPr>
              <w:spacing w:after="0" w:line="240" w:lineRule="auto"/>
              <w:jc w:val="center"/>
              <w:rPr>
                <w:sz w:val="20"/>
                <w:szCs w:val="20"/>
                <w:lang w:val="en-GB"/>
              </w:rPr>
            </w:pPr>
          </w:p>
        </w:tc>
        <w:tc>
          <w:tcPr>
            <w:tcW w:w="1304" w:type="dxa"/>
            <w:tcBorders>
              <w:top w:val="single" w:sz="4" w:space="0" w:color="auto"/>
            </w:tcBorders>
            <w:vAlign w:val="center"/>
          </w:tcPr>
          <w:p w14:paraId="2B1D3173" w14:textId="77777777" w:rsidR="009B57E2" w:rsidRPr="00732886" w:rsidRDefault="009B57E2" w:rsidP="00B64335">
            <w:pPr>
              <w:spacing w:after="0" w:line="240" w:lineRule="auto"/>
              <w:jc w:val="center"/>
              <w:rPr>
                <w:sz w:val="20"/>
                <w:szCs w:val="20"/>
                <w:lang w:val="en-GB"/>
              </w:rPr>
            </w:pPr>
          </w:p>
        </w:tc>
        <w:tc>
          <w:tcPr>
            <w:tcW w:w="1304" w:type="dxa"/>
            <w:tcBorders>
              <w:top w:val="single" w:sz="4" w:space="0" w:color="auto"/>
            </w:tcBorders>
            <w:vAlign w:val="center"/>
          </w:tcPr>
          <w:p w14:paraId="19FED4FB" w14:textId="77777777" w:rsidR="009B57E2" w:rsidRPr="00732886" w:rsidRDefault="009B57E2" w:rsidP="00B64335">
            <w:pPr>
              <w:spacing w:after="0" w:line="240" w:lineRule="auto"/>
              <w:jc w:val="center"/>
              <w:rPr>
                <w:sz w:val="20"/>
                <w:szCs w:val="20"/>
                <w:lang w:val="en-GB"/>
              </w:rPr>
            </w:pPr>
          </w:p>
        </w:tc>
      </w:tr>
      <w:tr w:rsidR="009B57E2" w:rsidRPr="00732886" w14:paraId="63A2965C" w14:textId="77777777" w:rsidTr="00B64335">
        <w:trPr>
          <w:trHeight w:val="397"/>
        </w:trPr>
        <w:tc>
          <w:tcPr>
            <w:tcW w:w="4309" w:type="dxa"/>
            <w:vAlign w:val="center"/>
          </w:tcPr>
          <w:p w14:paraId="3015D8D4" w14:textId="77777777" w:rsidR="009B57E2" w:rsidRPr="00732886" w:rsidRDefault="009B57E2" w:rsidP="00B64335">
            <w:pPr>
              <w:spacing w:after="0" w:line="240" w:lineRule="auto"/>
              <w:rPr>
                <w:sz w:val="20"/>
                <w:szCs w:val="20"/>
                <w:lang w:val="en-GB"/>
              </w:rPr>
            </w:pPr>
            <w:r w:rsidRPr="00732886">
              <w:rPr>
                <w:sz w:val="20"/>
                <w:szCs w:val="20"/>
                <w:lang w:val="en-US"/>
              </w:rPr>
              <w:t>Total public expenditure on education (TPEE)</w:t>
            </w:r>
          </w:p>
        </w:tc>
        <w:tc>
          <w:tcPr>
            <w:tcW w:w="1304" w:type="dxa"/>
            <w:vAlign w:val="center"/>
          </w:tcPr>
          <w:p w14:paraId="512C13C8" w14:textId="77777777" w:rsidR="009B57E2" w:rsidRPr="00732886" w:rsidRDefault="009B57E2" w:rsidP="00B64335">
            <w:pPr>
              <w:spacing w:after="0" w:line="240" w:lineRule="auto"/>
              <w:jc w:val="center"/>
              <w:rPr>
                <w:sz w:val="20"/>
                <w:szCs w:val="20"/>
                <w:lang w:val="en-GB"/>
              </w:rPr>
            </w:pPr>
            <w:r w:rsidRPr="00732886">
              <w:rPr>
                <w:sz w:val="20"/>
                <w:szCs w:val="20"/>
                <w:lang w:val="en-GB"/>
              </w:rPr>
              <w:t>0.66</w:t>
            </w:r>
          </w:p>
        </w:tc>
        <w:tc>
          <w:tcPr>
            <w:tcW w:w="1304" w:type="dxa"/>
            <w:vAlign w:val="center"/>
          </w:tcPr>
          <w:p w14:paraId="22FFC689" w14:textId="77777777" w:rsidR="009B57E2" w:rsidRPr="00732886" w:rsidRDefault="009B57E2" w:rsidP="00B64335">
            <w:pPr>
              <w:spacing w:after="0" w:line="240" w:lineRule="auto"/>
              <w:jc w:val="center"/>
              <w:rPr>
                <w:sz w:val="20"/>
                <w:szCs w:val="20"/>
                <w:lang w:val="en-GB"/>
              </w:rPr>
            </w:pPr>
            <w:r w:rsidRPr="00732886">
              <w:rPr>
                <w:sz w:val="20"/>
                <w:szCs w:val="20"/>
                <w:lang w:val="en-GB"/>
              </w:rPr>
              <w:t>1.00</w:t>
            </w:r>
          </w:p>
        </w:tc>
        <w:tc>
          <w:tcPr>
            <w:tcW w:w="1304" w:type="dxa"/>
            <w:vAlign w:val="center"/>
          </w:tcPr>
          <w:p w14:paraId="4970384E" w14:textId="77777777" w:rsidR="009B57E2" w:rsidRPr="00732886" w:rsidRDefault="009B57E2" w:rsidP="00B64335">
            <w:pPr>
              <w:spacing w:after="0" w:line="240" w:lineRule="auto"/>
              <w:jc w:val="center"/>
              <w:rPr>
                <w:sz w:val="20"/>
                <w:szCs w:val="20"/>
                <w:lang w:val="en-GB"/>
              </w:rPr>
            </w:pPr>
          </w:p>
        </w:tc>
        <w:tc>
          <w:tcPr>
            <w:tcW w:w="1304" w:type="dxa"/>
            <w:vAlign w:val="center"/>
          </w:tcPr>
          <w:p w14:paraId="712CED90" w14:textId="77777777" w:rsidR="009B57E2" w:rsidRPr="00732886" w:rsidRDefault="009B57E2" w:rsidP="00B64335">
            <w:pPr>
              <w:spacing w:after="0" w:line="240" w:lineRule="auto"/>
              <w:jc w:val="center"/>
              <w:rPr>
                <w:sz w:val="20"/>
                <w:szCs w:val="20"/>
                <w:lang w:val="en-GB"/>
              </w:rPr>
            </w:pPr>
          </w:p>
        </w:tc>
      </w:tr>
      <w:tr w:rsidR="009B57E2" w:rsidRPr="00732886" w14:paraId="70A4305E" w14:textId="77777777" w:rsidTr="00B64335">
        <w:trPr>
          <w:trHeight w:val="397"/>
        </w:trPr>
        <w:tc>
          <w:tcPr>
            <w:tcW w:w="4309" w:type="dxa"/>
            <w:vAlign w:val="center"/>
          </w:tcPr>
          <w:p w14:paraId="6F6F3ABC" w14:textId="77777777" w:rsidR="009B57E2" w:rsidRPr="00732886" w:rsidRDefault="009B57E2" w:rsidP="00B64335">
            <w:pPr>
              <w:spacing w:after="0" w:line="240" w:lineRule="auto"/>
              <w:rPr>
                <w:sz w:val="20"/>
                <w:szCs w:val="20"/>
                <w:lang w:val="en-GB"/>
              </w:rPr>
            </w:pPr>
            <w:r w:rsidRPr="00732886">
              <w:rPr>
                <w:sz w:val="20"/>
                <w:szCs w:val="20"/>
                <w:lang w:val="en-US"/>
              </w:rPr>
              <w:t>Total public social expenditure (TPSE)</w:t>
            </w:r>
          </w:p>
        </w:tc>
        <w:tc>
          <w:tcPr>
            <w:tcW w:w="1304" w:type="dxa"/>
            <w:vAlign w:val="center"/>
          </w:tcPr>
          <w:p w14:paraId="192D2D0B" w14:textId="77777777" w:rsidR="009B57E2" w:rsidRPr="00732886" w:rsidRDefault="009B57E2" w:rsidP="00B64335">
            <w:pPr>
              <w:spacing w:after="0" w:line="240" w:lineRule="auto"/>
              <w:jc w:val="center"/>
              <w:rPr>
                <w:sz w:val="20"/>
                <w:szCs w:val="20"/>
                <w:lang w:val="en-GB"/>
              </w:rPr>
            </w:pPr>
            <w:r w:rsidRPr="00732886">
              <w:rPr>
                <w:sz w:val="20"/>
                <w:szCs w:val="20"/>
                <w:lang w:val="en-GB"/>
              </w:rPr>
              <w:t>0.64</w:t>
            </w:r>
          </w:p>
        </w:tc>
        <w:tc>
          <w:tcPr>
            <w:tcW w:w="1304" w:type="dxa"/>
            <w:vAlign w:val="center"/>
          </w:tcPr>
          <w:p w14:paraId="7525C474" w14:textId="77777777" w:rsidR="009B57E2" w:rsidRPr="00732886" w:rsidRDefault="009B57E2" w:rsidP="00B64335">
            <w:pPr>
              <w:spacing w:after="0" w:line="240" w:lineRule="auto"/>
              <w:jc w:val="center"/>
              <w:rPr>
                <w:sz w:val="20"/>
                <w:szCs w:val="20"/>
                <w:lang w:val="en-GB"/>
              </w:rPr>
            </w:pPr>
            <w:r w:rsidRPr="00732886">
              <w:rPr>
                <w:sz w:val="20"/>
                <w:szCs w:val="20"/>
                <w:lang w:val="en-GB"/>
              </w:rPr>
              <w:t>0.63</w:t>
            </w:r>
          </w:p>
        </w:tc>
        <w:tc>
          <w:tcPr>
            <w:tcW w:w="1304" w:type="dxa"/>
            <w:vAlign w:val="center"/>
          </w:tcPr>
          <w:p w14:paraId="44EE7E97" w14:textId="77777777" w:rsidR="009B57E2" w:rsidRPr="00732886" w:rsidRDefault="009B57E2" w:rsidP="00B64335">
            <w:pPr>
              <w:spacing w:after="0" w:line="240" w:lineRule="auto"/>
              <w:jc w:val="center"/>
              <w:rPr>
                <w:sz w:val="20"/>
                <w:szCs w:val="20"/>
                <w:lang w:val="en-GB"/>
              </w:rPr>
            </w:pPr>
            <w:r w:rsidRPr="00732886">
              <w:rPr>
                <w:sz w:val="20"/>
                <w:szCs w:val="20"/>
                <w:lang w:val="en-GB"/>
              </w:rPr>
              <w:t>1.00</w:t>
            </w:r>
          </w:p>
        </w:tc>
        <w:tc>
          <w:tcPr>
            <w:tcW w:w="1304" w:type="dxa"/>
            <w:vAlign w:val="center"/>
          </w:tcPr>
          <w:p w14:paraId="0C7B48CA" w14:textId="77777777" w:rsidR="009B57E2" w:rsidRPr="00732886" w:rsidRDefault="009B57E2" w:rsidP="00B64335">
            <w:pPr>
              <w:spacing w:after="0" w:line="240" w:lineRule="auto"/>
              <w:jc w:val="center"/>
              <w:rPr>
                <w:sz w:val="20"/>
                <w:szCs w:val="20"/>
                <w:lang w:val="en-GB"/>
              </w:rPr>
            </w:pPr>
          </w:p>
        </w:tc>
      </w:tr>
      <w:tr w:rsidR="009B57E2" w:rsidRPr="00732886" w14:paraId="75413512" w14:textId="77777777" w:rsidTr="00B64335">
        <w:trPr>
          <w:trHeight w:val="397"/>
        </w:trPr>
        <w:tc>
          <w:tcPr>
            <w:tcW w:w="4309" w:type="dxa"/>
            <w:tcBorders>
              <w:bottom w:val="single" w:sz="4" w:space="0" w:color="auto"/>
            </w:tcBorders>
            <w:vAlign w:val="center"/>
          </w:tcPr>
          <w:p w14:paraId="65E06ED2" w14:textId="77777777" w:rsidR="009B57E2" w:rsidRPr="00732886" w:rsidRDefault="009B57E2" w:rsidP="00B64335">
            <w:pPr>
              <w:spacing w:after="0" w:line="240" w:lineRule="auto"/>
              <w:rPr>
                <w:sz w:val="20"/>
                <w:szCs w:val="20"/>
                <w:lang w:val="en-GB"/>
              </w:rPr>
            </w:pPr>
            <w:r w:rsidRPr="00732886">
              <w:rPr>
                <w:sz w:val="20"/>
                <w:szCs w:val="20"/>
                <w:lang w:val="en-US"/>
              </w:rPr>
              <w:t>Crude divorce rate (CDR)</w:t>
            </w:r>
          </w:p>
        </w:tc>
        <w:tc>
          <w:tcPr>
            <w:tcW w:w="1304" w:type="dxa"/>
            <w:tcBorders>
              <w:bottom w:val="single" w:sz="4" w:space="0" w:color="auto"/>
            </w:tcBorders>
            <w:vAlign w:val="center"/>
          </w:tcPr>
          <w:p w14:paraId="6E08650C" w14:textId="77777777" w:rsidR="009B57E2" w:rsidRPr="00732886" w:rsidRDefault="009B57E2" w:rsidP="00B64335">
            <w:pPr>
              <w:spacing w:after="0" w:line="240" w:lineRule="auto"/>
              <w:jc w:val="center"/>
              <w:rPr>
                <w:sz w:val="20"/>
                <w:szCs w:val="20"/>
                <w:lang w:val="en-GB"/>
              </w:rPr>
            </w:pPr>
            <w:r w:rsidRPr="00732886">
              <w:rPr>
                <w:sz w:val="20"/>
                <w:szCs w:val="20"/>
                <w:lang w:val="en-GB"/>
              </w:rPr>
              <w:t>0.44</w:t>
            </w:r>
          </w:p>
        </w:tc>
        <w:tc>
          <w:tcPr>
            <w:tcW w:w="1304" w:type="dxa"/>
            <w:tcBorders>
              <w:bottom w:val="single" w:sz="4" w:space="0" w:color="auto"/>
            </w:tcBorders>
            <w:vAlign w:val="center"/>
          </w:tcPr>
          <w:p w14:paraId="531979BD" w14:textId="77777777" w:rsidR="009B57E2" w:rsidRPr="00732886" w:rsidRDefault="009B57E2" w:rsidP="00B64335">
            <w:pPr>
              <w:spacing w:after="0" w:line="240" w:lineRule="auto"/>
              <w:jc w:val="center"/>
              <w:rPr>
                <w:sz w:val="20"/>
                <w:szCs w:val="20"/>
                <w:lang w:val="en-GB"/>
              </w:rPr>
            </w:pPr>
            <w:r w:rsidRPr="00732886">
              <w:rPr>
                <w:sz w:val="20"/>
                <w:szCs w:val="20"/>
                <w:lang w:val="en-GB"/>
              </w:rPr>
              <w:t>0.37</w:t>
            </w:r>
          </w:p>
        </w:tc>
        <w:tc>
          <w:tcPr>
            <w:tcW w:w="1304" w:type="dxa"/>
            <w:tcBorders>
              <w:bottom w:val="single" w:sz="4" w:space="0" w:color="auto"/>
            </w:tcBorders>
            <w:vAlign w:val="center"/>
          </w:tcPr>
          <w:p w14:paraId="13603595" w14:textId="77777777" w:rsidR="009B57E2" w:rsidRPr="00732886" w:rsidRDefault="009B57E2" w:rsidP="00B64335">
            <w:pPr>
              <w:spacing w:after="0" w:line="240" w:lineRule="auto"/>
              <w:jc w:val="center"/>
              <w:rPr>
                <w:sz w:val="20"/>
                <w:szCs w:val="20"/>
                <w:lang w:val="en-GB"/>
              </w:rPr>
            </w:pPr>
            <w:r w:rsidRPr="00732886">
              <w:rPr>
                <w:sz w:val="20"/>
                <w:szCs w:val="20"/>
                <w:lang w:val="en-GB"/>
              </w:rPr>
              <w:t>0.30</w:t>
            </w:r>
          </w:p>
        </w:tc>
        <w:tc>
          <w:tcPr>
            <w:tcW w:w="1304" w:type="dxa"/>
            <w:tcBorders>
              <w:bottom w:val="single" w:sz="4" w:space="0" w:color="auto"/>
            </w:tcBorders>
            <w:vAlign w:val="center"/>
          </w:tcPr>
          <w:p w14:paraId="6CF45A83" w14:textId="77777777" w:rsidR="009B57E2" w:rsidRPr="00732886" w:rsidRDefault="009B57E2" w:rsidP="00B64335">
            <w:pPr>
              <w:spacing w:after="0" w:line="240" w:lineRule="auto"/>
              <w:jc w:val="center"/>
              <w:rPr>
                <w:sz w:val="20"/>
                <w:szCs w:val="20"/>
                <w:lang w:val="en-GB"/>
              </w:rPr>
            </w:pPr>
            <w:r w:rsidRPr="00732886">
              <w:rPr>
                <w:sz w:val="20"/>
                <w:szCs w:val="20"/>
                <w:lang w:val="en-GB"/>
              </w:rPr>
              <w:t>1.00</w:t>
            </w:r>
          </w:p>
        </w:tc>
      </w:tr>
      <w:tr w:rsidR="009B57E2" w:rsidRPr="00732886" w14:paraId="2F8B8205" w14:textId="77777777" w:rsidTr="00B64335">
        <w:trPr>
          <w:trHeight w:val="397"/>
        </w:trPr>
        <w:tc>
          <w:tcPr>
            <w:tcW w:w="4309" w:type="dxa"/>
            <w:tcBorders>
              <w:top w:val="single" w:sz="4" w:space="0" w:color="auto"/>
              <w:bottom w:val="nil"/>
            </w:tcBorders>
            <w:vAlign w:val="center"/>
          </w:tcPr>
          <w:p w14:paraId="619DD984" w14:textId="77777777" w:rsidR="009B57E2" w:rsidRPr="00732886" w:rsidRDefault="009B57E2" w:rsidP="00B64335">
            <w:pPr>
              <w:spacing w:after="0" w:line="240" w:lineRule="auto"/>
              <w:rPr>
                <w:sz w:val="20"/>
                <w:szCs w:val="20"/>
                <w:lang w:val="en-GB"/>
              </w:rPr>
            </w:pPr>
            <w:r w:rsidRPr="00732886">
              <w:rPr>
                <w:sz w:val="20"/>
                <w:szCs w:val="20"/>
                <w:lang w:val="en-GB"/>
              </w:rPr>
              <w:t>Mean</w:t>
            </w:r>
          </w:p>
        </w:tc>
        <w:tc>
          <w:tcPr>
            <w:tcW w:w="1304" w:type="dxa"/>
            <w:tcBorders>
              <w:top w:val="single" w:sz="4" w:space="0" w:color="auto"/>
              <w:bottom w:val="nil"/>
            </w:tcBorders>
            <w:vAlign w:val="center"/>
          </w:tcPr>
          <w:p w14:paraId="7FAE7F08" w14:textId="77777777" w:rsidR="009B57E2" w:rsidRPr="00732886" w:rsidRDefault="009B57E2" w:rsidP="00B64335">
            <w:pPr>
              <w:spacing w:after="0" w:line="240" w:lineRule="auto"/>
              <w:jc w:val="center"/>
              <w:rPr>
                <w:sz w:val="20"/>
                <w:szCs w:val="20"/>
                <w:lang w:val="en-GB"/>
              </w:rPr>
            </w:pPr>
            <w:r w:rsidRPr="00732886">
              <w:rPr>
                <w:sz w:val="20"/>
                <w:szCs w:val="20"/>
                <w:lang w:val="en-GB"/>
              </w:rPr>
              <w:t>0.80</w:t>
            </w:r>
          </w:p>
        </w:tc>
        <w:tc>
          <w:tcPr>
            <w:tcW w:w="1304" w:type="dxa"/>
            <w:tcBorders>
              <w:top w:val="single" w:sz="4" w:space="0" w:color="auto"/>
              <w:bottom w:val="nil"/>
            </w:tcBorders>
            <w:vAlign w:val="center"/>
          </w:tcPr>
          <w:p w14:paraId="644C4D31" w14:textId="77777777" w:rsidR="009B57E2" w:rsidRPr="00732886" w:rsidRDefault="009B57E2" w:rsidP="00B64335">
            <w:pPr>
              <w:spacing w:after="0" w:line="240" w:lineRule="auto"/>
              <w:jc w:val="center"/>
              <w:rPr>
                <w:sz w:val="20"/>
                <w:szCs w:val="20"/>
                <w:lang w:val="en-GB"/>
              </w:rPr>
            </w:pPr>
            <w:r w:rsidRPr="00732886">
              <w:rPr>
                <w:sz w:val="20"/>
                <w:szCs w:val="20"/>
                <w:lang w:val="en-GB"/>
              </w:rPr>
              <w:t>4.69</w:t>
            </w:r>
          </w:p>
        </w:tc>
        <w:tc>
          <w:tcPr>
            <w:tcW w:w="1304" w:type="dxa"/>
            <w:tcBorders>
              <w:top w:val="single" w:sz="4" w:space="0" w:color="auto"/>
              <w:bottom w:val="nil"/>
            </w:tcBorders>
            <w:vAlign w:val="center"/>
          </w:tcPr>
          <w:p w14:paraId="5E3A313B" w14:textId="77777777" w:rsidR="009B57E2" w:rsidRPr="00732886" w:rsidRDefault="009B57E2" w:rsidP="00B64335">
            <w:pPr>
              <w:spacing w:after="0" w:line="240" w:lineRule="auto"/>
              <w:jc w:val="center"/>
              <w:rPr>
                <w:sz w:val="20"/>
                <w:szCs w:val="20"/>
                <w:lang w:val="en-GB"/>
              </w:rPr>
            </w:pPr>
            <w:r w:rsidRPr="00732886">
              <w:rPr>
                <w:sz w:val="20"/>
                <w:szCs w:val="20"/>
                <w:lang w:val="en-GB"/>
              </w:rPr>
              <w:t>16.87</w:t>
            </w:r>
          </w:p>
        </w:tc>
        <w:tc>
          <w:tcPr>
            <w:tcW w:w="1304" w:type="dxa"/>
            <w:tcBorders>
              <w:top w:val="single" w:sz="4" w:space="0" w:color="auto"/>
              <w:bottom w:val="nil"/>
            </w:tcBorders>
            <w:vAlign w:val="center"/>
          </w:tcPr>
          <w:p w14:paraId="797F9BDE" w14:textId="77777777" w:rsidR="009B57E2" w:rsidRPr="00732886" w:rsidRDefault="009B57E2" w:rsidP="00B64335">
            <w:pPr>
              <w:spacing w:after="0" w:line="240" w:lineRule="auto"/>
              <w:jc w:val="center"/>
              <w:rPr>
                <w:sz w:val="20"/>
                <w:szCs w:val="20"/>
                <w:lang w:val="en-GB"/>
              </w:rPr>
            </w:pPr>
            <w:r w:rsidRPr="00732886">
              <w:rPr>
                <w:sz w:val="20"/>
                <w:szCs w:val="20"/>
                <w:lang w:val="en-GB"/>
              </w:rPr>
              <w:t>1.84</w:t>
            </w:r>
          </w:p>
        </w:tc>
      </w:tr>
      <w:tr w:rsidR="009B57E2" w:rsidRPr="00732886" w14:paraId="1BF336AF" w14:textId="77777777" w:rsidTr="00B64335">
        <w:trPr>
          <w:trHeight w:val="397"/>
        </w:trPr>
        <w:tc>
          <w:tcPr>
            <w:tcW w:w="4309" w:type="dxa"/>
            <w:tcBorders>
              <w:top w:val="nil"/>
            </w:tcBorders>
            <w:vAlign w:val="center"/>
          </w:tcPr>
          <w:p w14:paraId="1607C2B9" w14:textId="77777777" w:rsidR="009B57E2" w:rsidRPr="00732886" w:rsidRDefault="009B57E2" w:rsidP="00B64335">
            <w:pPr>
              <w:spacing w:after="0" w:line="240" w:lineRule="auto"/>
              <w:rPr>
                <w:sz w:val="20"/>
                <w:szCs w:val="20"/>
                <w:lang w:val="en-GB"/>
              </w:rPr>
            </w:pPr>
            <w:r w:rsidRPr="00732886">
              <w:rPr>
                <w:sz w:val="20"/>
                <w:szCs w:val="20"/>
                <w:lang w:val="en-GB"/>
              </w:rPr>
              <w:t>s.d.</w:t>
            </w:r>
          </w:p>
        </w:tc>
        <w:tc>
          <w:tcPr>
            <w:tcW w:w="1304" w:type="dxa"/>
            <w:tcBorders>
              <w:top w:val="nil"/>
            </w:tcBorders>
            <w:vAlign w:val="center"/>
          </w:tcPr>
          <w:p w14:paraId="42C602EE" w14:textId="77777777" w:rsidR="009B57E2" w:rsidRPr="00732886" w:rsidRDefault="009B57E2" w:rsidP="00B64335">
            <w:pPr>
              <w:spacing w:after="0" w:line="240" w:lineRule="auto"/>
              <w:jc w:val="center"/>
              <w:rPr>
                <w:sz w:val="20"/>
                <w:szCs w:val="20"/>
                <w:lang w:val="en-GB"/>
              </w:rPr>
            </w:pPr>
            <w:r w:rsidRPr="00732886">
              <w:rPr>
                <w:sz w:val="20"/>
                <w:szCs w:val="20"/>
                <w:lang w:val="en-GB"/>
              </w:rPr>
              <w:t>0.09</w:t>
            </w:r>
          </w:p>
        </w:tc>
        <w:tc>
          <w:tcPr>
            <w:tcW w:w="1304" w:type="dxa"/>
            <w:tcBorders>
              <w:top w:val="nil"/>
            </w:tcBorders>
            <w:vAlign w:val="center"/>
          </w:tcPr>
          <w:p w14:paraId="416B487E" w14:textId="77777777" w:rsidR="009B57E2" w:rsidRPr="00732886" w:rsidRDefault="009B57E2" w:rsidP="00B64335">
            <w:pPr>
              <w:spacing w:after="0" w:line="240" w:lineRule="auto"/>
              <w:jc w:val="center"/>
              <w:rPr>
                <w:sz w:val="20"/>
                <w:szCs w:val="20"/>
                <w:lang w:val="en-GB"/>
              </w:rPr>
            </w:pPr>
            <w:r w:rsidRPr="00732886">
              <w:rPr>
                <w:sz w:val="20"/>
                <w:szCs w:val="20"/>
                <w:lang w:val="en-GB"/>
              </w:rPr>
              <w:t>1.39</w:t>
            </w:r>
          </w:p>
        </w:tc>
        <w:tc>
          <w:tcPr>
            <w:tcW w:w="1304" w:type="dxa"/>
            <w:tcBorders>
              <w:top w:val="nil"/>
            </w:tcBorders>
            <w:vAlign w:val="center"/>
          </w:tcPr>
          <w:p w14:paraId="4BC8D00E" w14:textId="77777777" w:rsidR="009B57E2" w:rsidRPr="00732886" w:rsidRDefault="009B57E2" w:rsidP="00B64335">
            <w:pPr>
              <w:spacing w:after="0" w:line="240" w:lineRule="auto"/>
              <w:jc w:val="center"/>
              <w:rPr>
                <w:sz w:val="20"/>
                <w:szCs w:val="20"/>
                <w:lang w:val="en-GB"/>
              </w:rPr>
            </w:pPr>
            <w:r w:rsidRPr="00732886">
              <w:rPr>
                <w:sz w:val="20"/>
                <w:szCs w:val="20"/>
                <w:lang w:val="en-GB"/>
              </w:rPr>
              <w:t>7.03</w:t>
            </w:r>
          </w:p>
        </w:tc>
        <w:tc>
          <w:tcPr>
            <w:tcW w:w="1304" w:type="dxa"/>
            <w:tcBorders>
              <w:top w:val="nil"/>
            </w:tcBorders>
            <w:vAlign w:val="center"/>
          </w:tcPr>
          <w:p w14:paraId="71E29175" w14:textId="77777777" w:rsidR="009B57E2" w:rsidRPr="00732886" w:rsidRDefault="009B57E2" w:rsidP="00B64335">
            <w:pPr>
              <w:spacing w:after="0" w:line="240" w:lineRule="auto"/>
              <w:jc w:val="center"/>
              <w:rPr>
                <w:sz w:val="20"/>
                <w:szCs w:val="20"/>
                <w:lang w:val="en-GB"/>
              </w:rPr>
            </w:pPr>
            <w:r w:rsidRPr="00732886">
              <w:rPr>
                <w:sz w:val="20"/>
                <w:szCs w:val="20"/>
                <w:lang w:val="en-GB"/>
              </w:rPr>
              <w:t>0.98</w:t>
            </w:r>
          </w:p>
        </w:tc>
      </w:tr>
      <w:tr w:rsidR="009B57E2" w:rsidRPr="00732886" w14:paraId="654D18ED" w14:textId="77777777" w:rsidTr="00B64335">
        <w:trPr>
          <w:trHeight w:val="397"/>
        </w:trPr>
        <w:tc>
          <w:tcPr>
            <w:tcW w:w="4309" w:type="dxa"/>
            <w:vAlign w:val="center"/>
          </w:tcPr>
          <w:p w14:paraId="5C8590BE" w14:textId="77777777" w:rsidR="009B57E2" w:rsidRPr="00732886" w:rsidRDefault="009B57E2" w:rsidP="00B64335">
            <w:pPr>
              <w:spacing w:after="0" w:line="240" w:lineRule="auto"/>
              <w:rPr>
                <w:sz w:val="20"/>
                <w:szCs w:val="20"/>
                <w:lang w:val="en-GB"/>
              </w:rPr>
            </w:pPr>
            <w:r w:rsidRPr="00732886">
              <w:rPr>
                <w:sz w:val="20"/>
                <w:szCs w:val="20"/>
                <w:lang w:val="en-GB"/>
              </w:rPr>
              <w:t>Minimum</w:t>
            </w:r>
          </w:p>
        </w:tc>
        <w:tc>
          <w:tcPr>
            <w:tcW w:w="1304" w:type="dxa"/>
            <w:vAlign w:val="center"/>
          </w:tcPr>
          <w:p w14:paraId="0B0EB992" w14:textId="77777777" w:rsidR="009B57E2" w:rsidRPr="00732886" w:rsidRDefault="009B57E2" w:rsidP="00B64335">
            <w:pPr>
              <w:spacing w:after="0" w:line="240" w:lineRule="auto"/>
              <w:jc w:val="center"/>
              <w:rPr>
                <w:sz w:val="20"/>
                <w:szCs w:val="20"/>
                <w:lang w:val="en-GB"/>
              </w:rPr>
            </w:pPr>
            <w:r w:rsidRPr="00732886">
              <w:rPr>
                <w:sz w:val="20"/>
                <w:szCs w:val="20"/>
                <w:lang w:val="en-GB"/>
              </w:rPr>
              <w:t>0.543</w:t>
            </w:r>
          </w:p>
        </w:tc>
        <w:tc>
          <w:tcPr>
            <w:tcW w:w="1304" w:type="dxa"/>
            <w:vAlign w:val="center"/>
          </w:tcPr>
          <w:p w14:paraId="4EF1C2C5" w14:textId="77777777" w:rsidR="009B57E2" w:rsidRPr="00732886" w:rsidRDefault="009B57E2" w:rsidP="00B64335">
            <w:pPr>
              <w:spacing w:after="0" w:line="240" w:lineRule="auto"/>
              <w:jc w:val="center"/>
              <w:rPr>
                <w:sz w:val="20"/>
                <w:szCs w:val="20"/>
                <w:lang w:val="en-GB"/>
              </w:rPr>
            </w:pPr>
            <w:r w:rsidRPr="00732886">
              <w:rPr>
                <w:sz w:val="20"/>
                <w:szCs w:val="20"/>
                <w:lang w:val="en-GB"/>
              </w:rPr>
              <w:t>1.1</w:t>
            </w:r>
          </w:p>
        </w:tc>
        <w:tc>
          <w:tcPr>
            <w:tcW w:w="1304" w:type="dxa"/>
            <w:vAlign w:val="center"/>
          </w:tcPr>
          <w:p w14:paraId="2BC9EA44" w14:textId="77777777" w:rsidR="009B57E2" w:rsidRPr="00732886" w:rsidRDefault="009B57E2" w:rsidP="00B64335">
            <w:pPr>
              <w:spacing w:after="0" w:line="240" w:lineRule="auto"/>
              <w:jc w:val="center"/>
              <w:rPr>
                <w:sz w:val="20"/>
                <w:szCs w:val="20"/>
                <w:lang w:val="en-GB"/>
              </w:rPr>
            </w:pPr>
            <w:r w:rsidRPr="00732886">
              <w:rPr>
                <w:sz w:val="20"/>
                <w:szCs w:val="20"/>
                <w:lang w:val="en-GB"/>
              </w:rPr>
              <w:t>2.32</w:t>
            </w:r>
          </w:p>
        </w:tc>
        <w:tc>
          <w:tcPr>
            <w:tcW w:w="1304" w:type="dxa"/>
            <w:vAlign w:val="center"/>
          </w:tcPr>
          <w:p w14:paraId="7C2CFF5A" w14:textId="77777777" w:rsidR="009B57E2" w:rsidRPr="00732886" w:rsidRDefault="009B57E2" w:rsidP="00B64335">
            <w:pPr>
              <w:spacing w:after="0" w:line="240" w:lineRule="auto"/>
              <w:jc w:val="center"/>
              <w:rPr>
                <w:sz w:val="20"/>
                <w:szCs w:val="20"/>
                <w:lang w:val="en-GB"/>
              </w:rPr>
            </w:pPr>
            <w:r w:rsidRPr="00732886">
              <w:rPr>
                <w:sz w:val="20"/>
                <w:szCs w:val="20"/>
                <w:lang w:val="en-GB"/>
              </w:rPr>
              <w:t>0.00</w:t>
            </w:r>
          </w:p>
        </w:tc>
      </w:tr>
      <w:tr w:rsidR="009B57E2" w:rsidRPr="00732886" w14:paraId="6F06BD3A" w14:textId="77777777" w:rsidTr="00B64335">
        <w:trPr>
          <w:trHeight w:val="397"/>
        </w:trPr>
        <w:tc>
          <w:tcPr>
            <w:tcW w:w="4309" w:type="dxa"/>
            <w:vAlign w:val="center"/>
          </w:tcPr>
          <w:p w14:paraId="59C23867" w14:textId="77777777" w:rsidR="009B57E2" w:rsidRPr="00732886" w:rsidRDefault="009B57E2" w:rsidP="00B64335">
            <w:pPr>
              <w:spacing w:after="0" w:line="240" w:lineRule="auto"/>
              <w:rPr>
                <w:sz w:val="20"/>
                <w:szCs w:val="20"/>
                <w:lang w:val="en-GB"/>
              </w:rPr>
            </w:pPr>
            <w:r w:rsidRPr="00732886">
              <w:rPr>
                <w:sz w:val="20"/>
                <w:szCs w:val="20"/>
                <w:lang w:val="en-GB"/>
              </w:rPr>
              <w:t>Maximum</w:t>
            </w:r>
          </w:p>
        </w:tc>
        <w:tc>
          <w:tcPr>
            <w:tcW w:w="1304" w:type="dxa"/>
            <w:vAlign w:val="center"/>
          </w:tcPr>
          <w:p w14:paraId="0AFAAE5F" w14:textId="77777777" w:rsidR="009B57E2" w:rsidRPr="00732886" w:rsidRDefault="009B57E2" w:rsidP="00B64335">
            <w:pPr>
              <w:spacing w:after="0" w:line="240" w:lineRule="auto"/>
              <w:jc w:val="center"/>
              <w:rPr>
                <w:sz w:val="20"/>
                <w:szCs w:val="20"/>
                <w:lang w:val="en-GB"/>
              </w:rPr>
            </w:pPr>
            <w:r w:rsidRPr="00732886">
              <w:rPr>
                <w:sz w:val="20"/>
                <w:szCs w:val="20"/>
                <w:lang w:val="en-GB"/>
              </w:rPr>
              <w:t>0.913</w:t>
            </w:r>
          </w:p>
        </w:tc>
        <w:tc>
          <w:tcPr>
            <w:tcW w:w="1304" w:type="dxa"/>
            <w:vAlign w:val="center"/>
          </w:tcPr>
          <w:p w14:paraId="4E003C04" w14:textId="77777777" w:rsidR="009B57E2" w:rsidRPr="00732886" w:rsidRDefault="009B57E2" w:rsidP="00B64335">
            <w:pPr>
              <w:spacing w:after="0" w:line="240" w:lineRule="auto"/>
              <w:jc w:val="center"/>
              <w:rPr>
                <w:sz w:val="20"/>
                <w:szCs w:val="20"/>
                <w:lang w:val="en-GB"/>
              </w:rPr>
            </w:pPr>
            <w:r w:rsidRPr="00732886">
              <w:rPr>
                <w:sz w:val="20"/>
                <w:szCs w:val="20"/>
                <w:lang w:val="en-GB"/>
              </w:rPr>
              <w:t>7.7</w:t>
            </w:r>
          </w:p>
        </w:tc>
        <w:tc>
          <w:tcPr>
            <w:tcW w:w="1304" w:type="dxa"/>
            <w:vAlign w:val="center"/>
          </w:tcPr>
          <w:p w14:paraId="7A0B468F" w14:textId="77777777" w:rsidR="009B57E2" w:rsidRPr="00732886" w:rsidRDefault="009B57E2" w:rsidP="00B64335">
            <w:pPr>
              <w:spacing w:after="0" w:line="240" w:lineRule="auto"/>
              <w:jc w:val="center"/>
              <w:rPr>
                <w:sz w:val="20"/>
                <w:szCs w:val="20"/>
                <w:lang w:val="en-GB"/>
              </w:rPr>
            </w:pPr>
            <w:r w:rsidRPr="00732886">
              <w:rPr>
                <w:sz w:val="20"/>
                <w:szCs w:val="20"/>
                <w:lang w:val="en-GB"/>
              </w:rPr>
              <w:t>28.5</w:t>
            </w:r>
          </w:p>
        </w:tc>
        <w:tc>
          <w:tcPr>
            <w:tcW w:w="1304" w:type="dxa"/>
            <w:vAlign w:val="center"/>
          </w:tcPr>
          <w:p w14:paraId="1D9EC560" w14:textId="77777777" w:rsidR="009B57E2" w:rsidRPr="00732886" w:rsidRDefault="009B57E2" w:rsidP="00B64335">
            <w:pPr>
              <w:spacing w:after="0" w:line="240" w:lineRule="auto"/>
              <w:jc w:val="center"/>
              <w:rPr>
                <w:sz w:val="20"/>
                <w:szCs w:val="20"/>
                <w:lang w:val="en-GB"/>
              </w:rPr>
            </w:pPr>
            <w:r w:rsidRPr="00732886">
              <w:rPr>
                <w:sz w:val="20"/>
                <w:szCs w:val="20"/>
                <w:lang w:val="en-GB"/>
              </w:rPr>
              <w:t>4.31</w:t>
            </w:r>
          </w:p>
        </w:tc>
      </w:tr>
    </w:tbl>
    <w:p w14:paraId="7096539A" w14:textId="77777777" w:rsidR="009B57E2" w:rsidRDefault="009B57E2" w:rsidP="009B57E2">
      <w:pPr>
        <w:spacing w:after="0"/>
        <w:rPr>
          <w:b/>
          <w:szCs w:val="24"/>
          <w:lang w:val="en-GB"/>
        </w:rPr>
      </w:pPr>
    </w:p>
    <w:p w14:paraId="52122CC3" w14:textId="77777777" w:rsidR="009B57E2" w:rsidRPr="00AD775F" w:rsidRDefault="009B57E2" w:rsidP="009B57E2">
      <w:pPr>
        <w:spacing w:after="0"/>
        <w:rPr>
          <w:b/>
          <w:szCs w:val="24"/>
          <w:lang w:val="en-GB"/>
        </w:rPr>
      </w:pPr>
      <w:r w:rsidRPr="00494CA7">
        <w:rPr>
          <w:b/>
          <w:szCs w:val="24"/>
          <w:lang w:val="en-GB"/>
        </w:rPr>
        <w:br w:type="page"/>
      </w:r>
      <w:r w:rsidRPr="00AD775F">
        <w:rPr>
          <w:b/>
          <w:szCs w:val="24"/>
          <w:lang w:val="en-GB"/>
        </w:rPr>
        <w:lastRenderedPageBreak/>
        <w:t>Table 4: Estimated parameters and standard errors (in parentheses) of three-level hierarchical linear models of reading literacy. Number of level-1 observations (students) = 151377, number of level-2 observations (schools) = 8218, number of level-3 observations (countries) = 40.</w:t>
      </w:r>
    </w:p>
    <w:tbl>
      <w:tblPr>
        <w:tblW w:w="0" w:type="auto"/>
        <w:tblBorders>
          <w:top w:val="single" w:sz="12" w:space="0" w:color="auto"/>
          <w:bottom w:val="single" w:sz="12" w:space="0" w:color="auto"/>
        </w:tblBorders>
        <w:tblLook w:val="04A0" w:firstRow="1" w:lastRow="0" w:firstColumn="1" w:lastColumn="0" w:noHBand="0" w:noVBand="1"/>
      </w:tblPr>
      <w:tblGrid>
        <w:gridCol w:w="4554"/>
        <w:gridCol w:w="2259"/>
        <w:gridCol w:w="2259"/>
      </w:tblGrid>
      <w:tr w:rsidR="009B57E2" w:rsidRPr="00732886" w14:paraId="096DAC15" w14:textId="77777777" w:rsidTr="00B64335">
        <w:trPr>
          <w:trHeight w:val="510"/>
        </w:trPr>
        <w:tc>
          <w:tcPr>
            <w:tcW w:w="4574" w:type="dxa"/>
            <w:vAlign w:val="center"/>
          </w:tcPr>
          <w:p w14:paraId="1E4C0B62" w14:textId="77777777" w:rsidR="009B57E2" w:rsidRPr="00732886" w:rsidRDefault="009B57E2" w:rsidP="00B64335">
            <w:pPr>
              <w:spacing w:after="0" w:line="240" w:lineRule="auto"/>
              <w:rPr>
                <w:sz w:val="20"/>
                <w:szCs w:val="20"/>
                <w:lang w:val="en-GB"/>
              </w:rPr>
            </w:pPr>
          </w:p>
        </w:tc>
        <w:tc>
          <w:tcPr>
            <w:tcW w:w="2268" w:type="dxa"/>
            <w:tcBorders>
              <w:top w:val="single" w:sz="12" w:space="0" w:color="auto"/>
              <w:bottom w:val="single" w:sz="2" w:space="0" w:color="auto"/>
            </w:tcBorders>
            <w:vAlign w:val="center"/>
          </w:tcPr>
          <w:p w14:paraId="665D8092" w14:textId="77777777" w:rsidR="009B57E2" w:rsidRPr="00732886" w:rsidRDefault="009B57E2" w:rsidP="00B64335">
            <w:pPr>
              <w:spacing w:after="0" w:line="240" w:lineRule="auto"/>
              <w:jc w:val="center"/>
              <w:rPr>
                <w:b/>
                <w:sz w:val="20"/>
                <w:szCs w:val="20"/>
                <w:lang w:val="en-GB"/>
              </w:rPr>
            </w:pPr>
            <w:r w:rsidRPr="00732886">
              <w:rPr>
                <w:b/>
                <w:sz w:val="20"/>
                <w:szCs w:val="20"/>
                <w:lang w:val="en-GB"/>
              </w:rPr>
              <w:t>Model 1</w:t>
            </w:r>
          </w:p>
        </w:tc>
        <w:tc>
          <w:tcPr>
            <w:tcW w:w="2268" w:type="dxa"/>
            <w:tcBorders>
              <w:top w:val="single" w:sz="12" w:space="0" w:color="auto"/>
              <w:bottom w:val="single" w:sz="2" w:space="0" w:color="auto"/>
            </w:tcBorders>
            <w:vAlign w:val="center"/>
          </w:tcPr>
          <w:p w14:paraId="2C1A564E" w14:textId="77777777" w:rsidR="009B57E2" w:rsidRPr="00732886" w:rsidRDefault="009B57E2" w:rsidP="00B64335">
            <w:pPr>
              <w:spacing w:after="0" w:line="240" w:lineRule="auto"/>
              <w:jc w:val="center"/>
              <w:rPr>
                <w:b/>
                <w:sz w:val="20"/>
                <w:szCs w:val="20"/>
                <w:lang w:val="en-GB"/>
              </w:rPr>
            </w:pPr>
            <w:r w:rsidRPr="00732886">
              <w:rPr>
                <w:b/>
                <w:sz w:val="20"/>
                <w:szCs w:val="20"/>
                <w:lang w:val="en-GB"/>
              </w:rPr>
              <w:t>Model 2</w:t>
            </w:r>
          </w:p>
        </w:tc>
      </w:tr>
      <w:tr w:rsidR="009B57E2" w:rsidRPr="00732886" w14:paraId="1D035B24" w14:textId="77777777" w:rsidTr="00B64335">
        <w:trPr>
          <w:trHeight w:val="510"/>
        </w:trPr>
        <w:tc>
          <w:tcPr>
            <w:tcW w:w="4574" w:type="dxa"/>
            <w:vAlign w:val="center"/>
          </w:tcPr>
          <w:p w14:paraId="4F6F4884" w14:textId="77777777" w:rsidR="009B57E2" w:rsidRPr="00732886" w:rsidRDefault="009B57E2" w:rsidP="00B64335">
            <w:pPr>
              <w:spacing w:after="0" w:line="240" w:lineRule="auto"/>
              <w:rPr>
                <w:b/>
                <w:sz w:val="20"/>
                <w:szCs w:val="20"/>
                <w:lang w:val="en-GB"/>
              </w:rPr>
            </w:pPr>
            <w:r w:rsidRPr="00732886">
              <w:rPr>
                <w:b/>
                <w:sz w:val="20"/>
                <w:szCs w:val="20"/>
                <w:lang w:val="en-GB"/>
              </w:rPr>
              <w:t xml:space="preserve">Co-residence with grandparent(s) </w:t>
            </w:r>
          </w:p>
        </w:tc>
        <w:tc>
          <w:tcPr>
            <w:tcW w:w="2268" w:type="dxa"/>
            <w:vAlign w:val="center"/>
          </w:tcPr>
          <w:p w14:paraId="7B3DD434" w14:textId="77777777" w:rsidR="009B57E2" w:rsidRPr="00732886" w:rsidRDefault="009B57E2" w:rsidP="00B64335">
            <w:pPr>
              <w:spacing w:after="0" w:line="240" w:lineRule="auto"/>
              <w:jc w:val="center"/>
              <w:rPr>
                <w:sz w:val="20"/>
                <w:szCs w:val="20"/>
                <w:lang w:val="en-GB"/>
              </w:rPr>
            </w:pPr>
            <w:r w:rsidRPr="00732886">
              <w:rPr>
                <w:sz w:val="20"/>
                <w:szCs w:val="20"/>
                <w:lang w:val="en-GB"/>
              </w:rPr>
              <w:t>-14.824</w:t>
            </w:r>
            <w:r w:rsidRPr="00732886">
              <w:rPr>
                <w:sz w:val="20"/>
                <w:szCs w:val="20"/>
                <w:lang w:val="en-GB"/>
              </w:rPr>
              <w:br/>
              <w:t>(1.400)</w:t>
            </w:r>
          </w:p>
        </w:tc>
        <w:tc>
          <w:tcPr>
            <w:tcW w:w="2268" w:type="dxa"/>
            <w:vAlign w:val="center"/>
          </w:tcPr>
          <w:p w14:paraId="0E02D072" w14:textId="77777777" w:rsidR="009B57E2" w:rsidRPr="00732886" w:rsidRDefault="009B57E2" w:rsidP="00B64335">
            <w:pPr>
              <w:spacing w:after="0" w:line="240" w:lineRule="auto"/>
              <w:jc w:val="center"/>
              <w:rPr>
                <w:sz w:val="20"/>
                <w:szCs w:val="20"/>
                <w:lang w:val="en-GB"/>
              </w:rPr>
            </w:pPr>
            <w:r w:rsidRPr="00732886">
              <w:rPr>
                <w:sz w:val="20"/>
                <w:szCs w:val="20"/>
                <w:lang w:val="en-GB"/>
              </w:rPr>
              <w:t>-12.483</w:t>
            </w:r>
            <w:r w:rsidRPr="00732886">
              <w:rPr>
                <w:sz w:val="20"/>
                <w:szCs w:val="20"/>
                <w:lang w:val="en-GB"/>
              </w:rPr>
              <w:br/>
              <w:t>(1.365)</w:t>
            </w:r>
          </w:p>
        </w:tc>
      </w:tr>
      <w:tr w:rsidR="009B57E2" w:rsidRPr="00732886" w14:paraId="5E2CD9E8" w14:textId="77777777" w:rsidTr="00B64335">
        <w:trPr>
          <w:trHeight w:val="510"/>
        </w:trPr>
        <w:tc>
          <w:tcPr>
            <w:tcW w:w="4574" w:type="dxa"/>
            <w:vAlign w:val="center"/>
          </w:tcPr>
          <w:p w14:paraId="24CC309F" w14:textId="77777777" w:rsidR="009B57E2" w:rsidRPr="00732886" w:rsidRDefault="009B57E2" w:rsidP="00B64335">
            <w:pPr>
              <w:spacing w:after="0" w:line="240" w:lineRule="auto"/>
              <w:rPr>
                <w:b/>
                <w:sz w:val="20"/>
                <w:szCs w:val="20"/>
                <w:lang w:val="en-GB"/>
              </w:rPr>
            </w:pPr>
            <w:r w:rsidRPr="00732886">
              <w:rPr>
                <w:b/>
                <w:sz w:val="20"/>
                <w:szCs w:val="20"/>
                <w:lang w:val="en-GB"/>
              </w:rPr>
              <w:t>Sibship size</w:t>
            </w:r>
          </w:p>
        </w:tc>
        <w:tc>
          <w:tcPr>
            <w:tcW w:w="2268" w:type="dxa"/>
            <w:vAlign w:val="center"/>
          </w:tcPr>
          <w:p w14:paraId="4872149C" w14:textId="77777777" w:rsidR="009B57E2" w:rsidRPr="00732886" w:rsidRDefault="009B57E2" w:rsidP="00B64335">
            <w:pPr>
              <w:spacing w:after="0" w:line="240" w:lineRule="auto"/>
              <w:jc w:val="center"/>
              <w:rPr>
                <w:sz w:val="20"/>
                <w:szCs w:val="20"/>
                <w:lang w:val="en-GB"/>
              </w:rPr>
            </w:pPr>
            <w:r w:rsidRPr="00732886">
              <w:rPr>
                <w:sz w:val="20"/>
                <w:szCs w:val="20"/>
                <w:lang w:val="en-GB"/>
              </w:rPr>
              <w:t>-3.555</w:t>
            </w:r>
            <w:r w:rsidRPr="00732886">
              <w:rPr>
                <w:sz w:val="20"/>
                <w:szCs w:val="20"/>
                <w:lang w:val="en-GB"/>
              </w:rPr>
              <w:br/>
              <w:t>(0.350)</w:t>
            </w:r>
          </w:p>
        </w:tc>
        <w:tc>
          <w:tcPr>
            <w:tcW w:w="2268" w:type="dxa"/>
            <w:vAlign w:val="center"/>
          </w:tcPr>
          <w:p w14:paraId="5B8D7E23" w14:textId="77777777" w:rsidR="009B57E2" w:rsidRPr="00732886" w:rsidRDefault="009B57E2" w:rsidP="00B64335">
            <w:pPr>
              <w:spacing w:after="0" w:line="240" w:lineRule="auto"/>
              <w:jc w:val="center"/>
              <w:rPr>
                <w:sz w:val="20"/>
                <w:szCs w:val="20"/>
                <w:lang w:val="en-GB"/>
              </w:rPr>
            </w:pPr>
            <w:r w:rsidRPr="00732886">
              <w:rPr>
                <w:sz w:val="20"/>
                <w:szCs w:val="20"/>
                <w:lang w:val="en-GB"/>
              </w:rPr>
              <w:t>-2.622</w:t>
            </w:r>
            <w:r w:rsidRPr="00732886">
              <w:rPr>
                <w:sz w:val="20"/>
                <w:szCs w:val="20"/>
                <w:lang w:val="en-GB"/>
              </w:rPr>
              <w:br/>
              <w:t>(0.344)</w:t>
            </w:r>
          </w:p>
        </w:tc>
      </w:tr>
      <w:tr w:rsidR="009B57E2" w:rsidRPr="00732886" w14:paraId="5E4FD99E" w14:textId="77777777" w:rsidTr="00B64335">
        <w:trPr>
          <w:trHeight w:val="510"/>
        </w:trPr>
        <w:tc>
          <w:tcPr>
            <w:tcW w:w="4574" w:type="dxa"/>
            <w:vAlign w:val="center"/>
          </w:tcPr>
          <w:p w14:paraId="79B08746" w14:textId="77777777" w:rsidR="009B57E2" w:rsidRPr="00732886" w:rsidRDefault="009B57E2" w:rsidP="00B64335">
            <w:pPr>
              <w:spacing w:after="0" w:line="240" w:lineRule="auto"/>
              <w:rPr>
                <w:sz w:val="20"/>
                <w:szCs w:val="20"/>
                <w:lang w:val="en-GB"/>
              </w:rPr>
            </w:pPr>
            <w:r w:rsidRPr="00732886">
              <w:rPr>
                <w:b/>
                <w:sz w:val="20"/>
                <w:szCs w:val="20"/>
                <w:lang w:val="en-GB"/>
              </w:rPr>
              <w:t>HDI quartile</w:t>
            </w:r>
            <w:r w:rsidRPr="00732886">
              <w:rPr>
                <w:sz w:val="20"/>
                <w:szCs w:val="20"/>
                <w:lang w:val="en-GB"/>
              </w:rPr>
              <w:t xml:space="preserve"> (1</w:t>
            </w:r>
            <w:r w:rsidRPr="00732886">
              <w:rPr>
                <w:sz w:val="20"/>
                <w:szCs w:val="20"/>
                <w:vertAlign w:val="superscript"/>
                <w:lang w:val="en-GB"/>
              </w:rPr>
              <w:t>st</w:t>
            </w:r>
            <w:r w:rsidRPr="00732886">
              <w:rPr>
                <w:sz w:val="20"/>
                <w:szCs w:val="20"/>
                <w:lang w:val="en-GB"/>
              </w:rPr>
              <w:t xml:space="preserve"> quartile is ref. cat</w:t>
            </w:r>
            <w:r>
              <w:rPr>
                <w:sz w:val="20"/>
                <w:szCs w:val="20"/>
                <w:lang w:val="en-GB"/>
              </w:rPr>
              <w:t>egory</w:t>
            </w:r>
            <w:r w:rsidRPr="00732886">
              <w:rPr>
                <w:sz w:val="20"/>
                <w:szCs w:val="20"/>
                <w:lang w:val="en-GB"/>
              </w:rPr>
              <w:t>)</w:t>
            </w:r>
          </w:p>
        </w:tc>
        <w:tc>
          <w:tcPr>
            <w:tcW w:w="2268" w:type="dxa"/>
            <w:vAlign w:val="center"/>
          </w:tcPr>
          <w:p w14:paraId="04427B26" w14:textId="77777777" w:rsidR="009B57E2" w:rsidRPr="00732886" w:rsidRDefault="009B57E2" w:rsidP="00B64335">
            <w:pPr>
              <w:spacing w:after="0" w:line="240" w:lineRule="auto"/>
              <w:jc w:val="center"/>
              <w:rPr>
                <w:sz w:val="20"/>
                <w:szCs w:val="20"/>
                <w:lang w:val="en-GB"/>
              </w:rPr>
            </w:pPr>
          </w:p>
        </w:tc>
        <w:tc>
          <w:tcPr>
            <w:tcW w:w="2268" w:type="dxa"/>
            <w:vAlign w:val="center"/>
          </w:tcPr>
          <w:p w14:paraId="057B17E2" w14:textId="77777777" w:rsidR="009B57E2" w:rsidRPr="00732886" w:rsidRDefault="009B57E2" w:rsidP="00B64335">
            <w:pPr>
              <w:spacing w:after="0" w:line="240" w:lineRule="auto"/>
              <w:jc w:val="center"/>
              <w:rPr>
                <w:sz w:val="20"/>
                <w:szCs w:val="20"/>
                <w:lang w:val="en-GB"/>
              </w:rPr>
            </w:pPr>
          </w:p>
        </w:tc>
      </w:tr>
      <w:tr w:rsidR="009B57E2" w:rsidRPr="00732886" w14:paraId="774F272B" w14:textId="77777777" w:rsidTr="00B64335">
        <w:trPr>
          <w:trHeight w:val="510"/>
        </w:trPr>
        <w:tc>
          <w:tcPr>
            <w:tcW w:w="4574" w:type="dxa"/>
            <w:vAlign w:val="center"/>
          </w:tcPr>
          <w:p w14:paraId="385C7C28" w14:textId="77777777" w:rsidR="009B57E2" w:rsidRPr="00732886" w:rsidRDefault="009B57E2" w:rsidP="00B64335">
            <w:pPr>
              <w:spacing w:after="0" w:line="240" w:lineRule="auto"/>
              <w:ind w:left="170"/>
              <w:rPr>
                <w:sz w:val="20"/>
                <w:szCs w:val="20"/>
                <w:lang w:val="en-GB"/>
              </w:rPr>
            </w:pPr>
            <w:r w:rsidRPr="00732886">
              <w:rPr>
                <w:sz w:val="20"/>
                <w:szCs w:val="20"/>
                <w:lang w:val="en-GB"/>
              </w:rPr>
              <w:t>HDI 2</w:t>
            </w:r>
            <w:r w:rsidRPr="00732886">
              <w:rPr>
                <w:sz w:val="20"/>
                <w:szCs w:val="20"/>
                <w:vertAlign w:val="superscript"/>
                <w:lang w:val="en-GB"/>
              </w:rPr>
              <w:t>nd</w:t>
            </w:r>
            <w:r w:rsidRPr="00732886">
              <w:rPr>
                <w:sz w:val="20"/>
                <w:szCs w:val="20"/>
                <w:lang w:val="en-GB"/>
              </w:rPr>
              <w:t xml:space="preserve"> quartile</w:t>
            </w:r>
          </w:p>
        </w:tc>
        <w:tc>
          <w:tcPr>
            <w:tcW w:w="2268" w:type="dxa"/>
            <w:vAlign w:val="center"/>
          </w:tcPr>
          <w:p w14:paraId="4F13EABD" w14:textId="77777777" w:rsidR="009B57E2" w:rsidRPr="00732886" w:rsidRDefault="009B57E2" w:rsidP="00B64335">
            <w:pPr>
              <w:spacing w:after="0" w:line="240" w:lineRule="auto"/>
              <w:jc w:val="center"/>
              <w:rPr>
                <w:sz w:val="20"/>
                <w:szCs w:val="20"/>
                <w:lang w:val="en-GB"/>
              </w:rPr>
            </w:pPr>
            <w:r w:rsidRPr="00732886">
              <w:rPr>
                <w:sz w:val="20"/>
                <w:szCs w:val="20"/>
                <w:lang w:val="en-GB"/>
              </w:rPr>
              <w:t>48.935</w:t>
            </w:r>
            <w:r w:rsidRPr="00732886">
              <w:rPr>
                <w:sz w:val="20"/>
                <w:szCs w:val="20"/>
                <w:lang w:val="en-GB"/>
              </w:rPr>
              <w:br/>
              <w:t>(14.894)</w:t>
            </w:r>
          </w:p>
        </w:tc>
        <w:tc>
          <w:tcPr>
            <w:tcW w:w="2268" w:type="dxa"/>
            <w:vAlign w:val="center"/>
          </w:tcPr>
          <w:p w14:paraId="4A213731" w14:textId="77777777" w:rsidR="009B57E2" w:rsidRPr="00732886" w:rsidRDefault="009B57E2" w:rsidP="00B64335">
            <w:pPr>
              <w:spacing w:after="0" w:line="240" w:lineRule="auto"/>
              <w:jc w:val="center"/>
              <w:rPr>
                <w:sz w:val="20"/>
                <w:szCs w:val="20"/>
                <w:lang w:val="en-GB"/>
              </w:rPr>
            </w:pPr>
            <w:r w:rsidRPr="00732886">
              <w:rPr>
                <w:sz w:val="20"/>
                <w:szCs w:val="20"/>
                <w:lang w:val="en-GB"/>
              </w:rPr>
              <w:t>47.775</w:t>
            </w:r>
            <w:r w:rsidRPr="00732886">
              <w:rPr>
                <w:sz w:val="20"/>
                <w:szCs w:val="20"/>
                <w:lang w:val="en-GB"/>
              </w:rPr>
              <w:br/>
              <w:t>(14.749)</w:t>
            </w:r>
          </w:p>
        </w:tc>
      </w:tr>
      <w:tr w:rsidR="009B57E2" w:rsidRPr="00732886" w14:paraId="33D6BC8B" w14:textId="77777777" w:rsidTr="00B64335">
        <w:trPr>
          <w:trHeight w:val="510"/>
        </w:trPr>
        <w:tc>
          <w:tcPr>
            <w:tcW w:w="4574" w:type="dxa"/>
            <w:vAlign w:val="center"/>
          </w:tcPr>
          <w:p w14:paraId="329E8AB1" w14:textId="77777777" w:rsidR="009B57E2" w:rsidRPr="00732886" w:rsidRDefault="009B57E2" w:rsidP="00B64335">
            <w:pPr>
              <w:spacing w:after="0" w:line="240" w:lineRule="auto"/>
              <w:ind w:left="170"/>
              <w:rPr>
                <w:sz w:val="20"/>
                <w:szCs w:val="20"/>
                <w:lang w:val="en-GB"/>
              </w:rPr>
            </w:pPr>
            <w:r w:rsidRPr="00732886">
              <w:rPr>
                <w:sz w:val="20"/>
                <w:szCs w:val="20"/>
                <w:lang w:val="en-GB"/>
              </w:rPr>
              <w:t>HDI 3</w:t>
            </w:r>
            <w:r w:rsidRPr="00732886">
              <w:rPr>
                <w:sz w:val="20"/>
                <w:szCs w:val="20"/>
                <w:vertAlign w:val="superscript"/>
                <w:lang w:val="en-GB"/>
              </w:rPr>
              <w:t>rd</w:t>
            </w:r>
            <w:r w:rsidRPr="00732886">
              <w:rPr>
                <w:sz w:val="20"/>
                <w:szCs w:val="20"/>
                <w:lang w:val="en-GB"/>
              </w:rPr>
              <w:t xml:space="preserve"> quartile</w:t>
            </w:r>
          </w:p>
        </w:tc>
        <w:tc>
          <w:tcPr>
            <w:tcW w:w="2268" w:type="dxa"/>
            <w:tcBorders>
              <w:bottom w:val="nil"/>
            </w:tcBorders>
            <w:vAlign w:val="center"/>
          </w:tcPr>
          <w:p w14:paraId="073B7BB3" w14:textId="77777777" w:rsidR="009B57E2" w:rsidRPr="00732886" w:rsidRDefault="009B57E2" w:rsidP="00B64335">
            <w:pPr>
              <w:spacing w:after="0" w:line="240" w:lineRule="auto"/>
              <w:jc w:val="center"/>
              <w:rPr>
                <w:sz w:val="20"/>
                <w:szCs w:val="20"/>
                <w:lang w:val="en-GB"/>
              </w:rPr>
            </w:pPr>
            <w:r w:rsidRPr="00732886">
              <w:rPr>
                <w:sz w:val="20"/>
                <w:szCs w:val="20"/>
                <w:lang w:val="en-GB"/>
              </w:rPr>
              <w:t>94.656</w:t>
            </w:r>
            <w:r w:rsidRPr="00732886">
              <w:rPr>
                <w:sz w:val="20"/>
                <w:szCs w:val="20"/>
                <w:lang w:val="en-GB"/>
              </w:rPr>
              <w:br/>
              <w:t>(14.918)</w:t>
            </w:r>
          </w:p>
        </w:tc>
        <w:tc>
          <w:tcPr>
            <w:tcW w:w="2268" w:type="dxa"/>
            <w:tcBorders>
              <w:bottom w:val="nil"/>
            </w:tcBorders>
            <w:vAlign w:val="center"/>
          </w:tcPr>
          <w:p w14:paraId="10053BE0" w14:textId="77777777" w:rsidR="009B57E2" w:rsidRPr="00732886" w:rsidRDefault="009B57E2" w:rsidP="00B64335">
            <w:pPr>
              <w:spacing w:after="0" w:line="240" w:lineRule="auto"/>
              <w:jc w:val="center"/>
              <w:rPr>
                <w:sz w:val="20"/>
                <w:szCs w:val="20"/>
                <w:lang w:val="en-GB"/>
              </w:rPr>
            </w:pPr>
            <w:r w:rsidRPr="00732886">
              <w:rPr>
                <w:sz w:val="20"/>
                <w:szCs w:val="20"/>
                <w:lang w:val="en-GB"/>
              </w:rPr>
              <w:t>89.684</w:t>
            </w:r>
            <w:r w:rsidRPr="00732886">
              <w:rPr>
                <w:sz w:val="20"/>
                <w:szCs w:val="20"/>
                <w:lang w:val="en-GB"/>
              </w:rPr>
              <w:br/>
              <w:t>(14.768)</w:t>
            </w:r>
          </w:p>
        </w:tc>
      </w:tr>
      <w:tr w:rsidR="009B57E2" w:rsidRPr="00732886" w14:paraId="2E1B707B" w14:textId="77777777" w:rsidTr="00B64335">
        <w:trPr>
          <w:trHeight w:val="510"/>
        </w:trPr>
        <w:tc>
          <w:tcPr>
            <w:tcW w:w="4574" w:type="dxa"/>
            <w:vAlign w:val="center"/>
          </w:tcPr>
          <w:p w14:paraId="500BF4DD" w14:textId="77777777" w:rsidR="009B57E2" w:rsidRPr="00732886" w:rsidRDefault="009B57E2" w:rsidP="00B64335">
            <w:pPr>
              <w:spacing w:after="0" w:line="240" w:lineRule="auto"/>
              <w:ind w:left="170"/>
              <w:rPr>
                <w:sz w:val="20"/>
                <w:szCs w:val="20"/>
                <w:lang w:val="en-GB"/>
              </w:rPr>
            </w:pPr>
            <w:r w:rsidRPr="00732886">
              <w:rPr>
                <w:sz w:val="20"/>
                <w:szCs w:val="20"/>
                <w:lang w:val="en-GB"/>
              </w:rPr>
              <w:t>HDI 4</w:t>
            </w:r>
            <w:r w:rsidRPr="00732886">
              <w:rPr>
                <w:sz w:val="20"/>
                <w:szCs w:val="20"/>
                <w:vertAlign w:val="superscript"/>
                <w:lang w:val="en-GB"/>
              </w:rPr>
              <w:t>th</w:t>
            </w:r>
            <w:r w:rsidRPr="00732886">
              <w:rPr>
                <w:sz w:val="20"/>
                <w:szCs w:val="20"/>
                <w:lang w:val="en-GB"/>
              </w:rPr>
              <w:t xml:space="preserve"> quartile</w:t>
            </w:r>
          </w:p>
        </w:tc>
        <w:tc>
          <w:tcPr>
            <w:tcW w:w="2268" w:type="dxa"/>
            <w:tcBorders>
              <w:top w:val="nil"/>
              <w:bottom w:val="nil"/>
            </w:tcBorders>
            <w:vAlign w:val="center"/>
          </w:tcPr>
          <w:p w14:paraId="75BDB05A" w14:textId="77777777" w:rsidR="009B57E2" w:rsidRPr="00732886" w:rsidRDefault="009B57E2" w:rsidP="00B64335">
            <w:pPr>
              <w:spacing w:after="0" w:line="240" w:lineRule="auto"/>
              <w:jc w:val="center"/>
              <w:rPr>
                <w:sz w:val="20"/>
                <w:szCs w:val="20"/>
                <w:lang w:val="en-GB"/>
              </w:rPr>
            </w:pPr>
            <w:r w:rsidRPr="00732886">
              <w:rPr>
                <w:sz w:val="20"/>
                <w:szCs w:val="20"/>
                <w:lang w:val="en-GB"/>
              </w:rPr>
              <w:t>111.794</w:t>
            </w:r>
            <w:r w:rsidRPr="00732886">
              <w:rPr>
                <w:sz w:val="20"/>
                <w:szCs w:val="20"/>
                <w:lang w:val="en-GB"/>
              </w:rPr>
              <w:br/>
              <w:t>(14.877)</w:t>
            </w:r>
          </w:p>
        </w:tc>
        <w:tc>
          <w:tcPr>
            <w:tcW w:w="2268" w:type="dxa"/>
            <w:tcBorders>
              <w:top w:val="nil"/>
              <w:bottom w:val="nil"/>
            </w:tcBorders>
            <w:vAlign w:val="center"/>
          </w:tcPr>
          <w:p w14:paraId="09236662" w14:textId="77777777" w:rsidR="009B57E2" w:rsidRPr="00732886" w:rsidRDefault="009B57E2" w:rsidP="00B64335">
            <w:pPr>
              <w:spacing w:after="0" w:line="240" w:lineRule="auto"/>
              <w:jc w:val="center"/>
              <w:rPr>
                <w:sz w:val="20"/>
                <w:szCs w:val="20"/>
                <w:lang w:val="en-GB"/>
              </w:rPr>
            </w:pPr>
            <w:r w:rsidRPr="00732886">
              <w:rPr>
                <w:sz w:val="20"/>
                <w:szCs w:val="20"/>
                <w:lang w:val="en-GB"/>
              </w:rPr>
              <w:t>103.301</w:t>
            </w:r>
            <w:r w:rsidRPr="00732886">
              <w:rPr>
                <w:sz w:val="20"/>
                <w:szCs w:val="20"/>
                <w:lang w:val="en-GB"/>
              </w:rPr>
              <w:br/>
              <w:t>(14.736)</w:t>
            </w:r>
          </w:p>
        </w:tc>
      </w:tr>
      <w:tr w:rsidR="009B57E2" w:rsidRPr="00732886" w14:paraId="26B6D0F2" w14:textId="77777777" w:rsidTr="00B64335">
        <w:trPr>
          <w:trHeight w:val="510"/>
        </w:trPr>
        <w:tc>
          <w:tcPr>
            <w:tcW w:w="4574" w:type="dxa"/>
            <w:vAlign w:val="center"/>
          </w:tcPr>
          <w:p w14:paraId="6DB6DEF8" w14:textId="77777777" w:rsidR="009B57E2" w:rsidRPr="00732886" w:rsidRDefault="009B57E2" w:rsidP="00B64335">
            <w:pPr>
              <w:spacing w:after="0" w:line="240" w:lineRule="auto"/>
              <w:rPr>
                <w:sz w:val="20"/>
                <w:szCs w:val="20"/>
                <w:lang w:val="en-GB"/>
              </w:rPr>
            </w:pPr>
            <w:r w:rsidRPr="00732886">
              <w:rPr>
                <w:b/>
                <w:sz w:val="20"/>
                <w:szCs w:val="20"/>
                <w:lang w:val="en-GB"/>
              </w:rPr>
              <w:t>Male</w:t>
            </w:r>
          </w:p>
        </w:tc>
        <w:tc>
          <w:tcPr>
            <w:tcW w:w="2268" w:type="dxa"/>
            <w:tcBorders>
              <w:top w:val="nil"/>
            </w:tcBorders>
            <w:vAlign w:val="center"/>
          </w:tcPr>
          <w:p w14:paraId="1B94CA74" w14:textId="77777777" w:rsidR="009B57E2" w:rsidRPr="00732886" w:rsidRDefault="009B57E2" w:rsidP="00B64335">
            <w:pPr>
              <w:spacing w:after="0" w:line="240" w:lineRule="auto"/>
              <w:jc w:val="center"/>
              <w:rPr>
                <w:sz w:val="20"/>
                <w:szCs w:val="20"/>
                <w:lang w:val="en-GB"/>
              </w:rPr>
            </w:pPr>
          </w:p>
        </w:tc>
        <w:tc>
          <w:tcPr>
            <w:tcW w:w="2268" w:type="dxa"/>
            <w:tcBorders>
              <w:top w:val="nil"/>
            </w:tcBorders>
            <w:vAlign w:val="center"/>
          </w:tcPr>
          <w:p w14:paraId="36278F72" w14:textId="77777777" w:rsidR="009B57E2" w:rsidRPr="00732886" w:rsidRDefault="009B57E2" w:rsidP="00B64335">
            <w:pPr>
              <w:spacing w:after="0" w:line="240" w:lineRule="auto"/>
              <w:jc w:val="center"/>
              <w:rPr>
                <w:sz w:val="20"/>
                <w:szCs w:val="20"/>
                <w:lang w:val="en-GB"/>
              </w:rPr>
            </w:pPr>
            <w:r w:rsidRPr="00732886">
              <w:rPr>
                <w:sz w:val="20"/>
                <w:szCs w:val="20"/>
                <w:lang w:val="en-GB"/>
              </w:rPr>
              <w:t>-24.568</w:t>
            </w:r>
            <w:r w:rsidRPr="00732886">
              <w:rPr>
                <w:sz w:val="20"/>
                <w:szCs w:val="20"/>
                <w:lang w:val="en-GB"/>
              </w:rPr>
              <w:br/>
              <w:t>(0.425)</w:t>
            </w:r>
          </w:p>
        </w:tc>
      </w:tr>
      <w:tr w:rsidR="009B57E2" w:rsidRPr="00732886" w14:paraId="5628D686" w14:textId="77777777" w:rsidTr="00B64335">
        <w:trPr>
          <w:trHeight w:val="510"/>
        </w:trPr>
        <w:tc>
          <w:tcPr>
            <w:tcW w:w="4574" w:type="dxa"/>
            <w:vAlign w:val="center"/>
          </w:tcPr>
          <w:p w14:paraId="4E7AA729" w14:textId="77777777" w:rsidR="009B57E2" w:rsidRPr="00732886" w:rsidRDefault="009B57E2" w:rsidP="00B64335">
            <w:pPr>
              <w:spacing w:after="0" w:line="240" w:lineRule="auto"/>
              <w:rPr>
                <w:sz w:val="20"/>
                <w:szCs w:val="20"/>
                <w:lang w:val="en-GB"/>
              </w:rPr>
            </w:pPr>
            <w:r w:rsidRPr="00732886">
              <w:rPr>
                <w:b/>
                <w:sz w:val="20"/>
                <w:szCs w:val="20"/>
                <w:lang w:val="en-GB"/>
              </w:rPr>
              <w:t>Family structure</w:t>
            </w:r>
            <w:r w:rsidRPr="00732886">
              <w:rPr>
                <w:sz w:val="20"/>
                <w:szCs w:val="20"/>
                <w:lang w:val="en-GB"/>
              </w:rPr>
              <w:t xml:space="preserve"> (intact family is ref. category)</w:t>
            </w:r>
          </w:p>
        </w:tc>
        <w:tc>
          <w:tcPr>
            <w:tcW w:w="2268" w:type="dxa"/>
            <w:vAlign w:val="center"/>
          </w:tcPr>
          <w:p w14:paraId="526BA22A" w14:textId="77777777" w:rsidR="009B57E2" w:rsidRPr="00732886" w:rsidRDefault="009B57E2" w:rsidP="00B64335">
            <w:pPr>
              <w:spacing w:after="0" w:line="240" w:lineRule="auto"/>
              <w:jc w:val="center"/>
              <w:rPr>
                <w:sz w:val="20"/>
                <w:szCs w:val="20"/>
                <w:lang w:val="en-GB"/>
              </w:rPr>
            </w:pPr>
          </w:p>
        </w:tc>
        <w:tc>
          <w:tcPr>
            <w:tcW w:w="2268" w:type="dxa"/>
            <w:vAlign w:val="center"/>
          </w:tcPr>
          <w:p w14:paraId="06391009" w14:textId="77777777" w:rsidR="009B57E2" w:rsidRPr="00732886" w:rsidRDefault="009B57E2" w:rsidP="00B64335">
            <w:pPr>
              <w:spacing w:after="0" w:line="240" w:lineRule="auto"/>
              <w:jc w:val="center"/>
              <w:rPr>
                <w:sz w:val="20"/>
                <w:szCs w:val="20"/>
                <w:lang w:val="en-GB"/>
              </w:rPr>
            </w:pPr>
          </w:p>
        </w:tc>
      </w:tr>
      <w:tr w:rsidR="009B57E2" w:rsidRPr="00732886" w14:paraId="21C14BC0" w14:textId="77777777" w:rsidTr="00B64335">
        <w:trPr>
          <w:trHeight w:val="510"/>
        </w:trPr>
        <w:tc>
          <w:tcPr>
            <w:tcW w:w="4574" w:type="dxa"/>
            <w:vAlign w:val="center"/>
          </w:tcPr>
          <w:p w14:paraId="77BAC7CA" w14:textId="77777777" w:rsidR="009B57E2" w:rsidRPr="00732886" w:rsidRDefault="009B57E2" w:rsidP="00B64335">
            <w:pPr>
              <w:spacing w:after="0" w:line="240" w:lineRule="auto"/>
              <w:ind w:left="170"/>
              <w:rPr>
                <w:sz w:val="20"/>
                <w:szCs w:val="20"/>
                <w:lang w:val="en-GB"/>
              </w:rPr>
            </w:pPr>
            <w:r w:rsidRPr="00732886">
              <w:rPr>
                <w:sz w:val="20"/>
                <w:szCs w:val="20"/>
                <w:lang w:val="en-GB"/>
              </w:rPr>
              <w:t>Single parent</w:t>
            </w:r>
          </w:p>
        </w:tc>
        <w:tc>
          <w:tcPr>
            <w:tcW w:w="2268" w:type="dxa"/>
            <w:vAlign w:val="center"/>
          </w:tcPr>
          <w:p w14:paraId="538F8CEA" w14:textId="77777777" w:rsidR="009B57E2" w:rsidRPr="00732886" w:rsidRDefault="009B57E2" w:rsidP="00B64335">
            <w:pPr>
              <w:spacing w:after="0" w:line="240" w:lineRule="auto"/>
              <w:jc w:val="center"/>
              <w:rPr>
                <w:sz w:val="20"/>
                <w:szCs w:val="20"/>
                <w:lang w:val="en-GB"/>
              </w:rPr>
            </w:pPr>
          </w:p>
        </w:tc>
        <w:tc>
          <w:tcPr>
            <w:tcW w:w="2268" w:type="dxa"/>
            <w:vAlign w:val="center"/>
          </w:tcPr>
          <w:p w14:paraId="451DC2A7" w14:textId="77777777" w:rsidR="009B57E2" w:rsidRPr="00732886" w:rsidRDefault="009B57E2" w:rsidP="00B64335">
            <w:pPr>
              <w:spacing w:after="0" w:line="240" w:lineRule="auto"/>
              <w:jc w:val="center"/>
              <w:rPr>
                <w:sz w:val="20"/>
                <w:szCs w:val="20"/>
                <w:lang w:val="en-GB"/>
              </w:rPr>
            </w:pPr>
            <w:r w:rsidRPr="00732886">
              <w:rPr>
                <w:sz w:val="20"/>
                <w:szCs w:val="20"/>
                <w:lang w:val="en-GB"/>
              </w:rPr>
              <w:t>-2.652</w:t>
            </w:r>
            <w:r w:rsidRPr="00732886">
              <w:rPr>
                <w:sz w:val="20"/>
                <w:szCs w:val="20"/>
                <w:lang w:val="en-GB"/>
              </w:rPr>
              <w:br/>
              <w:t>(0.602)</w:t>
            </w:r>
          </w:p>
        </w:tc>
      </w:tr>
      <w:tr w:rsidR="009B57E2" w:rsidRPr="00732886" w14:paraId="2213C524" w14:textId="77777777" w:rsidTr="00B64335">
        <w:trPr>
          <w:trHeight w:val="510"/>
        </w:trPr>
        <w:tc>
          <w:tcPr>
            <w:tcW w:w="4574" w:type="dxa"/>
            <w:vAlign w:val="center"/>
          </w:tcPr>
          <w:p w14:paraId="0F83B861" w14:textId="77777777" w:rsidR="009B57E2" w:rsidRPr="00732886" w:rsidRDefault="009B57E2" w:rsidP="00B64335">
            <w:pPr>
              <w:spacing w:after="0" w:line="240" w:lineRule="auto"/>
              <w:ind w:left="170"/>
              <w:rPr>
                <w:sz w:val="20"/>
                <w:szCs w:val="20"/>
                <w:lang w:val="en-GB"/>
              </w:rPr>
            </w:pPr>
            <w:r w:rsidRPr="00732886">
              <w:rPr>
                <w:sz w:val="20"/>
                <w:szCs w:val="20"/>
                <w:lang w:val="en-GB"/>
              </w:rPr>
              <w:t>Parent and step-parent</w:t>
            </w:r>
          </w:p>
        </w:tc>
        <w:tc>
          <w:tcPr>
            <w:tcW w:w="2268" w:type="dxa"/>
            <w:vAlign w:val="center"/>
          </w:tcPr>
          <w:p w14:paraId="4B451A7C" w14:textId="77777777" w:rsidR="009B57E2" w:rsidRPr="00732886" w:rsidRDefault="009B57E2" w:rsidP="00B64335">
            <w:pPr>
              <w:spacing w:after="0" w:line="240" w:lineRule="auto"/>
              <w:jc w:val="center"/>
              <w:rPr>
                <w:sz w:val="20"/>
                <w:szCs w:val="20"/>
                <w:lang w:val="en-GB"/>
              </w:rPr>
            </w:pPr>
          </w:p>
        </w:tc>
        <w:tc>
          <w:tcPr>
            <w:tcW w:w="2268" w:type="dxa"/>
            <w:vAlign w:val="center"/>
          </w:tcPr>
          <w:p w14:paraId="3515D832" w14:textId="77777777" w:rsidR="009B57E2" w:rsidRPr="00732886" w:rsidRDefault="009B57E2" w:rsidP="00B64335">
            <w:pPr>
              <w:spacing w:after="0" w:line="240" w:lineRule="auto"/>
              <w:jc w:val="center"/>
              <w:rPr>
                <w:sz w:val="20"/>
                <w:szCs w:val="20"/>
                <w:lang w:val="en-GB"/>
              </w:rPr>
            </w:pPr>
            <w:r w:rsidRPr="00732886">
              <w:rPr>
                <w:sz w:val="20"/>
                <w:szCs w:val="20"/>
                <w:lang w:val="en-GB"/>
              </w:rPr>
              <w:t>-4.836</w:t>
            </w:r>
            <w:r w:rsidRPr="00732886">
              <w:rPr>
                <w:sz w:val="20"/>
                <w:szCs w:val="20"/>
                <w:lang w:val="en-GB"/>
              </w:rPr>
              <w:br/>
              <w:t>(0.808)</w:t>
            </w:r>
          </w:p>
        </w:tc>
      </w:tr>
      <w:tr w:rsidR="009B57E2" w:rsidRPr="00732886" w14:paraId="42B78A16" w14:textId="77777777" w:rsidTr="00B64335">
        <w:trPr>
          <w:trHeight w:val="510"/>
        </w:trPr>
        <w:tc>
          <w:tcPr>
            <w:tcW w:w="4574" w:type="dxa"/>
            <w:vAlign w:val="center"/>
          </w:tcPr>
          <w:p w14:paraId="6B7EBAC9" w14:textId="77777777" w:rsidR="009B57E2" w:rsidRPr="00732886" w:rsidRDefault="009B57E2" w:rsidP="00B64335">
            <w:pPr>
              <w:spacing w:after="0" w:line="240" w:lineRule="auto"/>
              <w:rPr>
                <w:b/>
                <w:sz w:val="20"/>
                <w:szCs w:val="20"/>
                <w:lang w:val="en-GB"/>
              </w:rPr>
            </w:pPr>
            <w:r w:rsidRPr="00732886">
              <w:rPr>
                <w:b/>
                <w:sz w:val="20"/>
                <w:szCs w:val="20"/>
                <w:lang w:val="en-GB"/>
              </w:rPr>
              <w:t>Education</w:t>
            </w:r>
            <w:r w:rsidRPr="00732886">
              <w:rPr>
                <w:sz w:val="20"/>
                <w:szCs w:val="20"/>
                <w:lang w:val="en-GB"/>
              </w:rPr>
              <w:t xml:space="preserve"> (ISCED level 1 or lower is ref. category)</w:t>
            </w:r>
          </w:p>
        </w:tc>
        <w:tc>
          <w:tcPr>
            <w:tcW w:w="2268" w:type="dxa"/>
            <w:vAlign w:val="center"/>
          </w:tcPr>
          <w:p w14:paraId="77D0A082" w14:textId="77777777" w:rsidR="009B57E2" w:rsidRPr="00732886" w:rsidRDefault="009B57E2" w:rsidP="00B64335">
            <w:pPr>
              <w:spacing w:after="0" w:line="240" w:lineRule="auto"/>
              <w:jc w:val="center"/>
              <w:rPr>
                <w:sz w:val="20"/>
                <w:szCs w:val="20"/>
                <w:lang w:val="en-GB"/>
              </w:rPr>
            </w:pPr>
          </w:p>
        </w:tc>
        <w:tc>
          <w:tcPr>
            <w:tcW w:w="2268" w:type="dxa"/>
            <w:vAlign w:val="center"/>
          </w:tcPr>
          <w:p w14:paraId="19AAA639" w14:textId="77777777" w:rsidR="009B57E2" w:rsidRPr="00732886" w:rsidRDefault="009B57E2" w:rsidP="00B64335">
            <w:pPr>
              <w:spacing w:after="0" w:line="240" w:lineRule="auto"/>
              <w:jc w:val="center"/>
              <w:rPr>
                <w:sz w:val="20"/>
                <w:szCs w:val="20"/>
                <w:lang w:val="en-GB"/>
              </w:rPr>
            </w:pPr>
          </w:p>
        </w:tc>
      </w:tr>
      <w:tr w:rsidR="009B57E2" w:rsidRPr="00732886" w14:paraId="3D5D1BBD" w14:textId="77777777" w:rsidTr="00B64335">
        <w:trPr>
          <w:trHeight w:val="510"/>
        </w:trPr>
        <w:tc>
          <w:tcPr>
            <w:tcW w:w="4574" w:type="dxa"/>
            <w:vAlign w:val="center"/>
          </w:tcPr>
          <w:p w14:paraId="16393C5F" w14:textId="77777777" w:rsidR="009B57E2" w:rsidRPr="00732886" w:rsidRDefault="009B57E2" w:rsidP="00B64335">
            <w:pPr>
              <w:spacing w:after="0" w:line="240" w:lineRule="auto"/>
              <w:ind w:left="170"/>
              <w:rPr>
                <w:sz w:val="20"/>
                <w:szCs w:val="20"/>
                <w:lang w:val="en-GB"/>
              </w:rPr>
            </w:pPr>
            <w:r w:rsidRPr="00732886">
              <w:rPr>
                <w:sz w:val="20"/>
                <w:szCs w:val="20"/>
                <w:lang w:val="en-GB"/>
              </w:rPr>
              <w:t>ISCED 2</w:t>
            </w:r>
          </w:p>
        </w:tc>
        <w:tc>
          <w:tcPr>
            <w:tcW w:w="2268" w:type="dxa"/>
            <w:vAlign w:val="center"/>
          </w:tcPr>
          <w:p w14:paraId="2CCDBBD7" w14:textId="77777777" w:rsidR="009B57E2" w:rsidRPr="00732886" w:rsidRDefault="009B57E2" w:rsidP="00B64335">
            <w:pPr>
              <w:spacing w:after="0" w:line="240" w:lineRule="auto"/>
              <w:jc w:val="center"/>
              <w:rPr>
                <w:sz w:val="20"/>
                <w:szCs w:val="20"/>
                <w:lang w:val="en-GB"/>
              </w:rPr>
            </w:pPr>
          </w:p>
        </w:tc>
        <w:tc>
          <w:tcPr>
            <w:tcW w:w="2268" w:type="dxa"/>
            <w:vAlign w:val="center"/>
          </w:tcPr>
          <w:p w14:paraId="6BABEAD7" w14:textId="77777777" w:rsidR="009B57E2" w:rsidRPr="00732886" w:rsidRDefault="009B57E2" w:rsidP="00B64335">
            <w:pPr>
              <w:spacing w:after="0" w:line="240" w:lineRule="auto"/>
              <w:jc w:val="center"/>
              <w:rPr>
                <w:sz w:val="20"/>
                <w:szCs w:val="20"/>
                <w:lang w:val="en-GB"/>
              </w:rPr>
            </w:pPr>
            <w:r w:rsidRPr="00732886">
              <w:rPr>
                <w:sz w:val="20"/>
                <w:szCs w:val="20"/>
                <w:lang w:val="en-GB"/>
              </w:rPr>
              <w:t>3.783</w:t>
            </w:r>
            <w:r w:rsidRPr="00732886">
              <w:rPr>
                <w:sz w:val="20"/>
                <w:szCs w:val="20"/>
                <w:lang w:val="en-GB"/>
              </w:rPr>
              <w:br/>
              <w:t>(0.898)</w:t>
            </w:r>
          </w:p>
        </w:tc>
      </w:tr>
      <w:tr w:rsidR="009B57E2" w:rsidRPr="00732886" w14:paraId="083BC3DA" w14:textId="77777777" w:rsidTr="00B64335">
        <w:trPr>
          <w:trHeight w:val="510"/>
        </w:trPr>
        <w:tc>
          <w:tcPr>
            <w:tcW w:w="4574" w:type="dxa"/>
            <w:vAlign w:val="center"/>
          </w:tcPr>
          <w:p w14:paraId="37FDEF36" w14:textId="77777777" w:rsidR="009B57E2" w:rsidRPr="00732886" w:rsidRDefault="009B57E2" w:rsidP="00B64335">
            <w:pPr>
              <w:spacing w:after="0" w:line="240" w:lineRule="auto"/>
              <w:ind w:left="170"/>
              <w:rPr>
                <w:sz w:val="20"/>
                <w:szCs w:val="20"/>
                <w:lang w:val="en-GB"/>
              </w:rPr>
            </w:pPr>
            <w:r w:rsidRPr="00732886">
              <w:rPr>
                <w:sz w:val="20"/>
                <w:szCs w:val="20"/>
                <w:lang w:val="en-GB"/>
              </w:rPr>
              <w:t xml:space="preserve">ISCED </w:t>
            </w:r>
            <w:r>
              <w:rPr>
                <w:sz w:val="20"/>
                <w:szCs w:val="20"/>
                <w:lang w:val="en-GB"/>
              </w:rPr>
              <w:t>3B, or</w:t>
            </w:r>
            <w:r w:rsidRPr="00732886">
              <w:rPr>
                <w:sz w:val="20"/>
                <w:szCs w:val="20"/>
                <w:lang w:val="en-GB"/>
              </w:rPr>
              <w:t xml:space="preserve"> 3C</w:t>
            </w:r>
          </w:p>
        </w:tc>
        <w:tc>
          <w:tcPr>
            <w:tcW w:w="2268" w:type="dxa"/>
            <w:vAlign w:val="center"/>
          </w:tcPr>
          <w:p w14:paraId="23CEC462" w14:textId="77777777" w:rsidR="009B57E2" w:rsidRPr="00732886" w:rsidRDefault="009B57E2" w:rsidP="00B64335">
            <w:pPr>
              <w:spacing w:after="0" w:line="240" w:lineRule="auto"/>
              <w:jc w:val="center"/>
              <w:rPr>
                <w:sz w:val="20"/>
                <w:szCs w:val="20"/>
                <w:lang w:val="en-GB"/>
              </w:rPr>
            </w:pPr>
          </w:p>
        </w:tc>
        <w:tc>
          <w:tcPr>
            <w:tcW w:w="2268" w:type="dxa"/>
            <w:vAlign w:val="center"/>
          </w:tcPr>
          <w:p w14:paraId="4E50AE4E" w14:textId="77777777" w:rsidR="009B57E2" w:rsidRPr="00732886" w:rsidRDefault="009B57E2" w:rsidP="00B64335">
            <w:pPr>
              <w:spacing w:after="0" w:line="240" w:lineRule="auto"/>
              <w:jc w:val="center"/>
              <w:rPr>
                <w:sz w:val="20"/>
                <w:szCs w:val="20"/>
                <w:lang w:val="en-GB"/>
              </w:rPr>
            </w:pPr>
            <w:r w:rsidRPr="00732886">
              <w:rPr>
                <w:sz w:val="20"/>
                <w:szCs w:val="20"/>
                <w:lang w:val="en-GB"/>
              </w:rPr>
              <w:t>15.748</w:t>
            </w:r>
            <w:r w:rsidRPr="00732886">
              <w:rPr>
                <w:sz w:val="20"/>
                <w:szCs w:val="20"/>
                <w:lang w:val="en-GB"/>
              </w:rPr>
              <w:br/>
              <w:t>(0.956)</w:t>
            </w:r>
          </w:p>
        </w:tc>
      </w:tr>
      <w:tr w:rsidR="009B57E2" w:rsidRPr="00732886" w14:paraId="7C5D4741" w14:textId="77777777" w:rsidTr="00B64335">
        <w:trPr>
          <w:trHeight w:val="510"/>
        </w:trPr>
        <w:tc>
          <w:tcPr>
            <w:tcW w:w="4574" w:type="dxa"/>
            <w:vAlign w:val="center"/>
          </w:tcPr>
          <w:p w14:paraId="77D529AE" w14:textId="77777777" w:rsidR="009B57E2" w:rsidRPr="00732886" w:rsidRDefault="009B57E2" w:rsidP="00B64335">
            <w:pPr>
              <w:spacing w:after="0" w:line="240" w:lineRule="auto"/>
              <w:ind w:left="170"/>
              <w:rPr>
                <w:sz w:val="20"/>
                <w:szCs w:val="20"/>
                <w:lang w:val="en-GB"/>
              </w:rPr>
            </w:pPr>
            <w:r w:rsidRPr="00732886">
              <w:rPr>
                <w:sz w:val="20"/>
                <w:szCs w:val="20"/>
                <w:lang w:val="en-GB"/>
              </w:rPr>
              <w:t>ISCED 3A</w:t>
            </w:r>
          </w:p>
        </w:tc>
        <w:tc>
          <w:tcPr>
            <w:tcW w:w="2268" w:type="dxa"/>
            <w:vAlign w:val="center"/>
          </w:tcPr>
          <w:p w14:paraId="47ACEDD9" w14:textId="77777777" w:rsidR="009B57E2" w:rsidRPr="00732886" w:rsidRDefault="009B57E2" w:rsidP="00B64335">
            <w:pPr>
              <w:spacing w:after="0" w:line="240" w:lineRule="auto"/>
              <w:jc w:val="center"/>
              <w:rPr>
                <w:sz w:val="20"/>
                <w:szCs w:val="20"/>
                <w:lang w:val="en-GB"/>
              </w:rPr>
            </w:pPr>
          </w:p>
        </w:tc>
        <w:tc>
          <w:tcPr>
            <w:tcW w:w="2268" w:type="dxa"/>
            <w:vAlign w:val="center"/>
          </w:tcPr>
          <w:p w14:paraId="502D7E90" w14:textId="77777777" w:rsidR="009B57E2" w:rsidRPr="00732886" w:rsidRDefault="009B57E2" w:rsidP="00B64335">
            <w:pPr>
              <w:spacing w:after="0" w:line="240" w:lineRule="auto"/>
              <w:jc w:val="center"/>
              <w:rPr>
                <w:sz w:val="20"/>
                <w:szCs w:val="20"/>
                <w:lang w:val="en-GB"/>
              </w:rPr>
            </w:pPr>
            <w:r w:rsidRPr="00732886">
              <w:rPr>
                <w:sz w:val="20"/>
                <w:szCs w:val="20"/>
                <w:lang w:val="en-GB"/>
              </w:rPr>
              <w:t>19.324</w:t>
            </w:r>
            <w:r w:rsidRPr="00732886">
              <w:rPr>
                <w:sz w:val="20"/>
                <w:szCs w:val="20"/>
                <w:lang w:val="en-GB"/>
              </w:rPr>
              <w:br/>
              <w:t>(0.895)</w:t>
            </w:r>
          </w:p>
        </w:tc>
      </w:tr>
      <w:tr w:rsidR="009B57E2" w:rsidRPr="00732886" w14:paraId="71448485" w14:textId="77777777" w:rsidTr="00B64335">
        <w:trPr>
          <w:trHeight w:val="510"/>
        </w:trPr>
        <w:tc>
          <w:tcPr>
            <w:tcW w:w="4574" w:type="dxa"/>
            <w:vAlign w:val="center"/>
          </w:tcPr>
          <w:p w14:paraId="21838CDD" w14:textId="77777777" w:rsidR="009B57E2" w:rsidRPr="00732886" w:rsidRDefault="009B57E2" w:rsidP="00B64335">
            <w:pPr>
              <w:tabs>
                <w:tab w:val="left" w:pos="255"/>
              </w:tabs>
              <w:spacing w:after="0" w:line="240" w:lineRule="auto"/>
              <w:ind w:left="170"/>
              <w:rPr>
                <w:sz w:val="20"/>
                <w:szCs w:val="20"/>
                <w:lang w:val="en-GB"/>
              </w:rPr>
            </w:pPr>
            <w:r w:rsidRPr="00732886">
              <w:rPr>
                <w:sz w:val="20"/>
                <w:szCs w:val="20"/>
                <w:lang w:val="en-GB"/>
              </w:rPr>
              <w:t xml:space="preserve">ISCED 5A, </w:t>
            </w:r>
            <w:r>
              <w:rPr>
                <w:sz w:val="20"/>
                <w:szCs w:val="20"/>
                <w:lang w:val="en-GB"/>
              </w:rPr>
              <w:t xml:space="preserve">or </w:t>
            </w:r>
            <w:r w:rsidRPr="00732886">
              <w:rPr>
                <w:sz w:val="20"/>
                <w:szCs w:val="20"/>
                <w:lang w:val="en-GB"/>
              </w:rPr>
              <w:t xml:space="preserve">5B, </w:t>
            </w:r>
            <w:r>
              <w:rPr>
                <w:sz w:val="20"/>
                <w:szCs w:val="20"/>
                <w:lang w:val="en-GB"/>
              </w:rPr>
              <w:t xml:space="preserve">or </w:t>
            </w:r>
            <w:r w:rsidRPr="00732886">
              <w:rPr>
                <w:sz w:val="20"/>
                <w:szCs w:val="20"/>
                <w:lang w:val="en-GB"/>
              </w:rPr>
              <w:t>6</w:t>
            </w:r>
          </w:p>
        </w:tc>
        <w:tc>
          <w:tcPr>
            <w:tcW w:w="2268" w:type="dxa"/>
            <w:vAlign w:val="center"/>
          </w:tcPr>
          <w:p w14:paraId="4EBFC4B0" w14:textId="77777777" w:rsidR="009B57E2" w:rsidRPr="00732886" w:rsidRDefault="009B57E2" w:rsidP="00B64335">
            <w:pPr>
              <w:spacing w:after="0" w:line="240" w:lineRule="auto"/>
              <w:jc w:val="center"/>
              <w:rPr>
                <w:sz w:val="20"/>
                <w:szCs w:val="20"/>
                <w:lang w:val="en-GB"/>
              </w:rPr>
            </w:pPr>
          </w:p>
        </w:tc>
        <w:tc>
          <w:tcPr>
            <w:tcW w:w="2268" w:type="dxa"/>
            <w:vAlign w:val="center"/>
          </w:tcPr>
          <w:p w14:paraId="2DE97BF0" w14:textId="77777777" w:rsidR="009B57E2" w:rsidRPr="00732886" w:rsidRDefault="009B57E2" w:rsidP="00B64335">
            <w:pPr>
              <w:spacing w:after="0" w:line="240" w:lineRule="auto"/>
              <w:jc w:val="center"/>
              <w:rPr>
                <w:sz w:val="20"/>
                <w:szCs w:val="20"/>
                <w:lang w:val="en-GB"/>
              </w:rPr>
            </w:pPr>
            <w:r w:rsidRPr="00732886">
              <w:rPr>
                <w:sz w:val="20"/>
                <w:szCs w:val="20"/>
                <w:lang w:val="en-GB"/>
              </w:rPr>
              <w:t>21.270</w:t>
            </w:r>
            <w:r w:rsidRPr="00732886">
              <w:rPr>
                <w:sz w:val="20"/>
                <w:szCs w:val="20"/>
                <w:lang w:val="en-GB"/>
              </w:rPr>
              <w:br/>
              <w:t>(0.981)</w:t>
            </w:r>
          </w:p>
        </w:tc>
      </w:tr>
      <w:tr w:rsidR="009B57E2" w:rsidRPr="00732886" w14:paraId="3F65D334" w14:textId="77777777" w:rsidTr="00B64335">
        <w:trPr>
          <w:trHeight w:val="510"/>
        </w:trPr>
        <w:tc>
          <w:tcPr>
            <w:tcW w:w="4574" w:type="dxa"/>
            <w:vAlign w:val="center"/>
          </w:tcPr>
          <w:p w14:paraId="6C9CD674" w14:textId="77777777" w:rsidR="009B57E2" w:rsidRPr="00732886" w:rsidRDefault="009B57E2" w:rsidP="00B64335">
            <w:pPr>
              <w:spacing w:after="0" w:line="240" w:lineRule="auto"/>
              <w:rPr>
                <w:sz w:val="20"/>
                <w:szCs w:val="20"/>
                <w:lang w:val="en-GB"/>
              </w:rPr>
            </w:pPr>
            <w:r w:rsidRPr="00732886">
              <w:rPr>
                <w:b/>
                <w:sz w:val="20"/>
                <w:szCs w:val="20"/>
                <w:lang w:val="en-GB"/>
              </w:rPr>
              <w:t>Socioeconomic status of parental occupation</w:t>
            </w:r>
            <w:r w:rsidRPr="00732886">
              <w:rPr>
                <w:sz w:val="20"/>
                <w:szCs w:val="20"/>
                <w:lang w:val="en-GB"/>
              </w:rPr>
              <w:t xml:space="preserve"> (ISEI)</w:t>
            </w:r>
          </w:p>
        </w:tc>
        <w:tc>
          <w:tcPr>
            <w:tcW w:w="2268" w:type="dxa"/>
            <w:vAlign w:val="center"/>
          </w:tcPr>
          <w:p w14:paraId="57DC0EF5" w14:textId="77777777" w:rsidR="009B57E2" w:rsidRPr="00732886" w:rsidRDefault="009B57E2" w:rsidP="00B64335">
            <w:pPr>
              <w:spacing w:after="0" w:line="240" w:lineRule="auto"/>
              <w:jc w:val="center"/>
              <w:rPr>
                <w:sz w:val="20"/>
                <w:szCs w:val="20"/>
                <w:lang w:val="en-GB"/>
              </w:rPr>
            </w:pPr>
          </w:p>
        </w:tc>
        <w:tc>
          <w:tcPr>
            <w:tcW w:w="2268" w:type="dxa"/>
            <w:vAlign w:val="center"/>
          </w:tcPr>
          <w:p w14:paraId="3036BFB8" w14:textId="77777777" w:rsidR="009B57E2" w:rsidRPr="00732886" w:rsidRDefault="009B57E2" w:rsidP="00B64335">
            <w:pPr>
              <w:spacing w:after="0" w:line="240" w:lineRule="auto"/>
              <w:jc w:val="center"/>
              <w:rPr>
                <w:sz w:val="20"/>
                <w:szCs w:val="20"/>
                <w:lang w:val="en-GB"/>
              </w:rPr>
            </w:pPr>
            <w:r w:rsidRPr="00732886">
              <w:rPr>
                <w:sz w:val="20"/>
                <w:szCs w:val="20"/>
                <w:lang w:val="en-GB"/>
              </w:rPr>
              <w:t>0.817</w:t>
            </w:r>
            <w:r w:rsidRPr="00732886">
              <w:rPr>
                <w:sz w:val="20"/>
                <w:szCs w:val="20"/>
                <w:lang w:val="en-GB"/>
              </w:rPr>
              <w:br/>
              <w:t>(0.017)</w:t>
            </w:r>
          </w:p>
        </w:tc>
      </w:tr>
      <w:tr w:rsidR="009B57E2" w:rsidRPr="00732886" w14:paraId="45E9CFE9" w14:textId="77777777" w:rsidTr="00B64335">
        <w:trPr>
          <w:trHeight w:val="510"/>
        </w:trPr>
        <w:tc>
          <w:tcPr>
            <w:tcW w:w="4574" w:type="dxa"/>
            <w:vAlign w:val="center"/>
          </w:tcPr>
          <w:p w14:paraId="4064582B" w14:textId="77777777" w:rsidR="009B57E2" w:rsidRPr="00732886" w:rsidRDefault="009B57E2" w:rsidP="00B64335">
            <w:pPr>
              <w:spacing w:after="0" w:line="240" w:lineRule="auto"/>
              <w:rPr>
                <w:b/>
                <w:sz w:val="20"/>
                <w:szCs w:val="20"/>
                <w:lang w:val="en-GB"/>
              </w:rPr>
            </w:pPr>
            <w:r w:rsidRPr="00732886">
              <w:rPr>
                <w:b/>
                <w:sz w:val="20"/>
                <w:szCs w:val="20"/>
                <w:lang w:val="en-GB"/>
              </w:rPr>
              <w:t>Mother employed</w:t>
            </w:r>
          </w:p>
        </w:tc>
        <w:tc>
          <w:tcPr>
            <w:tcW w:w="2268" w:type="dxa"/>
            <w:vAlign w:val="center"/>
          </w:tcPr>
          <w:p w14:paraId="64974123" w14:textId="77777777" w:rsidR="009B57E2" w:rsidRPr="00732886" w:rsidRDefault="009B57E2" w:rsidP="00B64335">
            <w:pPr>
              <w:spacing w:after="0" w:line="240" w:lineRule="auto"/>
              <w:jc w:val="center"/>
              <w:rPr>
                <w:sz w:val="20"/>
                <w:szCs w:val="20"/>
                <w:lang w:val="en-GB"/>
              </w:rPr>
            </w:pPr>
          </w:p>
        </w:tc>
        <w:tc>
          <w:tcPr>
            <w:tcW w:w="2268" w:type="dxa"/>
            <w:vAlign w:val="center"/>
          </w:tcPr>
          <w:p w14:paraId="19AABB8D" w14:textId="77777777" w:rsidR="009B57E2" w:rsidRPr="00732886" w:rsidRDefault="009B57E2" w:rsidP="00B64335">
            <w:pPr>
              <w:spacing w:after="0" w:line="240" w:lineRule="auto"/>
              <w:jc w:val="center"/>
              <w:rPr>
                <w:sz w:val="20"/>
                <w:szCs w:val="20"/>
                <w:lang w:val="en-GB"/>
              </w:rPr>
            </w:pPr>
            <w:r w:rsidRPr="00732886">
              <w:rPr>
                <w:sz w:val="20"/>
                <w:szCs w:val="20"/>
                <w:lang w:val="en-GB"/>
              </w:rPr>
              <w:t>-1.074</w:t>
            </w:r>
            <w:r w:rsidRPr="00732886">
              <w:rPr>
                <w:sz w:val="20"/>
                <w:szCs w:val="20"/>
                <w:lang w:val="en-GB"/>
              </w:rPr>
              <w:br/>
              <w:t>(0.466)</w:t>
            </w:r>
          </w:p>
        </w:tc>
      </w:tr>
    </w:tbl>
    <w:p w14:paraId="35DA069F" w14:textId="77777777" w:rsidR="009B57E2" w:rsidRPr="00494CA7" w:rsidRDefault="009B57E2" w:rsidP="009B57E2"/>
    <w:p w14:paraId="083CC799" w14:textId="77777777" w:rsidR="009B57E2" w:rsidRPr="00732886" w:rsidRDefault="009B57E2" w:rsidP="009B57E2">
      <w:pPr>
        <w:rPr>
          <w:b/>
          <w:lang w:val="en-US"/>
        </w:rPr>
      </w:pPr>
      <w:r w:rsidRPr="00494CA7">
        <w:br w:type="page"/>
      </w:r>
      <w:r w:rsidRPr="00732886">
        <w:rPr>
          <w:b/>
          <w:lang w:val="en-US"/>
        </w:rPr>
        <w:lastRenderedPageBreak/>
        <w:t>Table 4: continued</w:t>
      </w:r>
    </w:p>
    <w:tbl>
      <w:tblPr>
        <w:tblW w:w="0" w:type="auto"/>
        <w:tblBorders>
          <w:top w:val="single" w:sz="12" w:space="0" w:color="auto"/>
          <w:bottom w:val="single" w:sz="12" w:space="0" w:color="auto"/>
        </w:tblBorders>
        <w:tblLook w:val="04A0" w:firstRow="1" w:lastRow="0" w:firstColumn="1" w:lastColumn="0" w:noHBand="0" w:noVBand="1"/>
      </w:tblPr>
      <w:tblGrid>
        <w:gridCol w:w="4554"/>
        <w:gridCol w:w="2259"/>
        <w:gridCol w:w="2259"/>
      </w:tblGrid>
      <w:tr w:rsidR="009B57E2" w:rsidRPr="00732886" w14:paraId="1CDDEDE8" w14:textId="77777777" w:rsidTr="00B64335">
        <w:trPr>
          <w:trHeight w:val="510"/>
        </w:trPr>
        <w:tc>
          <w:tcPr>
            <w:tcW w:w="4574" w:type="dxa"/>
            <w:vAlign w:val="center"/>
          </w:tcPr>
          <w:p w14:paraId="1EC1F726" w14:textId="77777777" w:rsidR="009B57E2" w:rsidRPr="00732886" w:rsidRDefault="009B57E2" w:rsidP="00B64335">
            <w:pPr>
              <w:spacing w:after="0" w:line="240" w:lineRule="auto"/>
              <w:rPr>
                <w:sz w:val="20"/>
                <w:szCs w:val="20"/>
                <w:lang w:val="en-GB"/>
              </w:rPr>
            </w:pPr>
            <w:r w:rsidRPr="00732886">
              <w:rPr>
                <w:b/>
                <w:sz w:val="20"/>
                <w:szCs w:val="20"/>
                <w:lang w:val="en-GB"/>
              </w:rPr>
              <w:t>Interactions</w:t>
            </w:r>
          </w:p>
        </w:tc>
        <w:tc>
          <w:tcPr>
            <w:tcW w:w="2268" w:type="dxa"/>
            <w:vAlign w:val="center"/>
          </w:tcPr>
          <w:p w14:paraId="123339FC" w14:textId="77777777" w:rsidR="009B57E2" w:rsidRPr="00732886" w:rsidRDefault="009B57E2" w:rsidP="00B64335">
            <w:pPr>
              <w:spacing w:after="0" w:line="240" w:lineRule="auto"/>
              <w:jc w:val="center"/>
              <w:rPr>
                <w:sz w:val="20"/>
                <w:szCs w:val="20"/>
                <w:lang w:val="en-GB"/>
              </w:rPr>
            </w:pPr>
          </w:p>
        </w:tc>
        <w:tc>
          <w:tcPr>
            <w:tcW w:w="2268" w:type="dxa"/>
            <w:vAlign w:val="center"/>
          </w:tcPr>
          <w:p w14:paraId="52442F78" w14:textId="77777777" w:rsidR="009B57E2" w:rsidRPr="00732886" w:rsidRDefault="009B57E2" w:rsidP="00B64335">
            <w:pPr>
              <w:spacing w:after="0" w:line="240" w:lineRule="auto"/>
              <w:jc w:val="center"/>
              <w:rPr>
                <w:sz w:val="20"/>
                <w:szCs w:val="20"/>
                <w:lang w:val="en-GB"/>
              </w:rPr>
            </w:pPr>
          </w:p>
        </w:tc>
      </w:tr>
      <w:tr w:rsidR="009B57E2" w:rsidRPr="00732886" w14:paraId="0B412442" w14:textId="77777777" w:rsidTr="00B64335">
        <w:trPr>
          <w:trHeight w:val="510"/>
        </w:trPr>
        <w:tc>
          <w:tcPr>
            <w:tcW w:w="4574" w:type="dxa"/>
            <w:vAlign w:val="center"/>
          </w:tcPr>
          <w:p w14:paraId="08FC928F" w14:textId="77777777" w:rsidR="009B57E2" w:rsidRPr="00732886" w:rsidRDefault="009B57E2" w:rsidP="00B64335">
            <w:pPr>
              <w:spacing w:after="0" w:line="240" w:lineRule="auto"/>
              <w:ind w:left="170"/>
              <w:rPr>
                <w:sz w:val="20"/>
                <w:szCs w:val="20"/>
                <w:lang w:val="en-GB"/>
              </w:rPr>
            </w:pPr>
            <w:r w:rsidRPr="00732886">
              <w:rPr>
                <w:sz w:val="20"/>
                <w:szCs w:val="20"/>
                <w:lang w:val="en-GB"/>
              </w:rPr>
              <w:t>Sibship size*co-residence</w:t>
            </w:r>
          </w:p>
        </w:tc>
        <w:tc>
          <w:tcPr>
            <w:tcW w:w="2268" w:type="dxa"/>
            <w:vAlign w:val="center"/>
          </w:tcPr>
          <w:p w14:paraId="5C8F310B" w14:textId="77777777" w:rsidR="009B57E2" w:rsidRPr="00732886" w:rsidRDefault="009B57E2" w:rsidP="00B64335">
            <w:pPr>
              <w:spacing w:after="0" w:line="240" w:lineRule="auto"/>
              <w:jc w:val="center"/>
              <w:rPr>
                <w:sz w:val="20"/>
                <w:szCs w:val="20"/>
                <w:lang w:val="en-GB"/>
              </w:rPr>
            </w:pPr>
            <w:r w:rsidRPr="00732886">
              <w:rPr>
                <w:sz w:val="20"/>
                <w:szCs w:val="20"/>
                <w:lang w:val="en-GB"/>
              </w:rPr>
              <w:t>0.250</w:t>
            </w:r>
            <w:r w:rsidRPr="00732886">
              <w:rPr>
                <w:sz w:val="20"/>
                <w:szCs w:val="20"/>
                <w:lang w:val="en-GB"/>
              </w:rPr>
              <w:br/>
              <w:t>(0.519)</w:t>
            </w:r>
          </w:p>
        </w:tc>
        <w:tc>
          <w:tcPr>
            <w:tcW w:w="2268" w:type="dxa"/>
            <w:vAlign w:val="center"/>
          </w:tcPr>
          <w:p w14:paraId="7C595C91" w14:textId="77777777" w:rsidR="009B57E2" w:rsidRPr="00732886" w:rsidRDefault="009B57E2" w:rsidP="00B64335">
            <w:pPr>
              <w:spacing w:after="0" w:line="240" w:lineRule="auto"/>
              <w:jc w:val="center"/>
              <w:rPr>
                <w:sz w:val="20"/>
                <w:szCs w:val="20"/>
                <w:lang w:val="en-GB"/>
              </w:rPr>
            </w:pPr>
            <w:r w:rsidRPr="00732886">
              <w:rPr>
                <w:sz w:val="20"/>
                <w:szCs w:val="20"/>
                <w:lang w:val="en-GB"/>
              </w:rPr>
              <w:t>-0.288</w:t>
            </w:r>
            <w:r w:rsidRPr="00732886">
              <w:rPr>
                <w:sz w:val="20"/>
                <w:szCs w:val="20"/>
                <w:lang w:val="en-GB"/>
              </w:rPr>
              <w:br/>
              <w:t>(0.507)</w:t>
            </w:r>
          </w:p>
        </w:tc>
      </w:tr>
      <w:tr w:rsidR="009B57E2" w:rsidRPr="00732886" w14:paraId="03CC217A" w14:textId="77777777" w:rsidTr="00B64335">
        <w:trPr>
          <w:trHeight w:val="510"/>
        </w:trPr>
        <w:tc>
          <w:tcPr>
            <w:tcW w:w="4574" w:type="dxa"/>
            <w:vAlign w:val="center"/>
          </w:tcPr>
          <w:p w14:paraId="5D18BBEF" w14:textId="77777777" w:rsidR="009B57E2" w:rsidRPr="00732886" w:rsidRDefault="009B57E2" w:rsidP="00B64335">
            <w:pPr>
              <w:spacing w:after="0" w:line="240" w:lineRule="auto"/>
              <w:ind w:left="170"/>
              <w:rPr>
                <w:sz w:val="20"/>
                <w:szCs w:val="20"/>
                <w:lang w:val="en-GB"/>
              </w:rPr>
            </w:pPr>
            <w:r w:rsidRPr="00732886">
              <w:rPr>
                <w:sz w:val="20"/>
                <w:szCs w:val="20"/>
                <w:lang w:val="en-GB"/>
              </w:rPr>
              <w:t>HDI 2</w:t>
            </w:r>
            <w:r w:rsidRPr="00732886">
              <w:rPr>
                <w:sz w:val="20"/>
                <w:szCs w:val="20"/>
                <w:vertAlign w:val="superscript"/>
                <w:lang w:val="en-GB"/>
              </w:rPr>
              <w:t>nd</w:t>
            </w:r>
            <w:r w:rsidRPr="00732886">
              <w:rPr>
                <w:sz w:val="20"/>
                <w:szCs w:val="20"/>
                <w:lang w:val="en-GB"/>
              </w:rPr>
              <w:t xml:space="preserve"> quartile*co-residence</w:t>
            </w:r>
          </w:p>
        </w:tc>
        <w:tc>
          <w:tcPr>
            <w:tcW w:w="2268" w:type="dxa"/>
            <w:vAlign w:val="center"/>
          </w:tcPr>
          <w:p w14:paraId="18EEB65D" w14:textId="77777777" w:rsidR="009B57E2" w:rsidRPr="00732886" w:rsidRDefault="009B57E2" w:rsidP="00B64335">
            <w:pPr>
              <w:spacing w:after="0" w:line="240" w:lineRule="auto"/>
              <w:jc w:val="center"/>
              <w:rPr>
                <w:sz w:val="20"/>
                <w:szCs w:val="20"/>
                <w:lang w:val="en-GB"/>
              </w:rPr>
            </w:pPr>
            <w:r w:rsidRPr="00732886">
              <w:rPr>
                <w:sz w:val="20"/>
                <w:szCs w:val="20"/>
                <w:lang w:val="en-GB"/>
              </w:rPr>
              <w:t>8.248</w:t>
            </w:r>
            <w:r w:rsidRPr="00732886">
              <w:rPr>
                <w:sz w:val="20"/>
                <w:szCs w:val="20"/>
                <w:lang w:val="en-GB"/>
              </w:rPr>
              <w:br/>
              <w:t>(2.271)</w:t>
            </w:r>
          </w:p>
        </w:tc>
        <w:tc>
          <w:tcPr>
            <w:tcW w:w="2268" w:type="dxa"/>
            <w:vAlign w:val="center"/>
          </w:tcPr>
          <w:p w14:paraId="18D6CEE7" w14:textId="77777777" w:rsidR="009B57E2" w:rsidRPr="00732886" w:rsidRDefault="009B57E2" w:rsidP="00B64335">
            <w:pPr>
              <w:spacing w:after="0" w:line="240" w:lineRule="auto"/>
              <w:jc w:val="center"/>
              <w:rPr>
                <w:sz w:val="20"/>
                <w:szCs w:val="20"/>
                <w:lang w:val="en-GB"/>
              </w:rPr>
            </w:pPr>
            <w:r w:rsidRPr="00732886">
              <w:rPr>
                <w:sz w:val="20"/>
                <w:szCs w:val="20"/>
                <w:lang w:val="en-GB"/>
              </w:rPr>
              <w:t>7.157</w:t>
            </w:r>
            <w:r w:rsidRPr="00732886">
              <w:rPr>
                <w:sz w:val="20"/>
                <w:szCs w:val="20"/>
                <w:lang w:val="en-GB"/>
              </w:rPr>
              <w:br/>
              <w:t>(2.221)</w:t>
            </w:r>
          </w:p>
        </w:tc>
      </w:tr>
      <w:tr w:rsidR="009B57E2" w:rsidRPr="00732886" w14:paraId="6957A501" w14:textId="77777777" w:rsidTr="00B64335">
        <w:trPr>
          <w:trHeight w:val="510"/>
        </w:trPr>
        <w:tc>
          <w:tcPr>
            <w:tcW w:w="4574" w:type="dxa"/>
            <w:vAlign w:val="center"/>
          </w:tcPr>
          <w:p w14:paraId="492D0994" w14:textId="77777777" w:rsidR="009B57E2" w:rsidRPr="00732886" w:rsidRDefault="009B57E2" w:rsidP="00B64335">
            <w:pPr>
              <w:spacing w:after="0" w:line="240" w:lineRule="auto"/>
              <w:ind w:left="170"/>
              <w:rPr>
                <w:sz w:val="20"/>
                <w:szCs w:val="20"/>
                <w:lang w:val="en-GB"/>
              </w:rPr>
            </w:pPr>
            <w:r w:rsidRPr="00732886">
              <w:rPr>
                <w:sz w:val="20"/>
                <w:szCs w:val="20"/>
                <w:lang w:val="en-GB"/>
              </w:rPr>
              <w:t>HDI 3</w:t>
            </w:r>
            <w:r w:rsidRPr="00732886">
              <w:rPr>
                <w:sz w:val="20"/>
                <w:szCs w:val="20"/>
                <w:vertAlign w:val="superscript"/>
                <w:lang w:val="en-GB"/>
              </w:rPr>
              <w:t>rd</w:t>
            </w:r>
            <w:r w:rsidRPr="00732886">
              <w:rPr>
                <w:sz w:val="20"/>
                <w:szCs w:val="20"/>
                <w:lang w:val="en-GB"/>
              </w:rPr>
              <w:t xml:space="preserve"> quartile*co-residence</w:t>
            </w:r>
          </w:p>
        </w:tc>
        <w:tc>
          <w:tcPr>
            <w:tcW w:w="2268" w:type="dxa"/>
            <w:vAlign w:val="center"/>
          </w:tcPr>
          <w:p w14:paraId="5FD55ED0" w14:textId="77777777" w:rsidR="009B57E2" w:rsidRPr="00732886" w:rsidRDefault="009B57E2" w:rsidP="00B64335">
            <w:pPr>
              <w:spacing w:after="0" w:line="240" w:lineRule="auto"/>
              <w:jc w:val="center"/>
              <w:rPr>
                <w:sz w:val="20"/>
                <w:szCs w:val="20"/>
                <w:lang w:val="en-GB"/>
              </w:rPr>
            </w:pPr>
            <w:r w:rsidRPr="00732886">
              <w:rPr>
                <w:sz w:val="20"/>
                <w:szCs w:val="20"/>
                <w:lang w:val="en-GB"/>
              </w:rPr>
              <w:t>3.664</w:t>
            </w:r>
            <w:r w:rsidRPr="00732886">
              <w:rPr>
                <w:sz w:val="20"/>
                <w:szCs w:val="20"/>
                <w:lang w:val="en-GB"/>
              </w:rPr>
              <w:br/>
              <w:t>(2.57)</w:t>
            </w:r>
          </w:p>
        </w:tc>
        <w:tc>
          <w:tcPr>
            <w:tcW w:w="2268" w:type="dxa"/>
            <w:vAlign w:val="center"/>
          </w:tcPr>
          <w:p w14:paraId="17A3288F" w14:textId="77777777" w:rsidR="009B57E2" w:rsidRPr="00732886" w:rsidRDefault="009B57E2" w:rsidP="00B64335">
            <w:pPr>
              <w:spacing w:after="0" w:line="240" w:lineRule="auto"/>
              <w:jc w:val="center"/>
              <w:rPr>
                <w:sz w:val="20"/>
                <w:szCs w:val="20"/>
                <w:lang w:val="en-GB"/>
              </w:rPr>
            </w:pPr>
            <w:r w:rsidRPr="00732886">
              <w:rPr>
                <w:sz w:val="20"/>
                <w:szCs w:val="20"/>
                <w:lang w:val="en-GB"/>
              </w:rPr>
              <w:t>3.024</w:t>
            </w:r>
            <w:r w:rsidRPr="00732886">
              <w:rPr>
                <w:sz w:val="20"/>
                <w:szCs w:val="20"/>
                <w:lang w:val="en-GB"/>
              </w:rPr>
              <w:br/>
              <w:t>(2.508)</w:t>
            </w:r>
          </w:p>
        </w:tc>
      </w:tr>
      <w:tr w:rsidR="009B57E2" w:rsidRPr="00732886" w14:paraId="7B1ED8E9" w14:textId="77777777" w:rsidTr="00B64335">
        <w:trPr>
          <w:trHeight w:val="510"/>
        </w:trPr>
        <w:tc>
          <w:tcPr>
            <w:tcW w:w="4574" w:type="dxa"/>
            <w:vAlign w:val="center"/>
          </w:tcPr>
          <w:p w14:paraId="6261F3E6" w14:textId="77777777" w:rsidR="009B57E2" w:rsidRPr="00732886" w:rsidRDefault="009B57E2" w:rsidP="00B64335">
            <w:pPr>
              <w:spacing w:after="0" w:line="240" w:lineRule="auto"/>
              <w:ind w:left="170"/>
              <w:rPr>
                <w:sz w:val="20"/>
                <w:szCs w:val="20"/>
                <w:lang w:val="en-GB"/>
              </w:rPr>
            </w:pPr>
            <w:r w:rsidRPr="00732886">
              <w:rPr>
                <w:sz w:val="20"/>
                <w:szCs w:val="20"/>
                <w:lang w:val="en-GB"/>
              </w:rPr>
              <w:t>HDI 4</w:t>
            </w:r>
            <w:r w:rsidRPr="00732886">
              <w:rPr>
                <w:sz w:val="20"/>
                <w:szCs w:val="20"/>
                <w:vertAlign w:val="superscript"/>
                <w:lang w:val="en-GB"/>
              </w:rPr>
              <w:t>th</w:t>
            </w:r>
            <w:r w:rsidRPr="00732886">
              <w:rPr>
                <w:sz w:val="20"/>
                <w:szCs w:val="20"/>
                <w:lang w:val="en-GB"/>
              </w:rPr>
              <w:t xml:space="preserve"> quartile*co-residence</w:t>
            </w:r>
          </w:p>
        </w:tc>
        <w:tc>
          <w:tcPr>
            <w:tcW w:w="2268" w:type="dxa"/>
            <w:vAlign w:val="center"/>
          </w:tcPr>
          <w:p w14:paraId="62D6A4E8" w14:textId="77777777" w:rsidR="009B57E2" w:rsidRPr="00732886" w:rsidRDefault="009B57E2" w:rsidP="00B64335">
            <w:pPr>
              <w:spacing w:after="0" w:line="240" w:lineRule="auto"/>
              <w:jc w:val="center"/>
              <w:rPr>
                <w:sz w:val="20"/>
                <w:szCs w:val="20"/>
                <w:lang w:val="en-GB"/>
              </w:rPr>
            </w:pPr>
            <w:r w:rsidRPr="00732886">
              <w:rPr>
                <w:sz w:val="20"/>
                <w:szCs w:val="20"/>
                <w:lang w:val="en-GB"/>
              </w:rPr>
              <w:t>-13.217</w:t>
            </w:r>
            <w:r w:rsidRPr="00732886">
              <w:rPr>
                <w:sz w:val="20"/>
                <w:szCs w:val="20"/>
                <w:lang w:val="en-GB"/>
              </w:rPr>
              <w:br/>
              <w:t>(2.582)</w:t>
            </w:r>
          </w:p>
        </w:tc>
        <w:tc>
          <w:tcPr>
            <w:tcW w:w="2268" w:type="dxa"/>
            <w:vAlign w:val="center"/>
          </w:tcPr>
          <w:p w14:paraId="5F8136C4" w14:textId="77777777" w:rsidR="009B57E2" w:rsidRPr="00732886" w:rsidRDefault="009B57E2" w:rsidP="00B64335">
            <w:pPr>
              <w:spacing w:after="0" w:line="240" w:lineRule="auto"/>
              <w:jc w:val="center"/>
              <w:rPr>
                <w:sz w:val="20"/>
                <w:szCs w:val="20"/>
                <w:lang w:val="en-GB"/>
              </w:rPr>
            </w:pPr>
            <w:r w:rsidRPr="00732886">
              <w:rPr>
                <w:sz w:val="20"/>
                <w:szCs w:val="20"/>
                <w:lang w:val="en-GB"/>
              </w:rPr>
              <w:t>-12.739</w:t>
            </w:r>
            <w:r w:rsidRPr="00732886">
              <w:rPr>
                <w:sz w:val="20"/>
                <w:szCs w:val="20"/>
                <w:lang w:val="en-GB"/>
              </w:rPr>
              <w:br/>
              <w:t>(2.519)</w:t>
            </w:r>
          </w:p>
        </w:tc>
      </w:tr>
      <w:tr w:rsidR="009B57E2" w:rsidRPr="00732886" w14:paraId="0FE2BDCC" w14:textId="77777777" w:rsidTr="00B64335">
        <w:trPr>
          <w:trHeight w:val="510"/>
        </w:trPr>
        <w:tc>
          <w:tcPr>
            <w:tcW w:w="4574" w:type="dxa"/>
            <w:vAlign w:val="center"/>
          </w:tcPr>
          <w:p w14:paraId="69746F6F" w14:textId="77777777" w:rsidR="009B57E2" w:rsidRPr="00732886" w:rsidRDefault="009B57E2" w:rsidP="00B64335">
            <w:pPr>
              <w:spacing w:after="0" w:line="240" w:lineRule="auto"/>
              <w:ind w:left="170"/>
              <w:rPr>
                <w:sz w:val="20"/>
                <w:szCs w:val="20"/>
                <w:lang w:val="en-GB"/>
              </w:rPr>
            </w:pPr>
            <w:r w:rsidRPr="00732886">
              <w:rPr>
                <w:sz w:val="20"/>
                <w:szCs w:val="20"/>
                <w:lang w:val="en-GB"/>
              </w:rPr>
              <w:t>HDI 2</w:t>
            </w:r>
            <w:r w:rsidRPr="00732886">
              <w:rPr>
                <w:sz w:val="20"/>
                <w:szCs w:val="20"/>
                <w:vertAlign w:val="superscript"/>
                <w:lang w:val="en-GB"/>
              </w:rPr>
              <w:t>nd</w:t>
            </w:r>
            <w:r w:rsidRPr="00732886">
              <w:rPr>
                <w:sz w:val="20"/>
                <w:szCs w:val="20"/>
                <w:lang w:val="en-GB"/>
              </w:rPr>
              <w:t xml:space="preserve"> quartile*sibship size</w:t>
            </w:r>
          </w:p>
        </w:tc>
        <w:tc>
          <w:tcPr>
            <w:tcW w:w="2268" w:type="dxa"/>
            <w:vAlign w:val="center"/>
          </w:tcPr>
          <w:p w14:paraId="32E3DADA" w14:textId="77777777" w:rsidR="009B57E2" w:rsidRPr="00732886" w:rsidRDefault="009B57E2" w:rsidP="00B64335">
            <w:pPr>
              <w:spacing w:after="0" w:line="240" w:lineRule="auto"/>
              <w:jc w:val="center"/>
              <w:rPr>
                <w:sz w:val="20"/>
                <w:szCs w:val="20"/>
                <w:lang w:val="en-GB"/>
              </w:rPr>
            </w:pPr>
            <w:r w:rsidRPr="00732886">
              <w:rPr>
                <w:sz w:val="20"/>
                <w:szCs w:val="20"/>
                <w:lang w:val="en-GB"/>
              </w:rPr>
              <w:t>0.056</w:t>
            </w:r>
            <w:r w:rsidRPr="00732886">
              <w:rPr>
                <w:sz w:val="20"/>
                <w:szCs w:val="20"/>
                <w:lang w:val="en-GB"/>
              </w:rPr>
              <w:br/>
              <w:t>(0.562)</w:t>
            </w:r>
          </w:p>
        </w:tc>
        <w:tc>
          <w:tcPr>
            <w:tcW w:w="2268" w:type="dxa"/>
            <w:vAlign w:val="center"/>
          </w:tcPr>
          <w:p w14:paraId="6A4FBBC1" w14:textId="77777777" w:rsidR="009B57E2" w:rsidRPr="00732886" w:rsidRDefault="009B57E2" w:rsidP="00B64335">
            <w:pPr>
              <w:spacing w:after="0" w:line="240" w:lineRule="auto"/>
              <w:jc w:val="center"/>
              <w:rPr>
                <w:sz w:val="20"/>
                <w:szCs w:val="20"/>
                <w:lang w:val="en-GB"/>
              </w:rPr>
            </w:pPr>
            <w:r w:rsidRPr="00732886">
              <w:rPr>
                <w:sz w:val="20"/>
                <w:szCs w:val="20"/>
                <w:lang w:val="en-GB"/>
              </w:rPr>
              <w:t>-0.173</w:t>
            </w:r>
            <w:r w:rsidRPr="00732886">
              <w:rPr>
                <w:sz w:val="20"/>
                <w:szCs w:val="20"/>
                <w:lang w:val="en-GB"/>
              </w:rPr>
              <w:br/>
              <w:t>(0.549)</w:t>
            </w:r>
          </w:p>
        </w:tc>
      </w:tr>
      <w:tr w:rsidR="009B57E2" w:rsidRPr="00732886" w14:paraId="55DB7B71" w14:textId="77777777" w:rsidTr="00B64335">
        <w:trPr>
          <w:trHeight w:val="510"/>
        </w:trPr>
        <w:tc>
          <w:tcPr>
            <w:tcW w:w="4574" w:type="dxa"/>
            <w:vAlign w:val="center"/>
          </w:tcPr>
          <w:p w14:paraId="0897F70E" w14:textId="77777777" w:rsidR="009B57E2" w:rsidRPr="00732886" w:rsidRDefault="009B57E2" w:rsidP="00B64335">
            <w:pPr>
              <w:spacing w:after="0" w:line="240" w:lineRule="auto"/>
              <w:ind w:left="170"/>
              <w:rPr>
                <w:sz w:val="20"/>
                <w:szCs w:val="20"/>
                <w:lang w:val="en-GB"/>
              </w:rPr>
            </w:pPr>
            <w:r w:rsidRPr="00732886">
              <w:rPr>
                <w:sz w:val="20"/>
                <w:szCs w:val="20"/>
                <w:lang w:val="en-GB"/>
              </w:rPr>
              <w:t>HDI 3</w:t>
            </w:r>
            <w:r w:rsidRPr="00732886">
              <w:rPr>
                <w:sz w:val="20"/>
                <w:szCs w:val="20"/>
                <w:vertAlign w:val="superscript"/>
                <w:lang w:val="en-GB"/>
              </w:rPr>
              <w:t>rd</w:t>
            </w:r>
            <w:r w:rsidRPr="00732886">
              <w:rPr>
                <w:sz w:val="20"/>
                <w:szCs w:val="20"/>
                <w:lang w:val="en-GB"/>
              </w:rPr>
              <w:t xml:space="preserve"> quartile*sibship size</w:t>
            </w:r>
          </w:p>
        </w:tc>
        <w:tc>
          <w:tcPr>
            <w:tcW w:w="2268" w:type="dxa"/>
            <w:vAlign w:val="center"/>
          </w:tcPr>
          <w:p w14:paraId="48ED938D" w14:textId="77777777" w:rsidR="009B57E2" w:rsidRPr="00732886" w:rsidRDefault="009B57E2" w:rsidP="00B64335">
            <w:pPr>
              <w:spacing w:after="0" w:line="240" w:lineRule="auto"/>
              <w:jc w:val="center"/>
              <w:rPr>
                <w:sz w:val="20"/>
                <w:szCs w:val="20"/>
                <w:lang w:val="en-GB"/>
              </w:rPr>
            </w:pPr>
            <w:r w:rsidRPr="00732886">
              <w:rPr>
                <w:sz w:val="20"/>
                <w:szCs w:val="20"/>
                <w:lang w:val="en-GB"/>
              </w:rPr>
              <w:t>-0.734</w:t>
            </w:r>
            <w:r w:rsidRPr="00732886">
              <w:rPr>
                <w:sz w:val="20"/>
                <w:szCs w:val="20"/>
                <w:lang w:val="en-GB"/>
              </w:rPr>
              <w:br/>
              <w:t>(0.549)</w:t>
            </w:r>
          </w:p>
        </w:tc>
        <w:tc>
          <w:tcPr>
            <w:tcW w:w="2268" w:type="dxa"/>
            <w:vAlign w:val="center"/>
          </w:tcPr>
          <w:p w14:paraId="5D425C4A" w14:textId="77777777" w:rsidR="009B57E2" w:rsidRPr="00732886" w:rsidRDefault="009B57E2" w:rsidP="00B64335">
            <w:pPr>
              <w:spacing w:after="0" w:line="240" w:lineRule="auto"/>
              <w:jc w:val="center"/>
              <w:rPr>
                <w:sz w:val="20"/>
                <w:szCs w:val="20"/>
                <w:lang w:val="en-GB"/>
              </w:rPr>
            </w:pPr>
            <w:r w:rsidRPr="00732886">
              <w:rPr>
                <w:sz w:val="20"/>
                <w:szCs w:val="20"/>
                <w:lang w:val="en-GB"/>
              </w:rPr>
              <w:t>-0.937</w:t>
            </w:r>
            <w:r w:rsidRPr="00732886">
              <w:rPr>
                <w:sz w:val="20"/>
                <w:szCs w:val="20"/>
                <w:lang w:val="en-GB"/>
              </w:rPr>
              <w:br/>
              <w:t>(0.536)</w:t>
            </w:r>
          </w:p>
        </w:tc>
      </w:tr>
      <w:tr w:rsidR="009B57E2" w:rsidRPr="00732886" w14:paraId="63F25E05" w14:textId="77777777" w:rsidTr="00B64335">
        <w:trPr>
          <w:trHeight w:val="510"/>
        </w:trPr>
        <w:tc>
          <w:tcPr>
            <w:tcW w:w="4574" w:type="dxa"/>
            <w:vAlign w:val="center"/>
          </w:tcPr>
          <w:p w14:paraId="601B81DB" w14:textId="77777777" w:rsidR="009B57E2" w:rsidRPr="00732886" w:rsidRDefault="009B57E2" w:rsidP="00B64335">
            <w:pPr>
              <w:spacing w:after="0" w:line="240" w:lineRule="auto"/>
              <w:ind w:left="170"/>
              <w:rPr>
                <w:sz w:val="20"/>
                <w:szCs w:val="20"/>
                <w:lang w:val="en-GB"/>
              </w:rPr>
            </w:pPr>
            <w:r w:rsidRPr="00732886">
              <w:rPr>
                <w:sz w:val="20"/>
                <w:szCs w:val="20"/>
                <w:lang w:val="en-GB"/>
              </w:rPr>
              <w:t>HDI 4</w:t>
            </w:r>
            <w:r w:rsidRPr="00732886">
              <w:rPr>
                <w:sz w:val="20"/>
                <w:szCs w:val="20"/>
                <w:vertAlign w:val="superscript"/>
                <w:lang w:val="en-GB"/>
              </w:rPr>
              <w:t>th</w:t>
            </w:r>
            <w:r w:rsidRPr="00732886">
              <w:rPr>
                <w:sz w:val="20"/>
                <w:szCs w:val="20"/>
                <w:lang w:val="en-GB"/>
              </w:rPr>
              <w:t xml:space="preserve"> quarter*sibship size</w:t>
            </w:r>
          </w:p>
        </w:tc>
        <w:tc>
          <w:tcPr>
            <w:tcW w:w="2268" w:type="dxa"/>
            <w:vAlign w:val="center"/>
          </w:tcPr>
          <w:p w14:paraId="1A51864D" w14:textId="77777777" w:rsidR="009B57E2" w:rsidRPr="00732886" w:rsidRDefault="009B57E2" w:rsidP="00B64335">
            <w:pPr>
              <w:spacing w:after="0" w:line="240" w:lineRule="auto"/>
              <w:jc w:val="center"/>
              <w:rPr>
                <w:sz w:val="20"/>
                <w:szCs w:val="20"/>
                <w:lang w:val="en-GB"/>
              </w:rPr>
            </w:pPr>
            <w:r w:rsidRPr="00732886">
              <w:rPr>
                <w:sz w:val="20"/>
                <w:szCs w:val="20"/>
                <w:lang w:val="en-GB"/>
              </w:rPr>
              <w:t>-1.129</w:t>
            </w:r>
            <w:r w:rsidRPr="00732886">
              <w:rPr>
                <w:sz w:val="20"/>
                <w:szCs w:val="20"/>
                <w:lang w:val="en-GB"/>
              </w:rPr>
              <w:br/>
              <w:t>(0.485)</w:t>
            </w:r>
          </w:p>
        </w:tc>
        <w:tc>
          <w:tcPr>
            <w:tcW w:w="2268" w:type="dxa"/>
            <w:vAlign w:val="center"/>
          </w:tcPr>
          <w:p w14:paraId="449A0659" w14:textId="77777777" w:rsidR="009B57E2" w:rsidRPr="00732886" w:rsidRDefault="009B57E2" w:rsidP="00B64335">
            <w:pPr>
              <w:spacing w:after="0" w:line="240" w:lineRule="auto"/>
              <w:jc w:val="center"/>
              <w:rPr>
                <w:sz w:val="20"/>
                <w:szCs w:val="20"/>
                <w:lang w:val="en-GB"/>
              </w:rPr>
            </w:pPr>
            <w:r w:rsidRPr="00732886">
              <w:rPr>
                <w:sz w:val="20"/>
                <w:szCs w:val="20"/>
                <w:lang w:val="en-GB"/>
              </w:rPr>
              <w:t>-1.455</w:t>
            </w:r>
            <w:r w:rsidRPr="00732886">
              <w:rPr>
                <w:sz w:val="20"/>
                <w:szCs w:val="20"/>
                <w:lang w:val="en-GB"/>
              </w:rPr>
              <w:br/>
              <w:t>(0.472)</w:t>
            </w:r>
          </w:p>
        </w:tc>
      </w:tr>
      <w:tr w:rsidR="009B57E2" w:rsidRPr="00732886" w14:paraId="2B5535E2" w14:textId="77777777" w:rsidTr="00B64335">
        <w:trPr>
          <w:trHeight w:val="510"/>
        </w:trPr>
        <w:tc>
          <w:tcPr>
            <w:tcW w:w="4574" w:type="dxa"/>
            <w:vAlign w:val="center"/>
          </w:tcPr>
          <w:p w14:paraId="640DCFEA" w14:textId="77777777" w:rsidR="009B57E2" w:rsidRPr="00732886" w:rsidRDefault="009B57E2" w:rsidP="00B64335">
            <w:pPr>
              <w:spacing w:after="0" w:line="240" w:lineRule="auto"/>
              <w:ind w:left="170"/>
              <w:rPr>
                <w:sz w:val="20"/>
                <w:szCs w:val="20"/>
                <w:lang w:val="en-GB"/>
              </w:rPr>
            </w:pPr>
            <w:r w:rsidRPr="00732886">
              <w:rPr>
                <w:sz w:val="20"/>
                <w:szCs w:val="20"/>
                <w:lang w:val="en-GB"/>
              </w:rPr>
              <w:t>HDI 2</w:t>
            </w:r>
            <w:r w:rsidRPr="00732886">
              <w:rPr>
                <w:sz w:val="20"/>
                <w:szCs w:val="20"/>
                <w:vertAlign w:val="superscript"/>
                <w:lang w:val="en-GB"/>
              </w:rPr>
              <w:t>nd</w:t>
            </w:r>
            <w:r w:rsidRPr="00732886">
              <w:rPr>
                <w:sz w:val="20"/>
                <w:szCs w:val="20"/>
                <w:lang w:val="en-GB"/>
              </w:rPr>
              <w:t xml:space="preserve"> quartile*sibship size*co-residence</w:t>
            </w:r>
          </w:p>
        </w:tc>
        <w:tc>
          <w:tcPr>
            <w:tcW w:w="2268" w:type="dxa"/>
            <w:vAlign w:val="center"/>
          </w:tcPr>
          <w:p w14:paraId="00EE25A5" w14:textId="77777777" w:rsidR="009B57E2" w:rsidRPr="00732886" w:rsidRDefault="009B57E2" w:rsidP="00B64335">
            <w:pPr>
              <w:spacing w:after="0" w:line="240" w:lineRule="auto"/>
              <w:jc w:val="center"/>
              <w:rPr>
                <w:sz w:val="20"/>
                <w:szCs w:val="20"/>
                <w:lang w:val="en-GB"/>
              </w:rPr>
            </w:pPr>
            <w:r w:rsidRPr="00732886">
              <w:rPr>
                <w:sz w:val="20"/>
                <w:szCs w:val="20"/>
                <w:lang w:val="en-GB"/>
              </w:rPr>
              <w:t>-2.862</w:t>
            </w:r>
            <w:r w:rsidRPr="00732886">
              <w:rPr>
                <w:sz w:val="20"/>
                <w:szCs w:val="20"/>
                <w:lang w:val="en-GB"/>
              </w:rPr>
              <w:br/>
              <w:t>(0.982)</w:t>
            </w:r>
          </w:p>
        </w:tc>
        <w:tc>
          <w:tcPr>
            <w:tcW w:w="2268" w:type="dxa"/>
            <w:vAlign w:val="center"/>
          </w:tcPr>
          <w:p w14:paraId="4B26D20E" w14:textId="77777777" w:rsidR="009B57E2" w:rsidRPr="00732886" w:rsidRDefault="009B57E2" w:rsidP="00B64335">
            <w:pPr>
              <w:spacing w:after="0" w:line="240" w:lineRule="auto"/>
              <w:jc w:val="center"/>
              <w:rPr>
                <w:sz w:val="20"/>
                <w:szCs w:val="20"/>
                <w:lang w:val="en-GB"/>
              </w:rPr>
            </w:pPr>
            <w:r w:rsidRPr="00732886">
              <w:rPr>
                <w:sz w:val="20"/>
                <w:szCs w:val="20"/>
                <w:lang w:val="en-GB"/>
              </w:rPr>
              <w:t>-2.332</w:t>
            </w:r>
            <w:r w:rsidRPr="00732886">
              <w:rPr>
                <w:sz w:val="20"/>
                <w:szCs w:val="20"/>
                <w:lang w:val="en-GB"/>
              </w:rPr>
              <w:br/>
              <w:t>(0.96)</w:t>
            </w:r>
          </w:p>
        </w:tc>
      </w:tr>
      <w:tr w:rsidR="009B57E2" w:rsidRPr="00732886" w14:paraId="221B4187" w14:textId="77777777" w:rsidTr="00B64335">
        <w:trPr>
          <w:trHeight w:val="510"/>
        </w:trPr>
        <w:tc>
          <w:tcPr>
            <w:tcW w:w="4574" w:type="dxa"/>
            <w:vAlign w:val="center"/>
          </w:tcPr>
          <w:p w14:paraId="7F00F963" w14:textId="77777777" w:rsidR="009B57E2" w:rsidRPr="00732886" w:rsidRDefault="009B57E2" w:rsidP="00B64335">
            <w:pPr>
              <w:spacing w:after="0" w:line="240" w:lineRule="auto"/>
              <w:ind w:left="170"/>
              <w:rPr>
                <w:sz w:val="20"/>
                <w:szCs w:val="20"/>
                <w:lang w:val="en-GB"/>
              </w:rPr>
            </w:pPr>
            <w:r w:rsidRPr="00732886">
              <w:rPr>
                <w:sz w:val="20"/>
                <w:szCs w:val="20"/>
                <w:lang w:val="en-GB"/>
              </w:rPr>
              <w:t>HDI 3</w:t>
            </w:r>
            <w:r w:rsidRPr="00732886">
              <w:rPr>
                <w:sz w:val="20"/>
                <w:szCs w:val="20"/>
                <w:vertAlign w:val="superscript"/>
                <w:lang w:val="en-GB"/>
              </w:rPr>
              <w:t>rd</w:t>
            </w:r>
            <w:r w:rsidRPr="00732886">
              <w:rPr>
                <w:sz w:val="20"/>
                <w:szCs w:val="20"/>
                <w:lang w:val="en-GB"/>
              </w:rPr>
              <w:t xml:space="preserve"> quartile*sibship size*co-residence</w:t>
            </w:r>
          </w:p>
        </w:tc>
        <w:tc>
          <w:tcPr>
            <w:tcW w:w="2268" w:type="dxa"/>
            <w:vAlign w:val="center"/>
          </w:tcPr>
          <w:p w14:paraId="636C4672" w14:textId="77777777" w:rsidR="009B57E2" w:rsidRPr="00732886" w:rsidRDefault="009B57E2" w:rsidP="00B64335">
            <w:pPr>
              <w:spacing w:after="0" w:line="240" w:lineRule="auto"/>
              <w:jc w:val="center"/>
              <w:rPr>
                <w:sz w:val="20"/>
                <w:szCs w:val="20"/>
                <w:lang w:val="en-GB"/>
              </w:rPr>
            </w:pPr>
            <w:r w:rsidRPr="00732886">
              <w:rPr>
                <w:sz w:val="20"/>
                <w:szCs w:val="20"/>
                <w:lang w:val="en-GB"/>
              </w:rPr>
              <w:t>-3.844</w:t>
            </w:r>
            <w:r w:rsidRPr="00732886">
              <w:rPr>
                <w:sz w:val="20"/>
                <w:szCs w:val="20"/>
                <w:lang w:val="en-GB"/>
              </w:rPr>
              <w:br/>
              <w:t>(1.109)</w:t>
            </w:r>
          </w:p>
        </w:tc>
        <w:tc>
          <w:tcPr>
            <w:tcW w:w="2268" w:type="dxa"/>
            <w:vAlign w:val="center"/>
          </w:tcPr>
          <w:p w14:paraId="4BD76A71" w14:textId="77777777" w:rsidR="009B57E2" w:rsidRPr="00732886" w:rsidRDefault="009B57E2" w:rsidP="00B64335">
            <w:pPr>
              <w:spacing w:after="0" w:line="240" w:lineRule="auto"/>
              <w:jc w:val="center"/>
              <w:rPr>
                <w:sz w:val="20"/>
                <w:szCs w:val="20"/>
                <w:lang w:val="en-GB"/>
              </w:rPr>
            </w:pPr>
            <w:r w:rsidRPr="00732886">
              <w:rPr>
                <w:sz w:val="20"/>
                <w:szCs w:val="20"/>
                <w:lang w:val="en-GB"/>
              </w:rPr>
              <w:t>-3.087</w:t>
            </w:r>
            <w:r w:rsidRPr="00732886">
              <w:rPr>
                <w:sz w:val="20"/>
                <w:szCs w:val="20"/>
                <w:lang w:val="en-GB"/>
              </w:rPr>
              <w:br/>
              <w:t>(1.083)</w:t>
            </w:r>
          </w:p>
        </w:tc>
      </w:tr>
      <w:tr w:rsidR="009B57E2" w:rsidRPr="00732886" w14:paraId="65B505B6" w14:textId="77777777" w:rsidTr="00B64335">
        <w:trPr>
          <w:trHeight w:val="510"/>
        </w:trPr>
        <w:tc>
          <w:tcPr>
            <w:tcW w:w="4574" w:type="dxa"/>
            <w:vAlign w:val="center"/>
          </w:tcPr>
          <w:p w14:paraId="0AAD8EAB" w14:textId="77777777" w:rsidR="009B57E2" w:rsidRPr="00732886" w:rsidRDefault="009B57E2" w:rsidP="00B64335">
            <w:pPr>
              <w:spacing w:after="0" w:line="240" w:lineRule="auto"/>
              <w:ind w:left="170"/>
              <w:rPr>
                <w:sz w:val="20"/>
                <w:szCs w:val="20"/>
                <w:lang w:val="en-GB"/>
              </w:rPr>
            </w:pPr>
            <w:r w:rsidRPr="00732886">
              <w:rPr>
                <w:sz w:val="20"/>
                <w:szCs w:val="20"/>
                <w:lang w:val="en-GB"/>
              </w:rPr>
              <w:t>HDI 4</w:t>
            </w:r>
            <w:r w:rsidRPr="00732886">
              <w:rPr>
                <w:sz w:val="20"/>
                <w:szCs w:val="20"/>
                <w:vertAlign w:val="superscript"/>
                <w:lang w:val="en-GB"/>
              </w:rPr>
              <w:t>th</w:t>
            </w:r>
            <w:r w:rsidRPr="00732886">
              <w:rPr>
                <w:sz w:val="20"/>
                <w:szCs w:val="20"/>
                <w:lang w:val="en-GB"/>
              </w:rPr>
              <w:t xml:space="preserve"> quartile*sibship size*co-residence</w:t>
            </w:r>
          </w:p>
        </w:tc>
        <w:tc>
          <w:tcPr>
            <w:tcW w:w="2268" w:type="dxa"/>
            <w:vAlign w:val="center"/>
          </w:tcPr>
          <w:p w14:paraId="3F46F98F" w14:textId="77777777" w:rsidR="009B57E2" w:rsidRPr="00732886" w:rsidRDefault="009B57E2" w:rsidP="00B64335">
            <w:pPr>
              <w:spacing w:after="0" w:line="240" w:lineRule="auto"/>
              <w:jc w:val="center"/>
              <w:rPr>
                <w:sz w:val="20"/>
                <w:szCs w:val="20"/>
                <w:lang w:val="en-GB"/>
              </w:rPr>
            </w:pPr>
            <w:r w:rsidRPr="00732886">
              <w:rPr>
                <w:sz w:val="20"/>
                <w:szCs w:val="20"/>
                <w:lang w:val="en-GB"/>
              </w:rPr>
              <w:t>-4.034</w:t>
            </w:r>
            <w:r w:rsidRPr="00732886">
              <w:rPr>
                <w:sz w:val="20"/>
                <w:szCs w:val="20"/>
                <w:lang w:val="en-GB"/>
              </w:rPr>
              <w:br/>
              <w:t>(1.018)</w:t>
            </w:r>
          </w:p>
        </w:tc>
        <w:tc>
          <w:tcPr>
            <w:tcW w:w="2268" w:type="dxa"/>
            <w:vAlign w:val="center"/>
          </w:tcPr>
          <w:p w14:paraId="20E0A8B6" w14:textId="77777777" w:rsidR="009B57E2" w:rsidRPr="00732886" w:rsidRDefault="009B57E2" w:rsidP="00B64335">
            <w:pPr>
              <w:spacing w:after="0" w:line="240" w:lineRule="auto"/>
              <w:jc w:val="center"/>
              <w:rPr>
                <w:sz w:val="20"/>
                <w:szCs w:val="20"/>
                <w:lang w:val="en-GB"/>
              </w:rPr>
            </w:pPr>
            <w:r w:rsidRPr="00732886">
              <w:rPr>
                <w:sz w:val="20"/>
                <w:szCs w:val="20"/>
                <w:lang w:val="en-GB"/>
              </w:rPr>
              <w:t>-3.145</w:t>
            </w:r>
            <w:r w:rsidRPr="00732886">
              <w:rPr>
                <w:sz w:val="20"/>
                <w:szCs w:val="20"/>
                <w:lang w:val="en-GB"/>
              </w:rPr>
              <w:br/>
              <w:t>(0.993)</w:t>
            </w:r>
          </w:p>
        </w:tc>
      </w:tr>
      <w:tr w:rsidR="009B57E2" w:rsidRPr="00732886" w14:paraId="284D0917" w14:textId="77777777" w:rsidTr="00B64335">
        <w:trPr>
          <w:trHeight w:val="510"/>
        </w:trPr>
        <w:tc>
          <w:tcPr>
            <w:tcW w:w="4574" w:type="dxa"/>
            <w:vAlign w:val="center"/>
          </w:tcPr>
          <w:p w14:paraId="6CA90EC6" w14:textId="77777777" w:rsidR="009B57E2" w:rsidRPr="00732886" w:rsidRDefault="009B57E2" w:rsidP="00B64335">
            <w:pPr>
              <w:spacing w:after="0" w:line="240" w:lineRule="auto"/>
              <w:rPr>
                <w:b/>
                <w:sz w:val="20"/>
                <w:szCs w:val="20"/>
                <w:lang w:val="en-GB"/>
              </w:rPr>
            </w:pPr>
            <w:r w:rsidRPr="00732886">
              <w:rPr>
                <w:b/>
                <w:sz w:val="20"/>
                <w:szCs w:val="20"/>
                <w:lang w:val="en-GB"/>
              </w:rPr>
              <w:t>Intercept</w:t>
            </w:r>
          </w:p>
        </w:tc>
        <w:tc>
          <w:tcPr>
            <w:tcW w:w="2268" w:type="dxa"/>
            <w:vAlign w:val="center"/>
          </w:tcPr>
          <w:p w14:paraId="2CA8C535" w14:textId="77777777" w:rsidR="009B57E2" w:rsidRPr="00732886" w:rsidRDefault="009B57E2" w:rsidP="00B64335">
            <w:pPr>
              <w:spacing w:after="0" w:line="240" w:lineRule="auto"/>
              <w:jc w:val="center"/>
              <w:rPr>
                <w:sz w:val="20"/>
                <w:szCs w:val="20"/>
                <w:lang w:val="en-GB"/>
              </w:rPr>
            </w:pPr>
            <w:r w:rsidRPr="00732886">
              <w:rPr>
                <w:sz w:val="20"/>
                <w:szCs w:val="20"/>
                <w:lang w:val="en-GB"/>
              </w:rPr>
              <w:t>420.256</w:t>
            </w:r>
            <w:r w:rsidRPr="00732886">
              <w:rPr>
                <w:sz w:val="20"/>
                <w:szCs w:val="20"/>
                <w:lang w:val="en-GB"/>
              </w:rPr>
              <w:br/>
              <w:t>(10.521)</w:t>
            </w:r>
          </w:p>
        </w:tc>
        <w:tc>
          <w:tcPr>
            <w:tcW w:w="2268" w:type="dxa"/>
            <w:vAlign w:val="center"/>
          </w:tcPr>
          <w:p w14:paraId="61A23EB8" w14:textId="77777777" w:rsidR="009B57E2" w:rsidRPr="00732886" w:rsidRDefault="009B57E2" w:rsidP="00B64335">
            <w:pPr>
              <w:spacing w:after="0" w:line="240" w:lineRule="auto"/>
              <w:jc w:val="center"/>
              <w:rPr>
                <w:sz w:val="20"/>
                <w:szCs w:val="20"/>
                <w:lang w:val="en-GB"/>
              </w:rPr>
            </w:pPr>
            <w:r w:rsidRPr="00732886">
              <w:rPr>
                <w:sz w:val="20"/>
                <w:szCs w:val="20"/>
                <w:lang w:val="en-GB"/>
              </w:rPr>
              <w:t>421.662</w:t>
            </w:r>
            <w:r w:rsidRPr="00732886">
              <w:rPr>
                <w:sz w:val="20"/>
                <w:szCs w:val="20"/>
                <w:lang w:val="en-GB"/>
              </w:rPr>
              <w:br/>
              <w:t>(10.45)</w:t>
            </w:r>
          </w:p>
        </w:tc>
      </w:tr>
    </w:tbl>
    <w:p w14:paraId="2E626E94" w14:textId="77777777" w:rsidR="009B57E2" w:rsidRPr="00494CA7" w:rsidRDefault="009B57E2" w:rsidP="009B57E2">
      <w:pPr>
        <w:spacing w:after="0"/>
        <w:jc w:val="right"/>
        <w:rPr>
          <w:szCs w:val="24"/>
          <w:lang w:val="en-GB"/>
        </w:rPr>
      </w:pPr>
    </w:p>
    <w:p w14:paraId="1138F896" w14:textId="77777777" w:rsidR="009B57E2" w:rsidRPr="00732886" w:rsidRDefault="009B57E2" w:rsidP="009B57E2">
      <w:pPr>
        <w:spacing w:after="0"/>
        <w:rPr>
          <w:b/>
          <w:szCs w:val="24"/>
          <w:lang w:val="en-GB"/>
        </w:rPr>
      </w:pPr>
      <w:r>
        <w:br w:type="page"/>
      </w:r>
      <w:r w:rsidRPr="00732886">
        <w:rPr>
          <w:b/>
          <w:szCs w:val="24"/>
          <w:lang w:val="en-GB"/>
        </w:rPr>
        <w:lastRenderedPageBreak/>
        <w:t>Table 5: Estimated parameters and standard errors (in parentheses) of three-level hierarchical linear models of reading literacy. Number of level-1 observations (students) = 151377, number of level-2 observations (schools) = 8218, number of level-3 observations (countries) = 40.</w:t>
      </w:r>
    </w:p>
    <w:tbl>
      <w:tblPr>
        <w:tblW w:w="0" w:type="auto"/>
        <w:tblBorders>
          <w:top w:val="single" w:sz="12" w:space="0" w:color="auto"/>
          <w:bottom w:val="single" w:sz="12" w:space="0" w:color="auto"/>
          <w:insideH w:val="single" w:sz="2" w:space="0" w:color="auto"/>
        </w:tblBorders>
        <w:tblLook w:val="04A0" w:firstRow="1" w:lastRow="0" w:firstColumn="1" w:lastColumn="0" w:noHBand="0" w:noVBand="1"/>
      </w:tblPr>
      <w:tblGrid>
        <w:gridCol w:w="4458"/>
        <w:gridCol w:w="1538"/>
        <w:gridCol w:w="1538"/>
        <w:gridCol w:w="1538"/>
      </w:tblGrid>
      <w:tr w:rsidR="009B57E2" w:rsidRPr="00494CA7" w14:paraId="70F30EC4" w14:textId="77777777" w:rsidTr="00B64335">
        <w:trPr>
          <w:trHeight w:val="283"/>
        </w:trPr>
        <w:tc>
          <w:tcPr>
            <w:tcW w:w="4649" w:type="dxa"/>
            <w:tcBorders>
              <w:bottom w:val="nil"/>
            </w:tcBorders>
            <w:vAlign w:val="center"/>
          </w:tcPr>
          <w:p w14:paraId="51A55DA5" w14:textId="77777777" w:rsidR="009B57E2" w:rsidRPr="00FD5168" w:rsidRDefault="009B57E2" w:rsidP="00B64335">
            <w:pPr>
              <w:spacing w:after="0" w:line="240" w:lineRule="auto"/>
              <w:rPr>
                <w:sz w:val="20"/>
                <w:szCs w:val="20"/>
                <w:lang w:val="en-GB"/>
              </w:rPr>
            </w:pPr>
          </w:p>
        </w:tc>
        <w:tc>
          <w:tcPr>
            <w:tcW w:w="1587" w:type="dxa"/>
            <w:tcBorders>
              <w:bottom w:val="single" w:sz="2" w:space="0" w:color="auto"/>
            </w:tcBorders>
            <w:vAlign w:val="center"/>
          </w:tcPr>
          <w:p w14:paraId="500663E6" w14:textId="77777777" w:rsidR="009B57E2" w:rsidRPr="00FD5168" w:rsidRDefault="009B57E2" w:rsidP="00B64335">
            <w:pPr>
              <w:spacing w:after="0" w:line="240" w:lineRule="auto"/>
              <w:jc w:val="center"/>
              <w:rPr>
                <w:b/>
                <w:sz w:val="20"/>
                <w:szCs w:val="20"/>
                <w:lang w:val="en-GB"/>
              </w:rPr>
            </w:pPr>
            <w:r w:rsidRPr="00FD5168">
              <w:rPr>
                <w:b/>
                <w:sz w:val="20"/>
                <w:szCs w:val="20"/>
                <w:lang w:val="en-GB"/>
              </w:rPr>
              <w:t>Model 3</w:t>
            </w:r>
          </w:p>
        </w:tc>
        <w:tc>
          <w:tcPr>
            <w:tcW w:w="1587" w:type="dxa"/>
            <w:tcBorders>
              <w:bottom w:val="single" w:sz="2" w:space="0" w:color="auto"/>
            </w:tcBorders>
            <w:vAlign w:val="center"/>
          </w:tcPr>
          <w:p w14:paraId="20334A0B" w14:textId="77777777" w:rsidR="009B57E2" w:rsidRPr="00FD5168" w:rsidRDefault="009B57E2" w:rsidP="00B64335">
            <w:pPr>
              <w:spacing w:after="0" w:line="240" w:lineRule="auto"/>
              <w:jc w:val="center"/>
              <w:rPr>
                <w:b/>
                <w:sz w:val="20"/>
                <w:szCs w:val="20"/>
                <w:lang w:val="en-GB"/>
              </w:rPr>
            </w:pPr>
            <w:r w:rsidRPr="00FD5168">
              <w:rPr>
                <w:b/>
                <w:sz w:val="20"/>
                <w:szCs w:val="20"/>
                <w:lang w:val="en-GB"/>
              </w:rPr>
              <w:t>Model 4</w:t>
            </w:r>
          </w:p>
        </w:tc>
        <w:tc>
          <w:tcPr>
            <w:tcW w:w="1587" w:type="dxa"/>
            <w:tcBorders>
              <w:bottom w:val="single" w:sz="2" w:space="0" w:color="auto"/>
            </w:tcBorders>
            <w:vAlign w:val="center"/>
          </w:tcPr>
          <w:p w14:paraId="6AAC5984" w14:textId="77777777" w:rsidR="009B57E2" w:rsidRPr="00FD5168" w:rsidRDefault="009B57E2" w:rsidP="00B64335">
            <w:pPr>
              <w:spacing w:after="0" w:line="240" w:lineRule="auto"/>
              <w:jc w:val="center"/>
              <w:rPr>
                <w:b/>
                <w:sz w:val="20"/>
                <w:szCs w:val="20"/>
                <w:lang w:val="en-GB"/>
              </w:rPr>
            </w:pPr>
            <w:r w:rsidRPr="00FD5168">
              <w:rPr>
                <w:b/>
                <w:sz w:val="20"/>
                <w:szCs w:val="20"/>
                <w:lang w:val="en-GB"/>
              </w:rPr>
              <w:t>Model 5</w:t>
            </w:r>
          </w:p>
        </w:tc>
      </w:tr>
      <w:tr w:rsidR="009B57E2" w:rsidRPr="00494CA7" w14:paraId="42EF01DB" w14:textId="77777777" w:rsidTr="00B64335">
        <w:trPr>
          <w:trHeight w:val="283"/>
        </w:trPr>
        <w:tc>
          <w:tcPr>
            <w:tcW w:w="4649" w:type="dxa"/>
            <w:tcBorders>
              <w:top w:val="nil"/>
              <w:bottom w:val="nil"/>
            </w:tcBorders>
            <w:vAlign w:val="center"/>
          </w:tcPr>
          <w:p w14:paraId="378A7209" w14:textId="77777777" w:rsidR="009B57E2" w:rsidRPr="00FD5168" w:rsidRDefault="009B57E2" w:rsidP="00B64335">
            <w:pPr>
              <w:spacing w:after="0" w:line="240" w:lineRule="auto"/>
              <w:rPr>
                <w:b/>
                <w:sz w:val="20"/>
                <w:szCs w:val="20"/>
                <w:lang w:val="en-GB"/>
              </w:rPr>
            </w:pPr>
            <w:r w:rsidRPr="00FD5168">
              <w:rPr>
                <w:b/>
                <w:sz w:val="20"/>
                <w:szCs w:val="20"/>
                <w:lang w:val="en-GB"/>
              </w:rPr>
              <w:t xml:space="preserve">Co-residence with grandparent(s) </w:t>
            </w:r>
          </w:p>
        </w:tc>
        <w:tc>
          <w:tcPr>
            <w:tcW w:w="1587" w:type="dxa"/>
            <w:tcBorders>
              <w:top w:val="single" w:sz="2" w:space="0" w:color="auto"/>
              <w:bottom w:val="nil"/>
            </w:tcBorders>
            <w:vAlign w:val="center"/>
          </w:tcPr>
          <w:p w14:paraId="55458E6C" w14:textId="77777777" w:rsidR="009B57E2" w:rsidRPr="00FD5168" w:rsidRDefault="009B57E2" w:rsidP="00B64335">
            <w:pPr>
              <w:spacing w:after="0" w:line="240" w:lineRule="auto"/>
              <w:jc w:val="center"/>
              <w:rPr>
                <w:sz w:val="20"/>
                <w:szCs w:val="20"/>
                <w:lang w:val="en-GB"/>
              </w:rPr>
            </w:pPr>
            <w:r w:rsidRPr="00FD5168">
              <w:rPr>
                <w:sz w:val="20"/>
                <w:szCs w:val="20"/>
                <w:lang w:val="en-GB"/>
              </w:rPr>
              <w:t>-12.189</w:t>
            </w:r>
          </w:p>
          <w:p w14:paraId="6875A630" w14:textId="77777777" w:rsidR="009B57E2" w:rsidRPr="00FD5168" w:rsidRDefault="009B57E2" w:rsidP="00B64335">
            <w:pPr>
              <w:spacing w:after="0" w:line="240" w:lineRule="auto"/>
              <w:jc w:val="center"/>
              <w:rPr>
                <w:sz w:val="20"/>
                <w:szCs w:val="20"/>
                <w:lang w:val="en-GB"/>
              </w:rPr>
            </w:pPr>
            <w:r w:rsidRPr="00FD5168">
              <w:rPr>
                <w:sz w:val="20"/>
                <w:szCs w:val="20"/>
                <w:lang w:val="en-GB"/>
              </w:rPr>
              <w:t>(1.364)</w:t>
            </w:r>
          </w:p>
        </w:tc>
        <w:tc>
          <w:tcPr>
            <w:tcW w:w="1587" w:type="dxa"/>
            <w:tcBorders>
              <w:top w:val="single" w:sz="2" w:space="0" w:color="auto"/>
              <w:bottom w:val="nil"/>
            </w:tcBorders>
            <w:vAlign w:val="center"/>
          </w:tcPr>
          <w:p w14:paraId="0475814B" w14:textId="77777777" w:rsidR="009B57E2" w:rsidRPr="00FD5168" w:rsidRDefault="009B57E2" w:rsidP="00B64335">
            <w:pPr>
              <w:spacing w:after="0" w:line="240" w:lineRule="auto"/>
              <w:jc w:val="center"/>
              <w:rPr>
                <w:sz w:val="20"/>
                <w:szCs w:val="20"/>
                <w:lang w:val="en-GB"/>
              </w:rPr>
            </w:pPr>
            <w:r w:rsidRPr="00FD5168">
              <w:rPr>
                <w:sz w:val="20"/>
                <w:szCs w:val="20"/>
                <w:lang w:val="en-GB"/>
              </w:rPr>
              <w:t>-12.493</w:t>
            </w:r>
          </w:p>
          <w:p w14:paraId="2AEDC568" w14:textId="77777777" w:rsidR="009B57E2" w:rsidRPr="00FD5168" w:rsidRDefault="009B57E2" w:rsidP="00B64335">
            <w:pPr>
              <w:spacing w:after="0" w:line="240" w:lineRule="auto"/>
              <w:jc w:val="center"/>
              <w:rPr>
                <w:sz w:val="20"/>
                <w:szCs w:val="20"/>
                <w:lang w:val="en-GB"/>
              </w:rPr>
            </w:pPr>
            <w:r w:rsidRPr="00FD5168">
              <w:rPr>
                <w:sz w:val="20"/>
                <w:szCs w:val="20"/>
                <w:lang w:val="en-GB"/>
              </w:rPr>
              <w:t>(1.365)</w:t>
            </w:r>
          </w:p>
        </w:tc>
        <w:tc>
          <w:tcPr>
            <w:tcW w:w="1587" w:type="dxa"/>
            <w:tcBorders>
              <w:top w:val="single" w:sz="2" w:space="0" w:color="auto"/>
              <w:bottom w:val="nil"/>
            </w:tcBorders>
            <w:vAlign w:val="center"/>
          </w:tcPr>
          <w:p w14:paraId="7EBAF23B" w14:textId="77777777" w:rsidR="009B57E2" w:rsidRPr="00FD5168" w:rsidRDefault="009B57E2" w:rsidP="00B64335">
            <w:pPr>
              <w:spacing w:after="0" w:line="240" w:lineRule="auto"/>
              <w:jc w:val="center"/>
              <w:rPr>
                <w:sz w:val="20"/>
                <w:szCs w:val="20"/>
                <w:lang w:val="en-GB"/>
              </w:rPr>
            </w:pPr>
            <w:r w:rsidRPr="00FD5168">
              <w:rPr>
                <w:sz w:val="20"/>
                <w:szCs w:val="20"/>
                <w:lang w:val="en-GB"/>
              </w:rPr>
              <w:t>-12.476</w:t>
            </w:r>
          </w:p>
          <w:p w14:paraId="64EBBE43" w14:textId="77777777" w:rsidR="009B57E2" w:rsidRPr="00FD5168" w:rsidRDefault="009B57E2" w:rsidP="00B64335">
            <w:pPr>
              <w:spacing w:after="0" w:line="240" w:lineRule="auto"/>
              <w:jc w:val="center"/>
              <w:rPr>
                <w:sz w:val="20"/>
                <w:szCs w:val="20"/>
                <w:lang w:val="en-GB"/>
              </w:rPr>
            </w:pPr>
            <w:r w:rsidRPr="00FD5168">
              <w:rPr>
                <w:sz w:val="20"/>
                <w:szCs w:val="20"/>
                <w:lang w:val="en-GB"/>
              </w:rPr>
              <w:t>(1.364)</w:t>
            </w:r>
          </w:p>
        </w:tc>
      </w:tr>
      <w:tr w:rsidR="009B57E2" w:rsidRPr="00494CA7" w14:paraId="2A8C914B" w14:textId="77777777" w:rsidTr="00B64335">
        <w:trPr>
          <w:trHeight w:val="283"/>
        </w:trPr>
        <w:tc>
          <w:tcPr>
            <w:tcW w:w="4649" w:type="dxa"/>
            <w:tcBorders>
              <w:top w:val="nil"/>
              <w:bottom w:val="nil"/>
            </w:tcBorders>
            <w:vAlign w:val="center"/>
          </w:tcPr>
          <w:p w14:paraId="66270F84" w14:textId="77777777" w:rsidR="009B57E2" w:rsidRPr="00FD5168" w:rsidRDefault="009B57E2" w:rsidP="00B64335">
            <w:pPr>
              <w:spacing w:after="0" w:line="240" w:lineRule="auto"/>
              <w:rPr>
                <w:b/>
                <w:sz w:val="20"/>
                <w:szCs w:val="20"/>
                <w:lang w:val="en-GB"/>
              </w:rPr>
            </w:pPr>
            <w:r w:rsidRPr="00FD5168">
              <w:rPr>
                <w:b/>
                <w:sz w:val="20"/>
                <w:szCs w:val="20"/>
                <w:lang w:val="en-GB"/>
              </w:rPr>
              <w:t>Sibship size</w:t>
            </w:r>
          </w:p>
        </w:tc>
        <w:tc>
          <w:tcPr>
            <w:tcW w:w="1587" w:type="dxa"/>
            <w:tcBorders>
              <w:top w:val="nil"/>
              <w:bottom w:val="nil"/>
            </w:tcBorders>
            <w:vAlign w:val="center"/>
          </w:tcPr>
          <w:p w14:paraId="038B1672" w14:textId="77777777" w:rsidR="009B57E2" w:rsidRPr="00FD5168" w:rsidRDefault="009B57E2" w:rsidP="00B64335">
            <w:pPr>
              <w:spacing w:after="0" w:line="240" w:lineRule="auto"/>
              <w:jc w:val="center"/>
              <w:rPr>
                <w:sz w:val="20"/>
                <w:szCs w:val="20"/>
                <w:lang w:val="en-GB"/>
              </w:rPr>
            </w:pPr>
            <w:r w:rsidRPr="00FD5168">
              <w:rPr>
                <w:sz w:val="20"/>
                <w:szCs w:val="20"/>
                <w:lang w:val="en-GB"/>
              </w:rPr>
              <w:t>-3.984</w:t>
            </w:r>
          </w:p>
          <w:p w14:paraId="09E8BE94" w14:textId="77777777" w:rsidR="009B57E2" w:rsidRPr="00FD5168" w:rsidRDefault="009B57E2" w:rsidP="00B64335">
            <w:pPr>
              <w:spacing w:after="0" w:line="240" w:lineRule="auto"/>
              <w:jc w:val="center"/>
              <w:rPr>
                <w:sz w:val="20"/>
                <w:szCs w:val="20"/>
                <w:lang w:val="en-GB"/>
              </w:rPr>
            </w:pPr>
            <w:r w:rsidRPr="00FD5168">
              <w:rPr>
                <w:sz w:val="20"/>
                <w:szCs w:val="20"/>
                <w:lang w:val="en-GB"/>
              </w:rPr>
              <w:t>(0.427)</w:t>
            </w:r>
          </w:p>
        </w:tc>
        <w:tc>
          <w:tcPr>
            <w:tcW w:w="1587" w:type="dxa"/>
            <w:tcBorders>
              <w:top w:val="nil"/>
              <w:bottom w:val="nil"/>
            </w:tcBorders>
            <w:vAlign w:val="center"/>
          </w:tcPr>
          <w:p w14:paraId="40E3D8DB" w14:textId="77777777" w:rsidR="009B57E2" w:rsidRPr="00FD5168" w:rsidRDefault="009B57E2" w:rsidP="00B64335">
            <w:pPr>
              <w:spacing w:after="0" w:line="240" w:lineRule="auto"/>
              <w:jc w:val="center"/>
              <w:rPr>
                <w:sz w:val="20"/>
                <w:szCs w:val="20"/>
                <w:lang w:val="en-GB"/>
              </w:rPr>
            </w:pPr>
            <w:r w:rsidRPr="00FD5168">
              <w:rPr>
                <w:sz w:val="20"/>
                <w:szCs w:val="20"/>
                <w:lang w:val="en-GB"/>
              </w:rPr>
              <w:t>-2.585</w:t>
            </w:r>
          </w:p>
          <w:p w14:paraId="00032008" w14:textId="77777777" w:rsidR="009B57E2" w:rsidRPr="00FD5168" w:rsidRDefault="009B57E2" w:rsidP="00B64335">
            <w:pPr>
              <w:spacing w:after="0" w:line="240" w:lineRule="auto"/>
              <w:jc w:val="center"/>
              <w:rPr>
                <w:sz w:val="20"/>
                <w:szCs w:val="20"/>
                <w:lang w:val="en-GB"/>
              </w:rPr>
            </w:pPr>
            <w:r w:rsidRPr="00FD5168">
              <w:rPr>
                <w:sz w:val="20"/>
                <w:szCs w:val="20"/>
                <w:lang w:val="en-GB"/>
              </w:rPr>
              <w:t>(0.390)</w:t>
            </w:r>
          </w:p>
        </w:tc>
        <w:tc>
          <w:tcPr>
            <w:tcW w:w="1587" w:type="dxa"/>
            <w:tcBorders>
              <w:top w:val="nil"/>
              <w:bottom w:val="nil"/>
            </w:tcBorders>
            <w:vAlign w:val="center"/>
          </w:tcPr>
          <w:p w14:paraId="12F0778D" w14:textId="77777777" w:rsidR="009B57E2" w:rsidRPr="00FD5168" w:rsidRDefault="009B57E2" w:rsidP="00B64335">
            <w:pPr>
              <w:spacing w:after="0" w:line="240" w:lineRule="auto"/>
              <w:jc w:val="center"/>
              <w:rPr>
                <w:sz w:val="20"/>
                <w:szCs w:val="20"/>
                <w:lang w:val="en-GB"/>
              </w:rPr>
            </w:pPr>
            <w:r w:rsidRPr="00FD5168">
              <w:rPr>
                <w:sz w:val="20"/>
                <w:szCs w:val="20"/>
                <w:lang w:val="en-GB"/>
              </w:rPr>
              <w:t>-2.668</w:t>
            </w:r>
          </w:p>
          <w:p w14:paraId="2E2708E2" w14:textId="77777777" w:rsidR="009B57E2" w:rsidRPr="00FD5168" w:rsidRDefault="009B57E2" w:rsidP="00B64335">
            <w:pPr>
              <w:spacing w:after="0" w:line="240" w:lineRule="auto"/>
              <w:jc w:val="center"/>
              <w:rPr>
                <w:sz w:val="20"/>
                <w:szCs w:val="20"/>
                <w:lang w:val="en-GB"/>
              </w:rPr>
            </w:pPr>
            <w:r w:rsidRPr="00FD5168">
              <w:rPr>
                <w:sz w:val="20"/>
                <w:szCs w:val="20"/>
                <w:lang w:val="en-GB"/>
              </w:rPr>
              <w:t>(0.351)</w:t>
            </w:r>
          </w:p>
        </w:tc>
      </w:tr>
      <w:tr w:rsidR="009B57E2" w:rsidRPr="00494CA7" w14:paraId="5ADA1FDA" w14:textId="77777777" w:rsidTr="00B64335">
        <w:trPr>
          <w:trHeight w:val="283"/>
        </w:trPr>
        <w:tc>
          <w:tcPr>
            <w:tcW w:w="4649" w:type="dxa"/>
            <w:tcBorders>
              <w:top w:val="nil"/>
              <w:bottom w:val="nil"/>
            </w:tcBorders>
            <w:vAlign w:val="center"/>
          </w:tcPr>
          <w:p w14:paraId="6DAEBB81" w14:textId="77777777" w:rsidR="009B57E2" w:rsidRPr="00FD5168" w:rsidRDefault="009B57E2" w:rsidP="00B64335">
            <w:pPr>
              <w:spacing w:after="0" w:line="240" w:lineRule="auto"/>
              <w:rPr>
                <w:sz w:val="20"/>
                <w:szCs w:val="20"/>
                <w:lang w:val="en-GB"/>
              </w:rPr>
            </w:pPr>
            <w:r w:rsidRPr="00FD5168">
              <w:rPr>
                <w:b/>
                <w:sz w:val="20"/>
                <w:szCs w:val="20"/>
                <w:lang w:val="en-GB"/>
              </w:rPr>
              <w:t>HDI quartile</w:t>
            </w:r>
            <w:r w:rsidRPr="00FD5168">
              <w:rPr>
                <w:sz w:val="20"/>
                <w:szCs w:val="20"/>
                <w:lang w:val="en-GB"/>
              </w:rPr>
              <w:t xml:space="preserve"> (1</w:t>
            </w:r>
            <w:r w:rsidRPr="00FD5168">
              <w:rPr>
                <w:sz w:val="20"/>
                <w:szCs w:val="20"/>
                <w:vertAlign w:val="superscript"/>
                <w:lang w:val="en-GB"/>
              </w:rPr>
              <w:t>st</w:t>
            </w:r>
            <w:r w:rsidRPr="00FD5168">
              <w:rPr>
                <w:sz w:val="20"/>
                <w:szCs w:val="20"/>
                <w:lang w:val="en-GB"/>
              </w:rPr>
              <w:t xml:space="preserve"> quartile is ref. cat</w:t>
            </w:r>
            <w:r>
              <w:rPr>
                <w:sz w:val="20"/>
                <w:szCs w:val="20"/>
                <w:lang w:val="en-GB"/>
              </w:rPr>
              <w:t>egory</w:t>
            </w:r>
            <w:r w:rsidRPr="00FD5168">
              <w:rPr>
                <w:sz w:val="20"/>
                <w:szCs w:val="20"/>
                <w:lang w:val="en-GB"/>
              </w:rPr>
              <w:t>)</w:t>
            </w:r>
          </w:p>
        </w:tc>
        <w:tc>
          <w:tcPr>
            <w:tcW w:w="1587" w:type="dxa"/>
            <w:tcBorders>
              <w:top w:val="nil"/>
              <w:bottom w:val="nil"/>
            </w:tcBorders>
            <w:vAlign w:val="center"/>
          </w:tcPr>
          <w:p w14:paraId="635C3078" w14:textId="77777777" w:rsidR="009B57E2" w:rsidRPr="00FD5168" w:rsidRDefault="009B57E2" w:rsidP="00B64335">
            <w:pPr>
              <w:spacing w:after="0" w:line="240" w:lineRule="auto"/>
              <w:jc w:val="center"/>
              <w:rPr>
                <w:sz w:val="20"/>
                <w:szCs w:val="20"/>
                <w:lang w:val="en-GB"/>
              </w:rPr>
            </w:pPr>
          </w:p>
        </w:tc>
        <w:tc>
          <w:tcPr>
            <w:tcW w:w="1587" w:type="dxa"/>
            <w:tcBorders>
              <w:top w:val="nil"/>
              <w:bottom w:val="nil"/>
            </w:tcBorders>
            <w:vAlign w:val="center"/>
          </w:tcPr>
          <w:p w14:paraId="62BC63B4" w14:textId="77777777" w:rsidR="009B57E2" w:rsidRPr="00FD5168" w:rsidRDefault="009B57E2" w:rsidP="00B64335">
            <w:pPr>
              <w:spacing w:after="0" w:line="240" w:lineRule="auto"/>
              <w:jc w:val="center"/>
              <w:rPr>
                <w:sz w:val="20"/>
                <w:szCs w:val="20"/>
                <w:lang w:val="en-GB"/>
              </w:rPr>
            </w:pPr>
          </w:p>
        </w:tc>
        <w:tc>
          <w:tcPr>
            <w:tcW w:w="1587" w:type="dxa"/>
            <w:tcBorders>
              <w:top w:val="nil"/>
              <w:bottom w:val="nil"/>
            </w:tcBorders>
            <w:vAlign w:val="center"/>
          </w:tcPr>
          <w:p w14:paraId="7049D0BF" w14:textId="77777777" w:rsidR="009B57E2" w:rsidRPr="00FD5168" w:rsidRDefault="009B57E2" w:rsidP="00B64335">
            <w:pPr>
              <w:spacing w:after="0" w:line="240" w:lineRule="auto"/>
              <w:jc w:val="center"/>
              <w:rPr>
                <w:sz w:val="20"/>
                <w:szCs w:val="20"/>
                <w:lang w:val="en-GB"/>
              </w:rPr>
            </w:pPr>
          </w:p>
        </w:tc>
      </w:tr>
      <w:tr w:rsidR="009B57E2" w:rsidRPr="00494CA7" w14:paraId="4CC445C5" w14:textId="77777777" w:rsidTr="00B64335">
        <w:trPr>
          <w:trHeight w:val="283"/>
        </w:trPr>
        <w:tc>
          <w:tcPr>
            <w:tcW w:w="4649" w:type="dxa"/>
            <w:tcBorders>
              <w:top w:val="nil"/>
              <w:bottom w:val="nil"/>
            </w:tcBorders>
            <w:vAlign w:val="center"/>
          </w:tcPr>
          <w:p w14:paraId="7D04E0C2" w14:textId="77777777" w:rsidR="009B57E2" w:rsidRPr="00FD5168" w:rsidRDefault="009B57E2" w:rsidP="00B64335">
            <w:pPr>
              <w:spacing w:after="0" w:line="240" w:lineRule="auto"/>
              <w:ind w:left="170"/>
              <w:rPr>
                <w:sz w:val="20"/>
                <w:szCs w:val="20"/>
                <w:lang w:val="en-GB"/>
              </w:rPr>
            </w:pPr>
            <w:r w:rsidRPr="00FD5168">
              <w:rPr>
                <w:sz w:val="20"/>
                <w:szCs w:val="20"/>
                <w:lang w:val="en-GB"/>
              </w:rPr>
              <w:t>HDI 2</w:t>
            </w:r>
            <w:r w:rsidRPr="00FD5168">
              <w:rPr>
                <w:sz w:val="20"/>
                <w:szCs w:val="20"/>
                <w:vertAlign w:val="superscript"/>
                <w:lang w:val="en-GB"/>
              </w:rPr>
              <w:t>nd</w:t>
            </w:r>
            <w:r w:rsidRPr="00FD5168">
              <w:rPr>
                <w:sz w:val="20"/>
                <w:szCs w:val="20"/>
                <w:lang w:val="en-GB"/>
              </w:rPr>
              <w:t xml:space="preserve"> quartile</w:t>
            </w:r>
          </w:p>
        </w:tc>
        <w:tc>
          <w:tcPr>
            <w:tcW w:w="1587" w:type="dxa"/>
            <w:tcBorders>
              <w:top w:val="nil"/>
              <w:bottom w:val="nil"/>
            </w:tcBorders>
            <w:vAlign w:val="center"/>
          </w:tcPr>
          <w:p w14:paraId="3F2F6844" w14:textId="77777777" w:rsidR="009B57E2" w:rsidRPr="00FD5168" w:rsidRDefault="009B57E2" w:rsidP="00B64335">
            <w:pPr>
              <w:spacing w:after="0" w:line="240" w:lineRule="auto"/>
              <w:jc w:val="center"/>
              <w:rPr>
                <w:sz w:val="20"/>
                <w:szCs w:val="20"/>
                <w:lang w:val="en-GB"/>
              </w:rPr>
            </w:pPr>
            <w:r w:rsidRPr="00FD5168">
              <w:rPr>
                <w:sz w:val="20"/>
                <w:szCs w:val="20"/>
                <w:lang w:val="en-GB"/>
              </w:rPr>
              <w:t>50.236</w:t>
            </w:r>
          </w:p>
          <w:p w14:paraId="18BFC0DD" w14:textId="77777777" w:rsidR="009B57E2" w:rsidRPr="00FD5168" w:rsidRDefault="009B57E2" w:rsidP="00B64335">
            <w:pPr>
              <w:spacing w:after="0" w:line="240" w:lineRule="auto"/>
              <w:jc w:val="center"/>
              <w:rPr>
                <w:sz w:val="20"/>
                <w:szCs w:val="20"/>
                <w:lang w:val="en-GB"/>
              </w:rPr>
            </w:pPr>
            <w:r w:rsidRPr="00FD5168">
              <w:rPr>
                <w:sz w:val="20"/>
                <w:szCs w:val="20"/>
                <w:lang w:val="en-GB"/>
              </w:rPr>
              <w:t>(16.375)</w:t>
            </w:r>
          </w:p>
        </w:tc>
        <w:tc>
          <w:tcPr>
            <w:tcW w:w="1587" w:type="dxa"/>
            <w:tcBorders>
              <w:top w:val="nil"/>
              <w:bottom w:val="nil"/>
            </w:tcBorders>
            <w:vAlign w:val="center"/>
          </w:tcPr>
          <w:p w14:paraId="0F568EB1" w14:textId="77777777" w:rsidR="009B57E2" w:rsidRPr="00FD5168" w:rsidRDefault="009B57E2" w:rsidP="00B64335">
            <w:pPr>
              <w:spacing w:after="0" w:line="240" w:lineRule="auto"/>
              <w:jc w:val="center"/>
              <w:rPr>
                <w:sz w:val="20"/>
                <w:szCs w:val="20"/>
                <w:lang w:val="en-GB"/>
              </w:rPr>
            </w:pPr>
            <w:r w:rsidRPr="00FD5168">
              <w:rPr>
                <w:sz w:val="20"/>
                <w:szCs w:val="20"/>
                <w:lang w:val="en-GB"/>
              </w:rPr>
              <w:t>45.735</w:t>
            </w:r>
          </w:p>
          <w:p w14:paraId="06ACDCD1" w14:textId="77777777" w:rsidR="009B57E2" w:rsidRPr="00FD5168" w:rsidRDefault="009B57E2" w:rsidP="00B64335">
            <w:pPr>
              <w:spacing w:after="0" w:line="240" w:lineRule="auto"/>
              <w:jc w:val="center"/>
              <w:rPr>
                <w:sz w:val="20"/>
                <w:szCs w:val="20"/>
                <w:lang w:val="en-GB"/>
              </w:rPr>
            </w:pPr>
            <w:r w:rsidRPr="00FD5168">
              <w:rPr>
                <w:sz w:val="20"/>
                <w:szCs w:val="20"/>
                <w:lang w:val="en-GB"/>
              </w:rPr>
              <w:t>(14.907)</w:t>
            </w:r>
          </w:p>
        </w:tc>
        <w:tc>
          <w:tcPr>
            <w:tcW w:w="1587" w:type="dxa"/>
            <w:tcBorders>
              <w:top w:val="nil"/>
              <w:bottom w:val="nil"/>
            </w:tcBorders>
            <w:vAlign w:val="center"/>
          </w:tcPr>
          <w:p w14:paraId="30A00077" w14:textId="77777777" w:rsidR="009B57E2" w:rsidRPr="00FD5168" w:rsidRDefault="009B57E2" w:rsidP="00B64335">
            <w:pPr>
              <w:spacing w:after="0" w:line="240" w:lineRule="auto"/>
              <w:jc w:val="center"/>
              <w:rPr>
                <w:sz w:val="20"/>
                <w:szCs w:val="20"/>
                <w:lang w:val="en-GB"/>
              </w:rPr>
            </w:pPr>
            <w:r w:rsidRPr="00FD5168">
              <w:rPr>
                <w:sz w:val="20"/>
                <w:szCs w:val="20"/>
                <w:lang w:val="en-GB"/>
              </w:rPr>
              <w:t>46.148</w:t>
            </w:r>
          </w:p>
          <w:p w14:paraId="053E9419" w14:textId="77777777" w:rsidR="009B57E2" w:rsidRPr="00FD5168" w:rsidRDefault="009B57E2" w:rsidP="00B64335">
            <w:pPr>
              <w:spacing w:after="0" w:line="240" w:lineRule="auto"/>
              <w:jc w:val="center"/>
              <w:rPr>
                <w:sz w:val="20"/>
                <w:szCs w:val="20"/>
                <w:lang w:val="en-GB"/>
              </w:rPr>
            </w:pPr>
            <w:r w:rsidRPr="00FD5168">
              <w:rPr>
                <w:sz w:val="20"/>
                <w:szCs w:val="20"/>
                <w:lang w:val="en-GB"/>
              </w:rPr>
              <w:t>(13.114)</w:t>
            </w:r>
          </w:p>
        </w:tc>
      </w:tr>
      <w:tr w:rsidR="009B57E2" w:rsidRPr="00494CA7" w14:paraId="5F92C187" w14:textId="77777777" w:rsidTr="00B64335">
        <w:trPr>
          <w:trHeight w:val="283"/>
        </w:trPr>
        <w:tc>
          <w:tcPr>
            <w:tcW w:w="4649" w:type="dxa"/>
            <w:tcBorders>
              <w:top w:val="nil"/>
              <w:bottom w:val="nil"/>
            </w:tcBorders>
            <w:vAlign w:val="center"/>
          </w:tcPr>
          <w:p w14:paraId="20B5635F" w14:textId="77777777" w:rsidR="009B57E2" w:rsidRPr="00FD5168" w:rsidRDefault="009B57E2" w:rsidP="00B64335">
            <w:pPr>
              <w:spacing w:after="0" w:line="240" w:lineRule="auto"/>
              <w:ind w:left="170"/>
              <w:rPr>
                <w:sz w:val="20"/>
                <w:szCs w:val="20"/>
                <w:lang w:val="en-GB"/>
              </w:rPr>
            </w:pPr>
            <w:r w:rsidRPr="00FD5168">
              <w:rPr>
                <w:sz w:val="20"/>
                <w:szCs w:val="20"/>
                <w:lang w:val="en-GB"/>
              </w:rPr>
              <w:t>HDI 3</w:t>
            </w:r>
            <w:r w:rsidRPr="00FD5168">
              <w:rPr>
                <w:sz w:val="20"/>
                <w:szCs w:val="20"/>
                <w:vertAlign w:val="superscript"/>
                <w:lang w:val="en-GB"/>
              </w:rPr>
              <w:t>rd</w:t>
            </w:r>
            <w:r w:rsidRPr="00FD5168">
              <w:rPr>
                <w:sz w:val="20"/>
                <w:szCs w:val="20"/>
                <w:lang w:val="en-GB"/>
              </w:rPr>
              <w:t xml:space="preserve"> quartile</w:t>
            </w:r>
          </w:p>
        </w:tc>
        <w:tc>
          <w:tcPr>
            <w:tcW w:w="1587" w:type="dxa"/>
            <w:tcBorders>
              <w:top w:val="nil"/>
              <w:bottom w:val="nil"/>
            </w:tcBorders>
            <w:vAlign w:val="center"/>
          </w:tcPr>
          <w:p w14:paraId="69B1EDF4" w14:textId="77777777" w:rsidR="009B57E2" w:rsidRPr="00FD5168" w:rsidRDefault="009B57E2" w:rsidP="00B64335">
            <w:pPr>
              <w:spacing w:after="0" w:line="240" w:lineRule="auto"/>
              <w:jc w:val="center"/>
              <w:rPr>
                <w:sz w:val="20"/>
                <w:szCs w:val="20"/>
                <w:lang w:val="en-GB"/>
              </w:rPr>
            </w:pPr>
            <w:r w:rsidRPr="00FD5168">
              <w:rPr>
                <w:sz w:val="20"/>
                <w:szCs w:val="20"/>
                <w:lang w:val="en-GB"/>
              </w:rPr>
              <w:t>92.759</w:t>
            </w:r>
          </w:p>
          <w:p w14:paraId="6A029D8D" w14:textId="77777777" w:rsidR="009B57E2" w:rsidRPr="00FD5168" w:rsidRDefault="009B57E2" w:rsidP="00B64335">
            <w:pPr>
              <w:spacing w:after="0" w:line="240" w:lineRule="auto"/>
              <w:jc w:val="center"/>
              <w:rPr>
                <w:sz w:val="20"/>
                <w:szCs w:val="20"/>
                <w:lang w:val="en-GB"/>
              </w:rPr>
            </w:pPr>
            <w:r w:rsidRPr="00FD5168">
              <w:rPr>
                <w:sz w:val="20"/>
                <w:szCs w:val="20"/>
                <w:lang w:val="en-GB"/>
              </w:rPr>
              <w:t>(17.641)</w:t>
            </w:r>
          </w:p>
        </w:tc>
        <w:tc>
          <w:tcPr>
            <w:tcW w:w="1587" w:type="dxa"/>
            <w:tcBorders>
              <w:top w:val="nil"/>
              <w:bottom w:val="nil"/>
            </w:tcBorders>
            <w:vAlign w:val="center"/>
          </w:tcPr>
          <w:p w14:paraId="01632A5B" w14:textId="77777777" w:rsidR="009B57E2" w:rsidRPr="00FD5168" w:rsidRDefault="009B57E2" w:rsidP="00B64335">
            <w:pPr>
              <w:spacing w:after="0" w:line="240" w:lineRule="auto"/>
              <w:jc w:val="center"/>
              <w:rPr>
                <w:sz w:val="20"/>
                <w:szCs w:val="20"/>
                <w:lang w:val="en-GB"/>
              </w:rPr>
            </w:pPr>
            <w:r w:rsidRPr="00FD5168">
              <w:rPr>
                <w:sz w:val="20"/>
                <w:szCs w:val="20"/>
                <w:lang w:val="en-GB"/>
              </w:rPr>
              <w:t>82.862</w:t>
            </w:r>
          </w:p>
          <w:p w14:paraId="545C8966" w14:textId="77777777" w:rsidR="009B57E2" w:rsidRPr="00FD5168" w:rsidRDefault="009B57E2" w:rsidP="00B64335">
            <w:pPr>
              <w:spacing w:after="0" w:line="240" w:lineRule="auto"/>
              <w:jc w:val="center"/>
              <w:rPr>
                <w:sz w:val="20"/>
                <w:szCs w:val="20"/>
                <w:lang w:val="en-GB"/>
              </w:rPr>
            </w:pPr>
            <w:r w:rsidRPr="00FD5168">
              <w:rPr>
                <w:sz w:val="20"/>
                <w:szCs w:val="20"/>
                <w:lang w:val="en-GB"/>
              </w:rPr>
              <w:t>(17.312)</w:t>
            </w:r>
          </w:p>
        </w:tc>
        <w:tc>
          <w:tcPr>
            <w:tcW w:w="1587" w:type="dxa"/>
            <w:tcBorders>
              <w:top w:val="nil"/>
              <w:bottom w:val="nil"/>
            </w:tcBorders>
            <w:vAlign w:val="center"/>
          </w:tcPr>
          <w:p w14:paraId="7D0FEB90" w14:textId="77777777" w:rsidR="009B57E2" w:rsidRPr="00FD5168" w:rsidRDefault="009B57E2" w:rsidP="00B64335">
            <w:pPr>
              <w:spacing w:after="0" w:line="240" w:lineRule="auto"/>
              <w:jc w:val="center"/>
              <w:rPr>
                <w:sz w:val="20"/>
                <w:szCs w:val="20"/>
                <w:lang w:val="en-GB"/>
              </w:rPr>
            </w:pPr>
            <w:r w:rsidRPr="00FD5168">
              <w:rPr>
                <w:sz w:val="20"/>
                <w:szCs w:val="20"/>
                <w:lang w:val="en-GB"/>
              </w:rPr>
              <w:t>75.668</w:t>
            </w:r>
          </w:p>
          <w:p w14:paraId="66CCF2FD" w14:textId="77777777" w:rsidR="009B57E2" w:rsidRPr="00FD5168" w:rsidRDefault="009B57E2" w:rsidP="00B64335">
            <w:pPr>
              <w:spacing w:after="0" w:line="240" w:lineRule="auto"/>
              <w:jc w:val="center"/>
              <w:rPr>
                <w:sz w:val="20"/>
                <w:szCs w:val="20"/>
                <w:lang w:val="en-GB"/>
              </w:rPr>
            </w:pPr>
            <w:r w:rsidRPr="00FD5168">
              <w:rPr>
                <w:sz w:val="20"/>
                <w:szCs w:val="20"/>
                <w:lang w:val="en-GB"/>
              </w:rPr>
              <w:t>(13.808)</w:t>
            </w:r>
          </w:p>
        </w:tc>
      </w:tr>
      <w:tr w:rsidR="009B57E2" w:rsidRPr="00494CA7" w14:paraId="137104CE" w14:textId="77777777" w:rsidTr="00B64335">
        <w:trPr>
          <w:trHeight w:val="283"/>
        </w:trPr>
        <w:tc>
          <w:tcPr>
            <w:tcW w:w="4649" w:type="dxa"/>
            <w:tcBorders>
              <w:top w:val="nil"/>
              <w:bottom w:val="nil"/>
            </w:tcBorders>
            <w:vAlign w:val="center"/>
          </w:tcPr>
          <w:p w14:paraId="1C174E48" w14:textId="77777777" w:rsidR="009B57E2" w:rsidRPr="00FD5168" w:rsidRDefault="009B57E2" w:rsidP="00B64335">
            <w:pPr>
              <w:spacing w:after="0" w:line="240" w:lineRule="auto"/>
              <w:ind w:left="170"/>
              <w:rPr>
                <w:sz w:val="20"/>
                <w:szCs w:val="20"/>
                <w:lang w:val="en-GB"/>
              </w:rPr>
            </w:pPr>
            <w:r w:rsidRPr="00FD5168">
              <w:rPr>
                <w:sz w:val="20"/>
                <w:szCs w:val="20"/>
                <w:lang w:val="en-GB"/>
              </w:rPr>
              <w:t>HDI 4</w:t>
            </w:r>
            <w:r w:rsidRPr="00FD5168">
              <w:rPr>
                <w:sz w:val="20"/>
                <w:szCs w:val="20"/>
                <w:vertAlign w:val="superscript"/>
                <w:lang w:val="en-GB"/>
              </w:rPr>
              <w:t>th</w:t>
            </w:r>
            <w:r w:rsidRPr="00FD5168">
              <w:rPr>
                <w:sz w:val="20"/>
                <w:szCs w:val="20"/>
                <w:lang w:val="en-GB"/>
              </w:rPr>
              <w:t xml:space="preserve"> quartile</w:t>
            </w:r>
          </w:p>
        </w:tc>
        <w:tc>
          <w:tcPr>
            <w:tcW w:w="1587" w:type="dxa"/>
            <w:tcBorders>
              <w:top w:val="nil"/>
              <w:bottom w:val="nil"/>
            </w:tcBorders>
            <w:vAlign w:val="center"/>
          </w:tcPr>
          <w:p w14:paraId="4522EBC2" w14:textId="77777777" w:rsidR="009B57E2" w:rsidRPr="00FD5168" w:rsidRDefault="009B57E2" w:rsidP="00B64335">
            <w:pPr>
              <w:spacing w:after="0" w:line="240" w:lineRule="auto"/>
              <w:jc w:val="center"/>
              <w:rPr>
                <w:sz w:val="20"/>
                <w:szCs w:val="20"/>
                <w:lang w:val="en-GB"/>
              </w:rPr>
            </w:pPr>
            <w:r w:rsidRPr="00FD5168">
              <w:rPr>
                <w:sz w:val="20"/>
                <w:szCs w:val="20"/>
                <w:lang w:val="en-GB"/>
              </w:rPr>
              <w:t>106.834</w:t>
            </w:r>
          </w:p>
          <w:p w14:paraId="67BB55E1" w14:textId="77777777" w:rsidR="009B57E2" w:rsidRPr="00FD5168" w:rsidRDefault="009B57E2" w:rsidP="00B64335">
            <w:pPr>
              <w:spacing w:after="0" w:line="240" w:lineRule="auto"/>
              <w:jc w:val="center"/>
              <w:rPr>
                <w:sz w:val="20"/>
                <w:szCs w:val="20"/>
                <w:lang w:val="en-GB"/>
              </w:rPr>
            </w:pPr>
            <w:r w:rsidRPr="00FD5168">
              <w:rPr>
                <w:sz w:val="20"/>
                <w:szCs w:val="20"/>
                <w:lang w:val="en-GB"/>
              </w:rPr>
              <w:t>(17.604)</w:t>
            </w:r>
          </w:p>
        </w:tc>
        <w:tc>
          <w:tcPr>
            <w:tcW w:w="1587" w:type="dxa"/>
            <w:tcBorders>
              <w:top w:val="nil"/>
              <w:bottom w:val="nil"/>
            </w:tcBorders>
            <w:vAlign w:val="center"/>
          </w:tcPr>
          <w:p w14:paraId="18DA81DE" w14:textId="77777777" w:rsidR="009B57E2" w:rsidRPr="00FD5168" w:rsidRDefault="009B57E2" w:rsidP="00B64335">
            <w:pPr>
              <w:spacing w:after="0" w:line="240" w:lineRule="auto"/>
              <w:jc w:val="center"/>
              <w:rPr>
                <w:sz w:val="20"/>
                <w:szCs w:val="20"/>
                <w:lang w:val="en-GB"/>
              </w:rPr>
            </w:pPr>
            <w:r w:rsidRPr="00FD5168">
              <w:rPr>
                <w:sz w:val="20"/>
                <w:szCs w:val="20"/>
                <w:lang w:val="en-GB"/>
              </w:rPr>
              <w:t>96.097</w:t>
            </w:r>
          </w:p>
          <w:p w14:paraId="11B4CF0F" w14:textId="77777777" w:rsidR="009B57E2" w:rsidRPr="00FD5168" w:rsidRDefault="009B57E2" w:rsidP="00B64335">
            <w:pPr>
              <w:spacing w:after="0" w:line="240" w:lineRule="auto"/>
              <w:jc w:val="center"/>
              <w:rPr>
                <w:sz w:val="20"/>
                <w:szCs w:val="20"/>
                <w:lang w:val="en-GB"/>
              </w:rPr>
            </w:pPr>
            <w:r w:rsidRPr="00FD5168">
              <w:rPr>
                <w:sz w:val="20"/>
                <w:szCs w:val="20"/>
                <w:lang w:val="en-GB"/>
              </w:rPr>
              <w:t>(17.574)</w:t>
            </w:r>
          </w:p>
        </w:tc>
        <w:tc>
          <w:tcPr>
            <w:tcW w:w="1587" w:type="dxa"/>
            <w:tcBorders>
              <w:top w:val="nil"/>
              <w:bottom w:val="nil"/>
            </w:tcBorders>
            <w:vAlign w:val="center"/>
          </w:tcPr>
          <w:p w14:paraId="607828C5" w14:textId="77777777" w:rsidR="009B57E2" w:rsidRPr="00FD5168" w:rsidRDefault="009B57E2" w:rsidP="00B64335">
            <w:pPr>
              <w:spacing w:after="0" w:line="240" w:lineRule="auto"/>
              <w:jc w:val="center"/>
              <w:rPr>
                <w:sz w:val="20"/>
                <w:szCs w:val="20"/>
                <w:lang w:val="en-GB"/>
              </w:rPr>
            </w:pPr>
            <w:r w:rsidRPr="00FD5168">
              <w:rPr>
                <w:sz w:val="20"/>
                <w:szCs w:val="20"/>
                <w:lang w:val="en-GB"/>
              </w:rPr>
              <w:t>86.739</w:t>
            </w:r>
          </w:p>
          <w:p w14:paraId="7CC101DA" w14:textId="77777777" w:rsidR="009B57E2" w:rsidRPr="00FD5168" w:rsidRDefault="009B57E2" w:rsidP="00B64335">
            <w:pPr>
              <w:spacing w:after="0" w:line="240" w:lineRule="auto"/>
              <w:jc w:val="center"/>
              <w:rPr>
                <w:sz w:val="20"/>
                <w:szCs w:val="20"/>
                <w:lang w:val="en-GB"/>
              </w:rPr>
            </w:pPr>
            <w:r w:rsidRPr="00FD5168">
              <w:rPr>
                <w:sz w:val="20"/>
                <w:szCs w:val="20"/>
                <w:lang w:val="en-GB"/>
              </w:rPr>
              <w:t>(14.029)</w:t>
            </w:r>
          </w:p>
        </w:tc>
      </w:tr>
      <w:tr w:rsidR="009B57E2" w:rsidRPr="00494CA7" w14:paraId="171E3904" w14:textId="77777777" w:rsidTr="00B64335">
        <w:trPr>
          <w:trHeight w:val="283"/>
        </w:trPr>
        <w:tc>
          <w:tcPr>
            <w:tcW w:w="4649" w:type="dxa"/>
            <w:tcBorders>
              <w:top w:val="nil"/>
              <w:bottom w:val="nil"/>
            </w:tcBorders>
            <w:vAlign w:val="center"/>
          </w:tcPr>
          <w:p w14:paraId="71D20902" w14:textId="77777777" w:rsidR="009B57E2" w:rsidRPr="00FD5168" w:rsidRDefault="009B57E2" w:rsidP="00B64335">
            <w:pPr>
              <w:spacing w:after="0" w:line="240" w:lineRule="auto"/>
              <w:rPr>
                <w:sz w:val="20"/>
                <w:szCs w:val="20"/>
                <w:lang w:val="en-GB"/>
              </w:rPr>
            </w:pPr>
            <w:r w:rsidRPr="00FD5168">
              <w:rPr>
                <w:b/>
                <w:sz w:val="20"/>
                <w:szCs w:val="20"/>
                <w:lang w:val="en-GB"/>
              </w:rPr>
              <w:t>Male</w:t>
            </w:r>
          </w:p>
        </w:tc>
        <w:tc>
          <w:tcPr>
            <w:tcW w:w="1587" w:type="dxa"/>
            <w:tcBorders>
              <w:top w:val="nil"/>
              <w:bottom w:val="nil"/>
            </w:tcBorders>
            <w:vAlign w:val="center"/>
          </w:tcPr>
          <w:p w14:paraId="21B07815" w14:textId="77777777" w:rsidR="009B57E2" w:rsidRPr="00FD5168" w:rsidRDefault="009B57E2" w:rsidP="00B64335">
            <w:pPr>
              <w:spacing w:after="0" w:line="240" w:lineRule="auto"/>
              <w:jc w:val="center"/>
              <w:rPr>
                <w:sz w:val="20"/>
                <w:szCs w:val="20"/>
                <w:lang w:val="en-GB"/>
              </w:rPr>
            </w:pPr>
            <w:r w:rsidRPr="00FD5168">
              <w:rPr>
                <w:sz w:val="20"/>
                <w:szCs w:val="20"/>
                <w:lang w:val="en-GB"/>
              </w:rPr>
              <w:t>-24.555</w:t>
            </w:r>
          </w:p>
          <w:p w14:paraId="09FB75E7" w14:textId="77777777" w:rsidR="009B57E2" w:rsidRPr="00FD5168" w:rsidRDefault="009B57E2" w:rsidP="00B64335">
            <w:pPr>
              <w:spacing w:after="0" w:line="240" w:lineRule="auto"/>
              <w:jc w:val="center"/>
              <w:rPr>
                <w:sz w:val="20"/>
                <w:szCs w:val="20"/>
                <w:lang w:val="en-GB"/>
              </w:rPr>
            </w:pPr>
            <w:r w:rsidRPr="00FD5168">
              <w:rPr>
                <w:sz w:val="20"/>
                <w:szCs w:val="20"/>
                <w:lang w:val="en-GB"/>
              </w:rPr>
              <w:t>(0.425)</w:t>
            </w:r>
          </w:p>
        </w:tc>
        <w:tc>
          <w:tcPr>
            <w:tcW w:w="1587" w:type="dxa"/>
            <w:tcBorders>
              <w:top w:val="nil"/>
              <w:bottom w:val="nil"/>
            </w:tcBorders>
            <w:vAlign w:val="center"/>
          </w:tcPr>
          <w:p w14:paraId="0EE6E235" w14:textId="77777777" w:rsidR="009B57E2" w:rsidRPr="00FD5168" w:rsidRDefault="009B57E2" w:rsidP="00B64335">
            <w:pPr>
              <w:spacing w:after="0" w:line="240" w:lineRule="auto"/>
              <w:jc w:val="center"/>
              <w:rPr>
                <w:sz w:val="20"/>
                <w:szCs w:val="20"/>
                <w:lang w:val="en-GB"/>
              </w:rPr>
            </w:pPr>
            <w:r w:rsidRPr="00FD5168">
              <w:rPr>
                <w:sz w:val="20"/>
                <w:szCs w:val="20"/>
                <w:lang w:val="en-GB"/>
              </w:rPr>
              <w:t>-24.568</w:t>
            </w:r>
          </w:p>
          <w:p w14:paraId="4A80C313" w14:textId="77777777" w:rsidR="009B57E2" w:rsidRPr="00FD5168" w:rsidRDefault="009B57E2" w:rsidP="00B64335">
            <w:pPr>
              <w:spacing w:after="0" w:line="240" w:lineRule="auto"/>
              <w:jc w:val="center"/>
              <w:rPr>
                <w:sz w:val="20"/>
                <w:szCs w:val="20"/>
                <w:lang w:val="en-GB"/>
              </w:rPr>
            </w:pPr>
            <w:r w:rsidRPr="00FD5168">
              <w:rPr>
                <w:sz w:val="20"/>
                <w:szCs w:val="20"/>
                <w:lang w:val="en-GB"/>
              </w:rPr>
              <w:t>(0.425)</w:t>
            </w:r>
          </w:p>
        </w:tc>
        <w:tc>
          <w:tcPr>
            <w:tcW w:w="1587" w:type="dxa"/>
            <w:tcBorders>
              <w:top w:val="nil"/>
              <w:bottom w:val="nil"/>
            </w:tcBorders>
            <w:vAlign w:val="center"/>
          </w:tcPr>
          <w:p w14:paraId="48C8961B" w14:textId="77777777" w:rsidR="009B57E2" w:rsidRPr="00FD5168" w:rsidRDefault="009B57E2" w:rsidP="00B64335">
            <w:pPr>
              <w:spacing w:after="0" w:line="240" w:lineRule="auto"/>
              <w:jc w:val="center"/>
              <w:rPr>
                <w:sz w:val="20"/>
                <w:szCs w:val="20"/>
                <w:lang w:val="en-GB"/>
              </w:rPr>
            </w:pPr>
            <w:r w:rsidRPr="00FD5168">
              <w:rPr>
                <w:sz w:val="20"/>
                <w:szCs w:val="20"/>
                <w:lang w:val="en-GB"/>
              </w:rPr>
              <w:t>-24.566</w:t>
            </w:r>
          </w:p>
          <w:p w14:paraId="52335A5B" w14:textId="77777777" w:rsidR="009B57E2" w:rsidRPr="00FD5168" w:rsidRDefault="009B57E2" w:rsidP="00B64335">
            <w:pPr>
              <w:spacing w:after="0" w:line="240" w:lineRule="auto"/>
              <w:jc w:val="center"/>
              <w:rPr>
                <w:sz w:val="20"/>
                <w:szCs w:val="20"/>
                <w:lang w:val="en-GB"/>
              </w:rPr>
            </w:pPr>
            <w:r w:rsidRPr="00FD5168">
              <w:rPr>
                <w:sz w:val="20"/>
                <w:szCs w:val="20"/>
                <w:lang w:val="en-GB"/>
              </w:rPr>
              <w:t>(0.425)</w:t>
            </w:r>
          </w:p>
        </w:tc>
      </w:tr>
      <w:tr w:rsidR="009B57E2" w:rsidRPr="00494CA7" w14:paraId="62FF904D" w14:textId="77777777" w:rsidTr="00B64335">
        <w:trPr>
          <w:trHeight w:val="283"/>
        </w:trPr>
        <w:tc>
          <w:tcPr>
            <w:tcW w:w="4649" w:type="dxa"/>
            <w:tcBorders>
              <w:top w:val="nil"/>
              <w:bottom w:val="nil"/>
            </w:tcBorders>
            <w:vAlign w:val="center"/>
          </w:tcPr>
          <w:p w14:paraId="7D7E0DC4" w14:textId="77777777" w:rsidR="009B57E2" w:rsidRPr="00FD5168" w:rsidRDefault="009B57E2" w:rsidP="00B64335">
            <w:pPr>
              <w:spacing w:after="0" w:line="240" w:lineRule="auto"/>
              <w:rPr>
                <w:sz w:val="20"/>
                <w:szCs w:val="20"/>
                <w:lang w:val="en-GB"/>
              </w:rPr>
            </w:pPr>
            <w:r w:rsidRPr="00FD5168">
              <w:rPr>
                <w:b/>
                <w:sz w:val="20"/>
                <w:szCs w:val="20"/>
                <w:lang w:val="en-GB"/>
              </w:rPr>
              <w:t>Family structure</w:t>
            </w:r>
            <w:r w:rsidRPr="00FD5168">
              <w:rPr>
                <w:sz w:val="20"/>
                <w:szCs w:val="20"/>
                <w:lang w:val="en-GB"/>
              </w:rPr>
              <w:t xml:space="preserve"> (intact family is ref. category)</w:t>
            </w:r>
          </w:p>
        </w:tc>
        <w:tc>
          <w:tcPr>
            <w:tcW w:w="1587" w:type="dxa"/>
            <w:tcBorders>
              <w:top w:val="nil"/>
              <w:bottom w:val="nil"/>
            </w:tcBorders>
            <w:vAlign w:val="center"/>
          </w:tcPr>
          <w:p w14:paraId="67E304B2" w14:textId="77777777" w:rsidR="009B57E2" w:rsidRPr="00FD5168" w:rsidRDefault="009B57E2" w:rsidP="00B64335">
            <w:pPr>
              <w:spacing w:after="0" w:line="240" w:lineRule="auto"/>
              <w:jc w:val="center"/>
              <w:rPr>
                <w:sz w:val="20"/>
                <w:szCs w:val="20"/>
                <w:lang w:val="en-GB"/>
              </w:rPr>
            </w:pPr>
          </w:p>
        </w:tc>
        <w:tc>
          <w:tcPr>
            <w:tcW w:w="1587" w:type="dxa"/>
            <w:tcBorders>
              <w:top w:val="nil"/>
              <w:bottom w:val="nil"/>
            </w:tcBorders>
            <w:vAlign w:val="center"/>
          </w:tcPr>
          <w:p w14:paraId="0B382178" w14:textId="77777777" w:rsidR="009B57E2" w:rsidRPr="00FD5168" w:rsidRDefault="009B57E2" w:rsidP="00B64335">
            <w:pPr>
              <w:spacing w:after="0" w:line="240" w:lineRule="auto"/>
              <w:jc w:val="center"/>
              <w:rPr>
                <w:sz w:val="20"/>
                <w:szCs w:val="20"/>
                <w:lang w:val="en-GB"/>
              </w:rPr>
            </w:pPr>
          </w:p>
        </w:tc>
        <w:tc>
          <w:tcPr>
            <w:tcW w:w="1587" w:type="dxa"/>
            <w:tcBorders>
              <w:top w:val="nil"/>
              <w:bottom w:val="nil"/>
            </w:tcBorders>
            <w:vAlign w:val="center"/>
          </w:tcPr>
          <w:p w14:paraId="0368B54A" w14:textId="77777777" w:rsidR="009B57E2" w:rsidRPr="00FD5168" w:rsidRDefault="009B57E2" w:rsidP="00B64335">
            <w:pPr>
              <w:spacing w:after="0" w:line="240" w:lineRule="auto"/>
              <w:jc w:val="center"/>
              <w:rPr>
                <w:sz w:val="20"/>
                <w:szCs w:val="20"/>
                <w:lang w:val="en-GB"/>
              </w:rPr>
            </w:pPr>
          </w:p>
        </w:tc>
      </w:tr>
      <w:tr w:rsidR="009B57E2" w:rsidRPr="00494CA7" w14:paraId="2D59E6B6" w14:textId="77777777" w:rsidTr="00B64335">
        <w:trPr>
          <w:trHeight w:val="283"/>
        </w:trPr>
        <w:tc>
          <w:tcPr>
            <w:tcW w:w="4649" w:type="dxa"/>
            <w:tcBorders>
              <w:top w:val="nil"/>
              <w:bottom w:val="nil"/>
            </w:tcBorders>
            <w:vAlign w:val="center"/>
          </w:tcPr>
          <w:p w14:paraId="014FD190" w14:textId="77777777" w:rsidR="009B57E2" w:rsidRPr="00FD5168" w:rsidRDefault="009B57E2" w:rsidP="00B64335">
            <w:pPr>
              <w:spacing w:after="0" w:line="240" w:lineRule="auto"/>
              <w:ind w:left="170"/>
              <w:rPr>
                <w:sz w:val="20"/>
                <w:szCs w:val="20"/>
                <w:lang w:val="en-GB"/>
              </w:rPr>
            </w:pPr>
            <w:r w:rsidRPr="00FD5168">
              <w:rPr>
                <w:sz w:val="20"/>
                <w:szCs w:val="20"/>
                <w:lang w:val="en-GB"/>
              </w:rPr>
              <w:t>Single parent</w:t>
            </w:r>
          </w:p>
        </w:tc>
        <w:tc>
          <w:tcPr>
            <w:tcW w:w="1587" w:type="dxa"/>
            <w:tcBorders>
              <w:top w:val="nil"/>
              <w:bottom w:val="nil"/>
            </w:tcBorders>
            <w:vAlign w:val="center"/>
          </w:tcPr>
          <w:p w14:paraId="6E2730E4" w14:textId="77777777" w:rsidR="009B57E2" w:rsidRPr="00FD5168" w:rsidRDefault="009B57E2" w:rsidP="00B64335">
            <w:pPr>
              <w:spacing w:after="0" w:line="240" w:lineRule="auto"/>
              <w:jc w:val="center"/>
              <w:rPr>
                <w:sz w:val="20"/>
                <w:szCs w:val="20"/>
                <w:lang w:val="en-GB"/>
              </w:rPr>
            </w:pPr>
            <w:r w:rsidRPr="00FD5168">
              <w:rPr>
                <w:sz w:val="20"/>
                <w:szCs w:val="20"/>
                <w:lang w:val="en-GB"/>
              </w:rPr>
              <w:t>-2.648</w:t>
            </w:r>
          </w:p>
          <w:p w14:paraId="708B81C7" w14:textId="77777777" w:rsidR="009B57E2" w:rsidRPr="00FD5168" w:rsidRDefault="009B57E2" w:rsidP="00B64335">
            <w:pPr>
              <w:spacing w:after="0" w:line="240" w:lineRule="auto"/>
              <w:jc w:val="center"/>
              <w:rPr>
                <w:sz w:val="20"/>
                <w:szCs w:val="20"/>
                <w:lang w:val="en-GB"/>
              </w:rPr>
            </w:pPr>
            <w:r w:rsidRPr="00FD5168">
              <w:rPr>
                <w:sz w:val="20"/>
                <w:szCs w:val="20"/>
                <w:lang w:val="en-GB"/>
              </w:rPr>
              <w:t>(0.602)</w:t>
            </w:r>
          </w:p>
        </w:tc>
        <w:tc>
          <w:tcPr>
            <w:tcW w:w="1587" w:type="dxa"/>
            <w:tcBorders>
              <w:top w:val="nil"/>
              <w:bottom w:val="nil"/>
            </w:tcBorders>
            <w:vAlign w:val="center"/>
          </w:tcPr>
          <w:p w14:paraId="32FEAAB3" w14:textId="77777777" w:rsidR="009B57E2" w:rsidRPr="00FD5168" w:rsidRDefault="009B57E2" w:rsidP="00B64335">
            <w:pPr>
              <w:spacing w:after="0" w:line="240" w:lineRule="auto"/>
              <w:jc w:val="center"/>
              <w:rPr>
                <w:sz w:val="20"/>
                <w:szCs w:val="20"/>
                <w:lang w:val="en-GB"/>
              </w:rPr>
            </w:pPr>
            <w:r w:rsidRPr="00FD5168">
              <w:rPr>
                <w:sz w:val="20"/>
                <w:szCs w:val="20"/>
                <w:lang w:val="en-GB"/>
              </w:rPr>
              <w:t>-2.653</w:t>
            </w:r>
          </w:p>
          <w:p w14:paraId="6EE77528" w14:textId="77777777" w:rsidR="009B57E2" w:rsidRPr="00FD5168" w:rsidRDefault="009B57E2" w:rsidP="00B64335">
            <w:pPr>
              <w:spacing w:after="0" w:line="240" w:lineRule="auto"/>
              <w:jc w:val="center"/>
              <w:rPr>
                <w:sz w:val="20"/>
                <w:szCs w:val="20"/>
                <w:lang w:val="en-GB"/>
              </w:rPr>
            </w:pPr>
            <w:r w:rsidRPr="00FD5168">
              <w:rPr>
                <w:sz w:val="20"/>
                <w:szCs w:val="20"/>
                <w:lang w:val="en-GB"/>
              </w:rPr>
              <w:t>(0.602)</w:t>
            </w:r>
          </w:p>
        </w:tc>
        <w:tc>
          <w:tcPr>
            <w:tcW w:w="1587" w:type="dxa"/>
            <w:tcBorders>
              <w:top w:val="nil"/>
              <w:bottom w:val="nil"/>
            </w:tcBorders>
            <w:vAlign w:val="center"/>
          </w:tcPr>
          <w:p w14:paraId="40868175" w14:textId="77777777" w:rsidR="009B57E2" w:rsidRPr="00FD5168" w:rsidRDefault="009B57E2" w:rsidP="00B64335">
            <w:pPr>
              <w:spacing w:after="0" w:line="240" w:lineRule="auto"/>
              <w:jc w:val="center"/>
              <w:rPr>
                <w:sz w:val="20"/>
                <w:szCs w:val="20"/>
                <w:lang w:val="en-GB"/>
              </w:rPr>
            </w:pPr>
            <w:r w:rsidRPr="00FD5168">
              <w:rPr>
                <w:sz w:val="20"/>
                <w:szCs w:val="20"/>
                <w:lang w:val="en-GB"/>
              </w:rPr>
              <w:t>-2.652</w:t>
            </w:r>
          </w:p>
          <w:p w14:paraId="03213E26" w14:textId="77777777" w:rsidR="009B57E2" w:rsidRPr="00FD5168" w:rsidRDefault="009B57E2" w:rsidP="00B64335">
            <w:pPr>
              <w:spacing w:after="0" w:line="240" w:lineRule="auto"/>
              <w:jc w:val="center"/>
              <w:rPr>
                <w:sz w:val="20"/>
                <w:szCs w:val="20"/>
                <w:lang w:val="en-GB"/>
              </w:rPr>
            </w:pPr>
            <w:r w:rsidRPr="00FD5168">
              <w:rPr>
                <w:sz w:val="20"/>
                <w:szCs w:val="20"/>
                <w:lang w:val="en-GB"/>
              </w:rPr>
              <w:t>(0.602)</w:t>
            </w:r>
          </w:p>
        </w:tc>
      </w:tr>
      <w:tr w:rsidR="009B57E2" w:rsidRPr="00494CA7" w14:paraId="492412AC" w14:textId="77777777" w:rsidTr="00B64335">
        <w:trPr>
          <w:trHeight w:val="283"/>
        </w:trPr>
        <w:tc>
          <w:tcPr>
            <w:tcW w:w="4649" w:type="dxa"/>
            <w:tcBorders>
              <w:top w:val="nil"/>
              <w:bottom w:val="nil"/>
            </w:tcBorders>
            <w:vAlign w:val="center"/>
          </w:tcPr>
          <w:p w14:paraId="6CF4A2B8" w14:textId="77777777" w:rsidR="009B57E2" w:rsidRPr="00FD5168" w:rsidRDefault="009B57E2" w:rsidP="00B64335">
            <w:pPr>
              <w:spacing w:after="0" w:line="240" w:lineRule="auto"/>
              <w:ind w:left="170"/>
              <w:rPr>
                <w:sz w:val="20"/>
                <w:szCs w:val="20"/>
                <w:lang w:val="en-GB"/>
              </w:rPr>
            </w:pPr>
            <w:r w:rsidRPr="00FD5168">
              <w:rPr>
                <w:sz w:val="20"/>
                <w:szCs w:val="20"/>
                <w:lang w:val="en-GB"/>
              </w:rPr>
              <w:t>Parent and step-parent</w:t>
            </w:r>
          </w:p>
        </w:tc>
        <w:tc>
          <w:tcPr>
            <w:tcW w:w="1587" w:type="dxa"/>
            <w:tcBorders>
              <w:top w:val="nil"/>
              <w:bottom w:val="nil"/>
            </w:tcBorders>
            <w:vAlign w:val="center"/>
          </w:tcPr>
          <w:p w14:paraId="00134C15" w14:textId="77777777" w:rsidR="009B57E2" w:rsidRPr="00FD5168" w:rsidRDefault="009B57E2" w:rsidP="00B64335">
            <w:pPr>
              <w:spacing w:after="0" w:line="240" w:lineRule="auto"/>
              <w:jc w:val="center"/>
              <w:rPr>
                <w:sz w:val="20"/>
                <w:szCs w:val="20"/>
                <w:lang w:val="en-GB"/>
              </w:rPr>
            </w:pPr>
            <w:r w:rsidRPr="00FD5168">
              <w:rPr>
                <w:sz w:val="20"/>
                <w:szCs w:val="20"/>
                <w:lang w:val="en-GB"/>
              </w:rPr>
              <w:t>-4.806</w:t>
            </w:r>
          </w:p>
          <w:p w14:paraId="7F5A7002" w14:textId="77777777" w:rsidR="009B57E2" w:rsidRPr="00FD5168" w:rsidRDefault="009B57E2" w:rsidP="00B64335">
            <w:pPr>
              <w:spacing w:after="0" w:line="240" w:lineRule="auto"/>
              <w:jc w:val="center"/>
              <w:rPr>
                <w:sz w:val="20"/>
                <w:szCs w:val="20"/>
                <w:lang w:val="en-GB"/>
              </w:rPr>
            </w:pPr>
            <w:r w:rsidRPr="00FD5168">
              <w:rPr>
                <w:sz w:val="20"/>
                <w:szCs w:val="20"/>
                <w:lang w:val="en-GB"/>
              </w:rPr>
              <w:t>(0.808)</w:t>
            </w:r>
          </w:p>
        </w:tc>
        <w:tc>
          <w:tcPr>
            <w:tcW w:w="1587" w:type="dxa"/>
            <w:tcBorders>
              <w:top w:val="nil"/>
              <w:bottom w:val="nil"/>
            </w:tcBorders>
            <w:vAlign w:val="center"/>
          </w:tcPr>
          <w:p w14:paraId="4B87E747" w14:textId="77777777" w:rsidR="009B57E2" w:rsidRPr="00FD5168" w:rsidRDefault="009B57E2" w:rsidP="00B64335">
            <w:pPr>
              <w:spacing w:after="0" w:line="240" w:lineRule="auto"/>
              <w:jc w:val="center"/>
              <w:rPr>
                <w:sz w:val="20"/>
                <w:szCs w:val="20"/>
                <w:lang w:val="en-GB"/>
              </w:rPr>
            </w:pPr>
            <w:r w:rsidRPr="00FD5168">
              <w:rPr>
                <w:sz w:val="20"/>
                <w:szCs w:val="20"/>
                <w:lang w:val="en-GB"/>
              </w:rPr>
              <w:t>-4.841</w:t>
            </w:r>
          </w:p>
          <w:p w14:paraId="37C05B4C" w14:textId="77777777" w:rsidR="009B57E2" w:rsidRPr="00FD5168" w:rsidRDefault="009B57E2" w:rsidP="00B64335">
            <w:pPr>
              <w:spacing w:after="0" w:line="240" w:lineRule="auto"/>
              <w:jc w:val="center"/>
              <w:rPr>
                <w:sz w:val="20"/>
                <w:szCs w:val="20"/>
                <w:lang w:val="en-GB"/>
              </w:rPr>
            </w:pPr>
            <w:r w:rsidRPr="00FD5168">
              <w:rPr>
                <w:sz w:val="20"/>
                <w:szCs w:val="20"/>
                <w:lang w:val="en-GB"/>
              </w:rPr>
              <w:t>(0.807)</w:t>
            </w:r>
          </w:p>
        </w:tc>
        <w:tc>
          <w:tcPr>
            <w:tcW w:w="1587" w:type="dxa"/>
            <w:tcBorders>
              <w:top w:val="nil"/>
              <w:bottom w:val="nil"/>
            </w:tcBorders>
            <w:vAlign w:val="center"/>
          </w:tcPr>
          <w:p w14:paraId="697B378B" w14:textId="77777777" w:rsidR="009B57E2" w:rsidRPr="00FD5168" w:rsidRDefault="009B57E2" w:rsidP="00B64335">
            <w:pPr>
              <w:spacing w:after="0" w:line="240" w:lineRule="auto"/>
              <w:jc w:val="center"/>
              <w:rPr>
                <w:sz w:val="20"/>
                <w:szCs w:val="20"/>
                <w:lang w:val="en-GB"/>
              </w:rPr>
            </w:pPr>
            <w:r w:rsidRPr="00FD5168">
              <w:rPr>
                <w:sz w:val="20"/>
                <w:szCs w:val="20"/>
                <w:lang w:val="en-GB"/>
              </w:rPr>
              <w:t>-4.828</w:t>
            </w:r>
          </w:p>
          <w:p w14:paraId="370EAD88" w14:textId="77777777" w:rsidR="009B57E2" w:rsidRPr="00FD5168" w:rsidRDefault="009B57E2" w:rsidP="00B64335">
            <w:pPr>
              <w:spacing w:after="0" w:line="240" w:lineRule="auto"/>
              <w:jc w:val="center"/>
              <w:rPr>
                <w:sz w:val="20"/>
                <w:szCs w:val="20"/>
                <w:lang w:val="en-GB"/>
              </w:rPr>
            </w:pPr>
            <w:r w:rsidRPr="00FD5168">
              <w:rPr>
                <w:sz w:val="20"/>
                <w:szCs w:val="20"/>
                <w:lang w:val="en-GB"/>
              </w:rPr>
              <w:t>(0.809)</w:t>
            </w:r>
          </w:p>
        </w:tc>
      </w:tr>
      <w:tr w:rsidR="009B57E2" w:rsidRPr="00494CA7" w14:paraId="640F7A4B" w14:textId="77777777" w:rsidTr="00B64335">
        <w:trPr>
          <w:trHeight w:val="283"/>
        </w:trPr>
        <w:tc>
          <w:tcPr>
            <w:tcW w:w="4649" w:type="dxa"/>
            <w:tcBorders>
              <w:top w:val="nil"/>
              <w:bottom w:val="nil"/>
            </w:tcBorders>
            <w:vAlign w:val="center"/>
          </w:tcPr>
          <w:p w14:paraId="07ED2947" w14:textId="77777777" w:rsidR="009B57E2" w:rsidRPr="00FD5168" w:rsidRDefault="009B57E2" w:rsidP="00B64335">
            <w:pPr>
              <w:spacing w:after="0" w:line="240" w:lineRule="auto"/>
              <w:rPr>
                <w:b/>
                <w:sz w:val="20"/>
                <w:szCs w:val="20"/>
                <w:lang w:val="en-GB"/>
              </w:rPr>
            </w:pPr>
            <w:r w:rsidRPr="00FD5168">
              <w:rPr>
                <w:b/>
                <w:sz w:val="20"/>
                <w:szCs w:val="20"/>
                <w:lang w:val="en-GB"/>
              </w:rPr>
              <w:t>Education</w:t>
            </w:r>
            <w:r w:rsidRPr="00FD5168">
              <w:rPr>
                <w:sz w:val="20"/>
                <w:szCs w:val="20"/>
                <w:lang w:val="en-GB"/>
              </w:rPr>
              <w:t xml:space="preserve"> (ISCED level 1 or lower is ref. category)</w:t>
            </w:r>
          </w:p>
        </w:tc>
        <w:tc>
          <w:tcPr>
            <w:tcW w:w="1587" w:type="dxa"/>
            <w:tcBorders>
              <w:top w:val="nil"/>
              <w:bottom w:val="nil"/>
            </w:tcBorders>
            <w:vAlign w:val="center"/>
          </w:tcPr>
          <w:p w14:paraId="305545A3" w14:textId="77777777" w:rsidR="009B57E2" w:rsidRPr="00FD5168" w:rsidRDefault="009B57E2" w:rsidP="00B64335">
            <w:pPr>
              <w:spacing w:after="0" w:line="240" w:lineRule="auto"/>
              <w:jc w:val="center"/>
              <w:rPr>
                <w:sz w:val="20"/>
                <w:szCs w:val="20"/>
                <w:lang w:val="en-GB"/>
              </w:rPr>
            </w:pPr>
          </w:p>
        </w:tc>
        <w:tc>
          <w:tcPr>
            <w:tcW w:w="1587" w:type="dxa"/>
            <w:tcBorders>
              <w:top w:val="nil"/>
              <w:bottom w:val="nil"/>
            </w:tcBorders>
            <w:vAlign w:val="center"/>
          </w:tcPr>
          <w:p w14:paraId="525D4492" w14:textId="77777777" w:rsidR="009B57E2" w:rsidRPr="00FD5168" w:rsidRDefault="009B57E2" w:rsidP="00B64335">
            <w:pPr>
              <w:spacing w:after="0" w:line="240" w:lineRule="auto"/>
              <w:jc w:val="center"/>
              <w:rPr>
                <w:sz w:val="20"/>
                <w:szCs w:val="20"/>
                <w:lang w:val="en-GB"/>
              </w:rPr>
            </w:pPr>
          </w:p>
        </w:tc>
        <w:tc>
          <w:tcPr>
            <w:tcW w:w="1587" w:type="dxa"/>
            <w:tcBorders>
              <w:top w:val="nil"/>
              <w:bottom w:val="nil"/>
            </w:tcBorders>
            <w:vAlign w:val="center"/>
          </w:tcPr>
          <w:p w14:paraId="5F1C8462" w14:textId="77777777" w:rsidR="009B57E2" w:rsidRPr="00FD5168" w:rsidRDefault="009B57E2" w:rsidP="00B64335">
            <w:pPr>
              <w:spacing w:after="0" w:line="240" w:lineRule="auto"/>
              <w:jc w:val="center"/>
              <w:rPr>
                <w:sz w:val="20"/>
                <w:szCs w:val="20"/>
                <w:lang w:val="en-GB"/>
              </w:rPr>
            </w:pPr>
          </w:p>
        </w:tc>
      </w:tr>
      <w:tr w:rsidR="009B57E2" w:rsidRPr="00494CA7" w14:paraId="39AE2CDA" w14:textId="77777777" w:rsidTr="00B64335">
        <w:trPr>
          <w:trHeight w:val="283"/>
        </w:trPr>
        <w:tc>
          <w:tcPr>
            <w:tcW w:w="4649" w:type="dxa"/>
            <w:tcBorders>
              <w:top w:val="nil"/>
              <w:bottom w:val="nil"/>
            </w:tcBorders>
            <w:vAlign w:val="center"/>
          </w:tcPr>
          <w:p w14:paraId="40D36F28" w14:textId="77777777" w:rsidR="009B57E2" w:rsidRPr="00FD5168" w:rsidRDefault="009B57E2" w:rsidP="00B64335">
            <w:pPr>
              <w:spacing w:after="0" w:line="240" w:lineRule="auto"/>
              <w:ind w:left="170"/>
              <w:rPr>
                <w:sz w:val="20"/>
                <w:szCs w:val="20"/>
                <w:lang w:val="en-GB"/>
              </w:rPr>
            </w:pPr>
            <w:r w:rsidRPr="00FD5168">
              <w:rPr>
                <w:sz w:val="20"/>
                <w:szCs w:val="20"/>
                <w:lang w:val="en-GB"/>
              </w:rPr>
              <w:t>ISCED 2</w:t>
            </w:r>
          </w:p>
        </w:tc>
        <w:tc>
          <w:tcPr>
            <w:tcW w:w="1587" w:type="dxa"/>
            <w:tcBorders>
              <w:top w:val="nil"/>
              <w:bottom w:val="nil"/>
            </w:tcBorders>
            <w:vAlign w:val="center"/>
          </w:tcPr>
          <w:p w14:paraId="0A5C1831" w14:textId="77777777" w:rsidR="009B57E2" w:rsidRPr="00FD5168" w:rsidRDefault="009B57E2" w:rsidP="00B64335">
            <w:pPr>
              <w:spacing w:after="0" w:line="240" w:lineRule="auto"/>
              <w:jc w:val="center"/>
              <w:rPr>
                <w:sz w:val="20"/>
                <w:szCs w:val="20"/>
                <w:lang w:val="en-GB"/>
              </w:rPr>
            </w:pPr>
            <w:r w:rsidRPr="00FD5168">
              <w:rPr>
                <w:sz w:val="20"/>
                <w:szCs w:val="20"/>
                <w:lang w:val="en-GB"/>
              </w:rPr>
              <w:t>3.829</w:t>
            </w:r>
          </w:p>
          <w:p w14:paraId="0A18CE4B" w14:textId="77777777" w:rsidR="009B57E2" w:rsidRPr="00FD5168" w:rsidRDefault="009B57E2" w:rsidP="00B64335">
            <w:pPr>
              <w:spacing w:after="0" w:line="240" w:lineRule="auto"/>
              <w:jc w:val="center"/>
              <w:rPr>
                <w:sz w:val="20"/>
                <w:szCs w:val="20"/>
                <w:lang w:val="en-GB"/>
              </w:rPr>
            </w:pPr>
            <w:r w:rsidRPr="00FD5168">
              <w:rPr>
                <w:sz w:val="20"/>
                <w:szCs w:val="20"/>
                <w:lang w:val="en-GB"/>
              </w:rPr>
              <w:t>(0.898)</w:t>
            </w:r>
          </w:p>
        </w:tc>
        <w:tc>
          <w:tcPr>
            <w:tcW w:w="1587" w:type="dxa"/>
            <w:tcBorders>
              <w:top w:val="nil"/>
              <w:bottom w:val="nil"/>
            </w:tcBorders>
            <w:vAlign w:val="center"/>
          </w:tcPr>
          <w:p w14:paraId="74AED973" w14:textId="77777777" w:rsidR="009B57E2" w:rsidRPr="00FD5168" w:rsidRDefault="009B57E2" w:rsidP="00B64335">
            <w:pPr>
              <w:spacing w:after="0" w:line="240" w:lineRule="auto"/>
              <w:jc w:val="center"/>
              <w:rPr>
                <w:sz w:val="20"/>
                <w:szCs w:val="20"/>
                <w:lang w:val="en-GB"/>
              </w:rPr>
            </w:pPr>
            <w:r w:rsidRPr="00FD5168">
              <w:rPr>
                <w:sz w:val="20"/>
                <w:szCs w:val="20"/>
                <w:lang w:val="en-GB"/>
              </w:rPr>
              <w:t>3.778</w:t>
            </w:r>
          </w:p>
          <w:p w14:paraId="72D9188B" w14:textId="77777777" w:rsidR="009B57E2" w:rsidRPr="00FD5168" w:rsidRDefault="009B57E2" w:rsidP="00B64335">
            <w:pPr>
              <w:spacing w:after="0" w:line="240" w:lineRule="auto"/>
              <w:jc w:val="center"/>
              <w:rPr>
                <w:sz w:val="20"/>
                <w:szCs w:val="20"/>
                <w:lang w:val="en-GB"/>
              </w:rPr>
            </w:pPr>
            <w:r w:rsidRPr="00FD5168">
              <w:rPr>
                <w:sz w:val="20"/>
                <w:szCs w:val="20"/>
                <w:lang w:val="en-GB"/>
              </w:rPr>
              <w:t>(0.897)</w:t>
            </w:r>
          </w:p>
        </w:tc>
        <w:tc>
          <w:tcPr>
            <w:tcW w:w="1587" w:type="dxa"/>
            <w:tcBorders>
              <w:top w:val="nil"/>
              <w:bottom w:val="nil"/>
            </w:tcBorders>
            <w:vAlign w:val="center"/>
          </w:tcPr>
          <w:p w14:paraId="0D8F91CC" w14:textId="77777777" w:rsidR="009B57E2" w:rsidRPr="00FD5168" w:rsidRDefault="009B57E2" w:rsidP="00B64335">
            <w:pPr>
              <w:spacing w:after="0" w:line="240" w:lineRule="auto"/>
              <w:jc w:val="center"/>
              <w:rPr>
                <w:sz w:val="20"/>
                <w:szCs w:val="20"/>
                <w:lang w:val="en-GB"/>
              </w:rPr>
            </w:pPr>
            <w:r w:rsidRPr="00FD5168">
              <w:rPr>
                <w:sz w:val="20"/>
                <w:szCs w:val="20"/>
                <w:lang w:val="en-GB"/>
              </w:rPr>
              <w:t>3.788</w:t>
            </w:r>
          </w:p>
          <w:p w14:paraId="57D8F7FB" w14:textId="77777777" w:rsidR="009B57E2" w:rsidRPr="00FD5168" w:rsidRDefault="009B57E2" w:rsidP="00B64335">
            <w:pPr>
              <w:spacing w:after="0" w:line="240" w:lineRule="auto"/>
              <w:jc w:val="center"/>
              <w:rPr>
                <w:sz w:val="20"/>
                <w:szCs w:val="20"/>
                <w:lang w:val="en-GB"/>
              </w:rPr>
            </w:pPr>
            <w:r w:rsidRPr="00FD5168">
              <w:rPr>
                <w:sz w:val="20"/>
                <w:szCs w:val="20"/>
                <w:lang w:val="en-GB"/>
              </w:rPr>
              <w:t>(0.897)</w:t>
            </w:r>
          </w:p>
        </w:tc>
      </w:tr>
      <w:tr w:rsidR="009B57E2" w:rsidRPr="00494CA7" w14:paraId="427A3184" w14:textId="77777777" w:rsidTr="00B64335">
        <w:trPr>
          <w:trHeight w:val="283"/>
        </w:trPr>
        <w:tc>
          <w:tcPr>
            <w:tcW w:w="4649" w:type="dxa"/>
            <w:tcBorders>
              <w:top w:val="nil"/>
              <w:bottom w:val="nil"/>
            </w:tcBorders>
            <w:vAlign w:val="center"/>
          </w:tcPr>
          <w:p w14:paraId="69FB8AC6" w14:textId="77777777" w:rsidR="009B57E2" w:rsidRPr="00FD5168" w:rsidRDefault="009B57E2" w:rsidP="00B64335">
            <w:pPr>
              <w:spacing w:after="0" w:line="240" w:lineRule="auto"/>
              <w:ind w:left="170"/>
              <w:rPr>
                <w:sz w:val="20"/>
                <w:szCs w:val="20"/>
                <w:lang w:val="en-GB"/>
              </w:rPr>
            </w:pPr>
            <w:r w:rsidRPr="00FD5168">
              <w:rPr>
                <w:sz w:val="20"/>
                <w:szCs w:val="20"/>
                <w:lang w:val="en-GB"/>
              </w:rPr>
              <w:t>ISCED 3B or 3C</w:t>
            </w:r>
          </w:p>
        </w:tc>
        <w:tc>
          <w:tcPr>
            <w:tcW w:w="1587" w:type="dxa"/>
            <w:tcBorders>
              <w:top w:val="nil"/>
              <w:bottom w:val="nil"/>
            </w:tcBorders>
            <w:vAlign w:val="center"/>
          </w:tcPr>
          <w:p w14:paraId="7207B720" w14:textId="77777777" w:rsidR="009B57E2" w:rsidRPr="00FD5168" w:rsidRDefault="009B57E2" w:rsidP="00B64335">
            <w:pPr>
              <w:spacing w:after="0" w:line="240" w:lineRule="auto"/>
              <w:jc w:val="center"/>
              <w:rPr>
                <w:sz w:val="20"/>
                <w:szCs w:val="20"/>
                <w:lang w:val="en-GB"/>
              </w:rPr>
            </w:pPr>
            <w:r w:rsidRPr="00FD5168">
              <w:rPr>
                <w:sz w:val="20"/>
                <w:szCs w:val="20"/>
                <w:lang w:val="en-GB"/>
              </w:rPr>
              <w:t>15.815</w:t>
            </w:r>
          </w:p>
          <w:p w14:paraId="2D0947BA" w14:textId="77777777" w:rsidR="009B57E2" w:rsidRPr="00FD5168" w:rsidRDefault="009B57E2" w:rsidP="00B64335">
            <w:pPr>
              <w:spacing w:after="0" w:line="240" w:lineRule="auto"/>
              <w:jc w:val="center"/>
              <w:rPr>
                <w:sz w:val="20"/>
                <w:szCs w:val="20"/>
                <w:lang w:val="en-GB"/>
              </w:rPr>
            </w:pPr>
            <w:r w:rsidRPr="00FD5168">
              <w:rPr>
                <w:sz w:val="20"/>
                <w:szCs w:val="20"/>
                <w:lang w:val="en-GB"/>
              </w:rPr>
              <w:t>(0.955)</w:t>
            </w:r>
          </w:p>
        </w:tc>
        <w:tc>
          <w:tcPr>
            <w:tcW w:w="1587" w:type="dxa"/>
            <w:tcBorders>
              <w:top w:val="nil"/>
              <w:bottom w:val="nil"/>
            </w:tcBorders>
            <w:vAlign w:val="center"/>
          </w:tcPr>
          <w:p w14:paraId="58118336" w14:textId="77777777" w:rsidR="009B57E2" w:rsidRPr="00FD5168" w:rsidRDefault="009B57E2" w:rsidP="00B64335">
            <w:pPr>
              <w:spacing w:after="0" w:line="240" w:lineRule="auto"/>
              <w:jc w:val="center"/>
              <w:rPr>
                <w:sz w:val="20"/>
                <w:szCs w:val="20"/>
                <w:lang w:val="en-GB"/>
              </w:rPr>
            </w:pPr>
            <w:r w:rsidRPr="00FD5168">
              <w:rPr>
                <w:sz w:val="20"/>
                <w:szCs w:val="20"/>
                <w:lang w:val="en-GB"/>
              </w:rPr>
              <w:t>15.742</w:t>
            </w:r>
          </w:p>
          <w:p w14:paraId="32E383E3" w14:textId="77777777" w:rsidR="009B57E2" w:rsidRPr="00FD5168" w:rsidRDefault="009B57E2" w:rsidP="00B64335">
            <w:pPr>
              <w:spacing w:after="0" w:line="240" w:lineRule="auto"/>
              <w:jc w:val="center"/>
              <w:rPr>
                <w:sz w:val="20"/>
                <w:szCs w:val="20"/>
                <w:lang w:val="en-GB"/>
              </w:rPr>
            </w:pPr>
            <w:r w:rsidRPr="00FD5168">
              <w:rPr>
                <w:sz w:val="20"/>
                <w:szCs w:val="20"/>
                <w:lang w:val="en-GB"/>
              </w:rPr>
              <w:t>(0.956)</w:t>
            </w:r>
          </w:p>
        </w:tc>
        <w:tc>
          <w:tcPr>
            <w:tcW w:w="1587" w:type="dxa"/>
            <w:tcBorders>
              <w:top w:val="nil"/>
              <w:bottom w:val="nil"/>
            </w:tcBorders>
            <w:vAlign w:val="center"/>
          </w:tcPr>
          <w:p w14:paraId="5D476A10" w14:textId="77777777" w:rsidR="009B57E2" w:rsidRPr="00FD5168" w:rsidRDefault="009B57E2" w:rsidP="00B64335">
            <w:pPr>
              <w:spacing w:after="0" w:line="240" w:lineRule="auto"/>
              <w:jc w:val="center"/>
              <w:rPr>
                <w:sz w:val="20"/>
                <w:szCs w:val="20"/>
                <w:lang w:val="en-GB"/>
              </w:rPr>
            </w:pPr>
            <w:r w:rsidRPr="00FD5168">
              <w:rPr>
                <w:sz w:val="20"/>
                <w:szCs w:val="20"/>
                <w:lang w:val="en-GB"/>
              </w:rPr>
              <w:t>15.749</w:t>
            </w:r>
          </w:p>
          <w:p w14:paraId="17BCD669" w14:textId="77777777" w:rsidR="009B57E2" w:rsidRPr="00FD5168" w:rsidRDefault="009B57E2" w:rsidP="00B64335">
            <w:pPr>
              <w:spacing w:after="0" w:line="240" w:lineRule="auto"/>
              <w:jc w:val="center"/>
              <w:rPr>
                <w:sz w:val="20"/>
                <w:szCs w:val="20"/>
                <w:lang w:val="en-GB"/>
              </w:rPr>
            </w:pPr>
            <w:r w:rsidRPr="00FD5168">
              <w:rPr>
                <w:sz w:val="20"/>
                <w:szCs w:val="20"/>
                <w:lang w:val="en-GB"/>
              </w:rPr>
              <w:t>(0.956)</w:t>
            </w:r>
          </w:p>
        </w:tc>
      </w:tr>
      <w:tr w:rsidR="009B57E2" w:rsidRPr="00494CA7" w14:paraId="63854AE8" w14:textId="77777777" w:rsidTr="00B64335">
        <w:trPr>
          <w:trHeight w:val="283"/>
        </w:trPr>
        <w:tc>
          <w:tcPr>
            <w:tcW w:w="4649" w:type="dxa"/>
            <w:tcBorders>
              <w:top w:val="nil"/>
              <w:bottom w:val="nil"/>
            </w:tcBorders>
            <w:vAlign w:val="center"/>
          </w:tcPr>
          <w:p w14:paraId="64CA77B5" w14:textId="77777777" w:rsidR="009B57E2" w:rsidRPr="00FD5168" w:rsidRDefault="009B57E2" w:rsidP="00B64335">
            <w:pPr>
              <w:spacing w:after="0" w:line="240" w:lineRule="auto"/>
              <w:ind w:left="170"/>
              <w:rPr>
                <w:sz w:val="20"/>
                <w:szCs w:val="20"/>
                <w:lang w:val="en-GB"/>
              </w:rPr>
            </w:pPr>
            <w:r w:rsidRPr="00FD5168">
              <w:rPr>
                <w:sz w:val="20"/>
                <w:szCs w:val="20"/>
                <w:lang w:val="en-GB"/>
              </w:rPr>
              <w:t>ISCED 3A</w:t>
            </w:r>
          </w:p>
        </w:tc>
        <w:tc>
          <w:tcPr>
            <w:tcW w:w="1587" w:type="dxa"/>
            <w:tcBorders>
              <w:top w:val="nil"/>
              <w:bottom w:val="nil"/>
            </w:tcBorders>
            <w:vAlign w:val="center"/>
          </w:tcPr>
          <w:p w14:paraId="465F4407" w14:textId="77777777" w:rsidR="009B57E2" w:rsidRPr="00FD5168" w:rsidRDefault="009B57E2" w:rsidP="00B64335">
            <w:pPr>
              <w:spacing w:after="0" w:line="240" w:lineRule="auto"/>
              <w:jc w:val="center"/>
              <w:rPr>
                <w:sz w:val="20"/>
                <w:szCs w:val="20"/>
                <w:lang w:val="en-GB"/>
              </w:rPr>
            </w:pPr>
            <w:r w:rsidRPr="00FD5168">
              <w:rPr>
                <w:sz w:val="20"/>
                <w:szCs w:val="20"/>
                <w:lang w:val="en-GB"/>
              </w:rPr>
              <w:t>19.370</w:t>
            </w:r>
          </w:p>
          <w:p w14:paraId="4FC1A240" w14:textId="77777777" w:rsidR="009B57E2" w:rsidRPr="00FD5168" w:rsidRDefault="009B57E2" w:rsidP="00B64335">
            <w:pPr>
              <w:spacing w:after="0" w:line="240" w:lineRule="auto"/>
              <w:jc w:val="center"/>
              <w:rPr>
                <w:sz w:val="20"/>
                <w:szCs w:val="20"/>
                <w:lang w:val="en-GB"/>
              </w:rPr>
            </w:pPr>
            <w:r w:rsidRPr="00FD5168">
              <w:rPr>
                <w:sz w:val="20"/>
                <w:szCs w:val="20"/>
                <w:lang w:val="en-GB"/>
              </w:rPr>
              <w:t>(0.895)</w:t>
            </w:r>
          </w:p>
        </w:tc>
        <w:tc>
          <w:tcPr>
            <w:tcW w:w="1587" w:type="dxa"/>
            <w:tcBorders>
              <w:top w:val="nil"/>
              <w:bottom w:val="nil"/>
            </w:tcBorders>
            <w:vAlign w:val="center"/>
          </w:tcPr>
          <w:p w14:paraId="527A45B2" w14:textId="77777777" w:rsidR="009B57E2" w:rsidRPr="00FD5168" w:rsidRDefault="009B57E2" w:rsidP="00B64335">
            <w:pPr>
              <w:spacing w:after="0" w:line="240" w:lineRule="auto"/>
              <w:jc w:val="center"/>
              <w:rPr>
                <w:sz w:val="20"/>
                <w:szCs w:val="20"/>
                <w:lang w:val="en-GB"/>
              </w:rPr>
            </w:pPr>
            <w:r w:rsidRPr="00FD5168">
              <w:rPr>
                <w:sz w:val="20"/>
                <w:szCs w:val="20"/>
                <w:lang w:val="en-GB"/>
              </w:rPr>
              <w:t>19.318</w:t>
            </w:r>
          </w:p>
          <w:p w14:paraId="37D08C57" w14:textId="77777777" w:rsidR="009B57E2" w:rsidRPr="00FD5168" w:rsidRDefault="009B57E2" w:rsidP="00B64335">
            <w:pPr>
              <w:spacing w:after="0" w:line="240" w:lineRule="auto"/>
              <w:jc w:val="center"/>
              <w:rPr>
                <w:sz w:val="20"/>
                <w:szCs w:val="20"/>
                <w:lang w:val="en-GB"/>
              </w:rPr>
            </w:pPr>
            <w:r w:rsidRPr="00FD5168">
              <w:rPr>
                <w:sz w:val="20"/>
                <w:szCs w:val="20"/>
                <w:lang w:val="en-GB"/>
              </w:rPr>
              <w:t>(0.895)</w:t>
            </w:r>
          </w:p>
        </w:tc>
        <w:tc>
          <w:tcPr>
            <w:tcW w:w="1587" w:type="dxa"/>
            <w:tcBorders>
              <w:top w:val="nil"/>
              <w:bottom w:val="nil"/>
            </w:tcBorders>
            <w:vAlign w:val="center"/>
          </w:tcPr>
          <w:p w14:paraId="56A4B4CE" w14:textId="77777777" w:rsidR="009B57E2" w:rsidRPr="00FD5168" w:rsidRDefault="009B57E2" w:rsidP="00B64335">
            <w:pPr>
              <w:spacing w:after="0" w:line="240" w:lineRule="auto"/>
              <w:jc w:val="center"/>
              <w:rPr>
                <w:sz w:val="20"/>
                <w:szCs w:val="20"/>
                <w:lang w:val="en-GB"/>
              </w:rPr>
            </w:pPr>
            <w:r w:rsidRPr="00FD5168">
              <w:rPr>
                <w:sz w:val="20"/>
                <w:szCs w:val="20"/>
                <w:lang w:val="en-GB"/>
              </w:rPr>
              <w:t>19.318</w:t>
            </w:r>
          </w:p>
          <w:p w14:paraId="07B91C74" w14:textId="77777777" w:rsidR="009B57E2" w:rsidRPr="00FD5168" w:rsidRDefault="009B57E2" w:rsidP="00B64335">
            <w:pPr>
              <w:spacing w:after="0" w:line="240" w:lineRule="auto"/>
              <w:jc w:val="center"/>
              <w:rPr>
                <w:sz w:val="20"/>
                <w:szCs w:val="20"/>
                <w:lang w:val="en-GB"/>
              </w:rPr>
            </w:pPr>
            <w:r w:rsidRPr="00FD5168">
              <w:rPr>
                <w:sz w:val="20"/>
                <w:szCs w:val="20"/>
                <w:lang w:val="en-GB"/>
              </w:rPr>
              <w:t>(0.895)</w:t>
            </w:r>
          </w:p>
        </w:tc>
      </w:tr>
      <w:tr w:rsidR="009B57E2" w:rsidRPr="00494CA7" w14:paraId="366FF7ED" w14:textId="77777777" w:rsidTr="00B64335">
        <w:trPr>
          <w:trHeight w:val="283"/>
        </w:trPr>
        <w:tc>
          <w:tcPr>
            <w:tcW w:w="4649" w:type="dxa"/>
            <w:tcBorders>
              <w:top w:val="nil"/>
              <w:bottom w:val="nil"/>
            </w:tcBorders>
            <w:vAlign w:val="center"/>
          </w:tcPr>
          <w:p w14:paraId="0B978C0A" w14:textId="77777777" w:rsidR="009B57E2" w:rsidRPr="00FD5168" w:rsidRDefault="009B57E2" w:rsidP="00B64335">
            <w:pPr>
              <w:tabs>
                <w:tab w:val="left" w:pos="255"/>
              </w:tabs>
              <w:spacing w:after="0" w:line="240" w:lineRule="auto"/>
              <w:ind w:left="170"/>
              <w:rPr>
                <w:sz w:val="20"/>
                <w:szCs w:val="20"/>
                <w:lang w:val="en-GB"/>
              </w:rPr>
            </w:pPr>
            <w:r w:rsidRPr="00FD5168">
              <w:rPr>
                <w:sz w:val="20"/>
                <w:szCs w:val="20"/>
                <w:lang w:val="en-GB"/>
              </w:rPr>
              <w:t>ISCED 5A, 5B, 6</w:t>
            </w:r>
          </w:p>
        </w:tc>
        <w:tc>
          <w:tcPr>
            <w:tcW w:w="1587" w:type="dxa"/>
            <w:tcBorders>
              <w:top w:val="nil"/>
              <w:bottom w:val="nil"/>
            </w:tcBorders>
            <w:vAlign w:val="center"/>
          </w:tcPr>
          <w:p w14:paraId="4FE4025F" w14:textId="77777777" w:rsidR="009B57E2" w:rsidRPr="00FD5168" w:rsidRDefault="009B57E2" w:rsidP="00B64335">
            <w:pPr>
              <w:spacing w:after="0" w:line="240" w:lineRule="auto"/>
              <w:jc w:val="center"/>
              <w:rPr>
                <w:sz w:val="20"/>
                <w:szCs w:val="20"/>
                <w:lang w:val="en-GB"/>
              </w:rPr>
            </w:pPr>
            <w:r w:rsidRPr="00FD5168">
              <w:rPr>
                <w:sz w:val="20"/>
                <w:szCs w:val="20"/>
                <w:lang w:val="en-GB"/>
              </w:rPr>
              <w:t>21.343</w:t>
            </w:r>
          </w:p>
          <w:p w14:paraId="793BCCD3" w14:textId="77777777" w:rsidR="009B57E2" w:rsidRPr="00FD5168" w:rsidRDefault="009B57E2" w:rsidP="00B64335">
            <w:pPr>
              <w:spacing w:after="0" w:line="240" w:lineRule="auto"/>
              <w:jc w:val="center"/>
              <w:rPr>
                <w:sz w:val="20"/>
                <w:szCs w:val="20"/>
                <w:lang w:val="en-GB"/>
              </w:rPr>
            </w:pPr>
            <w:r w:rsidRPr="00FD5168">
              <w:rPr>
                <w:sz w:val="20"/>
                <w:szCs w:val="20"/>
                <w:lang w:val="en-GB"/>
              </w:rPr>
              <w:t>(0.981)</w:t>
            </w:r>
          </w:p>
        </w:tc>
        <w:tc>
          <w:tcPr>
            <w:tcW w:w="1587" w:type="dxa"/>
            <w:tcBorders>
              <w:top w:val="nil"/>
              <w:bottom w:val="nil"/>
            </w:tcBorders>
            <w:vAlign w:val="center"/>
          </w:tcPr>
          <w:p w14:paraId="062DC473" w14:textId="77777777" w:rsidR="009B57E2" w:rsidRPr="00FD5168" w:rsidRDefault="009B57E2" w:rsidP="00B64335">
            <w:pPr>
              <w:spacing w:after="0" w:line="240" w:lineRule="auto"/>
              <w:jc w:val="center"/>
              <w:rPr>
                <w:sz w:val="20"/>
                <w:szCs w:val="20"/>
                <w:lang w:val="en-GB"/>
              </w:rPr>
            </w:pPr>
            <w:r w:rsidRPr="00FD5168">
              <w:rPr>
                <w:sz w:val="20"/>
                <w:szCs w:val="20"/>
                <w:lang w:val="en-GB"/>
              </w:rPr>
              <w:t>21.264</w:t>
            </w:r>
          </w:p>
          <w:p w14:paraId="24D624C1" w14:textId="77777777" w:rsidR="009B57E2" w:rsidRPr="00FD5168" w:rsidRDefault="009B57E2" w:rsidP="00B64335">
            <w:pPr>
              <w:spacing w:after="0" w:line="240" w:lineRule="auto"/>
              <w:jc w:val="center"/>
              <w:rPr>
                <w:sz w:val="20"/>
                <w:szCs w:val="20"/>
                <w:lang w:val="en-GB"/>
              </w:rPr>
            </w:pPr>
            <w:r w:rsidRPr="00FD5168">
              <w:rPr>
                <w:sz w:val="20"/>
                <w:szCs w:val="20"/>
                <w:lang w:val="en-GB"/>
              </w:rPr>
              <w:t>(0.981)</w:t>
            </w:r>
          </w:p>
        </w:tc>
        <w:tc>
          <w:tcPr>
            <w:tcW w:w="1587" w:type="dxa"/>
            <w:tcBorders>
              <w:top w:val="nil"/>
              <w:bottom w:val="nil"/>
            </w:tcBorders>
            <w:vAlign w:val="center"/>
          </w:tcPr>
          <w:p w14:paraId="464CC3B3" w14:textId="77777777" w:rsidR="009B57E2" w:rsidRPr="00FD5168" w:rsidRDefault="009B57E2" w:rsidP="00B64335">
            <w:pPr>
              <w:spacing w:after="0" w:line="240" w:lineRule="auto"/>
              <w:jc w:val="center"/>
              <w:rPr>
                <w:sz w:val="20"/>
                <w:szCs w:val="20"/>
                <w:lang w:val="en-GB"/>
              </w:rPr>
            </w:pPr>
            <w:r w:rsidRPr="00FD5168">
              <w:rPr>
                <w:sz w:val="20"/>
                <w:szCs w:val="20"/>
                <w:lang w:val="en-GB"/>
              </w:rPr>
              <w:t>21.266</w:t>
            </w:r>
          </w:p>
          <w:p w14:paraId="09FC7DBA" w14:textId="77777777" w:rsidR="009B57E2" w:rsidRPr="00FD5168" w:rsidRDefault="009B57E2" w:rsidP="00B64335">
            <w:pPr>
              <w:spacing w:after="0" w:line="240" w:lineRule="auto"/>
              <w:jc w:val="center"/>
              <w:rPr>
                <w:sz w:val="20"/>
                <w:szCs w:val="20"/>
                <w:lang w:val="en-GB"/>
              </w:rPr>
            </w:pPr>
            <w:r w:rsidRPr="00FD5168">
              <w:rPr>
                <w:sz w:val="20"/>
                <w:szCs w:val="20"/>
                <w:lang w:val="en-GB"/>
              </w:rPr>
              <w:t>(0.981)</w:t>
            </w:r>
          </w:p>
        </w:tc>
      </w:tr>
      <w:tr w:rsidR="009B57E2" w:rsidRPr="00494CA7" w14:paraId="78C610D2" w14:textId="77777777" w:rsidTr="00B64335">
        <w:trPr>
          <w:trHeight w:val="283"/>
        </w:trPr>
        <w:tc>
          <w:tcPr>
            <w:tcW w:w="4649" w:type="dxa"/>
            <w:tcBorders>
              <w:top w:val="nil"/>
              <w:bottom w:val="nil"/>
            </w:tcBorders>
            <w:vAlign w:val="center"/>
          </w:tcPr>
          <w:p w14:paraId="00871126" w14:textId="77777777" w:rsidR="009B57E2" w:rsidRPr="00FD5168" w:rsidRDefault="009B57E2" w:rsidP="00B64335">
            <w:pPr>
              <w:spacing w:after="0" w:line="240" w:lineRule="auto"/>
              <w:rPr>
                <w:sz w:val="20"/>
                <w:szCs w:val="20"/>
                <w:lang w:val="en-GB"/>
              </w:rPr>
            </w:pPr>
            <w:r w:rsidRPr="00FD5168">
              <w:rPr>
                <w:b/>
                <w:sz w:val="20"/>
                <w:szCs w:val="20"/>
                <w:lang w:val="en-GB"/>
              </w:rPr>
              <w:t>Socioeconomic status of parental occupation</w:t>
            </w:r>
            <w:r w:rsidRPr="00FD5168">
              <w:rPr>
                <w:sz w:val="20"/>
                <w:szCs w:val="20"/>
                <w:lang w:val="en-GB"/>
              </w:rPr>
              <w:t xml:space="preserve"> (ISEI)</w:t>
            </w:r>
          </w:p>
        </w:tc>
        <w:tc>
          <w:tcPr>
            <w:tcW w:w="1587" w:type="dxa"/>
            <w:tcBorders>
              <w:top w:val="nil"/>
              <w:bottom w:val="nil"/>
            </w:tcBorders>
            <w:vAlign w:val="center"/>
          </w:tcPr>
          <w:p w14:paraId="58A98E4F" w14:textId="77777777" w:rsidR="009B57E2" w:rsidRPr="00FD5168" w:rsidRDefault="009B57E2" w:rsidP="00B64335">
            <w:pPr>
              <w:spacing w:after="0" w:line="240" w:lineRule="auto"/>
              <w:jc w:val="center"/>
              <w:rPr>
                <w:sz w:val="20"/>
                <w:szCs w:val="20"/>
                <w:lang w:val="en-GB"/>
              </w:rPr>
            </w:pPr>
            <w:r w:rsidRPr="00FD5168">
              <w:rPr>
                <w:sz w:val="20"/>
                <w:szCs w:val="20"/>
                <w:lang w:val="en-GB"/>
              </w:rPr>
              <w:t>0.816</w:t>
            </w:r>
          </w:p>
          <w:p w14:paraId="7BC54CAE" w14:textId="77777777" w:rsidR="009B57E2" w:rsidRPr="00FD5168" w:rsidRDefault="009B57E2" w:rsidP="00B64335">
            <w:pPr>
              <w:spacing w:after="0" w:line="240" w:lineRule="auto"/>
              <w:jc w:val="center"/>
              <w:rPr>
                <w:sz w:val="20"/>
                <w:szCs w:val="20"/>
                <w:lang w:val="en-GB"/>
              </w:rPr>
            </w:pPr>
            <w:r w:rsidRPr="00FD5168">
              <w:rPr>
                <w:sz w:val="20"/>
                <w:szCs w:val="20"/>
                <w:lang w:val="en-GB"/>
              </w:rPr>
              <w:t>(0.017)</w:t>
            </w:r>
          </w:p>
        </w:tc>
        <w:tc>
          <w:tcPr>
            <w:tcW w:w="1587" w:type="dxa"/>
            <w:tcBorders>
              <w:top w:val="nil"/>
              <w:bottom w:val="nil"/>
            </w:tcBorders>
            <w:vAlign w:val="center"/>
          </w:tcPr>
          <w:p w14:paraId="5B1BAEAA" w14:textId="77777777" w:rsidR="009B57E2" w:rsidRPr="00FD5168" w:rsidRDefault="009B57E2" w:rsidP="00B64335">
            <w:pPr>
              <w:spacing w:after="0" w:line="240" w:lineRule="auto"/>
              <w:jc w:val="center"/>
              <w:rPr>
                <w:sz w:val="20"/>
                <w:szCs w:val="20"/>
                <w:lang w:val="en-GB"/>
              </w:rPr>
            </w:pPr>
            <w:r w:rsidRPr="00FD5168">
              <w:rPr>
                <w:sz w:val="20"/>
                <w:szCs w:val="20"/>
                <w:lang w:val="en-GB"/>
              </w:rPr>
              <w:t>0.817</w:t>
            </w:r>
          </w:p>
          <w:p w14:paraId="5008888C" w14:textId="77777777" w:rsidR="009B57E2" w:rsidRPr="00FD5168" w:rsidRDefault="009B57E2" w:rsidP="00B64335">
            <w:pPr>
              <w:spacing w:after="0" w:line="240" w:lineRule="auto"/>
              <w:jc w:val="center"/>
              <w:rPr>
                <w:sz w:val="20"/>
                <w:szCs w:val="20"/>
                <w:lang w:val="en-GB"/>
              </w:rPr>
            </w:pPr>
            <w:r w:rsidRPr="00FD5168">
              <w:rPr>
                <w:sz w:val="20"/>
                <w:szCs w:val="20"/>
                <w:lang w:val="en-GB"/>
              </w:rPr>
              <w:t>(0.017)</w:t>
            </w:r>
          </w:p>
        </w:tc>
        <w:tc>
          <w:tcPr>
            <w:tcW w:w="1587" w:type="dxa"/>
            <w:tcBorders>
              <w:top w:val="nil"/>
              <w:bottom w:val="nil"/>
            </w:tcBorders>
            <w:vAlign w:val="center"/>
          </w:tcPr>
          <w:p w14:paraId="726B4610" w14:textId="77777777" w:rsidR="009B57E2" w:rsidRPr="00FD5168" w:rsidRDefault="009B57E2" w:rsidP="00B64335">
            <w:pPr>
              <w:spacing w:after="0" w:line="240" w:lineRule="auto"/>
              <w:jc w:val="center"/>
              <w:rPr>
                <w:sz w:val="20"/>
                <w:szCs w:val="20"/>
                <w:lang w:val="en-GB"/>
              </w:rPr>
            </w:pPr>
            <w:r w:rsidRPr="00FD5168">
              <w:rPr>
                <w:sz w:val="20"/>
                <w:szCs w:val="20"/>
                <w:lang w:val="en-GB"/>
              </w:rPr>
              <w:t>0.817</w:t>
            </w:r>
          </w:p>
          <w:p w14:paraId="186BC089" w14:textId="77777777" w:rsidR="009B57E2" w:rsidRPr="00FD5168" w:rsidRDefault="009B57E2" w:rsidP="00B64335">
            <w:pPr>
              <w:spacing w:after="0" w:line="240" w:lineRule="auto"/>
              <w:jc w:val="center"/>
              <w:rPr>
                <w:sz w:val="20"/>
                <w:szCs w:val="20"/>
                <w:lang w:val="en-GB"/>
              </w:rPr>
            </w:pPr>
            <w:r w:rsidRPr="00FD5168">
              <w:rPr>
                <w:sz w:val="20"/>
                <w:szCs w:val="20"/>
                <w:lang w:val="en-GB"/>
              </w:rPr>
              <w:t>(0.017)</w:t>
            </w:r>
          </w:p>
        </w:tc>
      </w:tr>
      <w:tr w:rsidR="009B57E2" w:rsidRPr="00494CA7" w14:paraId="471DF521" w14:textId="77777777" w:rsidTr="00B64335">
        <w:trPr>
          <w:trHeight w:val="283"/>
        </w:trPr>
        <w:tc>
          <w:tcPr>
            <w:tcW w:w="4649" w:type="dxa"/>
            <w:tcBorders>
              <w:top w:val="nil"/>
              <w:bottom w:val="nil"/>
            </w:tcBorders>
            <w:vAlign w:val="center"/>
          </w:tcPr>
          <w:p w14:paraId="61804C50" w14:textId="77777777" w:rsidR="009B57E2" w:rsidRPr="00FD5168" w:rsidRDefault="009B57E2" w:rsidP="00B64335">
            <w:pPr>
              <w:spacing w:after="0" w:line="240" w:lineRule="auto"/>
              <w:rPr>
                <w:b/>
                <w:sz w:val="20"/>
                <w:szCs w:val="20"/>
                <w:lang w:val="en-GB"/>
              </w:rPr>
            </w:pPr>
            <w:r w:rsidRPr="00FD5168">
              <w:rPr>
                <w:b/>
                <w:sz w:val="20"/>
                <w:szCs w:val="20"/>
                <w:lang w:val="en-GB"/>
              </w:rPr>
              <w:t>Mother employed</w:t>
            </w:r>
          </w:p>
        </w:tc>
        <w:tc>
          <w:tcPr>
            <w:tcW w:w="1587" w:type="dxa"/>
            <w:tcBorders>
              <w:top w:val="nil"/>
              <w:bottom w:val="nil"/>
            </w:tcBorders>
            <w:vAlign w:val="center"/>
          </w:tcPr>
          <w:p w14:paraId="11FC7501" w14:textId="77777777" w:rsidR="009B57E2" w:rsidRPr="00FD5168" w:rsidRDefault="009B57E2" w:rsidP="00B64335">
            <w:pPr>
              <w:spacing w:after="0" w:line="240" w:lineRule="auto"/>
              <w:jc w:val="center"/>
              <w:rPr>
                <w:sz w:val="20"/>
                <w:szCs w:val="20"/>
                <w:lang w:val="en-GB"/>
              </w:rPr>
            </w:pPr>
            <w:r w:rsidRPr="00FD5168">
              <w:rPr>
                <w:sz w:val="20"/>
                <w:szCs w:val="20"/>
                <w:lang w:val="en-GB"/>
              </w:rPr>
              <w:t>-1.139</w:t>
            </w:r>
          </w:p>
          <w:p w14:paraId="1D2155F9" w14:textId="77777777" w:rsidR="009B57E2" w:rsidRPr="00FD5168" w:rsidRDefault="009B57E2" w:rsidP="00B64335">
            <w:pPr>
              <w:spacing w:after="0" w:line="240" w:lineRule="auto"/>
              <w:jc w:val="center"/>
              <w:rPr>
                <w:sz w:val="20"/>
                <w:szCs w:val="20"/>
                <w:lang w:val="en-GB"/>
              </w:rPr>
            </w:pPr>
            <w:r w:rsidRPr="00FD5168">
              <w:rPr>
                <w:sz w:val="20"/>
                <w:szCs w:val="20"/>
                <w:lang w:val="en-GB"/>
              </w:rPr>
              <w:t>(0.466)</w:t>
            </w:r>
          </w:p>
        </w:tc>
        <w:tc>
          <w:tcPr>
            <w:tcW w:w="1587" w:type="dxa"/>
            <w:tcBorders>
              <w:top w:val="nil"/>
              <w:bottom w:val="nil"/>
            </w:tcBorders>
            <w:vAlign w:val="center"/>
          </w:tcPr>
          <w:p w14:paraId="22EBE430" w14:textId="77777777" w:rsidR="009B57E2" w:rsidRPr="00FD5168" w:rsidRDefault="009B57E2" w:rsidP="00B64335">
            <w:pPr>
              <w:spacing w:after="0" w:line="240" w:lineRule="auto"/>
              <w:jc w:val="center"/>
              <w:rPr>
                <w:sz w:val="20"/>
                <w:szCs w:val="20"/>
                <w:lang w:val="en-GB"/>
              </w:rPr>
            </w:pPr>
            <w:r w:rsidRPr="00FD5168">
              <w:rPr>
                <w:sz w:val="20"/>
                <w:szCs w:val="20"/>
                <w:lang w:val="en-GB"/>
              </w:rPr>
              <w:t>-1.076</w:t>
            </w:r>
          </w:p>
          <w:p w14:paraId="4E9DB7CA" w14:textId="77777777" w:rsidR="009B57E2" w:rsidRPr="00FD5168" w:rsidRDefault="009B57E2" w:rsidP="00B64335">
            <w:pPr>
              <w:spacing w:after="0" w:line="240" w:lineRule="auto"/>
              <w:jc w:val="center"/>
              <w:rPr>
                <w:sz w:val="20"/>
                <w:szCs w:val="20"/>
                <w:lang w:val="en-GB"/>
              </w:rPr>
            </w:pPr>
            <w:r w:rsidRPr="00FD5168">
              <w:rPr>
                <w:sz w:val="20"/>
                <w:szCs w:val="20"/>
                <w:lang w:val="en-GB"/>
              </w:rPr>
              <w:t>(0.466)</w:t>
            </w:r>
          </w:p>
        </w:tc>
        <w:tc>
          <w:tcPr>
            <w:tcW w:w="1587" w:type="dxa"/>
            <w:tcBorders>
              <w:top w:val="nil"/>
              <w:bottom w:val="nil"/>
            </w:tcBorders>
            <w:vAlign w:val="center"/>
          </w:tcPr>
          <w:p w14:paraId="13A09C9F" w14:textId="77777777" w:rsidR="009B57E2" w:rsidRPr="00FD5168" w:rsidRDefault="009B57E2" w:rsidP="00B64335">
            <w:pPr>
              <w:spacing w:after="0" w:line="240" w:lineRule="auto"/>
              <w:jc w:val="center"/>
              <w:rPr>
                <w:sz w:val="20"/>
                <w:szCs w:val="20"/>
                <w:lang w:val="en-GB"/>
              </w:rPr>
            </w:pPr>
            <w:r w:rsidRPr="00FD5168">
              <w:rPr>
                <w:sz w:val="20"/>
                <w:szCs w:val="20"/>
                <w:lang w:val="en-GB"/>
              </w:rPr>
              <w:t>-1.079</w:t>
            </w:r>
          </w:p>
          <w:p w14:paraId="13A54A3E" w14:textId="77777777" w:rsidR="009B57E2" w:rsidRPr="00FD5168" w:rsidRDefault="009B57E2" w:rsidP="00B64335">
            <w:pPr>
              <w:spacing w:after="0" w:line="240" w:lineRule="auto"/>
              <w:jc w:val="center"/>
              <w:rPr>
                <w:sz w:val="20"/>
                <w:szCs w:val="20"/>
                <w:lang w:val="en-GB"/>
              </w:rPr>
            </w:pPr>
            <w:r w:rsidRPr="00FD5168">
              <w:rPr>
                <w:sz w:val="20"/>
                <w:szCs w:val="20"/>
                <w:lang w:val="en-GB"/>
              </w:rPr>
              <w:t>(0.466)</w:t>
            </w:r>
          </w:p>
        </w:tc>
      </w:tr>
      <w:tr w:rsidR="009B57E2" w:rsidRPr="00494CA7" w14:paraId="589993CE" w14:textId="77777777" w:rsidTr="00B64335">
        <w:trPr>
          <w:trHeight w:val="283"/>
        </w:trPr>
        <w:tc>
          <w:tcPr>
            <w:tcW w:w="4649" w:type="dxa"/>
            <w:tcBorders>
              <w:top w:val="nil"/>
              <w:bottom w:val="nil"/>
            </w:tcBorders>
            <w:vAlign w:val="center"/>
          </w:tcPr>
          <w:p w14:paraId="6351CD33" w14:textId="77777777" w:rsidR="009B57E2" w:rsidRPr="00FD5168" w:rsidRDefault="009B57E2" w:rsidP="00B64335">
            <w:pPr>
              <w:spacing w:after="0" w:line="240" w:lineRule="auto"/>
              <w:rPr>
                <w:sz w:val="20"/>
                <w:szCs w:val="20"/>
                <w:lang w:val="en-GB"/>
              </w:rPr>
            </w:pPr>
            <w:r w:rsidRPr="00FD5168">
              <w:rPr>
                <w:b/>
                <w:sz w:val="20"/>
                <w:szCs w:val="20"/>
                <w:lang w:val="en-GB"/>
              </w:rPr>
              <w:t>Total public social security expenditure</w:t>
            </w:r>
          </w:p>
        </w:tc>
        <w:tc>
          <w:tcPr>
            <w:tcW w:w="1587" w:type="dxa"/>
            <w:tcBorders>
              <w:top w:val="nil"/>
              <w:bottom w:val="nil"/>
            </w:tcBorders>
            <w:vAlign w:val="center"/>
          </w:tcPr>
          <w:p w14:paraId="543A120A" w14:textId="77777777" w:rsidR="009B57E2" w:rsidRPr="00FD5168" w:rsidRDefault="009B57E2" w:rsidP="00B64335">
            <w:pPr>
              <w:spacing w:after="0" w:line="240" w:lineRule="auto"/>
              <w:jc w:val="center"/>
              <w:rPr>
                <w:sz w:val="20"/>
                <w:szCs w:val="20"/>
                <w:lang w:val="en-GB"/>
              </w:rPr>
            </w:pPr>
            <w:r w:rsidRPr="00FD5168">
              <w:rPr>
                <w:sz w:val="20"/>
                <w:szCs w:val="20"/>
                <w:lang w:val="en-GB"/>
              </w:rPr>
              <w:t>-0.348</w:t>
            </w:r>
          </w:p>
          <w:p w14:paraId="52D2F4C8" w14:textId="77777777" w:rsidR="009B57E2" w:rsidRPr="00FD5168" w:rsidRDefault="009B57E2" w:rsidP="00B64335">
            <w:pPr>
              <w:spacing w:after="0" w:line="240" w:lineRule="auto"/>
              <w:jc w:val="center"/>
              <w:rPr>
                <w:sz w:val="20"/>
                <w:szCs w:val="20"/>
                <w:lang w:val="en-GB"/>
              </w:rPr>
            </w:pPr>
            <w:r w:rsidRPr="00FD5168">
              <w:rPr>
                <w:sz w:val="20"/>
                <w:szCs w:val="20"/>
                <w:lang w:val="en-GB"/>
              </w:rPr>
              <w:t>(0.942)</w:t>
            </w:r>
          </w:p>
        </w:tc>
        <w:tc>
          <w:tcPr>
            <w:tcW w:w="1587" w:type="dxa"/>
            <w:tcBorders>
              <w:top w:val="nil"/>
              <w:bottom w:val="nil"/>
            </w:tcBorders>
            <w:vAlign w:val="center"/>
          </w:tcPr>
          <w:p w14:paraId="02056CC2" w14:textId="77777777" w:rsidR="009B57E2" w:rsidRPr="00FD5168" w:rsidRDefault="009B57E2" w:rsidP="00B64335">
            <w:pPr>
              <w:spacing w:after="0" w:line="240" w:lineRule="auto"/>
              <w:jc w:val="center"/>
              <w:rPr>
                <w:sz w:val="20"/>
                <w:szCs w:val="20"/>
                <w:lang w:val="en-GB"/>
              </w:rPr>
            </w:pPr>
          </w:p>
        </w:tc>
        <w:tc>
          <w:tcPr>
            <w:tcW w:w="1587" w:type="dxa"/>
            <w:tcBorders>
              <w:top w:val="nil"/>
              <w:bottom w:val="nil"/>
            </w:tcBorders>
            <w:vAlign w:val="center"/>
          </w:tcPr>
          <w:p w14:paraId="252A089F" w14:textId="77777777" w:rsidR="009B57E2" w:rsidRPr="00FD5168" w:rsidRDefault="009B57E2" w:rsidP="00B64335">
            <w:pPr>
              <w:spacing w:after="0" w:line="240" w:lineRule="auto"/>
              <w:jc w:val="center"/>
              <w:rPr>
                <w:sz w:val="20"/>
                <w:szCs w:val="20"/>
                <w:lang w:val="en-GB"/>
              </w:rPr>
            </w:pPr>
          </w:p>
        </w:tc>
      </w:tr>
      <w:tr w:rsidR="009B57E2" w:rsidRPr="00494CA7" w14:paraId="561213D9" w14:textId="77777777" w:rsidTr="00B64335">
        <w:trPr>
          <w:trHeight w:val="283"/>
        </w:trPr>
        <w:tc>
          <w:tcPr>
            <w:tcW w:w="4649" w:type="dxa"/>
            <w:tcBorders>
              <w:top w:val="nil"/>
              <w:bottom w:val="nil"/>
            </w:tcBorders>
            <w:vAlign w:val="center"/>
          </w:tcPr>
          <w:p w14:paraId="16C820BA" w14:textId="77777777" w:rsidR="009B57E2" w:rsidRPr="00FD5168" w:rsidRDefault="009B57E2" w:rsidP="00B64335">
            <w:pPr>
              <w:spacing w:after="0" w:line="240" w:lineRule="auto"/>
              <w:rPr>
                <w:b/>
                <w:sz w:val="20"/>
                <w:szCs w:val="20"/>
                <w:lang w:val="en-GB"/>
              </w:rPr>
            </w:pPr>
            <w:r w:rsidRPr="00FD5168">
              <w:rPr>
                <w:b/>
                <w:sz w:val="20"/>
                <w:szCs w:val="20"/>
                <w:lang w:val="en-GB"/>
              </w:rPr>
              <w:t>Total public social security expenditure*sibship size</w:t>
            </w:r>
          </w:p>
        </w:tc>
        <w:tc>
          <w:tcPr>
            <w:tcW w:w="1587" w:type="dxa"/>
            <w:tcBorders>
              <w:top w:val="nil"/>
              <w:bottom w:val="nil"/>
            </w:tcBorders>
            <w:vAlign w:val="center"/>
          </w:tcPr>
          <w:p w14:paraId="169C3FB6" w14:textId="77777777" w:rsidR="009B57E2" w:rsidRPr="00FD5168" w:rsidRDefault="009B57E2" w:rsidP="00B64335">
            <w:pPr>
              <w:spacing w:after="0" w:line="240" w:lineRule="auto"/>
              <w:jc w:val="center"/>
              <w:rPr>
                <w:sz w:val="20"/>
                <w:szCs w:val="20"/>
                <w:lang w:val="en-GB"/>
              </w:rPr>
            </w:pPr>
            <w:r w:rsidRPr="00FD5168">
              <w:rPr>
                <w:sz w:val="20"/>
                <w:szCs w:val="20"/>
                <w:lang w:val="en-GB"/>
              </w:rPr>
              <w:t>-0.155</w:t>
            </w:r>
          </w:p>
          <w:p w14:paraId="0344EF2E" w14:textId="77777777" w:rsidR="009B57E2" w:rsidRPr="00FD5168" w:rsidRDefault="009B57E2" w:rsidP="00B64335">
            <w:pPr>
              <w:spacing w:after="0" w:line="240" w:lineRule="auto"/>
              <w:jc w:val="center"/>
              <w:rPr>
                <w:sz w:val="20"/>
                <w:szCs w:val="20"/>
                <w:lang w:val="en-GB"/>
              </w:rPr>
            </w:pPr>
            <w:r w:rsidRPr="00FD5168">
              <w:rPr>
                <w:sz w:val="20"/>
                <w:szCs w:val="20"/>
                <w:lang w:val="en-GB"/>
              </w:rPr>
              <w:t>(0.032)</w:t>
            </w:r>
          </w:p>
        </w:tc>
        <w:tc>
          <w:tcPr>
            <w:tcW w:w="1587" w:type="dxa"/>
            <w:tcBorders>
              <w:top w:val="nil"/>
              <w:bottom w:val="nil"/>
            </w:tcBorders>
            <w:vAlign w:val="center"/>
          </w:tcPr>
          <w:p w14:paraId="069864D2" w14:textId="77777777" w:rsidR="009B57E2" w:rsidRPr="00FD5168" w:rsidRDefault="009B57E2" w:rsidP="00B64335">
            <w:pPr>
              <w:spacing w:after="0" w:line="240" w:lineRule="auto"/>
              <w:jc w:val="center"/>
              <w:rPr>
                <w:sz w:val="20"/>
                <w:szCs w:val="20"/>
                <w:lang w:val="en-GB"/>
              </w:rPr>
            </w:pPr>
          </w:p>
        </w:tc>
        <w:tc>
          <w:tcPr>
            <w:tcW w:w="1587" w:type="dxa"/>
            <w:tcBorders>
              <w:top w:val="nil"/>
              <w:bottom w:val="nil"/>
            </w:tcBorders>
            <w:vAlign w:val="center"/>
          </w:tcPr>
          <w:p w14:paraId="1F608D1B" w14:textId="77777777" w:rsidR="009B57E2" w:rsidRPr="00FD5168" w:rsidRDefault="009B57E2" w:rsidP="00B64335">
            <w:pPr>
              <w:spacing w:after="0" w:line="240" w:lineRule="auto"/>
              <w:jc w:val="center"/>
              <w:rPr>
                <w:sz w:val="20"/>
                <w:szCs w:val="20"/>
                <w:lang w:val="en-GB"/>
              </w:rPr>
            </w:pPr>
          </w:p>
        </w:tc>
      </w:tr>
      <w:tr w:rsidR="009B57E2" w:rsidRPr="00494CA7" w14:paraId="2B4469F4" w14:textId="77777777" w:rsidTr="00B64335">
        <w:trPr>
          <w:trHeight w:val="283"/>
        </w:trPr>
        <w:tc>
          <w:tcPr>
            <w:tcW w:w="4649" w:type="dxa"/>
            <w:tcBorders>
              <w:top w:val="nil"/>
              <w:bottom w:val="nil"/>
            </w:tcBorders>
            <w:vAlign w:val="center"/>
          </w:tcPr>
          <w:p w14:paraId="0E904EA1" w14:textId="77777777" w:rsidR="009B57E2" w:rsidRPr="00FD5168" w:rsidRDefault="009B57E2" w:rsidP="00B64335">
            <w:pPr>
              <w:spacing w:after="0" w:line="240" w:lineRule="auto"/>
              <w:rPr>
                <w:b/>
                <w:sz w:val="20"/>
                <w:szCs w:val="20"/>
                <w:lang w:val="en-GB"/>
              </w:rPr>
            </w:pPr>
            <w:r w:rsidRPr="00FD5168">
              <w:rPr>
                <w:b/>
                <w:sz w:val="20"/>
                <w:szCs w:val="20"/>
                <w:lang w:val="en-GB"/>
              </w:rPr>
              <w:t>Total public expenditure on education</w:t>
            </w:r>
          </w:p>
          <w:p w14:paraId="512529BD" w14:textId="77777777" w:rsidR="009B57E2" w:rsidRPr="00FD5168" w:rsidRDefault="009B57E2" w:rsidP="00B64335">
            <w:pPr>
              <w:spacing w:after="0" w:line="240" w:lineRule="auto"/>
              <w:rPr>
                <w:b/>
                <w:sz w:val="20"/>
                <w:szCs w:val="20"/>
                <w:lang w:val="en-GB"/>
              </w:rPr>
            </w:pPr>
            <w:r w:rsidRPr="00FD5168">
              <w:rPr>
                <w:sz w:val="20"/>
                <w:szCs w:val="20"/>
                <w:lang w:val="en-GB"/>
              </w:rPr>
              <w:t>(10-year average)</w:t>
            </w:r>
          </w:p>
        </w:tc>
        <w:tc>
          <w:tcPr>
            <w:tcW w:w="1587" w:type="dxa"/>
            <w:tcBorders>
              <w:top w:val="nil"/>
              <w:bottom w:val="nil"/>
            </w:tcBorders>
            <w:vAlign w:val="center"/>
          </w:tcPr>
          <w:p w14:paraId="19BF1ACB" w14:textId="77777777" w:rsidR="009B57E2" w:rsidRPr="00FD5168" w:rsidRDefault="009B57E2" w:rsidP="00B64335">
            <w:pPr>
              <w:spacing w:after="0" w:line="240" w:lineRule="auto"/>
              <w:jc w:val="center"/>
              <w:rPr>
                <w:sz w:val="20"/>
                <w:szCs w:val="20"/>
                <w:lang w:val="en-GB"/>
              </w:rPr>
            </w:pPr>
          </w:p>
        </w:tc>
        <w:tc>
          <w:tcPr>
            <w:tcW w:w="1587" w:type="dxa"/>
            <w:tcBorders>
              <w:top w:val="nil"/>
              <w:bottom w:val="nil"/>
            </w:tcBorders>
            <w:vAlign w:val="center"/>
          </w:tcPr>
          <w:p w14:paraId="53739D22" w14:textId="77777777" w:rsidR="009B57E2" w:rsidRPr="00FD5168" w:rsidRDefault="009B57E2" w:rsidP="00B64335">
            <w:pPr>
              <w:spacing w:after="0" w:line="240" w:lineRule="auto"/>
              <w:jc w:val="center"/>
              <w:rPr>
                <w:sz w:val="20"/>
                <w:szCs w:val="20"/>
                <w:lang w:val="en-GB"/>
              </w:rPr>
            </w:pPr>
            <w:r w:rsidRPr="00FD5168">
              <w:rPr>
                <w:sz w:val="20"/>
                <w:szCs w:val="20"/>
                <w:lang w:val="en-GB"/>
              </w:rPr>
              <w:t>3.590</w:t>
            </w:r>
          </w:p>
          <w:p w14:paraId="156014D2" w14:textId="77777777" w:rsidR="009B57E2" w:rsidRPr="00FD5168" w:rsidRDefault="009B57E2" w:rsidP="00B64335">
            <w:pPr>
              <w:spacing w:after="0" w:line="240" w:lineRule="auto"/>
              <w:jc w:val="center"/>
              <w:rPr>
                <w:sz w:val="20"/>
                <w:szCs w:val="20"/>
                <w:lang w:val="en-GB"/>
              </w:rPr>
            </w:pPr>
            <w:r w:rsidRPr="00FD5168">
              <w:rPr>
                <w:sz w:val="20"/>
                <w:szCs w:val="20"/>
                <w:lang w:val="en-GB"/>
              </w:rPr>
              <w:t>(4.832)</w:t>
            </w:r>
          </w:p>
        </w:tc>
        <w:tc>
          <w:tcPr>
            <w:tcW w:w="1587" w:type="dxa"/>
            <w:tcBorders>
              <w:top w:val="nil"/>
              <w:bottom w:val="nil"/>
            </w:tcBorders>
            <w:vAlign w:val="center"/>
          </w:tcPr>
          <w:p w14:paraId="220B6C3F" w14:textId="77777777" w:rsidR="009B57E2" w:rsidRPr="00FD5168" w:rsidRDefault="009B57E2" w:rsidP="00B64335">
            <w:pPr>
              <w:spacing w:after="0" w:line="240" w:lineRule="auto"/>
              <w:jc w:val="center"/>
              <w:rPr>
                <w:sz w:val="20"/>
                <w:szCs w:val="20"/>
                <w:lang w:val="en-GB"/>
              </w:rPr>
            </w:pPr>
          </w:p>
        </w:tc>
      </w:tr>
      <w:tr w:rsidR="009B57E2" w:rsidRPr="00494CA7" w14:paraId="22401590" w14:textId="77777777" w:rsidTr="00B64335">
        <w:trPr>
          <w:trHeight w:val="283"/>
        </w:trPr>
        <w:tc>
          <w:tcPr>
            <w:tcW w:w="4649" w:type="dxa"/>
            <w:tcBorders>
              <w:top w:val="nil"/>
              <w:bottom w:val="nil"/>
            </w:tcBorders>
            <w:vAlign w:val="center"/>
          </w:tcPr>
          <w:p w14:paraId="7AA190E6" w14:textId="77777777" w:rsidR="009B57E2" w:rsidRPr="00FD5168" w:rsidRDefault="009B57E2" w:rsidP="00B64335">
            <w:pPr>
              <w:spacing w:after="0" w:line="240" w:lineRule="auto"/>
              <w:rPr>
                <w:b/>
                <w:sz w:val="20"/>
                <w:szCs w:val="20"/>
                <w:lang w:val="en-GB"/>
              </w:rPr>
            </w:pPr>
            <w:r w:rsidRPr="00FD5168">
              <w:rPr>
                <w:b/>
                <w:sz w:val="20"/>
                <w:szCs w:val="20"/>
                <w:lang w:val="en-GB"/>
              </w:rPr>
              <w:t>Total public expenditure on education</w:t>
            </w:r>
            <w:r w:rsidRPr="00FD5168">
              <w:rPr>
                <w:sz w:val="20"/>
                <w:szCs w:val="20"/>
                <w:lang w:val="en-GB"/>
              </w:rPr>
              <w:t>*</w:t>
            </w:r>
            <w:r w:rsidRPr="00FD5168">
              <w:rPr>
                <w:b/>
                <w:sz w:val="20"/>
                <w:szCs w:val="20"/>
                <w:lang w:val="en-GB"/>
              </w:rPr>
              <w:t>sibship size</w:t>
            </w:r>
          </w:p>
          <w:p w14:paraId="2340D0E6" w14:textId="77777777" w:rsidR="009B57E2" w:rsidRPr="00FD5168" w:rsidRDefault="009B57E2" w:rsidP="00B64335">
            <w:pPr>
              <w:spacing w:after="0" w:line="240" w:lineRule="auto"/>
              <w:rPr>
                <w:b/>
                <w:sz w:val="20"/>
                <w:szCs w:val="20"/>
                <w:lang w:val="en-GB"/>
              </w:rPr>
            </w:pPr>
            <w:r w:rsidRPr="00FD5168">
              <w:rPr>
                <w:sz w:val="20"/>
                <w:szCs w:val="20"/>
                <w:lang w:val="en-GB"/>
              </w:rPr>
              <w:t xml:space="preserve">(10-year average) </w:t>
            </w:r>
          </w:p>
        </w:tc>
        <w:tc>
          <w:tcPr>
            <w:tcW w:w="1587" w:type="dxa"/>
            <w:tcBorders>
              <w:top w:val="nil"/>
              <w:bottom w:val="nil"/>
            </w:tcBorders>
            <w:vAlign w:val="center"/>
          </w:tcPr>
          <w:p w14:paraId="089ADF73" w14:textId="77777777" w:rsidR="009B57E2" w:rsidRPr="00FD5168" w:rsidRDefault="009B57E2" w:rsidP="00B64335">
            <w:pPr>
              <w:spacing w:after="0" w:line="240" w:lineRule="auto"/>
              <w:jc w:val="center"/>
              <w:rPr>
                <w:sz w:val="20"/>
                <w:szCs w:val="20"/>
                <w:lang w:val="en-GB"/>
              </w:rPr>
            </w:pPr>
          </w:p>
        </w:tc>
        <w:tc>
          <w:tcPr>
            <w:tcW w:w="1587" w:type="dxa"/>
            <w:tcBorders>
              <w:top w:val="nil"/>
              <w:bottom w:val="nil"/>
            </w:tcBorders>
            <w:vAlign w:val="center"/>
          </w:tcPr>
          <w:p w14:paraId="387AF4BA" w14:textId="77777777" w:rsidR="009B57E2" w:rsidRPr="00FD5168" w:rsidRDefault="009B57E2" w:rsidP="00B64335">
            <w:pPr>
              <w:spacing w:after="0" w:line="240" w:lineRule="auto"/>
              <w:jc w:val="center"/>
              <w:rPr>
                <w:sz w:val="20"/>
                <w:szCs w:val="20"/>
                <w:lang w:val="en-GB"/>
              </w:rPr>
            </w:pPr>
            <w:r w:rsidRPr="00FD5168">
              <w:rPr>
                <w:sz w:val="20"/>
                <w:szCs w:val="20"/>
                <w:lang w:val="en-GB"/>
              </w:rPr>
              <w:t>0.026</w:t>
            </w:r>
          </w:p>
          <w:p w14:paraId="600B5504" w14:textId="77777777" w:rsidR="009B57E2" w:rsidRPr="00FD5168" w:rsidRDefault="009B57E2" w:rsidP="00B64335">
            <w:pPr>
              <w:spacing w:after="0" w:line="240" w:lineRule="auto"/>
              <w:jc w:val="center"/>
              <w:rPr>
                <w:sz w:val="20"/>
                <w:szCs w:val="20"/>
                <w:lang w:val="en-GB"/>
              </w:rPr>
            </w:pPr>
            <w:r w:rsidRPr="00FD5168">
              <w:rPr>
                <w:sz w:val="20"/>
                <w:szCs w:val="20"/>
                <w:lang w:val="en-GB"/>
              </w:rPr>
              <w:t>(0.157)</w:t>
            </w:r>
          </w:p>
        </w:tc>
        <w:tc>
          <w:tcPr>
            <w:tcW w:w="1587" w:type="dxa"/>
            <w:tcBorders>
              <w:top w:val="nil"/>
              <w:bottom w:val="nil"/>
            </w:tcBorders>
            <w:vAlign w:val="center"/>
          </w:tcPr>
          <w:p w14:paraId="2DC9654D" w14:textId="77777777" w:rsidR="009B57E2" w:rsidRPr="00FD5168" w:rsidRDefault="009B57E2" w:rsidP="00B64335">
            <w:pPr>
              <w:spacing w:after="0" w:line="240" w:lineRule="auto"/>
              <w:jc w:val="center"/>
              <w:rPr>
                <w:sz w:val="20"/>
                <w:szCs w:val="20"/>
                <w:lang w:val="en-GB"/>
              </w:rPr>
            </w:pPr>
          </w:p>
        </w:tc>
      </w:tr>
      <w:tr w:rsidR="009B57E2" w:rsidRPr="00494CA7" w14:paraId="506A65E2" w14:textId="77777777" w:rsidTr="00B64335">
        <w:trPr>
          <w:trHeight w:val="283"/>
        </w:trPr>
        <w:tc>
          <w:tcPr>
            <w:tcW w:w="4649" w:type="dxa"/>
            <w:tcBorders>
              <w:top w:val="nil"/>
              <w:bottom w:val="nil"/>
            </w:tcBorders>
            <w:vAlign w:val="center"/>
          </w:tcPr>
          <w:p w14:paraId="0F87FFF2" w14:textId="77777777" w:rsidR="009B57E2" w:rsidRPr="00FD5168" w:rsidRDefault="009B57E2" w:rsidP="00B64335">
            <w:pPr>
              <w:spacing w:after="0" w:line="240" w:lineRule="auto"/>
              <w:rPr>
                <w:b/>
                <w:sz w:val="20"/>
                <w:szCs w:val="20"/>
                <w:lang w:val="en-GB"/>
              </w:rPr>
            </w:pPr>
            <w:r w:rsidRPr="00FD5168">
              <w:rPr>
                <w:b/>
                <w:sz w:val="20"/>
                <w:szCs w:val="20"/>
                <w:lang w:val="en-GB"/>
              </w:rPr>
              <w:t>Crude divorce rate</w:t>
            </w:r>
          </w:p>
        </w:tc>
        <w:tc>
          <w:tcPr>
            <w:tcW w:w="1587" w:type="dxa"/>
            <w:tcBorders>
              <w:top w:val="nil"/>
              <w:bottom w:val="nil"/>
            </w:tcBorders>
            <w:vAlign w:val="center"/>
          </w:tcPr>
          <w:p w14:paraId="6F729717" w14:textId="77777777" w:rsidR="009B57E2" w:rsidRPr="00FD5168" w:rsidRDefault="009B57E2" w:rsidP="00B64335">
            <w:pPr>
              <w:spacing w:after="0" w:line="240" w:lineRule="auto"/>
              <w:jc w:val="center"/>
              <w:rPr>
                <w:sz w:val="20"/>
                <w:szCs w:val="20"/>
                <w:lang w:val="en-GB"/>
              </w:rPr>
            </w:pPr>
          </w:p>
        </w:tc>
        <w:tc>
          <w:tcPr>
            <w:tcW w:w="1587" w:type="dxa"/>
            <w:tcBorders>
              <w:top w:val="nil"/>
              <w:bottom w:val="nil"/>
            </w:tcBorders>
            <w:vAlign w:val="center"/>
          </w:tcPr>
          <w:p w14:paraId="1A1B45B1" w14:textId="77777777" w:rsidR="009B57E2" w:rsidRPr="00FD5168" w:rsidRDefault="009B57E2" w:rsidP="00B64335">
            <w:pPr>
              <w:spacing w:after="0" w:line="240" w:lineRule="auto"/>
              <w:jc w:val="center"/>
              <w:rPr>
                <w:sz w:val="20"/>
                <w:szCs w:val="20"/>
                <w:lang w:val="en-GB"/>
              </w:rPr>
            </w:pPr>
          </w:p>
        </w:tc>
        <w:tc>
          <w:tcPr>
            <w:tcW w:w="1587" w:type="dxa"/>
            <w:tcBorders>
              <w:top w:val="nil"/>
              <w:bottom w:val="nil"/>
            </w:tcBorders>
            <w:vAlign w:val="center"/>
          </w:tcPr>
          <w:p w14:paraId="234D665A" w14:textId="77777777" w:rsidR="009B57E2" w:rsidRPr="00FD5168" w:rsidRDefault="009B57E2" w:rsidP="00B64335">
            <w:pPr>
              <w:spacing w:after="0" w:line="240" w:lineRule="auto"/>
              <w:jc w:val="center"/>
              <w:rPr>
                <w:sz w:val="20"/>
                <w:szCs w:val="20"/>
                <w:lang w:val="en-GB"/>
              </w:rPr>
            </w:pPr>
            <w:r w:rsidRPr="00FD5168">
              <w:rPr>
                <w:sz w:val="20"/>
                <w:szCs w:val="20"/>
                <w:lang w:val="en-GB"/>
              </w:rPr>
              <w:t>17.491</w:t>
            </w:r>
          </w:p>
          <w:p w14:paraId="6B5C565F" w14:textId="77777777" w:rsidR="009B57E2" w:rsidRPr="00FD5168" w:rsidRDefault="009B57E2" w:rsidP="00B64335">
            <w:pPr>
              <w:spacing w:after="0" w:line="240" w:lineRule="auto"/>
              <w:jc w:val="center"/>
              <w:rPr>
                <w:sz w:val="20"/>
                <w:szCs w:val="20"/>
                <w:lang w:val="en-GB"/>
              </w:rPr>
            </w:pPr>
            <w:r w:rsidRPr="00FD5168">
              <w:rPr>
                <w:sz w:val="20"/>
                <w:szCs w:val="20"/>
                <w:lang w:val="en-GB"/>
              </w:rPr>
              <w:t>(5.318)</w:t>
            </w:r>
          </w:p>
        </w:tc>
      </w:tr>
      <w:tr w:rsidR="009B57E2" w:rsidRPr="00494CA7" w14:paraId="2D24B5FA" w14:textId="77777777" w:rsidTr="00B64335">
        <w:trPr>
          <w:trHeight w:val="283"/>
        </w:trPr>
        <w:tc>
          <w:tcPr>
            <w:tcW w:w="4649" w:type="dxa"/>
            <w:tcBorders>
              <w:top w:val="nil"/>
              <w:bottom w:val="single" w:sz="12" w:space="0" w:color="auto"/>
            </w:tcBorders>
            <w:vAlign w:val="center"/>
          </w:tcPr>
          <w:p w14:paraId="1CD3742F" w14:textId="77777777" w:rsidR="009B57E2" w:rsidRPr="00FD5168" w:rsidRDefault="009B57E2" w:rsidP="00B64335">
            <w:pPr>
              <w:spacing w:after="0" w:line="240" w:lineRule="auto"/>
              <w:rPr>
                <w:b/>
                <w:sz w:val="20"/>
                <w:szCs w:val="20"/>
                <w:lang w:val="en-GB"/>
              </w:rPr>
            </w:pPr>
            <w:r w:rsidRPr="00FD5168">
              <w:rPr>
                <w:b/>
                <w:sz w:val="20"/>
                <w:szCs w:val="20"/>
                <w:lang w:val="en-GB"/>
              </w:rPr>
              <w:t>Crude divorce rate*sibship size</w:t>
            </w:r>
          </w:p>
        </w:tc>
        <w:tc>
          <w:tcPr>
            <w:tcW w:w="1587" w:type="dxa"/>
            <w:tcBorders>
              <w:top w:val="nil"/>
              <w:bottom w:val="single" w:sz="12" w:space="0" w:color="auto"/>
            </w:tcBorders>
            <w:vAlign w:val="center"/>
          </w:tcPr>
          <w:p w14:paraId="771CE3D2" w14:textId="77777777" w:rsidR="009B57E2" w:rsidRPr="00FD5168" w:rsidRDefault="009B57E2" w:rsidP="00B64335">
            <w:pPr>
              <w:spacing w:after="0" w:line="240" w:lineRule="auto"/>
              <w:jc w:val="center"/>
              <w:rPr>
                <w:sz w:val="20"/>
                <w:szCs w:val="20"/>
                <w:lang w:val="en-GB"/>
              </w:rPr>
            </w:pPr>
          </w:p>
        </w:tc>
        <w:tc>
          <w:tcPr>
            <w:tcW w:w="1587" w:type="dxa"/>
            <w:tcBorders>
              <w:top w:val="nil"/>
              <w:bottom w:val="single" w:sz="12" w:space="0" w:color="auto"/>
            </w:tcBorders>
            <w:vAlign w:val="center"/>
          </w:tcPr>
          <w:p w14:paraId="2A5CEAB3" w14:textId="77777777" w:rsidR="009B57E2" w:rsidRPr="00FD5168" w:rsidRDefault="009B57E2" w:rsidP="00B64335">
            <w:pPr>
              <w:spacing w:after="0" w:line="240" w:lineRule="auto"/>
              <w:jc w:val="center"/>
              <w:rPr>
                <w:sz w:val="20"/>
                <w:szCs w:val="20"/>
                <w:lang w:val="en-GB"/>
              </w:rPr>
            </w:pPr>
          </w:p>
        </w:tc>
        <w:tc>
          <w:tcPr>
            <w:tcW w:w="1587" w:type="dxa"/>
            <w:tcBorders>
              <w:top w:val="nil"/>
              <w:bottom w:val="single" w:sz="12" w:space="0" w:color="auto"/>
            </w:tcBorders>
            <w:vAlign w:val="center"/>
          </w:tcPr>
          <w:p w14:paraId="49A48ECC" w14:textId="77777777" w:rsidR="009B57E2" w:rsidRPr="00FD5168" w:rsidRDefault="009B57E2" w:rsidP="00B64335">
            <w:pPr>
              <w:spacing w:after="0" w:line="240" w:lineRule="auto"/>
              <w:jc w:val="center"/>
              <w:rPr>
                <w:sz w:val="20"/>
                <w:szCs w:val="20"/>
                <w:lang w:val="en-GB"/>
              </w:rPr>
            </w:pPr>
            <w:r w:rsidRPr="00FD5168">
              <w:rPr>
                <w:sz w:val="20"/>
                <w:szCs w:val="20"/>
                <w:lang w:val="en-GB"/>
              </w:rPr>
              <w:t>-0.111</w:t>
            </w:r>
          </w:p>
          <w:p w14:paraId="490703AC" w14:textId="77777777" w:rsidR="009B57E2" w:rsidRPr="00FD5168" w:rsidRDefault="009B57E2" w:rsidP="00B64335">
            <w:pPr>
              <w:spacing w:after="0" w:line="240" w:lineRule="auto"/>
              <w:jc w:val="center"/>
              <w:rPr>
                <w:sz w:val="20"/>
                <w:szCs w:val="20"/>
                <w:lang w:val="en-GB"/>
              </w:rPr>
            </w:pPr>
            <w:r w:rsidRPr="00FD5168">
              <w:rPr>
                <w:sz w:val="20"/>
                <w:szCs w:val="20"/>
                <w:lang w:val="en-GB"/>
              </w:rPr>
              <w:t>(0.178)</w:t>
            </w:r>
          </w:p>
        </w:tc>
      </w:tr>
    </w:tbl>
    <w:p w14:paraId="7465FF26" w14:textId="77777777" w:rsidR="009B57E2" w:rsidRPr="00494CA7" w:rsidRDefault="009B57E2" w:rsidP="009B57E2">
      <w:pPr>
        <w:rPr>
          <w:b/>
          <w:sz w:val="22"/>
          <w:lang w:val="en-US"/>
        </w:rPr>
      </w:pPr>
      <w:r w:rsidRPr="00BD7B3B">
        <w:br w:type="page"/>
      </w:r>
      <w:r w:rsidRPr="00494CA7">
        <w:rPr>
          <w:b/>
          <w:sz w:val="22"/>
          <w:lang w:val="en-US"/>
        </w:rPr>
        <w:lastRenderedPageBreak/>
        <w:t xml:space="preserve">Table </w:t>
      </w:r>
      <w:r>
        <w:rPr>
          <w:b/>
          <w:sz w:val="22"/>
          <w:lang w:val="en-US"/>
        </w:rPr>
        <w:t>5</w:t>
      </w:r>
      <w:r w:rsidRPr="00494CA7">
        <w:rPr>
          <w:b/>
          <w:sz w:val="22"/>
          <w:lang w:val="en-US"/>
        </w:rPr>
        <w:t>: continued</w:t>
      </w:r>
    </w:p>
    <w:tbl>
      <w:tblPr>
        <w:tblW w:w="0" w:type="auto"/>
        <w:tblBorders>
          <w:top w:val="single" w:sz="12" w:space="0" w:color="auto"/>
          <w:bottom w:val="single" w:sz="12" w:space="0" w:color="auto"/>
        </w:tblBorders>
        <w:tblLook w:val="04A0" w:firstRow="1" w:lastRow="0" w:firstColumn="1" w:lastColumn="0" w:noHBand="0" w:noVBand="1"/>
      </w:tblPr>
      <w:tblGrid>
        <w:gridCol w:w="4451"/>
        <w:gridCol w:w="1541"/>
        <w:gridCol w:w="1541"/>
        <w:gridCol w:w="1539"/>
      </w:tblGrid>
      <w:tr w:rsidR="009B57E2" w:rsidRPr="00732886" w14:paraId="27522CC7" w14:textId="77777777" w:rsidTr="00B64335">
        <w:trPr>
          <w:trHeight w:val="510"/>
        </w:trPr>
        <w:tc>
          <w:tcPr>
            <w:tcW w:w="4649" w:type="dxa"/>
            <w:tcBorders>
              <w:bottom w:val="nil"/>
            </w:tcBorders>
            <w:vAlign w:val="center"/>
          </w:tcPr>
          <w:p w14:paraId="07FA5203" w14:textId="77777777" w:rsidR="009B57E2" w:rsidRPr="00732886" w:rsidRDefault="009B57E2" w:rsidP="00B64335">
            <w:pPr>
              <w:spacing w:after="0" w:line="240" w:lineRule="auto"/>
              <w:rPr>
                <w:sz w:val="20"/>
                <w:szCs w:val="20"/>
                <w:lang w:val="en-GB"/>
              </w:rPr>
            </w:pPr>
            <w:r w:rsidRPr="00732886">
              <w:rPr>
                <w:b/>
                <w:sz w:val="20"/>
                <w:szCs w:val="20"/>
                <w:lang w:val="en-GB"/>
              </w:rPr>
              <w:t>Interactions</w:t>
            </w:r>
          </w:p>
        </w:tc>
        <w:tc>
          <w:tcPr>
            <w:tcW w:w="1587" w:type="dxa"/>
            <w:tcBorders>
              <w:bottom w:val="nil"/>
            </w:tcBorders>
            <w:vAlign w:val="center"/>
          </w:tcPr>
          <w:p w14:paraId="292904A6" w14:textId="77777777" w:rsidR="009B57E2" w:rsidRPr="00732886" w:rsidRDefault="009B57E2" w:rsidP="00B64335">
            <w:pPr>
              <w:spacing w:after="0" w:line="240" w:lineRule="auto"/>
              <w:jc w:val="center"/>
              <w:rPr>
                <w:sz w:val="20"/>
                <w:szCs w:val="20"/>
                <w:lang w:val="en-GB"/>
              </w:rPr>
            </w:pPr>
          </w:p>
        </w:tc>
        <w:tc>
          <w:tcPr>
            <w:tcW w:w="1587" w:type="dxa"/>
            <w:tcBorders>
              <w:bottom w:val="nil"/>
            </w:tcBorders>
            <w:vAlign w:val="center"/>
          </w:tcPr>
          <w:p w14:paraId="25A419B1" w14:textId="77777777" w:rsidR="009B57E2" w:rsidRPr="00732886" w:rsidRDefault="009B57E2" w:rsidP="00B64335">
            <w:pPr>
              <w:spacing w:after="0" w:line="240" w:lineRule="auto"/>
              <w:jc w:val="center"/>
              <w:rPr>
                <w:sz w:val="20"/>
                <w:szCs w:val="20"/>
                <w:lang w:val="en-GB"/>
              </w:rPr>
            </w:pPr>
          </w:p>
        </w:tc>
        <w:tc>
          <w:tcPr>
            <w:tcW w:w="1587" w:type="dxa"/>
            <w:tcBorders>
              <w:bottom w:val="nil"/>
            </w:tcBorders>
            <w:vAlign w:val="center"/>
          </w:tcPr>
          <w:p w14:paraId="237A566C" w14:textId="77777777" w:rsidR="009B57E2" w:rsidRPr="00732886" w:rsidRDefault="009B57E2" w:rsidP="00B64335">
            <w:pPr>
              <w:spacing w:after="0" w:line="240" w:lineRule="auto"/>
              <w:jc w:val="center"/>
              <w:rPr>
                <w:sz w:val="20"/>
                <w:szCs w:val="20"/>
                <w:lang w:val="en-GB"/>
              </w:rPr>
            </w:pPr>
          </w:p>
        </w:tc>
      </w:tr>
      <w:tr w:rsidR="009B57E2" w:rsidRPr="00732886" w14:paraId="1E43D63B" w14:textId="77777777" w:rsidTr="00B64335">
        <w:trPr>
          <w:trHeight w:val="510"/>
        </w:trPr>
        <w:tc>
          <w:tcPr>
            <w:tcW w:w="4649" w:type="dxa"/>
            <w:tcBorders>
              <w:top w:val="nil"/>
              <w:bottom w:val="nil"/>
              <w:right w:val="nil"/>
            </w:tcBorders>
            <w:vAlign w:val="center"/>
          </w:tcPr>
          <w:p w14:paraId="168C82F8" w14:textId="77777777" w:rsidR="009B57E2" w:rsidRPr="00732886" w:rsidRDefault="009B57E2" w:rsidP="00B64335">
            <w:pPr>
              <w:spacing w:after="0" w:line="240" w:lineRule="auto"/>
              <w:ind w:left="170"/>
              <w:rPr>
                <w:sz w:val="20"/>
                <w:szCs w:val="20"/>
                <w:lang w:val="en-GB"/>
              </w:rPr>
            </w:pPr>
            <w:r w:rsidRPr="00732886">
              <w:rPr>
                <w:sz w:val="20"/>
                <w:szCs w:val="20"/>
                <w:lang w:val="en-GB"/>
              </w:rPr>
              <w:t>Sibship size*co-residence</w:t>
            </w:r>
          </w:p>
        </w:tc>
        <w:tc>
          <w:tcPr>
            <w:tcW w:w="1587" w:type="dxa"/>
            <w:tcBorders>
              <w:top w:val="nil"/>
              <w:left w:val="nil"/>
              <w:bottom w:val="nil"/>
              <w:right w:val="nil"/>
            </w:tcBorders>
            <w:vAlign w:val="center"/>
          </w:tcPr>
          <w:p w14:paraId="2789322C" w14:textId="77777777" w:rsidR="009B57E2" w:rsidRPr="00732886" w:rsidRDefault="009B57E2" w:rsidP="00B64335">
            <w:pPr>
              <w:spacing w:after="0" w:line="240" w:lineRule="auto"/>
              <w:jc w:val="center"/>
              <w:rPr>
                <w:sz w:val="20"/>
                <w:szCs w:val="20"/>
                <w:lang w:val="en-GB"/>
              </w:rPr>
            </w:pPr>
            <w:r>
              <w:rPr>
                <w:sz w:val="20"/>
                <w:szCs w:val="20"/>
                <w:lang w:val="en-GB"/>
              </w:rPr>
              <w:t>-0.421</w:t>
            </w:r>
          </w:p>
          <w:p w14:paraId="55567FCD" w14:textId="77777777" w:rsidR="009B57E2" w:rsidRPr="00732886" w:rsidRDefault="009B57E2" w:rsidP="00B64335">
            <w:pPr>
              <w:spacing w:after="0" w:line="240" w:lineRule="auto"/>
              <w:jc w:val="center"/>
              <w:rPr>
                <w:sz w:val="20"/>
                <w:szCs w:val="20"/>
                <w:lang w:val="en-GB"/>
              </w:rPr>
            </w:pPr>
            <w:r>
              <w:rPr>
                <w:sz w:val="20"/>
                <w:szCs w:val="20"/>
                <w:lang w:val="en-GB"/>
              </w:rPr>
              <w:t>(0.508</w:t>
            </w:r>
            <w:r w:rsidRPr="00732886">
              <w:rPr>
                <w:sz w:val="20"/>
                <w:szCs w:val="20"/>
                <w:lang w:val="en-GB"/>
              </w:rPr>
              <w:t>)</w:t>
            </w:r>
          </w:p>
        </w:tc>
        <w:tc>
          <w:tcPr>
            <w:tcW w:w="1587" w:type="dxa"/>
            <w:tcBorders>
              <w:top w:val="nil"/>
              <w:left w:val="nil"/>
              <w:bottom w:val="nil"/>
              <w:right w:val="nil"/>
            </w:tcBorders>
            <w:vAlign w:val="center"/>
          </w:tcPr>
          <w:p w14:paraId="7271AFB0" w14:textId="77777777" w:rsidR="009B57E2" w:rsidRPr="00732886" w:rsidRDefault="009B57E2" w:rsidP="00B64335">
            <w:pPr>
              <w:spacing w:after="0" w:line="240" w:lineRule="auto"/>
              <w:jc w:val="center"/>
              <w:rPr>
                <w:sz w:val="20"/>
                <w:szCs w:val="20"/>
                <w:lang w:val="en-GB"/>
              </w:rPr>
            </w:pPr>
            <w:r>
              <w:rPr>
                <w:sz w:val="20"/>
                <w:szCs w:val="20"/>
                <w:lang w:val="en-GB"/>
              </w:rPr>
              <w:t>-0.282</w:t>
            </w:r>
          </w:p>
          <w:p w14:paraId="0E6DF970" w14:textId="77777777" w:rsidR="009B57E2" w:rsidRPr="00732886" w:rsidRDefault="009B57E2" w:rsidP="00B64335">
            <w:pPr>
              <w:spacing w:after="0" w:line="240" w:lineRule="auto"/>
              <w:jc w:val="center"/>
              <w:rPr>
                <w:sz w:val="20"/>
                <w:szCs w:val="20"/>
                <w:lang w:val="en-GB"/>
              </w:rPr>
            </w:pPr>
            <w:r>
              <w:rPr>
                <w:sz w:val="20"/>
                <w:szCs w:val="20"/>
                <w:lang w:val="en-GB"/>
              </w:rPr>
              <w:t>(0.508</w:t>
            </w:r>
            <w:r w:rsidRPr="00732886">
              <w:rPr>
                <w:sz w:val="20"/>
                <w:szCs w:val="20"/>
                <w:lang w:val="en-GB"/>
              </w:rPr>
              <w:t>)</w:t>
            </w:r>
          </w:p>
        </w:tc>
        <w:tc>
          <w:tcPr>
            <w:tcW w:w="1587" w:type="dxa"/>
            <w:tcBorders>
              <w:top w:val="nil"/>
              <w:left w:val="nil"/>
              <w:bottom w:val="nil"/>
            </w:tcBorders>
            <w:vAlign w:val="center"/>
          </w:tcPr>
          <w:p w14:paraId="2C06F2F7" w14:textId="77777777" w:rsidR="009B57E2" w:rsidRPr="00732886" w:rsidRDefault="009B57E2" w:rsidP="00B64335">
            <w:pPr>
              <w:spacing w:after="0" w:line="240" w:lineRule="auto"/>
              <w:jc w:val="center"/>
              <w:rPr>
                <w:sz w:val="20"/>
                <w:szCs w:val="20"/>
                <w:lang w:val="en-GB"/>
              </w:rPr>
            </w:pPr>
            <w:r>
              <w:rPr>
                <w:sz w:val="20"/>
                <w:szCs w:val="20"/>
                <w:lang w:val="en-GB"/>
              </w:rPr>
              <w:t>-0.287</w:t>
            </w:r>
          </w:p>
          <w:p w14:paraId="21A3A6D4" w14:textId="77777777" w:rsidR="009B57E2" w:rsidRPr="00732886" w:rsidRDefault="009B57E2" w:rsidP="00B64335">
            <w:pPr>
              <w:spacing w:after="0" w:line="240" w:lineRule="auto"/>
              <w:jc w:val="center"/>
              <w:rPr>
                <w:sz w:val="20"/>
                <w:szCs w:val="20"/>
                <w:lang w:val="en-GB"/>
              </w:rPr>
            </w:pPr>
            <w:r w:rsidRPr="00732886">
              <w:rPr>
                <w:sz w:val="20"/>
                <w:szCs w:val="20"/>
                <w:lang w:val="en-GB"/>
              </w:rPr>
              <w:t>(0.507)</w:t>
            </w:r>
          </w:p>
        </w:tc>
      </w:tr>
      <w:tr w:rsidR="009B57E2" w:rsidRPr="00732886" w14:paraId="662A4B14" w14:textId="77777777" w:rsidTr="00B64335">
        <w:trPr>
          <w:trHeight w:val="510"/>
        </w:trPr>
        <w:tc>
          <w:tcPr>
            <w:tcW w:w="4649" w:type="dxa"/>
            <w:tcBorders>
              <w:top w:val="nil"/>
              <w:bottom w:val="nil"/>
              <w:right w:val="nil"/>
            </w:tcBorders>
            <w:vAlign w:val="center"/>
          </w:tcPr>
          <w:p w14:paraId="2B7E464A" w14:textId="77777777" w:rsidR="009B57E2" w:rsidRPr="00732886" w:rsidRDefault="009B57E2" w:rsidP="00B64335">
            <w:pPr>
              <w:spacing w:after="0" w:line="240" w:lineRule="auto"/>
              <w:ind w:left="170"/>
              <w:rPr>
                <w:sz w:val="20"/>
                <w:szCs w:val="20"/>
                <w:lang w:val="en-GB"/>
              </w:rPr>
            </w:pPr>
            <w:r w:rsidRPr="00732886">
              <w:rPr>
                <w:sz w:val="20"/>
                <w:szCs w:val="20"/>
                <w:lang w:val="en-GB"/>
              </w:rPr>
              <w:t>HDI 2</w:t>
            </w:r>
            <w:r w:rsidRPr="00732886">
              <w:rPr>
                <w:sz w:val="20"/>
                <w:szCs w:val="20"/>
                <w:vertAlign w:val="superscript"/>
                <w:lang w:val="en-GB"/>
              </w:rPr>
              <w:t>nd</w:t>
            </w:r>
            <w:r w:rsidRPr="00732886">
              <w:rPr>
                <w:sz w:val="20"/>
                <w:szCs w:val="20"/>
                <w:lang w:val="en-GB"/>
              </w:rPr>
              <w:t xml:space="preserve"> quartile*co-residence</w:t>
            </w:r>
          </w:p>
        </w:tc>
        <w:tc>
          <w:tcPr>
            <w:tcW w:w="1587" w:type="dxa"/>
            <w:tcBorders>
              <w:top w:val="nil"/>
              <w:left w:val="nil"/>
              <w:bottom w:val="nil"/>
              <w:right w:val="nil"/>
            </w:tcBorders>
            <w:vAlign w:val="center"/>
          </w:tcPr>
          <w:p w14:paraId="265B48D8" w14:textId="77777777" w:rsidR="009B57E2" w:rsidRPr="00732886" w:rsidRDefault="009B57E2" w:rsidP="00B64335">
            <w:pPr>
              <w:spacing w:after="0" w:line="240" w:lineRule="auto"/>
              <w:jc w:val="center"/>
              <w:rPr>
                <w:sz w:val="20"/>
                <w:szCs w:val="20"/>
                <w:lang w:val="en-GB"/>
              </w:rPr>
            </w:pPr>
            <w:r>
              <w:rPr>
                <w:sz w:val="20"/>
                <w:szCs w:val="20"/>
                <w:lang w:val="en-GB"/>
              </w:rPr>
              <w:t>6.660</w:t>
            </w:r>
          </w:p>
          <w:p w14:paraId="170656A5" w14:textId="77777777" w:rsidR="009B57E2" w:rsidRPr="00732886" w:rsidRDefault="009B57E2" w:rsidP="00B64335">
            <w:pPr>
              <w:spacing w:after="0" w:line="240" w:lineRule="auto"/>
              <w:jc w:val="center"/>
              <w:rPr>
                <w:sz w:val="20"/>
                <w:szCs w:val="20"/>
                <w:lang w:val="en-GB"/>
              </w:rPr>
            </w:pPr>
            <w:r>
              <w:rPr>
                <w:sz w:val="20"/>
                <w:szCs w:val="20"/>
                <w:lang w:val="en-GB"/>
              </w:rPr>
              <w:t>(2.233</w:t>
            </w:r>
            <w:r w:rsidRPr="00732886">
              <w:rPr>
                <w:sz w:val="20"/>
                <w:szCs w:val="20"/>
                <w:lang w:val="en-GB"/>
              </w:rPr>
              <w:t>)</w:t>
            </w:r>
          </w:p>
        </w:tc>
        <w:tc>
          <w:tcPr>
            <w:tcW w:w="1587" w:type="dxa"/>
            <w:tcBorders>
              <w:top w:val="nil"/>
              <w:left w:val="nil"/>
              <w:bottom w:val="nil"/>
              <w:right w:val="nil"/>
            </w:tcBorders>
            <w:vAlign w:val="center"/>
          </w:tcPr>
          <w:p w14:paraId="6936B90D" w14:textId="77777777" w:rsidR="009B57E2" w:rsidRPr="00732886" w:rsidRDefault="009B57E2" w:rsidP="00B64335">
            <w:pPr>
              <w:spacing w:after="0" w:line="240" w:lineRule="auto"/>
              <w:jc w:val="center"/>
              <w:rPr>
                <w:sz w:val="20"/>
                <w:szCs w:val="20"/>
                <w:lang w:val="en-GB"/>
              </w:rPr>
            </w:pPr>
            <w:r>
              <w:rPr>
                <w:sz w:val="20"/>
                <w:szCs w:val="20"/>
                <w:lang w:val="en-GB"/>
              </w:rPr>
              <w:t>7.167</w:t>
            </w:r>
          </w:p>
          <w:p w14:paraId="73662201" w14:textId="77777777" w:rsidR="009B57E2" w:rsidRPr="00732886" w:rsidRDefault="009B57E2" w:rsidP="00B64335">
            <w:pPr>
              <w:spacing w:after="0" w:line="240" w:lineRule="auto"/>
              <w:jc w:val="center"/>
              <w:rPr>
                <w:sz w:val="20"/>
                <w:szCs w:val="20"/>
                <w:lang w:val="en-GB"/>
              </w:rPr>
            </w:pPr>
            <w:r>
              <w:rPr>
                <w:sz w:val="20"/>
                <w:szCs w:val="20"/>
                <w:lang w:val="en-GB"/>
              </w:rPr>
              <w:t>(2.230</w:t>
            </w:r>
            <w:r w:rsidRPr="00732886">
              <w:rPr>
                <w:sz w:val="20"/>
                <w:szCs w:val="20"/>
                <w:lang w:val="en-GB"/>
              </w:rPr>
              <w:t>)</w:t>
            </w:r>
          </w:p>
        </w:tc>
        <w:tc>
          <w:tcPr>
            <w:tcW w:w="1587" w:type="dxa"/>
            <w:tcBorders>
              <w:top w:val="nil"/>
              <w:left w:val="nil"/>
              <w:bottom w:val="nil"/>
            </w:tcBorders>
            <w:vAlign w:val="center"/>
          </w:tcPr>
          <w:p w14:paraId="30336AFD" w14:textId="77777777" w:rsidR="009B57E2" w:rsidRPr="00732886" w:rsidRDefault="009B57E2" w:rsidP="00B64335">
            <w:pPr>
              <w:spacing w:after="0" w:line="240" w:lineRule="auto"/>
              <w:jc w:val="center"/>
              <w:rPr>
                <w:sz w:val="20"/>
                <w:szCs w:val="20"/>
                <w:lang w:val="en-GB"/>
              </w:rPr>
            </w:pPr>
            <w:r>
              <w:rPr>
                <w:sz w:val="20"/>
                <w:szCs w:val="20"/>
                <w:lang w:val="en-GB"/>
              </w:rPr>
              <w:t>7.190</w:t>
            </w:r>
          </w:p>
          <w:p w14:paraId="3F9C31AB" w14:textId="77777777" w:rsidR="009B57E2" w:rsidRPr="00732886" w:rsidRDefault="009B57E2" w:rsidP="00B64335">
            <w:pPr>
              <w:spacing w:after="0" w:line="240" w:lineRule="auto"/>
              <w:jc w:val="center"/>
              <w:rPr>
                <w:sz w:val="20"/>
                <w:szCs w:val="20"/>
                <w:lang w:val="en-GB"/>
              </w:rPr>
            </w:pPr>
            <w:r>
              <w:rPr>
                <w:sz w:val="20"/>
                <w:szCs w:val="20"/>
                <w:lang w:val="en-GB"/>
              </w:rPr>
              <w:t>(2.220</w:t>
            </w:r>
            <w:r w:rsidRPr="00732886">
              <w:rPr>
                <w:sz w:val="20"/>
                <w:szCs w:val="20"/>
                <w:lang w:val="en-GB"/>
              </w:rPr>
              <w:t>)</w:t>
            </w:r>
          </w:p>
        </w:tc>
      </w:tr>
      <w:tr w:rsidR="009B57E2" w:rsidRPr="00732886" w14:paraId="0BFC5405" w14:textId="77777777" w:rsidTr="00B64335">
        <w:trPr>
          <w:trHeight w:val="510"/>
        </w:trPr>
        <w:tc>
          <w:tcPr>
            <w:tcW w:w="4649" w:type="dxa"/>
            <w:tcBorders>
              <w:top w:val="nil"/>
              <w:bottom w:val="nil"/>
              <w:right w:val="nil"/>
            </w:tcBorders>
            <w:vAlign w:val="center"/>
          </w:tcPr>
          <w:p w14:paraId="7F8F35EC" w14:textId="77777777" w:rsidR="009B57E2" w:rsidRPr="00732886" w:rsidRDefault="009B57E2" w:rsidP="00B64335">
            <w:pPr>
              <w:spacing w:after="0" w:line="240" w:lineRule="auto"/>
              <w:ind w:left="170"/>
              <w:rPr>
                <w:sz w:val="20"/>
                <w:szCs w:val="20"/>
                <w:lang w:val="en-GB"/>
              </w:rPr>
            </w:pPr>
            <w:r w:rsidRPr="00732886">
              <w:rPr>
                <w:sz w:val="20"/>
                <w:szCs w:val="20"/>
                <w:lang w:val="en-GB"/>
              </w:rPr>
              <w:t>HDI 3</w:t>
            </w:r>
            <w:r w:rsidRPr="00732886">
              <w:rPr>
                <w:sz w:val="20"/>
                <w:szCs w:val="20"/>
                <w:vertAlign w:val="superscript"/>
                <w:lang w:val="en-GB"/>
              </w:rPr>
              <w:t>rd</w:t>
            </w:r>
            <w:r w:rsidRPr="00732886">
              <w:rPr>
                <w:sz w:val="20"/>
                <w:szCs w:val="20"/>
                <w:lang w:val="en-GB"/>
              </w:rPr>
              <w:t xml:space="preserve"> quartile*co-residence</w:t>
            </w:r>
          </w:p>
        </w:tc>
        <w:tc>
          <w:tcPr>
            <w:tcW w:w="1587" w:type="dxa"/>
            <w:tcBorders>
              <w:top w:val="nil"/>
              <w:left w:val="nil"/>
              <w:bottom w:val="nil"/>
              <w:right w:val="nil"/>
            </w:tcBorders>
            <w:vAlign w:val="center"/>
          </w:tcPr>
          <w:p w14:paraId="3414A203" w14:textId="77777777" w:rsidR="009B57E2" w:rsidRPr="00732886" w:rsidRDefault="009B57E2" w:rsidP="00B64335">
            <w:pPr>
              <w:spacing w:after="0" w:line="240" w:lineRule="auto"/>
              <w:jc w:val="center"/>
              <w:rPr>
                <w:sz w:val="20"/>
                <w:szCs w:val="20"/>
                <w:lang w:val="en-GB"/>
              </w:rPr>
            </w:pPr>
            <w:r>
              <w:rPr>
                <w:sz w:val="20"/>
                <w:szCs w:val="20"/>
                <w:lang w:val="en-GB"/>
              </w:rPr>
              <w:t>3.024</w:t>
            </w:r>
          </w:p>
          <w:p w14:paraId="1698098F" w14:textId="77777777" w:rsidR="009B57E2" w:rsidRPr="00732886" w:rsidRDefault="009B57E2" w:rsidP="00B64335">
            <w:pPr>
              <w:spacing w:after="0" w:line="240" w:lineRule="auto"/>
              <w:jc w:val="center"/>
              <w:rPr>
                <w:sz w:val="20"/>
                <w:szCs w:val="20"/>
                <w:lang w:val="en-GB"/>
              </w:rPr>
            </w:pPr>
            <w:r w:rsidRPr="00732886">
              <w:rPr>
                <w:sz w:val="20"/>
                <w:szCs w:val="20"/>
                <w:lang w:val="en-GB"/>
              </w:rPr>
              <w:t>( 2.508)</w:t>
            </w:r>
          </w:p>
        </w:tc>
        <w:tc>
          <w:tcPr>
            <w:tcW w:w="1587" w:type="dxa"/>
            <w:tcBorders>
              <w:top w:val="nil"/>
              <w:left w:val="nil"/>
              <w:bottom w:val="nil"/>
              <w:right w:val="nil"/>
            </w:tcBorders>
            <w:vAlign w:val="center"/>
          </w:tcPr>
          <w:p w14:paraId="61B37CD4" w14:textId="77777777" w:rsidR="009B57E2" w:rsidRPr="00732886" w:rsidRDefault="009B57E2" w:rsidP="00B64335">
            <w:pPr>
              <w:spacing w:after="0" w:line="240" w:lineRule="auto"/>
              <w:jc w:val="center"/>
              <w:rPr>
                <w:sz w:val="20"/>
                <w:szCs w:val="20"/>
                <w:lang w:val="en-GB"/>
              </w:rPr>
            </w:pPr>
            <w:r>
              <w:rPr>
                <w:sz w:val="20"/>
                <w:szCs w:val="20"/>
                <w:lang w:val="en-GB"/>
              </w:rPr>
              <w:t>3.017</w:t>
            </w:r>
          </w:p>
          <w:p w14:paraId="3DC8AE9A" w14:textId="77777777" w:rsidR="009B57E2" w:rsidRPr="00732886" w:rsidRDefault="009B57E2" w:rsidP="00B64335">
            <w:pPr>
              <w:spacing w:after="0" w:line="240" w:lineRule="auto"/>
              <w:jc w:val="center"/>
              <w:rPr>
                <w:sz w:val="20"/>
                <w:szCs w:val="20"/>
                <w:lang w:val="en-GB"/>
              </w:rPr>
            </w:pPr>
            <w:r w:rsidRPr="00732886">
              <w:rPr>
                <w:sz w:val="20"/>
                <w:szCs w:val="20"/>
                <w:lang w:val="en-GB"/>
              </w:rPr>
              <w:t>(2.50</w:t>
            </w:r>
            <w:r>
              <w:rPr>
                <w:sz w:val="20"/>
                <w:szCs w:val="20"/>
                <w:lang w:val="en-GB"/>
              </w:rPr>
              <w:t>4</w:t>
            </w:r>
            <w:r w:rsidRPr="00732886">
              <w:rPr>
                <w:sz w:val="20"/>
                <w:szCs w:val="20"/>
                <w:lang w:val="en-GB"/>
              </w:rPr>
              <w:t>)</w:t>
            </w:r>
          </w:p>
        </w:tc>
        <w:tc>
          <w:tcPr>
            <w:tcW w:w="1587" w:type="dxa"/>
            <w:tcBorders>
              <w:top w:val="nil"/>
              <w:left w:val="nil"/>
              <w:bottom w:val="nil"/>
            </w:tcBorders>
            <w:vAlign w:val="center"/>
          </w:tcPr>
          <w:p w14:paraId="56DF1EC3" w14:textId="77777777" w:rsidR="009B57E2" w:rsidRPr="00732886" w:rsidRDefault="009B57E2" w:rsidP="00B64335">
            <w:pPr>
              <w:spacing w:after="0" w:line="240" w:lineRule="auto"/>
              <w:jc w:val="center"/>
              <w:rPr>
                <w:sz w:val="20"/>
                <w:szCs w:val="20"/>
                <w:lang w:val="en-GB"/>
              </w:rPr>
            </w:pPr>
            <w:r>
              <w:rPr>
                <w:sz w:val="20"/>
                <w:szCs w:val="20"/>
                <w:lang w:val="en-GB"/>
              </w:rPr>
              <w:t>3.057</w:t>
            </w:r>
          </w:p>
          <w:p w14:paraId="48AC105B" w14:textId="77777777" w:rsidR="009B57E2" w:rsidRPr="00732886" w:rsidRDefault="009B57E2" w:rsidP="00B64335">
            <w:pPr>
              <w:spacing w:after="0" w:line="240" w:lineRule="auto"/>
              <w:jc w:val="center"/>
              <w:rPr>
                <w:sz w:val="20"/>
                <w:szCs w:val="20"/>
                <w:lang w:val="en-GB"/>
              </w:rPr>
            </w:pPr>
            <w:r>
              <w:rPr>
                <w:sz w:val="20"/>
                <w:szCs w:val="20"/>
                <w:lang w:val="en-GB"/>
              </w:rPr>
              <w:t>(2.507</w:t>
            </w:r>
            <w:r w:rsidRPr="00732886">
              <w:rPr>
                <w:sz w:val="20"/>
                <w:szCs w:val="20"/>
                <w:lang w:val="en-GB"/>
              </w:rPr>
              <w:t>)</w:t>
            </w:r>
          </w:p>
        </w:tc>
      </w:tr>
      <w:tr w:rsidR="009B57E2" w:rsidRPr="00732886" w14:paraId="7C7AF029" w14:textId="77777777" w:rsidTr="00B64335">
        <w:trPr>
          <w:trHeight w:val="510"/>
        </w:trPr>
        <w:tc>
          <w:tcPr>
            <w:tcW w:w="4649" w:type="dxa"/>
            <w:tcBorders>
              <w:top w:val="nil"/>
              <w:bottom w:val="nil"/>
              <w:right w:val="nil"/>
            </w:tcBorders>
            <w:vAlign w:val="center"/>
          </w:tcPr>
          <w:p w14:paraId="6A2FF8F0" w14:textId="77777777" w:rsidR="009B57E2" w:rsidRPr="00732886" w:rsidRDefault="009B57E2" w:rsidP="00B64335">
            <w:pPr>
              <w:spacing w:after="0" w:line="240" w:lineRule="auto"/>
              <w:ind w:left="170"/>
              <w:rPr>
                <w:sz w:val="20"/>
                <w:szCs w:val="20"/>
                <w:lang w:val="en-GB"/>
              </w:rPr>
            </w:pPr>
            <w:r w:rsidRPr="00732886">
              <w:rPr>
                <w:sz w:val="20"/>
                <w:szCs w:val="20"/>
                <w:lang w:val="en-GB"/>
              </w:rPr>
              <w:t>HDI 4</w:t>
            </w:r>
            <w:r w:rsidRPr="00732886">
              <w:rPr>
                <w:sz w:val="20"/>
                <w:szCs w:val="20"/>
                <w:vertAlign w:val="superscript"/>
                <w:lang w:val="en-GB"/>
              </w:rPr>
              <w:t>th</w:t>
            </w:r>
            <w:r w:rsidRPr="00732886">
              <w:rPr>
                <w:sz w:val="20"/>
                <w:szCs w:val="20"/>
                <w:lang w:val="en-GB"/>
              </w:rPr>
              <w:t xml:space="preserve"> quartile*co-residence</w:t>
            </w:r>
          </w:p>
        </w:tc>
        <w:tc>
          <w:tcPr>
            <w:tcW w:w="1587" w:type="dxa"/>
            <w:tcBorders>
              <w:top w:val="nil"/>
              <w:left w:val="nil"/>
              <w:bottom w:val="nil"/>
              <w:right w:val="nil"/>
            </w:tcBorders>
            <w:vAlign w:val="center"/>
          </w:tcPr>
          <w:p w14:paraId="4D6E0713" w14:textId="77777777" w:rsidR="009B57E2" w:rsidRPr="00732886" w:rsidRDefault="009B57E2" w:rsidP="00B64335">
            <w:pPr>
              <w:spacing w:after="0" w:line="240" w:lineRule="auto"/>
              <w:jc w:val="center"/>
              <w:rPr>
                <w:sz w:val="20"/>
                <w:szCs w:val="20"/>
                <w:lang w:val="en-GB"/>
              </w:rPr>
            </w:pPr>
            <w:r>
              <w:rPr>
                <w:sz w:val="20"/>
                <w:szCs w:val="20"/>
                <w:lang w:val="en-GB"/>
              </w:rPr>
              <w:t>-12.986</w:t>
            </w:r>
          </w:p>
          <w:p w14:paraId="11122F5C" w14:textId="77777777" w:rsidR="009B57E2" w:rsidRPr="00732886" w:rsidRDefault="009B57E2" w:rsidP="00B64335">
            <w:pPr>
              <w:spacing w:after="0" w:line="240" w:lineRule="auto"/>
              <w:jc w:val="center"/>
              <w:rPr>
                <w:sz w:val="20"/>
                <w:szCs w:val="20"/>
                <w:lang w:val="en-GB"/>
              </w:rPr>
            </w:pPr>
            <w:r>
              <w:rPr>
                <w:sz w:val="20"/>
                <w:szCs w:val="20"/>
                <w:lang w:val="en-GB"/>
              </w:rPr>
              <w:t>(2.520</w:t>
            </w:r>
            <w:r w:rsidRPr="00732886">
              <w:rPr>
                <w:sz w:val="20"/>
                <w:szCs w:val="20"/>
                <w:lang w:val="en-GB"/>
              </w:rPr>
              <w:t>)</w:t>
            </w:r>
          </w:p>
        </w:tc>
        <w:tc>
          <w:tcPr>
            <w:tcW w:w="1587" w:type="dxa"/>
            <w:tcBorders>
              <w:top w:val="nil"/>
              <w:left w:val="nil"/>
              <w:bottom w:val="nil"/>
              <w:right w:val="nil"/>
            </w:tcBorders>
            <w:vAlign w:val="center"/>
          </w:tcPr>
          <w:p w14:paraId="01AF8C88" w14:textId="77777777" w:rsidR="009B57E2" w:rsidRPr="00732886" w:rsidRDefault="009B57E2" w:rsidP="00B64335">
            <w:pPr>
              <w:spacing w:after="0" w:line="240" w:lineRule="auto"/>
              <w:jc w:val="center"/>
              <w:rPr>
                <w:sz w:val="20"/>
                <w:szCs w:val="20"/>
                <w:lang w:val="en-GB"/>
              </w:rPr>
            </w:pPr>
            <w:r>
              <w:rPr>
                <w:sz w:val="20"/>
                <w:szCs w:val="20"/>
                <w:lang w:val="en-GB"/>
              </w:rPr>
              <w:t>-12.732</w:t>
            </w:r>
          </w:p>
          <w:p w14:paraId="46AEE20C" w14:textId="77777777" w:rsidR="009B57E2" w:rsidRPr="00732886" w:rsidRDefault="009B57E2" w:rsidP="00B64335">
            <w:pPr>
              <w:spacing w:after="0" w:line="240" w:lineRule="auto"/>
              <w:jc w:val="center"/>
              <w:rPr>
                <w:sz w:val="20"/>
                <w:szCs w:val="20"/>
                <w:lang w:val="en-GB"/>
              </w:rPr>
            </w:pPr>
            <w:r>
              <w:rPr>
                <w:sz w:val="20"/>
                <w:szCs w:val="20"/>
                <w:lang w:val="en-GB"/>
              </w:rPr>
              <w:t>(2.522</w:t>
            </w:r>
            <w:r w:rsidRPr="00732886">
              <w:rPr>
                <w:sz w:val="20"/>
                <w:szCs w:val="20"/>
                <w:lang w:val="en-GB"/>
              </w:rPr>
              <w:t>)</w:t>
            </w:r>
          </w:p>
        </w:tc>
        <w:tc>
          <w:tcPr>
            <w:tcW w:w="1587" w:type="dxa"/>
            <w:tcBorders>
              <w:top w:val="nil"/>
              <w:left w:val="nil"/>
              <w:bottom w:val="nil"/>
            </w:tcBorders>
            <w:vAlign w:val="center"/>
          </w:tcPr>
          <w:p w14:paraId="3E22B962" w14:textId="77777777" w:rsidR="009B57E2" w:rsidRPr="00732886" w:rsidRDefault="009B57E2" w:rsidP="00B64335">
            <w:pPr>
              <w:spacing w:after="0" w:line="240" w:lineRule="auto"/>
              <w:jc w:val="center"/>
              <w:rPr>
                <w:sz w:val="20"/>
                <w:szCs w:val="20"/>
                <w:lang w:val="en-GB"/>
              </w:rPr>
            </w:pPr>
            <w:r>
              <w:rPr>
                <w:sz w:val="20"/>
                <w:szCs w:val="20"/>
                <w:lang w:val="en-GB"/>
              </w:rPr>
              <w:t>-12.749</w:t>
            </w:r>
          </w:p>
          <w:p w14:paraId="552EB8F8" w14:textId="77777777" w:rsidR="009B57E2" w:rsidRPr="00732886" w:rsidRDefault="009B57E2" w:rsidP="00B64335">
            <w:pPr>
              <w:spacing w:after="0" w:line="240" w:lineRule="auto"/>
              <w:jc w:val="center"/>
              <w:rPr>
                <w:sz w:val="20"/>
                <w:szCs w:val="20"/>
                <w:lang w:val="en-GB"/>
              </w:rPr>
            </w:pPr>
            <w:r>
              <w:rPr>
                <w:sz w:val="20"/>
                <w:szCs w:val="20"/>
                <w:lang w:val="en-GB"/>
              </w:rPr>
              <w:t>(2.518</w:t>
            </w:r>
            <w:r w:rsidRPr="00732886">
              <w:rPr>
                <w:sz w:val="20"/>
                <w:szCs w:val="20"/>
                <w:lang w:val="en-GB"/>
              </w:rPr>
              <w:t>)</w:t>
            </w:r>
          </w:p>
        </w:tc>
      </w:tr>
      <w:tr w:rsidR="009B57E2" w:rsidRPr="00732886" w14:paraId="79F21B25" w14:textId="77777777" w:rsidTr="00B64335">
        <w:trPr>
          <w:trHeight w:val="510"/>
        </w:trPr>
        <w:tc>
          <w:tcPr>
            <w:tcW w:w="4649" w:type="dxa"/>
            <w:tcBorders>
              <w:top w:val="nil"/>
              <w:bottom w:val="nil"/>
              <w:right w:val="nil"/>
            </w:tcBorders>
            <w:vAlign w:val="center"/>
          </w:tcPr>
          <w:p w14:paraId="135C4E95" w14:textId="77777777" w:rsidR="009B57E2" w:rsidRPr="00732886" w:rsidRDefault="009B57E2" w:rsidP="00B64335">
            <w:pPr>
              <w:spacing w:after="0" w:line="240" w:lineRule="auto"/>
              <w:ind w:left="170"/>
              <w:rPr>
                <w:sz w:val="20"/>
                <w:szCs w:val="20"/>
                <w:lang w:val="en-GB"/>
              </w:rPr>
            </w:pPr>
            <w:r w:rsidRPr="00732886">
              <w:rPr>
                <w:sz w:val="20"/>
                <w:szCs w:val="20"/>
                <w:lang w:val="en-GB"/>
              </w:rPr>
              <w:t>HDI 2</w:t>
            </w:r>
            <w:r w:rsidRPr="00732886">
              <w:rPr>
                <w:sz w:val="20"/>
                <w:szCs w:val="20"/>
                <w:vertAlign w:val="superscript"/>
                <w:lang w:val="en-GB"/>
              </w:rPr>
              <w:t>nd</w:t>
            </w:r>
            <w:r w:rsidRPr="00732886">
              <w:rPr>
                <w:sz w:val="20"/>
                <w:szCs w:val="20"/>
                <w:lang w:val="en-GB"/>
              </w:rPr>
              <w:t xml:space="preserve"> quartile*sibship size</w:t>
            </w:r>
          </w:p>
        </w:tc>
        <w:tc>
          <w:tcPr>
            <w:tcW w:w="1587" w:type="dxa"/>
            <w:tcBorders>
              <w:top w:val="nil"/>
              <w:left w:val="nil"/>
              <w:bottom w:val="nil"/>
              <w:right w:val="nil"/>
            </w:tcBorders>
            <w:vAlign w:val="center"/>
          </w:tcPr>
          <w:p w14:paraId="573F5D01" w14:textId="77777777" w:rsidR="009B57E2" w:rsidRPr="00732886" w:rsidRDefault="009B57E2" w:rsidP="00B64335">
            <w:pPr>
              <w:spacing w:after="0" w:line="240" w:lineRule="auto"/>
              <w:jc w:val="center"/>
              <w:rPr>
                <w:sz w:val="20"/>
                <w:szCs w:val="20"/>
                <w:lang w:val="en-GB"/>
              </w:rPr>
            </w:pPr>
            <w:r>
              <w:rPr>
                <w:sz w:val="20"/>
                <w:szCs w:val="20"/>
                <w:lang w:val="en-GB"/>
              </w:rPr>
              <w:t>1.189</w:t>
            </w:r>
          </w:p>
          <w:p w14:paraId="34DFD604" w14:textId="77777777" w:rsidR="009B57E2" w:rsidRPr="00732886" w:rsidRDefault="009B57E2" w:rsidP="00B64335">
            <w:pPr>
              <w:spacing w:after="0" w:line="240" w:lineRule="auto"/>
              <w:jc w:val="center"/>
              <w:rPr>
                <w:sz w:val="20"/>
                <w:szCs w:val="20"/>
                <w:lang w:val="en-GB"/>
              </w:rPr>
            </w:pPr>
            <w:r>
              <w:rPr>
                <w:sz w:val="20"/>
                <w:szCs w:val="20"/>
                <w:lang w:val="en-GB"/>
              </w:rPr>
              <w:t>(0.600</w:t>
            </w:r>
            <w:r w:rsidRPr="00732886">
              <w:rPr>
                <w:sz w:val="20"/>
                <w:szCs w:val="20"/>
                <w:lang w:val="en-GB"/>
              </w:rPr>
              <w:t>)</w:t>
            </w:r>
          </w:p>
        </w:tc>
        <w:tc>
          <w:tcPr>
            <w:tcW w:w="1587" w:type="dxa"/>
            <w:tcBorders>
              <w:top w:val="nil"/>
              <w:left w:val="nil"/>
              <w:bottom w:val="nil"/>
              <w:right w:val="nil"/>
            </w:tcBorders>
            <w:vAlign w:val="center"/>
          </w:tcPr>
          <w:p w14:paraId="0A222B74" w14:textId="77777777" w:rsidR="009B57E2" w:rsidRPr="00732886" w:rsidRDefault="009B57E2" w:rsidP="00B64335">
            <w:pPr>
              <w:spacing w:after="0" w:line="240" w:lineRule="auto"/>
              <w:jc w:val="center"/>
              <w:rPr>
                <w:sz w:val="20"/>
                <w:szCs w:val="20"/>
                <w:lang w:val="en-GB"/>
              </w:rPr>
            </w:pPr>
            <w:r>
              <w:rPr>
                <w:sz w:val="20"/>
                <w:szCs w:val="20"/>
                <w:lang w:val="en-GB"/>
              </w:rPr>
              <w:t>-0.194</w:t>
            </w:r>
          </w:p>
          <w:p w14:paraId="5BE9A601" w14:textId="77777777" w:rsidR="009B57E2" w:rsidRPr="00732886" w:rsidRDefault="009B57E2" w:rsidP="00B64335">
            <w:pPr>
              <w:spacing w:after="0" w:line="240" w:lineRule="auto"/>
              <w:jc w:val="center"/>
              <w:rPr>
                <w:sz w:val="20"/>
                <w:szCs w:val="20"/>
                <w:lang w:val="en-GB"/>
              </w:rPr>
            </w:pPr>
            <w:r>
              <w:rPr>
                <w:sz w:val="20"/>
                <w:szCs w:val="20"/>
                <w:lang w:val="en-GB"/>
              </w:rPr>
              <w:t>(0.553</w:t>
            </w:r>
            <w:r w:rsidRPr="00732886">
              <w:rPr>
                <w:sz w:val="20"/>
                <w:szCs w:val="20"/>
                <w:lang w:val="en-GB"/>
              </w:rPr>
              <w:t>)</w:t>
            </w:r>
          </w:p>
        </w:tc>
        <w:tc>
          <w:tcPr>
            <w:tcW w:w="1587" w:type="dxa"/>
            <w:tcBorders>
              <w:top w:val="nil"/>
              <w:left w:val="nil"/>
              <w:bottom w:val="nil"/>
            </w:tcBorders>
            <w:vAlign w:val="center"/>
          </w:tcPr>
          <w:p w14:paraId="2D925C4A" w14:textId="77777777" w:rsidR="009B57E2" w:rsidRPr="00732886" w:rsidRDefault="009B57E2" w:rsidP="00B64335">
            <w:pPr>
              <w:spacing w:after="0" w:line="240" w:lineRule="auto"/>
              <w:jc w:val="center"/>
              <w:rPr>
                <w:sz w:val="20"/>
                <w:szCs w:val="20"/>
                <w:lang w:val="en-GB"/>
              </w:rPr>
            </w:pPr>
            <w:r>
              <w:rPr>
                <w:sz w:val="20"/>
                <w:szCs w:val="20"/>
                <w:lang w:val="en-GB"/>
              </w:rPr>
              <w:t>-0.172</w:t>
            </w:r>
          </w:p>
          <w:p w14:paraId="62EB5A3F" w14:textId="77777777" w:rsidR="009B57E2" w:rsidRPr="00732886" w:rsidRDefault="009B57E2" w:rsidP="00B64335">
            <w:pPr>
              <w:spacing w:after="0" w:line="240" w:lineRule="auto"/>
              <w:jc w:val="center"/>
              <w:rPr>
                <w:sz w:val="20"/>
                <w:szCs w:val="20"/>
                <w:lang w:val="en-GB"/>
              </w:rPr>
            </w:pPr>
            <w:r w:rsidRPr="00732886">
              <w:rPr>
                <w:sz w:val="20"/>
                <w:szCs w:val="20"/>
                <w:lang w:val="en-GB"/>
              </w:rPr>
              <w:t>(0.549)</w:t>
            </w:r>
          </w:p>
        </w:tc>
      </w:tr>
      <w:tr w:rsidR="009B57E2" w:rsidRPr="00732886" w14:paraId="52761752" w14:textId="77777777" w:rsidTr="00B64335">
        <w:trPr>
          <w:trHeight w:val="510"/>
        </w:trPr>
        <w:tc>
          <w:tcPr>
            <w:tcW w:w="4649" w:type="dxa"/>
            <w:tcBorders>
              <w:top w:val="nil"/>
              <w:bottom w:val="nil"/>
              <w:right w:val="nil"/>
            </w:tcBorders>
            <w:vAlign w:val="center"/>
          </w:tcPr>
          <w:p w14:paraId="580848BC" w14:textId="77777777" w:rsidR="009B57E2" w:rsidRPr="00732886" w:rsidRDefault="009B57E2" w:rsidP="00B64335">
            <w:pPr>
              <w:spacing w:after="0" w:line="240" w:lineRule="auto"/>
              <w:ind w:left="170"/>
              <w:rPr>
                <w:sz w:val="20"/>
                <w:szCs w:val="20"/>
                <w:lang w:val="en-GB"/>
              </w:rPr>
            </w:pPr>
            <w:r w:rsidRPr="00732886">
              <w:rPr>
                <w:sz w:val="20"/>
                <w:szCs w:val="20"/>
                <w:lang w:val="en-GB"/>
              </w:rPr>
              <w:t>HDI 3</w:t>
            </w:r>
            <w:r w:rsidRPr="00732886">
              <w:rPr>
                <w:sz w:val="20"/>
                <w:szCs w:val="20"/>
                <w:vertAlign w:val="superscript"/>
                <w:lang w:val="en-GB"/>
              </w:rPr>
              <w:t>rd</w:t>
            </w:r>
            <w:r w:rsidRPr="00732886">
              <w:rPr>
                <w:sz w:val="20"/>
                <w:szCs w:val="20"/>
                <w:lang w:val="en-GB"/>
              </w:rPr>
              <w:t xml:space="preserve"> quartile*sibship size</w:t>
            </w:r>
          </w:p>
        </w:tc>
        <w:tc>
          <w:tcPr>
            <w:tcW w:w="1587" w:type="dxa"/>
            <w:tcBorders>
              <w:top w:val="nil"/>
              <w:left w:val="nil"/>
              <w:bottom w:val="nil"/>
              <w:right w:val="nil"/>
            </w:tcBorders>
            <w:vAlign w:val="center"/>
          </w:tcPr>
          <w:p w14:paraId="50DB3C85" w14:textId="77777777" w:rsidR="009B57E2" w:rsidRPr="00732886" w:rsidRDefault="009B57E2" w:rsidP="00B64335">
            <w:pPr>
              <w:spacing w:after="0" w:line="240" w:lineRule="auto"/>
              <w:jc w:val="center"/>
              <w:rPr>
                <w:sz w:val="20"/>
                <w:szCs w:val="20"/>
                <w:lang w:val="en-GB"/>
              </w:rPr>
            </w:pPr>
            <w:r>
              <w:rPr>
                <w:sz w:val="20"/>
                <w:szCs w:val="20"/>
                <w:lang w:val="en-GB"/>
              </w:rPr>
              <w:t>1.096</w:t>
            </w:r>
          </w:p>
          <w:p w14:paraId="05ADAD8F" w14:textId="77777777" w:rsidR="009B57E2" w:rsidRPr="00732886" w:rsidRDefault="009B57E2" w:rsidP="00B64335">
            <w:pPr>
              <w:spacing w:after="0" w:line="240" w:lineRule="auto"/>
              <w:jc w:val="center"/>
              <w:rPr>
                <w:sz w:val="20"/>
                <w:szCs w:val="20"/>
                <w:lang w:val="en-GB"/>
              </w:rPr>
            </w:pPr>
            <w:r>
              <w:rPr>
                <w:sz w:val="20"/>
                <w:szCs w:val="20"/>
                <w:lang w:val="en-GB"/>
              </w:rPr>
              <w:t>(0.653</w:t>
            </w:r>
            <w:r w:rsidRPr="00732886">
              <w:rPr>
                <w:sz w:val="20"/>
                <w:szCs w:val="20"/>
                <w:lang w:val="en-GB"/>
              </w:rPr>
              <w:t>)</w:t>
            </w:r>
          </w:p>
        </w:tc>
        <w:tc>
          <w:tcPr>
            <w:tcW w:w="1587" w:type="dxa"/>
            <w:tcBorders>
              <w:top w:val="nil"/>
              <w:left w:val="nil"/>
              <w:bottom w:val="nil"/>
              <w:right w:val="nil"/>
            </w:tcBorders>
            <w:vAlign w:val="center"/>
          </w:tcPr>
          <w:p w14:paraId="72E8085C" w14:textId="77777777" w:rsidR="009B57E2" w:rsidRPr="00732886" w:rsidRDefault="009B57E2" w:rsidP="00B64335">
            <w:pPr>
              <w:spacing w:after="0" w:line="240" w:lineRule="auto"/>
              <w:jc w:val="center"/>
              <w:rPr>
                <w:sz w:val="20"/>
                <w:szCs w:val="20"/>
                <w:lang w:val="en-GB"/>
              </w:rPr>
            </w:pPr>
            <w:r>
              <w:rPr>
                <w:sz w:val="20"/>
                <w:szCs w:val="20"/>
                <w:lang w:val="en-GB"/>
              </w:rPr>
              <w:t>-0.999</w:t>
            </w:r>
          </w:p>
          <w:p w14:paraId="4A95A137" w14:textId="77777777" w:rsidR="009B57E2" w:rsidRPr="00732886" w:rsidRDefault="009B57E2" w:rsidP="00B64335">
            <w:pPr>
              <w:spacing w:after="0" w:line="240" w:lineRule="auto"/>
              <w:jc w:val="center"/>
              <w:rPr>
                <w:sz w:val="20"/>
                <w:szCs w:val="20"/>
                <w:lang w:val="en-GB"/>
              </w:rPr>
            </w:pPr>
            <w:r>
              <w:rPr>
                <w:sz w:val="20"/>
                <w:szCs w:val="20"/>
                <w:lang w:val="en-GB"/>
              </w:rPr>
              <w:t>(0.623</w:t>
            </w:r>
            <w:r w:rsidRPr="00732886">
              <w:rPr>
                <w:sz w:val="20"/>
                <w:szCs w:val="20"/>
                <w:lang w:val="en-GB"/>
              </w:rPr>
              <w:t>)</w:t>
            </w:r>
          </w:p>
        </w:tc>
        <w:tc>
          <w:tcPr>
            <w:tcW w:w="1587" w:type="dxa"/>
            <w:tcBorders>
              <w:top w:val="nil"/>
              <w:left w:val="nil"/>
              <w:bottom w:val="nil"/>
            </w:tcBorders>
            <w:vAlign w:val="center"/>
          </w:tcPr>
          <w:p w14:paraId="6956951E" w14:textId="77777777" w:rsidR="009B57E2" w:rsidRPr="00732886" w:rsidRDefault="009B57E2" w:rsidP="00B64335">
            <w:pPr>
              <w:spacing w:after="0" w:line="240" w:lineRule="auto"/>
              <w:jc w:val="center"/>
              <w:rPr>
                <w:sz w:val="20"/>
                <w:szCs w:val="20"/>
                <w:lang w:val="en-GB"/>
              </w:rPr>
            </w:pPr>
            <w:r>
              <w:rPr>
                <w:sz w:val="20"/>
                <w:szCs w:val="20"/>
                <w:lang w:val="en-GB"/>
              </w:rPr>
              <w:t>-0.853</w:t>
            </w:r>
          </w:p>
          <w:p w14:paraId="39A38D72" w14:textId="77777777" w:rsidR="009B57E2" w:rsidRPr="00732886" w:rsidRDefault="009B57E2" w:rsidP="00B64335">
            <w:pPr>
              <w:spacing w:after="0" w:line="240" w:lineRule="auto"/>
              <w:jc w:val="center"/>
              <w:rPr>
                <w:sz w:val="20"/>
                <w:szCs w:val="20"/>
                <w:lang w:val="en-GB"/>
              </w:rPr>
            </w:pPr>
            <w:r>
              <w:rPr>
                <w:sz w:val="20"/>
                <w:szCs w:val="20"/>
                <w:lang w:val="en-GB"/>
              </w:rPr>
              <w:t>(0.548</w:t>
            </w:r>
            <w:r w:rsidRPr="00732886">
              <w:rPr>
                <w:sz w:val="20"/>
                <w:szCs w:val="20"/>
                <w:lang w:val="en-GB"/>
              </w:rPr>
              <w:t>)</w:t>
            </w:r>
          </w:p>
        </w:tc>
      </w:tr>
      <w:tr w:rsidR="009B57E2" w:rsidRPr="00732886" w14:paraId="57E9EEDD" w14:textId="77777777" w:rsidTr="00B64335">
        <w:trPr>
          <w:trHeight w:val="510"/>
        </w:trPr>
        <w:tc>
          <w:tcPr>
            <w:tcW w:w="4649" w:type="dxa"/>
            <w:tcBorders>
              <w:top w:val="nil"/>
              <w:bottom w:val="nil"/>
              <w:right w:val="nil"/>
            </w:tcBorders>
            <w:vAlign w:val="center"/>
          </w:tcPr>
          <w:p w14:paraId="17697484" w14:textId="77777777" w:rsidR="009B57E2" w:rsidRPr="00732886" w:rsidRDefault="009B57E2" w:rsidP="00B64335">
            <w:pPr>
              <w:spacing w:after="0" w:line="240" w:lineRule="auto"/>
              <w:ind w:left="170"/>
              <w:rPr>
                <w:sz w:val="20"/>
                <w:szCs w:val="20"/>
                <w:lang w:val="en-GB"/>
              </w:rPr>
            </w:pPr>
            <w:r w:rsidRPr="00732886">
              <w:rPr>
                <w:sz w:val="20"/>
                <w:szCs w:val="20"/>
                <w:lang w:val="en-GB"/>
              </w:rPr>
              <w:t>HDI 4</w:t>
            </w:r>
            <w:r w:rsidRPr="00732886">
              <w:rPr>
                <w:sz w:val="20"/>
                <w:szCs w:val="20"/>
                <w:vertAlign w:val="superscript"/>
                <w:lang w:val="en-GB"/>
              </w:rPr>
              <w:t>th</w:t>
            </w:r>
            <w:r w:rsidRPr="00732886">
              <w:rPr>
                <w:sz w:val="20"/>
                <w:szCs w:val="20"/>
                <w:lang w:val="en-GB"/>
              </w:rPr>
              <w:t xml:space="preserve"> quarter*sibship size</w:t>
            </w:r>
          </w:p>
        </w:tc>
        <w:tc>
          <w:tcPr>
            <w:tcW w:w="1587" w:type="dxa"/>
            <w:tcBorders>
              <w:top w:val="nil"/>
              <w:left w:val="nil"/>
              <w:bottom w:val="nil"/>
              <w:right w:val="nil"/>
            </w:tcBorders>
            <w:vAlign w:val="center"/>
          </w:tcPr>
          <w:p w14:paraId="43A7A99F" w14:textId="77777777" w:rsidR="009B57E2" w:rsidRPr="00732886" w:rsidRDefault="009B57E2" w:rsidP="00B64335">
            <w:pPr>
              <w:spacing w:after="0" w:line="240" w:lineRule="auto"/>
              <w:jc w:val="center"/>
              <w:rPr>
                <w:sz w:val="20"/>
                <w:szCs w:val="20"/>
                <w:lang w:val="en-GB"/>
              </w:rPr>
            </w:pPr>
            <w:r>
              <w:rPr>
                <w:sz w:val="20"/>
                <w:szCs w:val="20"/>
                <w:lang w:val="en-GB"/>
              </w:rPr>
              <w:t>0.278</w:t>
            </w:r>
          </w:p>
          <w:p w14:paraId="1222FF0C" w14:textId="77777777" w:rsidR="009B57E2" w:rsidRPr="00732886" w:rsidRDefault="009B57E2" w:rsidP="00B64335">
            <w:pPr>
              <w:spacing w:after="0" w:line="240" w:lineRule="auto"/>
              <w:jc w:val="center"/>
              <w:rPr>
                <w:sz w:val="20"/>
                <w:szCs w:val="20"/>
                <w:lang w:val="en-GB"/>
              </w:rPr>
            </w:pPr>
            <w:r>
              <w:rPr>
                <w:sz w:val="20"/>
                <w:szCs w:val="20"/>
                <w:lang w:val="en-GB"/>
              </w:rPr>
              <w:t>(0.591</w:t>
            </w:r>
            <w:r w:rsidRPr="00732886">
              <w:rPr>
                <w:sz w:val="20"/>
                <w:szCs w:val="20"/>
                <w:lang w:val="en-GB"/>
              </w:rPr>
              <w:t>)</w:t>
            </w:r>
          </w:p>
        </w:tc>
        <w:tc>
          <w:tcPr>
            <w:tcW w:w="1587" w:type="dxa"/>
            <w:tcBorders>
              <w:top w:val="nil"/>
              <w:left w:val="nil"/>
              <w:bottom w:val="nil"/>
              <w:right w:val="nil"/>
            </w:tcBorders>
            <w:vAlign w:val="center"/>
          </w:tcPr>
          <w:p w14:paraId="639F315F" w14:textId="77777777" w:rsidR="009B57E2" w:rsidRPr="00732886" w:rsidRDefault="009B57E2" w:rsidP="00B64335">
            <w:pPr>
              <w:spacing w:after="0" w:line="240" w:lineRule="auto"/>
              <w:jc w:val="center"/>
              <w:rPr>
                <w:sz w:val="20"/>
                <w:szCs w:val="20"/>
                <w:lang w:val="en-GB"/>
              </w:rPr>
            </w:pPr>
            <w:r>
              <w:rPr>
                <w:sz w:val="20"/>
                <w:szCs w:val="20"/>
                <w:lang w:val="en-GB"/>
              </w:rPr>
              <w:t>-1.518</w:t>
            </w:r>
          </w:p>
          <w:p w14:paraId="6D35E453" w14:textId="77777777" w:rsidR="009B57E2" w:rsidRPr="00732886" w:rsidRDefault="009B57E2" w:rsidP="00B64335">
            <w:pPr>
              <w:spacing w:after="0" w:line="240" w:lineRule="auto"/>
              <w:jc w:val="center"/>
              <w:rPr>
                <w:sz w:val="20"/>
                <w:szCs w:val="20"/>
                <w:lang w:val="en-GB"/>
              </w:rPr>
            </w:pPr>
            <w:r>
              <w:rPr>
                <w:sz w:val="20"/>
                <w:szCs w:val="20"/>
                <w:lang w:val="en-GB"/>
              </w:rPr>
              <w:t>(0.590</w:t>
            </w:r>
            <w:r w:rsidRPr="00732886">
              <w:rPr>
                <w:sz w:val="20"/>
                <w:szCs w:val="20"/>
                <w:lang w:val="en-GB"/>
              </w:rPr>
              <w:t>)</w:t>
            </w:r>
          </w:p>
        </w:tc>
        <w:tc>
          <w:tcPr>
            <w:tcW w:w="1587" w:type="dxa"/>
            <w:tcBorders>
              <w:top w:val="nil"/>
              <w:left w:val="nil"/>
              <w:bottom w:val="nil"/>
            </w:tcBorders>
            <w:vAlign w:val="center"/>
          </w:tcPr>
          <w:p w14:paraId="478523B0" w14:textId="77777777" w:rsidR="009B57E2" w:rsidRPr="00732886" w:rsidRDefault="009B57E2" w:rsidP="00B64335">
            <w:pPr>
              <w:spacing w:after="0" w:line="240" w:lineRule="auto"/>
              <w:jc w:val="center"/>
              <w:rPr>
                <w:sz w:val="20"/>
                <w:szCs w:val="20"/>
                <w:lang w:val="en-GB"/>
              </w:rPr>
            </w:pPr>
            <w:r>
              <w:rPr>
                <w:sz w:val="20"/>
                <w:szCs w:val="20"/>
                <w:lang w:val="en-GB"/>
              </w:rPr>
              <w:t>-1.355</w:t>
            </w:r>
          </w:p>
          <w:p w14:paraId="59B6E131" w14:textId="77777777" w:rsidR="009B57E2" w:rsidRPr="00732886" w:rsidRDefault="009B57E2" w:rsidP="00B64335">
            <w:pPr>
              <w:spacing w:after="0" w:line="240" w:lineRule="auto"/>
              <w:jc w:val="center"/>
              <w:rPr>
                <w:sz w:val="20"/>
                <w:szCs w:val="20"/>
                <w:lang w:val="en-GB"/>
              </w:rPr>
            </w:pPr>
            <w:r>
              <w:rPr>
                <w:sz w:val="20"/>
                <w:szCs w:val="20"/>
                <w:lang w:val="en-GB"/>
              </w:rPr>
              <w:t>(0.515</w:t>
            </w:r>
            <w:r w:rsidRPr="00732886">
              <w:rPr>
                <w:sz w:val="20"/>
                <w:szCs w:val="20"/>
                <w:lang w:val="en-GB"/>
              </w:rPr>
              <w:t>)</w:t>
            </w:r>
          </w:p>
        </w:tc>
      </w:tr>
      <w:tr w:rsidR="009B57E2" w:rsidRPr="00732886" w14:paraId="359EEB09" w14:textId="77777777" w:rsidTr="00B64335">
        <w:trPr>
          <w:trHeight w:val="510"/>
        </w:trPr>
        <w:tc>
          <w:tcPr>
            <w:tcW w:w="4649" w:type="dxa"/>
            <w:tcBorders>
              <w:top w:val="nil"/>
              <w:bottom w:val="nil"/>
              <w:right w:val="nil"/>
            </w:tcBorders>
            <w:vAlign w:val="center"/>
          </w:tcPr>
          <w:p w14:paraId="447D7ADD" w14:textId="77777777" w:rsidR="009B57E2" w:rsidRPr="00732886" w:rsidRDefault="009B57E2" w:rsidP="00B64335">
            <w:pPr>
              <w:spacing w:after="0" w:line="240" w:lineRule="auto"/>
              <w:ind w:left="170"/>
              <w:rPr>
                <w:sz w:val="20"/>
                <w:szCs w:val="20"/>
                <w:lang w:val="en-GB"/>
              </w:rPr>
            </w:pPr>
            <w:r w:rsidRPr="00732886">
              <w:rPr>
                <w:sz w:val="20"/>
                <w:szCs w:val="20"/>
                <w:lang w:val="en-GB"/>
              </w:rPr>
              <w:t>HDI 2</w:t>
            </w:r>
            <w:r w:rsidRPr="00732886">
              <w:rPr>
                <w:sz w:val="20"/>
                <w:szCs w:val="20"/>
                <w:vertAlign w:val="superscript"/>
                <w:lang w:val="en-GB"/>
              </w:rPr>
              <w:t>nd</w:t>
            </w:r>
            <w:r w:rsidRPr="00732886">
              <w:rPr>
                <w:sz w:val="20"/>
                <w:szCs w:val="20"/>
                <w:lang w:val="en-GB"/>
              </w:rPr>
              <w:t xml:space="preserve"> quartile*sibship size*co-residence</w:t>
            </w:r>
          </w:p>
        </w:tc>
        <w:tc>
          <w:tcPr>
            <w:tcW w:w="1587" w:type="dxa"/>
            <w:tcBorders>
              <w:top w:val="nil"/>
              <w:left w:val="nil"/>
              <w:bottom w:val="nil"/>
              <w:right w:val="nil"/>
            </w:tcBorders>
            <w:vAlign w:val="center"/>
          </w:tcPr>
          <w:p w14:paraId="1CDF3D50" w14:textId="77777777" w:rsidR="009B57E2" w:rsidRPr="00732886" w:rsidRDefault="009B57E2" w:rsidP="00B64335">
            <w:pPr>
              <w:spacing w:after="0" w:line="240" w:lineRule="auto"/>
              <w:jc w:val="center"/>
              <w:rPr>
                <w:sz w:val="20"/>
                <w:szCs w:val="20"/>
                <w:lang w:val="en-GB"/>
              </w:rPr>
            </w:pPr>
            <w:r>
              <w:rPr>
                <w:sz w:val="20"/>
                <w:szCs w:val="20"/>
                <w:lang w:val="en-GB"/>
              </w:rPr>
              <w:t>-2.057</w:t>
            </w:r>
          </w:p>
          <w:p w14:paraId="3B3FF56A" w14:textId="77777777" w:rsidR="009B57E2" w:rsidRPr="00732886" w:rsidRDefault="009B57E2" w:rsidP="00B64335">
            <w:pPr>
              <w:spacing w:after="0" w:line="240" w:lineRule="auto"/>
              <w:jc w:val="center"/>
              <w:rPr>
                <w:sz w:val="20"/>
                <w:szCs w:val="20"/>
                <w:lang w:val="en-GB"/>
              </w:rPr>
            </w:pPr>
            <w:r>
              <w:rPr>
                <w:sz w:val="20"/>
                <w:szCs w:val="20"/>
                <w:lang w:val="en-GB"/>
              </w:rPr>
              <w:t>(0.967</w:t>
            </w:r>
            <w:r w:rsidRPr="00732886">
              <w:rPr>
                <w:sz w:val="20"/>
                <w:szCs w:val="20"/>
                <w:lang w:val="en-GB"/>
              </w:rPr>
              <w:t>)</w:t>
            </w:r>
          </w:p>
        </w:tc>
        <w:tc>
          <w:tcPr>
            <w:tcW w:w="1587" w:type="dxa"/>
            <w:tcBorders>
              <w:top w:val="nil"/>
              <w:left w:val="nil"/>
              <w:bottom w:val="nil"/>
              <w:right w:val="nil"/>
            </w:tcBorders>
            <w:vAlign w:val="center"/>
          </w:tcPr>
          <w:p w14:paraId="1FB6A4B3" w14:textId="77777777" w:rsidR="009B57E2" w:rsidRPr="00732886" w:rsidRDefault="009B57E2" w:rsidP="00B64335">
            <w:pPr>
              <w:spacing w:after="0" w:line="240" w:lineRule="auto"/>
              <w:jc w:val="center"/>
              <w:rPr>
                <w:sz w:val="20"/>
                <w:szCs w:val="20"/>
                <w:lang w:val="en-GB"/>
              </w:rPr>
            </w:pPr>
            <w:r>
              <w:rPr>
                <w:sz w:val="20"/>
                <w:szCs w:val="20"/>
                <w:lang w:val="en-GB"/>
              </w:rPr>
              <w:t>-2.338</w:t>
            </w:r>
          </w:p>
          <w:p w14:paraId="3CD91B8D" w14:textId="77777777" w:rsidR="009B57E2" w:rsidRPr="00732886" w:rsidRDefault="009B57E2" w:rsidP="00B64335">
            <w:pPr>
              <w:spacing w:after="0" w:line="240" w:lineRule="auto"/>
              <w:jc w:val="center"/>
              <w:rPr>
                <w:sz w:val="20"/>
                <w:szCs w:val="20"/>
                <w:lang w:val="en-GB"/>
              </w:rPr>
            </w:pPr>
            <w:r>
              <w:rPr>
                <w:sz w:val="20"/>
                <w:szCs w:val="20"/>
                <w:lang w:val="en-GB"/>
              </w:rPr>
              <w:t>(0.965</w:t>
            </w:r>
            <w:r w:rsidRPr="00732886">
              <w:rPr>
                <w:sz w:val="20"/>
                <w:szCs w:val="20"/>
                <w:lang w:val="en-GB"/>
              </w:rPr>
              <w:t>)</w:t>
            </w:r>
          </w:p>
        </w:tc>
        <w:tc>
          <w:tcPr>
            <w:tcW w:w="1587" w:type="dxa"/>
            <w:tcBorders>
              <w:top w:val="nil"/>
              <w:left w:val="nil"/>
              <w:bottom w:val="nil"/>
            </w:tcBorders>
            <w:vAlign w:val="center"/>
          </w:tcPr>
          <w:p w14:paraId="7002D6B9" w14:textId="77777777" w:rsidR="009B57E2" w:rsidRPr="00732886" w:rsidRDefault="009B57E2" w:rsidP="00B64335">
            <w:pPr>
              <w:spacing w:after="0" w:line="240" w:lineRule="auto"/>
              <w:jc w:val="center"/>
              <w:rPr>
                <w:sz w:val="20"/>
                <w:szCs w:val="20"/>
                <w:lang w:val="en-GB"/>
              </w:rPr>
            </w:pPr>
            <w:r>
              <w:rPr>
                <w:sz w:val="20"/>
                <w:szCs w:val="20"/>
                <w:lang w:val="en-GB"/>
              </w:rPr>
              <w:t>-2.357</w:t>
            </w:r>
          </w:p>
          <w:p w14:paraId="37F463A1" w14:textId="77777777" w:rsidR="009B57E2" w:rsidRPr="00732886" w:rsidRDefault="009B57E2" w:rsidP="00B64335">
            <w:pPr>
              <w:spacing w:after="0" w:line="240" w:lineRule="auto"/>
              <w:jc w:val="center"/>
              <w:rPr>
                <w:sz w:val="20"/>
                <w:szCs w:val="20"/>
                <w:lang w:val="en-GB"/>
              </w:rPr>
            </w:pPr>
            <w:r>
              <w:rPr>
                <w:sz w:val="20"/>
                <w:szCs w:val="20"/>
                <w:lang w:val="en-GB"/>
              </w:rPr>
              <w:t>(0.958</w:t>
            </w:r>
            <w:r w:rsidRPr="00732886">
              <w:rPr>
                <w:sz w:val="20"/>
                <w:szCs w:val="20"/>
                <w:lang w:val="en-GB"/>
              </w:rPr>
              <w:t>)</w:t>
            </w:r>
          </w:p>
        </w:tc>
      </w:tr>
      <w:tr w:rsidR="009B57E2" w:rsidRPr="00732886" w14:paraId="5658033C" w14:textId="77777777" w:rsidTr="00B64335">
        <w:trPr>
          <w:trHeight w:val="510"/>
        </w:trPr>
        <w:tc>
          <w:tcPr>
            <w:tcW w:w="4649" w:type="dxa"/>
            <w:tcBorders>
              <w:top w:val="nil"/>
              <w:bottom w:val="nil"/>
              <w:right w:val="nil"/>
            </w:tcBorders>
            <w:vAlign w:val="center"/>
          </w:tcPr>
          <w:p w14:paraId="2CAB800D" w14:textId="77777777" w:rsidR="009B57E2" w:rsidRPr="00732886" w:rsidRDefault="009B57E2" w:rsidP="00B64335">
            <w:pPr>
              <w:spacing w:after="0" w:line="240" w:lineRule="auto"/>
              <w:ind w:left="170"/>
              <w:rPr>
                <w:sz w:val="20"/>
                <w:szCs w:val="20"/>
                <w:lang w:val="en-GB"/>
              </w:rPr>
            </w:pPr>
            <w:r w:rsidRPr="00732886">
              <w:rPr>
                <w:sz w:val="20"/>
                <w:szCs w:val="20"/>
                <w:lang w:val="en-GB"/>
              </w:rPr>
              <w:t>HDI 3</w:t>
            </w:r>
            <w:r w:rsidRPr="00732886">
              <w:rPr>
                <w:sz w:val="20"/>
                <w:szCs w:val="20"/>
                <w:vertAlign w:val="superscript"/>
                <w:lang w:val="en-GB"/>
              </w:rPr>
              <w:t>rd</w:t>
            </w:r>
            <w:r w:rsidRPr="00732886">
              <w:rPr>
                <w:sz w:val="20"/>
                <w:szCs w:val="20"/>
                <w:lang w:val="en-GB"/>
              </w:rPr>
              <w:t xml:space="preserve"> quartile*sibship size*co-residence</w:t>
            </w:r>
          </w:p>
        </w:tc>
        <w:tc>
          <w:tcPr>
            <w:tcW w:w="1587" w:type="dxa"/>
            <w:tcBorders>
              <w:top w:val="nil"/>
              <w:left w:val="nil"/>
              <w:bottom w:val="nil"/>
              <w:right w:val="nil"/>
            </w:tcBorders>
            <w:vAlign w:val="center"/>
          </w:tcPr>
          <w:p w14:paraId="4A5C4D03" w14:textId="77777777" w:rsidR="009B57E2" w:rsidRPr="00732886" w:rsidRDefault="009B57E2" w:rsidP="00B64335">
            <w:pPr>
              <w:spacing w:after="0" w:line="240" w:lineRule="auto"/>
              <w:jc w:val="center"/>
              <w:rPr>
                <w:sz w:val="20"/>
                <w:szCs w:val="20"/>
                <w:lang w:val="en-GB"/>
              </w:rPr>
            </w:pPr>
            <w:r>
              <w:rPr>
                <w:sz w:val="20"/>
                <w:szCs w:val="20"/>
                <w:lang w:val="en-GB"/>
              </w:rPr>
              <w:t>-3.137</w:t>
            </w:r>
          </w:p>
          <w:p w14:paraId="52034135" w14:textId="77777777" w:rsidR="009B57E2" w:rsidRPr="00732886" w:rsidRDefault="009B57E2" w:rsidP="00B64335">
            <w:pPr>
              <w:spacing w:after="0" w:line="240" w:lineRule="auto"/>
              <w:jc w:val="center"/>
              <w:rPr>
                <w:sz w:val="20"/>
                <w:szCs w:val="20"/>
                <w:lang w:val="en-GB"/>
              </w:rPr>
            </w:pPr>
            <w:r w:rsidRPr="00732886">
              <w:rPr>
                <w:sz w:val="20"/>
                <w:szCs w:val="20"/>
                <w:lang w:val="en-GB"/>
              </w:rPr>
              <w:t>(1.083)</w:t>
            </w:r>
          </w:p>
        </w:tc>
        <w:tc>
          <w:tcPr>
            <w:tcW w:w="1587" w:type="dxa"/>
            <w:tcBorders>
              <w:top w:val="nil"/>
              <w:left w:val="nil"/>
              <w:bottom w:val="nil"/>
              <w:right w:val="nil"/>
            </w:tcBorders>
            <w:vAlign w:val="center"/>
          </w:tcPr>
          <w:p w14:paraId="61E97547" w14:textId="77777777" w:rsidR="009B57E2" w:rsidRPr="00732886" w:rsidRDefault="009B57E2" w:rsidP="00B64335">
            <w:pPr>
              <w:spacing w:after="0" w:line="240" w:lineRule="auto"/>
              <w:jc w:val="center"/>
              <w:rPr>
                <w:sz w:val="20"/>
                <w:szCs w:val="20"/>
                <w:lang w:val="en-GB"/>
              </w:rPr>
            </w:pPr>
            <w:r>
              <w:rPr>
                <w:sz w:val="20"/>
                <w:szCs w:val="20"/>
                <w:lang w:val="en-GB"/>
              </w:rPr>
              <w:t>-3.079</w:t>
            </w:r>
          </w:p>
          <w:p w14:paraId="54451BA1" w14:textId="77777777" w:rsidR="009B57E2" w:rsidRPr="00732886" w:rsidRDefault="009B57E2" w:rsidP="00B64335">
            <w:pPr>
              <w:spacing w:after="0" w:line="240" w:lineRule="auto"/>
              <w:jc w:val="center"/>
              <w:rPr>
                <w:sz w:val="20"/>
                <w:szCs w:val="20"/>
                <w:lang w:val="en-GB"/>
              </w:rPr>
            </w:pPr>
            <w:r>
              <w:rPr>
                <w:sz w:val="20"/>
                <w:szCs w:val="20"/>
                <w:lang w:val="en-GB"/>
              </w:rPr>
              <w:t>(1.081</w:t>
            </w:r>
            <w:r w:rsidRPr="00732886">
              <w:rPr>
                <w:sz w:val="20"/>
                <w:szCs w:val="20"/>
                <w:lang w:val="en-GB"/>
              </w:rPr>
              <w:t>)</w:t>
            </w:r>
          </w:p>
        </w:tc>
        <w:tc>
          <w:tcPr>
            <w:tcW w:w="1587" w:type="dxa"/>
            <w:tcBorders>
              <w:top w:val="nil"/>
              <w:left w:val="nil"/>
              <w:bottom w:val="nil"/>
            </w:tcBorders>
            <w:vAlign w:val="center"/>
          </w:tcPr>
          <w:p w14:paraId="7A41CC79" w14:textId="77777777" w:rsidR="009B57E2" w:rsidRPr="00732886" w:rsidRDefault="009B57E2" w:rsidP="00B64335">
            <w:pPr>
              <w:spacing w:after="0" w:line="240" w:lineRule="auto"/>
              <w:jc w:val="center"/>
              <w:rPr>
                <w:sz w:val="20"/>
                <w:szCs w:val="20"/>
                <w:lang w:val="en-GB"/>
              </w:rPr>
            </w:pPr>
            <w:r>
              <w:rPr>
                <w:sz w:val="20"/>
                <w:szCs w:val="20"/>
                <w:lang w:val="en-GB"/>
              </w:rPr>
              <w:t>-3.103</w:t>
            </w:r>
          </w:p>
          <w:p w14:paraId="494E27C1" w14:textId="77777777" w:rsidR="009B57E2" w:rsidRPr="00732886" w:rsidRDefault="009B57E2" w:rsidP="00B64335">
            <w:pPr>
              <w:spacing w:after="0" w:line="240" w:lineRule="auto"/>
              <w:jc w:val="center"/>
              <w:rPr>
                <w:sz w:val="20"/>
                <w:szCs w:val="20"/>
                <w:lang w:val="en-GB"/>
              </w:rPr>
            </w:pPr>
            <w:r>
              <w:rPr>
                <w:sz w:val="20"/>
                <w:szCs w:val="20"/>
                <w:lang w:val="en-GB"/>
              </w:rPr>
              <w:t>(1.084</w:t>
            </w:r>
            <w:r w:rsidRPr="00732886">
              <w:rPr>
                <w:sz w:val="20"/>
                <w:szCs w:val="20"/>
                <w:lang w:val="en-GB"/>
              </w:rPr>
              <w:t>)</w:t>
            </w:r>
          </w:p>
        </w:tc>
      </w:tr>
      <w:tr w:rsidR="009B57E2" w:rsidRPr="00732886" w14:paraId="7806348B" w14:textId="77777777" w:rsidTr="00B64335">
        <w:trPr>
          <w:trHeight w:val="510"/>
        </w:trPr>
        <w:tc>
          <w:tcPr>
            <w:tcW w:w="4649" w:type="dxa"/>
            <w:tcBorders>
              <w:top w:val="nil"/>
              <w:bottom w:val="nil"/>
              <w:right w:val="nil"/>
            </w:tcBorders>
            <w:vAlign w:val="center"/>
          </w:tcPr>
          <w:p w14:paraId="0980F2C3" w14:textId="77777777" w:rsidR="009B57E2" w:rsidRPr="00732886" w:rsidRDefault="009B57E2" w:rsidP="00B64335">
            <w:pPr>
              <w:spacing w:after="0" w:line="240" w:lineRule="auto"/>
              <w:ind w:left="170"/>
              <w:rPr>
                <w:sz w:val="20"/>
                <w:szCs w:val="20"/>
                <w:lang w:val="en-GB"/>
              </w:rPr>
            </w:pPr>
            <w:r w:rsidRPr="00732886">
              <w:rPr>
                <w:sz w:val="20"/>
                <w:szCs w:val="20"/>
                <w:lang w:val="en-GB"/>
              </w:rPr>
              <w:t>HDI 4</w:t>
            </w:r>
            <w:r w:rsidRPr="00732886">
              <w:rPr>
                <w:sz w:val="20"/>
                <w:szCs w:val="20"/>
                <w:vertAlign w:val="superscript"/>
                <w:lang w:val="en-GB"/>
              </w:rPr>
              <w:t>th</w:t>
            </w:r>
            <w:r w:rsidRPr="00732886">
              <w:rPr>
                <w:sz w:val="20"/>
                <w:szCs w:val="20"/>
                <w:lang w:val="en-GB"/>
              </w:rPr>
              <w:t xml:space="preserve"> quartile*sibship size*co-residence</w:t>
            </w:r>
          </w:p>
        </w:tc>
        <w:tc>
          <w:tcPr>
            <w:tcW w:w="1587" w:type="dxa"/>
            <w:tcBorders>
              <w:top w:val="nil"/>
              <w:left w:val="nil"/>
              <w:bottom w:val="nil"/>
              <w:right w:val="nil"/>
            </w:tcBorders>
            <w:vAlign w:val="center"/>
          </w:tcPr>
          <w:p w14:paraId="32EDCDC6" w14:textId="77777777" w:rsidR="009B57E2" w:rsidRPr="00732886" w:rsidRDefault="009B57E2" w:rsidP="00B64335">
            <w:pPr>
              <w:spacing w:after="0" w:line="240" w:lineRule="auto"/>
              <w:jc w:val="center"/>
              <w:rPr>
                <w:sz w:val="20"/>
                <w:szCs w:val="20"/>
                <w:lang w:val="en-GB"/>
              </w:rPr>
            </w:pPr>
            <w:r>
              <w:rPr>
                <w:sz w:val="20"/>
                <w:szCs w:val="20"/>
                <w:lang w:val="en-GB"/>
              </w:rPr>
              <w:t>-3.037</w:t>
            </w:r>
          </w:p>
          <w:p w14:paraId="67FC01D7" w14:textId="77777777" w:rsidR="009B57E2" w:rsidRPr="00732886" w:rsidRDefault="009B57E2" w:rsidP="00B64335">
            <w:pPr>
              <w:spacing w:after="0" w:line="240" w:lineRule="auto"/>
              <w:jc w:val="center"/>
              <w:rPr>
                <w:sz w:val="20"/>
                <w:szCs w:val="20"/>
                <w:lang w:val="en-GB"/>
              </w:rPr>
            </w:pPr>
            <w:r>
              <w:rPr>
                <w:sz w:val="20"/>
                <w:szCs w:val="20"/>
                <w:lang w:val="en-GB"/>
              </w:rPr>
              <w:t>(0.994</w:t>
            </w:r>
            <w:r w:rsidRPr="00732886">
              <w:rPr>
                <w:sz w:val="20"/>
                <w:szCs w:val="20"/>
                <w:lang w:val="en-GB"/>
              </w:rPr>
              <w:t>)</w:t>
            </w:r>
          </w:p>
        </w:tc>
        <w:tc>
          <w:tcPr>
            <w:tcW w:w="1587" w:type="dxa"/>
            <w:tcBorders>
              <w:top w:val="nil"/>
              <w:left w:val="nil"/>
              <w:bottom w:val="nil"/>
              <w:right w:val="nil"/>
            </w:tcBorders>
            <w:vAlign w:val="center"/>
          </w:tcPr>
          <w:p w14:paraId="49DF77F0" w14:textId="77777777" w:rsidR="009B57E2" w:rsidRPr="00732886" w:rsidRDefault="009B57E2" w:rsidP="00B64335">
            <w:pPr>
              <w:spacing w:after="0" w:line="240" w:lineRule="auto"/>
              <w:jc w:val="center"/>
              <w:rPr>
                <w:sz w:val="20"/>
                <w:szCs w:val="20"/>
                <w:lang w:val="en-GB"/>
              </w:rPr>
            </w:pPr>
            <w:r>
              <w:rPr>
                <w:sz w:val="20"/>
                <w:szCs w:val="20"/>
                <w:lang w:val="en-GB"/>
              </w:rPr>
              <w:t>-3.149</w:t>
            </w:r>
          </w:p>
          <w:p w14:paraId="1D08FC12" w14:textId="77777777" w:rsidR="009B57E2" w:rsidRPr="00732886" w:rsidRDefault="009B57E2" w:rsidP="00B64335">
            <w:pPr>
              <w:spacing w:after="0" w:line="240" w:lineRule="auto"/>
              <w:jc w:val="center"/>
              <w:rPr>
                <w:sz w:val="20"/>
                <w:szCs w:val="20"/>
                <w:lang w:val="en-GB"/>
              </w:rPr>
            </w:pPr>
            <w:r w:rsidRPr="00732886">
              <w:rPr>
                <w:sz w:val="20"/>
                <w:szCs w:val="20"/>
                <w:lang w:val="en-GB"/>
              </w:rPr>
              <w:t>(0</w:t>
            </w:r>
            <w:r>
              <w:rPr>
                <w:sz w:val="20"/>
                <w:szCs w:val="20"/>
                <w:lang w:val="en-GB"/>
              </w:rPr>
              <w:t>.994</w:t>
            </w:r>
            <w:r w:rsidRPr="00732886">
              <w:rPr>
                <w:sz w:val="20"/>
                <w:szCs w:val="20"/>
                <w:lang w:val="en-GB"/>
              </w:rPr>
              <w:t>)</w:t>
            </w:r>
          </w:p>
        </w:tc>
        <w:tc>
          <w:tcPr>
            <w:tcW w:w="1587" w:type="dxa"/>
            <w:tcBorders>
              <w:top w:val="nil"/>
              <w:left w:val="nil"/>
              <w:bottom w:val="nil"/>
            </w:tcBorders>
            <w:vAlign w:val="center"/>
          </w:tcPr>
          <w:p w14:paraId="7CBAF5C2" w14:textId="77777777" w:rsidR="009B57E2" w:rsidRPr="00732886" w:rsidRDefault="009B57E2" w:rsidP="00B64335">
            <w:pPr>
              <w:spacing w:after="0" w:line="240" w:lineRule="auto"/>
              <w:jc w:val="center"/>
              <w:rPr>
                <w:sz w:val="20"/>
                <w:szCs w:val="20"/>
                <w:lang w:val="en-GB"/>
              </w:rPr>
            </w:pPr>
            <w:r>
              <w:rPr>
                <w:sz w:val="20"/>
                <w:szCs w:val="20"/>
                <w:lang w:val="en-GB"/>
              </w:rPr>
              <w:t>-3.145</w:t>
            </w:r>
          </w:p>
          <w:p w14:paraId="2B730EA9" w14:textId="77777777" w:rsidR="009B57E2" w:rsidRPr="00732886" w:rsidRDefault="009B57E2" w:rsidP="00B64335">
            <w:pPr>
              <w:spacing w:after="0" w:line="240" w:lineRule="auto"/>
              <w:jc w:val="center"/>
              <w:rPr>
                <w:sz w:val="20"/>
                <w:szCs w:val="20"/>
                <w:lang w:val="en-GB"/>
              </w:rPr>
            </w:pPr>
            <w:r>
              <w:rPr>
                <w:sz w:val="20"/>
                <w:szCs w:val="20"/>
                <w:lang w:val="en-GB"/>
              </w:rPr>
              <w:t>(0.992</w:t>
            </w:r>
            <w:r w:rsidRPr="00732886">
              <w:rPr>
                <w:sz w:val="20"/>
                <w:szCs w:val="20"/>
                <w:lang w:val="en-GB"/>
              </w:rPr>
              <w:t>)</w:t>
            </w:r>
          </w:p>
        </w:tc>
      </w:tr>
      <w:tr w:rsidR="009B57E2" w:rsidRPr="00732886" w14:paraId="259B3D18" w14:textId="77777777" w:rsidTr="00B64335">
        <w:trPr>
          <w:trHeight w:val="510"/>
        </w:trPr>
        <w:tc>
          <w:tcPr>
            <w:tcW w:w="4649" w:type="dxa"/>
            <w:tcBorders>
              <w:top w:val="nil"/>
              <w:bottom w:val="single" w:sz="12" w:space="0" w:color="auto"/>
              <w:right w:val="nil"/>
            </w:tcBorders>
            <w:vAlign w:val="center"/>
          </w:tcPr>
          <w:p w14:paraId="211ABFD2" w14:textId="77777777" w:rsidR="009B57E2" w:rsidRPr="00732886" w:rsidRDefault="009B57E2" w:rsidP="00B64335">
            <w:pPr>
              <w:spacing w:after="0" w:line="240" w:lineRule="auto"/>
              <w:rPr>
                <w:b/>
                <w:sz w:val="20"/>
                <w:szCs w:val="20"/>
                <w:lang w:val="en-GB"/>
              </w:rPr>
            </w:pPr>
            <w:r w:rsidRPr="00732886">
              <w:rPr>
                <w:b/>
                <w:sz w:val="20"/>
                <w:szCs w:val="20"/>
                <w:lang w:val="en-GB"/>
              </w:rPr>
              <w:t>Intercept</w:t>
            </w:r>
          </w:p>
        </w:tc>
        <w:tc>
          <w:tcPr>
            <w:tcW w:w="1587" w:type="dxa"/>
            <w:tcBorders>
              <w:top w:val="nil"/>
              <w:left w:val="nil"/>
              <w:bottom w:val="single" w:sz="12" w:space="0" w:color="auto"/>
              <w:right w:val="nil"/>
            </w:tcBorders>
            <w:shd w:val="clear" w:color="auto" w:fill="FFFFFF"/>
            <w:vAlign w:val="center"/>
          </w:tcPr>
          <w:p w14:paraId="1A3D9091" w14:textId="77777777" w:rsidR="009B57E2" w:rsidRPr="00732886" w:rsidRDefault="009B57E2" w:rsidP="00B64335">
            <w:pPr>
              <w:spacing w:after="0" w:line="240" w:lineRule="auto"/>
              <w:jc w:val="center"/>
              <w:rPr>
                <w:sz w:val="20"/>
                <w:szCs w:val="20"/>
                <w:lang w:val="en-GB"/>
              </w:rPr>
            </w:pPr>
            <w:r w:rsidRPr="00732886">
              <w:rPr>
                <w:sz w:val="20"/>
                <w:szCs w:val="20"/>
                <w:lang w:val="en-GB"/>
              </w:rPr>
              <w:t>4</w:t>
            </w:r>
            <w:r>
              <w:rPr>
                <w:sz w:val="20"/>
                <w:szCs w:val="20"/>
                <w:lang w:val="en-GB"/>
              </w:rPr>
              <w:t>19</w:t>
            </w:r>
            <w:r w:rsidRPr="00732886">
              <w:rPr>
                <w:sz w:val="20"/>
                <w:szCs w:val="20"/>
                <w:lang w:val="en-GB"/>
              </w:rPr>
              <w:t>.</w:t>
            </w:r>
            <w:r>
              <w:rPr>
                <w:sz w:val="20"/>
                <w:szCs w:val="20"/>
                <w:lang w:val="en-GB"/>
              </w:rPr>
              <w:t>431</w:t>
            </w:r>
          </w:p>
          <w:p w14:paraId="46DFC3C5" w14:textId="77777777" w:rsidR="009B57E2" w:rsidRPr="00732886" w:rsidRDefault="009B57E2" w:rsidP="00B64335">
            <w:pPr>
              <w:spacing w:after="0" w:line="240" w:lineRule="auto"/>
              <w:jc w:val="center"/>
              <w:rPr>
                <w:sz w:val="20"/>
                <w:szCs w:val="20"/>
                <w:lang w:val="en-GB"/>
              </w:rPr>
            </w:pPr>
            <w:r>
              <w:rPr>
                <w:sz w:val="20"/>
                <w:szCs w:val="20"/>
                <w:lang w:val="en-GB"/>
              </w:rPr>
              <w:t>(12.322</w:t>
            </w:r>
            <w:r w:rsidRPr="00732886">
              <w:rPr>
                <w:sz w:val="20"/>
                <w:szCs w:val="20"/>
                <w:lang w:val="en-GB"/>
              </w:rPr>
              <w:t>)</w:t>
            </w:r>
          </w:p>
        </w:tc>
        <w:tc>
          <w:tcPr>
            <w:tcW w:w="1587" w:type="dxa"/>
            <w:tcBorders>
              <w:top w:val="nil"/>
              <w:left w:val="nil"/>
              <w:bottom w:val="single" w:sz="12" w:space="0" w:color="auto"/>
              <w:right w:val="nil"/>
            </w:tcBorders>
            <w:vAlign w:val="center"/>
          </w:tcPr>
          <w:p w14:paraId="11664625" w14:textId="77777777" w:rsidR="009B57E2" w:rsidRPr="00732886" w:rsidRDefault="009B57E2" w:rsidP="00B64335">
            <w:pPr>
              <w:spacing w:after="0" w:line="240" w:lineRule="auto"/>
              <w:jc w:val="center"/>
              <w:rPr>
                <w:sz w:val="20"/>
                <w:szCs w:val="20"/>
                <w:lang w:val="en-GB"/>
              </w:rPr>
            </w:pPr>
            <w:r>
              <w:rPr>
                <w:sz w:val="20"/>
                <w:szCs w:val="20"/>
                <w:lang w:val="en-GB"/>
              </w:rPr>
              <w:t>426</w:t>
            </w:r>
            <w:r w:rsidRPr="00732886">
              <w:rPr>
                <w:sz w:val="20"/>
                <w:szCs w:val="20"/>
                <w:lang w:val="en-GB"/>
              </w:rPr>
              <w:t>.</w:t>
            </w:r>
            <w:r>
              <w:rPr>
                <w:sz w:val="20"/>
                <w:szCs w:val="20"/>
                <w:lang w:val="en-GB"/>
              </w:rPr>
              <w:t>043</w:t>
            </w:r>
          </w:p>
          <w:p w14:paraId="1B9DAA4C" w14:textId="77777777" w:rsidR="009B57E2" w:rsidRPr="00732886" w:rsidRDefault="009B57E2" w:rsidP="00B64335">
            <w:pPr>
              <w:spacing w:after="0" w:line="240" w:lineRule="auto"/>
              <w:jc w:val="center"/>
              <w:rPr>
                <w:sz w:val="20"/>
                <w:szCs w:val="20"/>
                <w:lang w:val="en-GB"/>
              </w:rPr>
            </w:pPr>
            <w:r>
              <w:rPr>
                <w:sz w:val="20"/>
                <w:szCs w:val="20"/>
                <w:lang w:val="en-GB"/>
              </w:rPr>
              <w:t>(11</w:t>
            </w:r>
            <w:r w:rsidRPr="00732886">
              <w:rPr>
                <w:sz w:val="20"/>
                <w:szCs w:val="20"/>
                <w:lang w:val="en-GB"/>
              </w:rPr>
              <w:t>.</w:t>
            </w:r>
            <w:r>
              <w:rPr>
                <w:sz w:val="20"/>
                <w:szCs w:val="20"/>
                <w:lang w:val="en-GB"/>
              </w:rPr>
              <w:t>939</w:t>
            </w:r>
            <w:r w:rsidRPr="00732886">
              <w:rPr>
                <w:sz w:val="20"/>
                <w:szCs w:val="20"/>
                <w:lang w:val="en-GB"/>
              </w:rPr>
              <w:t>)</w:t>
            </w:r>
          </w:p>
        </w:tc>
        <w:tc>
          <w:tcPr>
            <w:tcW w:w="1587" w:type="dxa"/>
            <w:tcBorders>
              <w:top w:val="nil"/>
              <w:left w:val="nil"/>
              <w:bottom w:val="single" w:sz="12" w:space="0" w:color="auto"/>
            </w:tcBorders>
            <w:vAlign w:val="center"/>
          </w:tcPr>
          <w:p w14:paraId="0A9AE993" w14:textId="77777777" w:rsidR="009B57E2" w:rsidRPr="00732886" w:rsidRDefault="009B57E2" w:rsidP="00B64335">
            <w:pPr>
              <w:spacing w:after="0" w:line="240" w:lineRule="auto"/>
              <w:jc w:val="center"/>
              <w:rPr>
                <w:sz w:val="20"/>
                <w:szCs w:val="20"/>
                <w:lang w:val="en-GB"/>
              </w:rPr>
            </w:pPr>
            <w:r>
              <w:rPr>
                <w:sz w:val="20"/>
                <w:szCs w:val="20"/>
                <w:lang w:val="en-GB"/>
              </w:rPr>
              <w:t>430</w:t>
            </w:r>
            <w:r w:rsidRPr="00732886">
              <w:rPr>
                <w:sz w:val="20"/>
                <w:szCs w:val="20"/>
                <w:lang w:val="en-GB"/>
              </w:rPr>
              <w:t>.</w:t>
            </w:r>
            <w:r>
              <w:rPr>
                <w:sz w:val="20"/>
                <w:szCs w:val="20"/>
                <w:lang w:val="en-GB"/>
              </w:rPr>
              <w:t>791</w:t>
            </w:r>
          </w:p>
          <w:p w14:paraId="73FF5636" w14:textId="77777777" w:rsidR="009B57E2" w:rsidRPr="00732886" w:rsidRDefault="009B57E2" w:rsidP="00B64335">
            <w:pPr>
              <w:spacing w:after="0" w:line="240" w:lineRule="auto"/>
              <w:jc w:val="center"/>
              <w:rPr>
                <w:sz w:val="20"/>
                <w:szCs w:val="20"/>
                <w:lang w:val="en-GB"/>
              </w:rPr>
            </w:pPr>
            <w:r>
              <w:rPr>
                <w:sz w:val="20"/>
                <w:szCs w:val="20"/>
                <w:lang w:val="en-GB"/>
              </w:rPr>
              <w:t>(9.700</w:t>
            </w:r>
            <w:r w:rsidRPr="00732886">
              <w:rPr>
                <w:sz w:val="20"/>
                <w:szCs w:val="20"/>
                <w:lang w:val="en-GB"/>
              </w:rPr>
              <w:t>)</w:t>
            </w:r>
          </w:p>
        </w:tc>
      </w:tr>
    </w:tbl>
    <w:p w14:paraId="4F8395B6" w14:textId="77777777" w:rsidR="009B57E2" w:rsidRDefault="009B57E2" w:rsidP="009B57E2"/>
    <w:p w14:paraId="061358B6" w14:textId="77777777" w:rsidR="009B57E2" w:rsidRPr="00732886" w:rsidRDefault="009B57E2" w:rsidP="009B57E2">
      <w:pPr>
        <w:spacing w:after="0"/>
        <w:rPr>
          <w:sz w:val="28"/>
        </w:rPr>
      </w:pPr>
      <w:r>
        <w:br w:type="page"/>
      </w:r>
      <w:r w:rsidRPr="00732886">
        <w:rPr>
          <w:b/>
          <w:szCs w:val="24"/>
          <w:lang w:val="en-GB"/>
        </w:rPr>
        <w:lastRenderedPageBreak/>
        <w:t>Table 6: Estimated net effects of sibship size from selected three-level hierarchical linear models of reading literacy. Number of level-1 observations (students) = 151377, number of level-2 observations (schools) = 8218, number of level-3 observations (countries) = 40.</w:t>
      </w:r>
    </w:p>
    <w:tbl>
      <w:tblPr>
        <w:tblW w:w="0" w:type="auto"/>
        <w:tblLook w:val="04A0" w:firstRow="1" w:lastRow="0" w:firstColumn="1" w:lastColumn="0" w:noHBand="0" w:noVBand="1"/>
      </w:tblPr>
      <w:tblGrid>
        <w:gridCol w:w="3015"/>
        <w:gridCol w:w="3028"/>
        <w:gridCol w:w="3029"/>
      </w:tblGrid>
      <w:tr w:rsidR="009B57E2" w:rsidRPr="00732886" w14:paraId="1ABB38AA" w14:textId="77777777" w:rsidTr="00B64335">
        <w:trPr>
          <w:trHeight w:val="510"/>
        </w:trPr>
        <w:tc>
          <w:tcPr>
            <w:tcW w:w="3219" w:type="dxa"/>
            <w:tcBorders>
              <w:top w:val="single" w:sz="12" w:space="0" w:color="auto"/>
              <w:bottom w:val="single" w:sz="4" w:space="0" w:color="auto"/>
            </w:tcBorders>
            <w:shd w:val="clear" w:color="auto" w:fill="auto"/>
            <w:vAlign w:val="center"/>
          </w:tcPr>
          <w:p w14:paraId="2F3EFFAE" w14:textId="77777777" w:rsidR="009B57E2" w:rsidRPr="00732886" w:rsidRDefault="009B57E2" w:rsidP="00B64335">
            <w:pPr>
              <w:spacing w:after="0" w:line="240" w:lineRule="auto"/>
              <w:rPr>
                <w:b/>
                <w:sz w:val="20"/>
                <w:szCs w:val="20"/>
                <w:lang w:val="en-US"/>
              </w:rPr>
            </w:pPr>
          </w:p>
        </w:tc>
        <w:tc>
          <w:tcPr>
            <w:tcW w:w="6439" w:type="dxa"/>
            <w:gridSpan w:val="2"/>
            <w:tcBorders>
              <w:top w:val="single" w:sz="12" w:space="0" w:color="auto"/>
              <w:bottom w:val="single" w:sz="4" w:space="0" w:color="auto"/>
            </w:tcBorders>
            <w:shd w:val="clear" w:color="auto" w:fill="auto"/>
            <w:vAlign w:val="center"/>
          </w:tcPr>
          <w:p w14:paraId="1EE38D94" w14:textId="77777777" w:rsidR="009B57E2" w:rsidRPr="00732886" w:rsidRDefault="009B57E2" w:rsidP="00B64335">
            <w:pPr>
              <w:spacing w:after="0" w:line="240" w:lineRule="auto"/>
              <w:jc w:val="center"/>
              <w:rPr>
                <w:sz w:val="20"/>
                <w:szCs w:val="20"/>
                <w:lang w:val="en-US"/>
              </w:rPr>
            </w:pPr>
            <w:r w:rsidRPr="00732886">
              <w:rPr>
                <w:sz w:val="20"/>
                <w:szCs w:val="20"/>
                <w:lang w:val="en-US"/>
              </w:rPr>
              <w:t>Net effect of sibship size</w:t>
            </w:r>
          </w:p>
        </w:tc>
      </w:tr>
      <w:tr w:rsidR="009B57E2" w:rsidRPr="00732886" w14:paraId="74793D20" w14:textId="77777777" w:rsidTr="00B64335">
        <w:trPr>
          <w:trHeight w:val="510"/>
        </w:trPr>
        <w:tc>
          <w:tcPr>
            <w:tcW w:w="3219" w:type="dxa"/>
            <w:tcBorders>
              <w:top w:val="single" w:sz="4" w:space="0" w:color="auto"/>
              <w:bottom w:val="single" w:sz="4" w:space="0" w:color="auto"/>
            </w:tcBorders>
            <w:shd w:val="clear" w:color="auto" w:fill="auto"/>
            <w:vAlign w:val="center"/>
          </w:tcPr>
          <w:p w14:paraId="1B7999B1" w14:textId="77777777" w:rsidR="009B57E2" w:rsidRPr="00732886" w:rsidRDefault="009B57E2" w:rsidP="00B64335">
            <w:pPr>
              <w:spacing w:after="0" w:line="240" w:lineRule="auto"/>
              <w:rPr>
                <w:sz w:val="20"/>
                <w:szCs w:val="20"/>
                <w:lang w:val="en-US"/>
              </w:rPr>
            </w:pPr>
            <w:r w:rsidRPr="00732886">
              <w:rPr>
                <w:b/>
                <w:sz w:val="20"/>
                <w:szCs w:val="20"/>
                <w:lang w:val="en-US"/>
              </w:rPr>
              <w:t>Model 3</w:t>
            </w:r>
          </w:p>
        </w:tc>
        <w:tc>
          <w:tcPr>
            <w:tcW w:w="3219" w:type="dxa"/>
            <w:tcBorders>
              <w:top w:val="single" w:sz="4" w:space="0" w:color="auto"/>
              <w:bottom w:val="single" w:sz="4" w:space="0" w:color="auto"/>
            </w:tcBorders>
            <w:shd w:val="clear" w:color="auto" w:fill="auto"/>
            <w:vAlign w:val="center"/>
          </w:tcPr>
          <w:p w14:paraId="2309DD2A" w14:textId="77777777" w:rsidR="009B57E2" w:rsidRPr="00732886" w:rsidRDefault="009B57E2" w:rsidP="00B64335">
            <w:pPr>
              <w:spacing w:after="0" w:line="240" w:lineRule="auto"/>
              <w:jc w:val="center"/>
              <w:rPr>
                <w:sz w:val="20"/>
                <w:szCs w:val="20"/>
                <w:lang w:val="en-US"/>
              </w:rPr>
            </w:pPr>
            <w:r w:rsidRPr="00732886">
              <w:rPr>
                <w:sz w:val="20"/>
                <w:szCs w:val="20"/>
                <w:lang w:val="en-US"/>
              </w:rPr>
              <w:t>No co-residence</w:t>
            </w:r>
          </w:p>
        </w:tc>
        <w:tc>
          <w:tcPr>
            <w:tcW w:w="3220" w:type="dxa"/>
            <w:tcBorders>
              <w:top w:val="single" w:sz="4" w:space="0" w:color="auto"/>
              <w:bottom w:val="single" w:sz="4" w:space="0" w:color="auto"/>
            </w:tcBorders>
            <w:shd w:val="clear" w:color="auto" w:fill="auto"/>
            <w:vAlign w:val="center"/>
          </w:tcPr>
          <w:p w14:paraId="4C766122" w14:textId="77777777" w:rsidR="009B57E2" w:rsidRPr="00732886" w:rsidRDefault="009B57E2" w:rsidP="00B64335">
            <w:pPr>
              <w:spacing w:after="0" w:line="240" w:lineRule="auto"/>
              <w:jc w:val="center"/>
              <w:rPr>
                <w:sz w:val="20"/>
                <w:szCs w:val="20"/>
                <w:lang w:val="en-US"/>
              </w:rPr>
            </w:pPr>
            <w:r w:rsidRPr="00732886">
              <w:rPr>
                <w:sz w:val="20"/>
                <w:szCs w:val="20"/>
                <w:lang w:val="en-US"/>
              </w:rPr>
              <w:t>Co-residence</w:t>
            </w:r>
          </w:p>
        </w:tc>
      </w:tr>
      <w:tr w:rsidR="009B57E2" w:rsidRPr="00732886" w14:paraId="60BD0755" w14:textId="77777777" w:rsidTr="00B64335">
        <w:trPr>
          <w:trHeight w:val="510"/>
        </w:trPr>
        <w:tc>
          <w:tcPr>
            <w:tcW w:w="3219" w:type="dxa"/>
            <w:tcBorders>
              <w:top w:val="single" w:sz="4" w:space="0" w:color="auto"/>
            </w:tcBorders>
            <w:shd w:val="clear" w:color="auto" w:fill="auto"/>
            <w:vAlign w:val="center"/>
          </w:tcPr>
          <w:p w14:paraId="6A2AE46A" w14:textId="77777777" w:rsidR="009B57E2" w:rsidRPr="00732886" w:rsidRDefault="009B57E2" w:rsidP="00B64335">
            <w:pPr>
              <w:spacing w:after="0" w:line="240" w:lineRule="auto"/>
              <w:rPr>
                <w:sz w:val="20"/>
                <w:szCs w:val="20"/>
                <w:lang w:val="en-US"/>
              </w:rPr>
            </w:pPr>
            <w:r w:rsidRPr="00732886">
              <w:rPr>
                <w:sz w:val="20"/>
                <w:szCs w:val="20"/>
                <w:lang w:val="en-US"/>
              </w:rPr>
              <w:t>1</w:t>
            </w:r>
            <w:r w:rsidRPr="00732886">
              <w:rPr>
                <w:sz w:val="20"/>
                <w:szCs w:val="20"/>
                <w:vertAlign w:val="superscript"/>
                <w:lang w:val="en-US"/>
              </w:rPr>
              <w:t>st</w:t>
            </w:r>
            <w:r w:rsidRPr="00732886">
              <w:rPr>
                <w:sz w:val="20"/>
                <w:szCs w:val="20"/>
                <w:lang w:val="en-US"/>
              </w:rPr>
              <w:t xml:space="preserve"> HDI quartile</w:t>
            </w:r>
          </w:p>
        </w:tc>
        <w:tc>
          <w:tcPr>
            <w:tcW w:w="3219" w:type="dxa"/>
            <w:tcBorders>
              <w:top w:val="single" w:sz="4" w:space="0" w:color="auto"/>
            </w:tcBorders>
            <w:shd w:val="clear" w:color="auto" w:fill="auto"/>
            <w:vAlign w:val="center"/>
          </w:tcPr>
          <w:p w14:paraId="0A89B703" w14:textId="77777777" w:rsidR="009B57E2" w:rsidRPr="00732886" w:rsidRDefault="009B57E2" w:rsidP="00B64335">
            <w:pPr>
              <w:spacing w:after="0" w:line="240" w:lineRule="auto"/>
              <w:jc w:val="center"/>
              <w:rPr>
                <w:color w:val="000000"/>
                <w:sz w:val="20"/>
                <w:szCs w:val="20"/>
              </w:rPr>
            </w:pPr>
            <w:r>
              <w:rPr>
                <w:sz w:val="20"/>
                <w:szCs w:val="20"/>
                <w:lang w:val="en-GB"/>
              </w:rPr>
              <w:t>-3.984</w:t>
            </w:r>
          </w:p>
        </w:tc>
        <w:tc>
          <w:tcPr>
            <w:tcW w:w="3220" w:type="dxa"/>
            <w:tcBorders>
              <w:top w:val="single" w:sz="4" w:space="0" w:color="auto"/>
            </w:tcBorders>
            <w:shd w:val="clear" w:color="auto" w:fill="auto"/>
            <w:vAlign w:val="center"/>
          </w:tcPr>
          <w:p w14:paraId="603EB545" w14:textId="77777777" w:rsidR="009B57E2" w:rsidRPr="00732886" w:rsidRDefault="009B57E2" w:rsidP="00B64335">
            <w:pPr>
              <w:spacing w:after="0" w:line="240" w:lineRule="auto"/>
              <w:jc w:val="center"/>
              <w:rPr>
                <w:color w:val="000000"/>
                <w:sz w:val="20"/>
                <w:szCs w:val="20"/>
              </w:rPr>
            </w:pPr>
            <w:r>
              <w:rPr>
                <w:color w:val="000000"/>
                <w:sz w:val="20"/>
                <w:szCs w:val="20"/>
              </w:rPr>
              <w:t>-4.405</w:t>
            </w:r>
          </w:p>
        </w:tc>
      </w:tr>
      <w:tr w:rsidR="009B57E2" w:rsidRPr="00732886" w14:paraId="789AC0C9" w14:textId="77777777" w:rsidTr="00B64335">
        <w:trPr>
          <w:trHeight w:val="510"/>
        </w:trPr>
        <w:tc>
          <w:tcPr>
            <w:tcW w:w="3219" w:type="dxa"/>
            <w:shd w:val="clear" w:color="auto" w:fill="auto"/>
            <w:vAlign w:val="center"/>
          </w:tcPr>
          <w:p w14:paraId="4ECF3DF7" w14:textId="77777777" w:rsidR="009B57E2" w:rsidRPr="00732886" w:rsidRDefault="009B57E2" w:rsidP="00B64335">
            <w:pPr>
              <w:spacing w:after="0" w:line="240" w:lineRule="auto"/>
              <w:rPr>
                <w:sz w:val="20"/>
                <w:szCs w:val="20"/>
                <w:lang w:val="en-US"/>
              </w:rPr>
            </w:pPr>
            <w:r w:rsidRPr="00732886">
              <w:rPr>
                <w:sz w:val="20"/>
                <w:szCs w:val="20"/>
                <w:lang w:val="en-US"/>
              </w:rPr>
              <w:t>2</w:t>
            </w:r>
            <w:r w:rsidRPr="00732886">
              <w:rPr>
                <w:sz w:val="20"/>
                <w:szCs w:val="20"/>
                <w:vertAlign w:val="superscript"/>
                <w:lang w:val="en-US"/>
              </w:rPr>
              <w:t>nd</w:t>
            </w:r>
            <w:r w:rsidRPr="00732886">
              <w:rPr>
                <w:sz w:val="20"/>
                <w:szCs w:val="20"/>
                <w:lang w:val="en-US"/>
              </w:rPr>
              <w:t xml:space="preserve"> HDI quartile</w:t>
            </w:r>
          </w:p>
        </w:tc>
        <w:tc>
          <w:tcPr>
            <w:tcW w:w="3219" w:type="dxa"/>
            <w:shd w:val="clear" w:color="auto" w:fill="auto"/>
            <w:vAlign w:val="center"/>
          </w:tcPr>
          <w:p w14:paraId="7F8910C2" w14:textId="77777777" w:rsidR="009B57E2" w:rsidRPr="00732886" w:rsidRDefault="009B57E2" w:rsidP="00B64335">
            <w:pPr>
              <w:spacing w:after="0" w:line="240" w:lineRule="auto"/>
              <w:jc w:val="center"/>
              <w:rPr>
                <w:color w:val="000000"/>
                <w:sz w:val="20"/>
                <w:szCs w:val="20"/>
              </w:rPr>
            </w:pPr>
            <w:r>
              <w:rPr>
                <w:color w:val="000000"/>
                <w:sz w:val="20"/>
                <w:szCs w:val="20"/>
              </w:rPr>
              <w:t>-2.795</w:t>
            </w:r>
          </w:p>
        </w:tc>
        <w:tc>
          <w:tcPr>
            <w:tcW w:w="3220" w:type="dxa"/>
            <w:shd w:val="clear" w:color="auto" w:fill="auto"/>
            <w:vAlign w:val="center"/>
          </w:tcPr>
          <w:p w14:paraId="4854CF1F" w14:textId="77777777" w:rsidR="009B57E2" w:rsidRPr="00732886" w:rsidRDefault="009B57E2" w:rsidP="00B64335">
            <w:pPr>
              <w:spacing w:after="0" w:line="240" w:lineRule="auto"/>
              <w:jc w:val="center"/>
              <w:rPr>
                <w:color w:val="000000"/>
                <w:sz w:val="20"/>
                <w:szCs w:val="20"/>
              </w:rPr>
            </w:pPr>
            <w:r>
              <w:rPr>
                <w:color w:val="000000"/>
                <w:sz w:val="20"/>
                <w:szCs w:val="20"/>
              </w:rPr>
              <w:t>-5.273</w:t>
            </w:r>
          </w:p>
        </w:tc>
      </w:tr>
      <w:tr w:rsidR="009B57E2" w:rsidRPr="00732886" w14:paraId="0439E408" w14:textId="77777777" w:rsidTr="00B64335">
        <w:trPr>
          <w:trHeight w:val="510"/>
        </w:trPr>
        <w:tc>
          <w:tcPr>
            <w:tcW w:w="3219" w:type="dxa"/>
            <w:shd w:val="clear" w:color="auto" w:fill="auto"/>
            <w:vAlign w:val="center"/>
          </w:tcPr>
          <w:p w14:paraId="63E2C7C4" w14:textId="77777777" w:rsidR="009B57E2" w:rsidRPr="00732886" w:rsidRDefault="009B57E2" w:rsidP="00B64335">
            <w:pPr>
              <w:spacing w:after="0" w:line="240" w:lineRule="auto"/>
              <w:rPr>
                <w:sz w:val="20"/>
                <w:szCs w:val="20"/>
                <w:lang w:val="en-US"/>
              </w:rPr>
            </w:pPr>
            <w:r w:rsidRPr="00732886">
              <w:rPr>
                <w:sz w:val="20"/>
                <w:szCs w:val="20"/>
                <w:lang w:val="en-US"/>
              </w:rPr>
              <w:t>3</w:t>
            </w:r>
            <w:r w:rsidRPr="00732886">
              <w:rPr>
                <w:sz w:val="20"/>
                <w:szCs w:val="20"/>
                <w:vertAlign w:val="superscript"/>
                <w:lang w:val="en-US"/>
              </w:rPr>
              <w:t>rd</w:t>
            </w:r>
            <w:r w:rsidRPr="00732886">
              <w:rPr>
                <w:sz w:val="20"/>
                <w:szCs w:val="20"/>
                <w:lang w:val="en-US"/>
              </w:rPr>
              <w:t xml:space="preserve"> HDI quartile</w:t>
            </w:r>
          </w:p>
        </w:tc>
        <w:tc>
          <w:tcPr>
            <w:tcW w:w="3219" w:type="dxa"/>
            <w:shd w:val="clear" w:color="auto" w:fill="auto"/>
            <w:vAlign w:val="center"/>
          </w:tcPr>
          <w:p w14:paraId="0E16A803" w14:textId="77777777" w:rsidR="009B57E2" w:rsidRPr="00732886" w:rsidRDefault="009B57E2" w:rsidP="00B64335">
            <w:pPr>
              <w:spacing w:after="0" w:line="240" w:lineRule="auto"/>
              <w:jc w:val="center"/>
              <w:rPr>
                <w:color w:val="000000"/>
                <w:sz w:val="20"/>
                <w:szCs w:val="20"/>
              </w:rPr>
            </w:pPr>
            <w:r>
              <w:rPr>
                <w:color w:val="000000"/>
                <w:sz w:val="20"/>
                <w:szCs w:val="20"/>
              </w:rPr>
              <w:t>-2.888</w:t>
            </w:r>
          </w:p>
        </w:tc>
        <w:tc>
          <w:tcPr>
            <w:tcW w:w="3220" w:type="dxa"/>
            <w:shd w:val="clear" w:color="auto" w:fill="auto"/>
            <w:vAlign w:val="center"/>
          </w:tcPr>
          <w:p w14:paraId="16382D98" w14:textId="77777777" w:rsidR="009B57E2" w:rsidRPr="00732886" w:rsidRDefault="009B57E2" w:rsidP="00B64335">
            <w:pPr>
              <w:spacing w:after="0" w:line="240" w:lineRule="auto"/>
              <w:jc w:val="center"/>
              <w:rPr>
                <w:color w:val="000000"/>
                <w:sz w:val="20"/>
                <w:szCs w:val="20"/>
              </w:rPr>
            </w:pPr>
            <w:r>
              <w:rPr>
                <w:color w:val="000000"/>
                <w:sz w:val="20"/>
                <w:szCs w:val="20"/>
              </w:rPr>
              <w:t>-6.446</w:t>
            </w:r>
          </w:p>
        </w:tc>
      </w:tr>
      <w:tr w:rsidR="009B57E2" w:rsidRPr="00732886" w14:paraId="7BEE2775" w14:textId="77777777" w:rsidTr="00B64335">
        <w:trPr>
          <w:trHeight w:val="510"/>
        </w:trPr>
        <w:tc>
          <w:tcPr>
            <w:tcW w:w="3219" w:type="dxa"/>
            <w:tcBorders>
              <w:bottom w:val="single" w:sz="12" w:space="0" w:color="auto"/>
            </w:tcBorders>
            <w:shd w:val="clear" w:color="auto" w:fill="auto"/>
            <w:vAlign w:val="center"/>
          </w:tcPr>
          <w:p w14:paraId="3BEDC925" w14:textId="77777777" w:rsidR="009B57E2" w:rsidRPr="00732886" w:rsidRDefault="009B57E2" w:rsidP="00B64335">
            <w:pPr>
              <w:spacing w:after="0" w:line="240" w:lineRule="auto"/>
              <w:rPr>
                <w:sz w:val="20"/>
                <w:szCs w:val="20"/>
                <w:lang w:val="en-US"/>
              </w:rPr>
            </w:pPr>
            <w:r w:rsidRPr="00732886">
              <w:rPr>
                <w:sz w:val="20"/>
                <w:szCs w:val="20"/>
                <w:lang w:val="en-US"/>
              </w:rPr>
              <w:t>4</w:t>
            </w:r>
            <w:r w:rsidRPr="00732886">
              <w:rPr>
                <w:sz w:val="20"/>
                <w:szCs w:val="20"/>
                <w:vertAlign w:val="superscript"/>
                <w:lang w:val="en-US"/>
              </w:rPr>
              <w:t>th</w:t>
            </w:r>
            <w:r w:rsidRPr="00732886">
              <w:rPr>
                <w:sz w:val="20"/>
                <w:szCs w:val="20"/>
                <w:lang w:val="en-US"/>
              </w:rPr>
              <w:t xml:space="preserve"> HDI quartile</w:t>
            </w:r>
          </w:p>
        </w:tc>
        <w:tc>
          <w:tcPr>
            <w:tcW w:w="3219" w:type="dxa"/>
            <w:tcBorders>
              <w:bottom w:val="single" w:sz="12" w:space="0" w:color="auto"/>
            </w:tcBorders>
            <w:shd w:val="clear" w:color="auto" w:fill="auto"/>
            <w:vAlign w:val="center"/>
          </w:tcPr>
          <w:p w14:paraId="2C4A59CC" w14:textId="77777777" w:rsidR="009B57E2" w:rsidRPr="00732886" w:rsidRDefault="009B57E2" w:rsidP="00B64335">
            <w:pPr>
              <w:spacing w:after="0" w:line="240" w:lineRule="auto"/>
              <w:jc w:val="center"/>
              <w:rPr>
                <w:color w:val="000000"/>
                <w:sz w:val="20"/>
                <w:szCs w:val="20"/>
              </w:rPr>
            </w:pPr>
            <w:r>
              <w:rPr>
                <w:color w:val="000000"/>
                <w:sz w:val="20"/>
                <w:szCs w:val="20"/>
              </w:rPr>
              <w:t>-3.706</w:t>
            </w:r>
          </w:p>
        </w:tc>
        <w:tc>
          <w:tcPr>
            <w:tcW w:w="3220" w:type="dxa"/>
            <w:tcBorders>
              <w:bottom w:val="single" w:sz="12" w:space="0" w:color="auto"/>
            </w:tcBorders>
            <w:shd w:val="clear" w:color="auto" w:fill="auto"/>
            <w:vAlign w:val="center"/>
          </w:tcPr>
          <w:p w14:paraId="3B63BA48" w14:textId="77777777" w:rsidR="009B57E2" w:rsidRPr="00732886" w:rsidRDefault="009B57E2" w:rsidP="00B64335">
            <w:pPr>
              <w:spacing w:after="0" w:line="240" w:lineRule="auto"/>
              <w:jc w:val="center"/>
              <w:rPr>
                <w:color w:val="000000"/>
                <w:sz w:val="20"/>
                <w:szCs w:val="20"/>
              </w:rPr>
            </w:pPr>
            <w:r>
              <w:rPr>
                <w:color w:val="000000"/>
                <w:sz w:val="20"/>
                <w:szCs w:val="20"/>
              </w:rPr>
              <w:t>-7.164</w:t>
            </w:r>
          </w:p>
        </w:tc>
      </w:tr>
      <w:tr w:rsidR="009B57E2" w:rsidRPr="00732886" w14:paraId="4707A72B" w14:textId="77777777" w:rsidTr="00B64335">
        <w:trPr>
          <w:trHeight w:val="510"/>
        </w:trPr>
        <w:tc>
          <w:tcPr>
            <w:tcW w:w="3219" w:type="dxa"/>
            <w:tcBorders>
              <w:top w:val="single" w:sz="12" w:space="0" w:color="auto"/>
              <w:bottom w:val="single" w:sz="4" w:space="0" w:color="auto"/>
            </w:tcBorders>
            <w:shd w:val="clear" w:color="auto" w:fill="auto"/>
            <w:vAlign w:val="center"/>
          </w:tcPr>
          <w:p w14:paraId="7A6CA265" w14:textId="77777777" w:rsidR="009B57E2" w:rsidRPr="00732886" w:rsidRDefault="009B57E2" w:rsidP="00B64335">
            <w:pPr>
              <w:spacing w:after="0" w:line="240" w:lineRule="auto"/>
              <w:rPr>
                <w:b/>
                <w:sz w:val="20"/>
                <w:szCs w:val="20"/>
                <w:lang w:val="en-US"/>
              </w:rPr>
            </w:pPr>
            <w:r w:rsidRPr="00732886">
              <w:rPr>
                <w:b/>
                <w:sz w:val="20"/>
                <w:szCs w:val="20"/>
                <w:lang w:val="en-US"/>
              </w:rPr>
              <w:t>Model 4</w:t>
            </w:r>
          </w:p>
        </w:tc>
        <w:tc>
          <w:tcPr>
            <w:tcW w:w="3219" w:type="dxa"/>
            <w:tcBorders>
              <w:top w:val="single" w:sz="12" w:space="0" w:color="auto"/>
              <w:bottom w:val="single" w:sz="4" w:space="0" w:color="auto"/>
            </w:tcBorders>
            <w:shd w:val="clear" w:color="auto" w:fill="auto"/>
            <w:vAlign w:val="center"/>
          </w:tcPr>
          <w:p w14:paraId="349EF64D" w14:textId="77777777" w:rsidR="009B57E2" w:rsidRPr="00732886" w:rsidRDefault="009B57E2" w:rsidP="00B64335">
            <w:pPr>
              <w:spacing w:after="0" w:line="240" w:lineRule="auto"/>
              <w:jc w:val="center"/>
              <w:rPr>
                <w:sz w:val="20"/>
                <w:szCs w:val="20"/>
                <w:lang w:val="en-US"/>
              </w:rPr>
            </w:pPr>
            <w:r w:rsidRPr="00732886">
              <w:rPr>
                <w:sz w:val="20"/>
                <w:szCs w:val="20"/>
                <w:lang w:val="en-US"/>
              </w:rPr>
              <w:t>No co-residence</w:t>
            </w:r>
          </w:p>
        </w:tc>
        <w:tc>
          <w:tcPr>
            <w:tcW w:w="3220" w:type="dxa"/>
            <w:tcBorders>
              <w:top w:val="single" w:sz="12" w:space="0" w:color="auto"/>
              <w:bottom w:val="single" w:sz="4" w:space="0" w:color="auto"/>
            </w:tcBorders>
            <w:shd w:val="clear" w:color="auto" w:fill="auto"/>
            <w:vAlign w:val="center"/>
          </w:tcPr>
          <w:p w14:paraId="515BBA51" w14:textId="77777777" w:rsidR="009B57E2" w:rsidRPr="00732886" w:rsidRDefault="009B57E2" w:rsidP="00B64335">
            <w:pPr>
              <w:spacing w:after="0" w:line="240" w:lineRule="auto"/>
              <w:jc w:val="center"/>
              <w:rPr>
                <w:sz w:val="20"/>
                <w:szCs w:val="20"/>
                <w:lang w:val="en-US"/>
              </w:rPr>
            </w:pPr>
            <w:r w:rsidRPr="00732886">
              <w:rPr>
                <w:sz w:val="20"/>
                <w:szCs w:val="20"/>
                <w:lang w:val="en-US"/>
              </w:rPr>
              <w:t>Co-residence</w:t>
            </w:r>
          </w:p>
        </w:tc>
      </w:tr>
      <w:tr w:rsidR="009B57E2" w:rsidRPr="00732886" w14:paraId="5510FFEC" w14:textId="77777777" w:rsidTr="00B64335">
        <w:trPr>
          <w:trHeight w:val="510"/>
        </w:trPr>
        <w:tc>
          <w:tcPr>
            <w:tcW w:w="3219" w:type="dxa"/>
            <w:tcBorders>
              <w:top w:val="single" w:sz="4" w:space="0" w:color="auto"/>
            </w:tcBorders>
            <w:shd w:val="clear" w:color="auto" w:fill="auto"/>
            <w:vAlign w:val="center"/>
          </w:tcPr>
          <w:p w14:paraId="0BA4EC20" w14:textId="77777777" w:rsidR="009B57E2" w:rsidRPr="00732886" w:rsidRDefault="009B57E2" w:rsidP="00B64335">
            <w:pPr>
              <w:spacing w:after="0" w:line="240" w:lineRule="auto"/>
              <w:rPr>
                <w:sz w:val="20"/>
                <w:szCs w:val="20"/>
                <w:lang w:val="en-US"/>
              </w:rPr>
            </w:pPr>
            <w:r w:rsidRPr="00732886">
              <w:rPr>
                <w:sz w:val="20"/>
                <w:szCs w:val="20"/>
                <w:lang w:val="en-US"/>
              </w:rPr>
              <w:t>1</w:t>
            </w:r>
            <w:r w:rsidRPr="00732886">
              <w:rPr>
                <w:sz w:val="20"/>
                <w:szCs w:val="20"/>
                <w:vertAlign w:val="superscript"/>
                <w:lang w:val="en-US"/>
              </w:rPr>
              <w:t>st</w:t>
            </w:r>
            <w:r w:rsidRPr="00732886">
              <w:rPr>
                <w:sz w:val="20"/>
                <w:szCs w:val="20"/>
                <w:lang w:val="en-US"/>
              </w:rPr>
              <w:t xml:space="preserve"> HDI quartile</w:t>
            </w:r>
          </w:p>
        </w:tc>
        <w:tc>
          <w:tcPr>
            <w:tcW w:w="3219" w:type="dxa"/>
            <w:tcBorders>
              <w:top w:val="single" w:sz="4" w:space="0" w:color="auto"/>
            </w:tcBorders>
            <w:shd w:val="clear" w:color="auto" w:fill="auto"/>
            <w:vAlign w:val="center"/>
          </w:tcPr>
          <w:p w14:paraId="51033063" w14:textId="77777777" w:rsidR="009B57E2" w:rsidRPr="00732886" w:rsidRDefault="009B57E2" w:rsidP="00B64335">
            <w:pPr>
              <w:spacing w:after="0" w:line="240" w:lineRule="auto"/>
              <w:jc w:val="center"/>
              <w:rPr>
                <w:color w:val="000000"/>
                <w:sz w:val="20"/>
                <w:szCs w:val="20"/>
              </w:rPr>
            </w:pPr>
            <w:r>
              <w:rPr>
                <w:sz w:val="20"/>
                <w:szCs w:val="20"/>
                <w:lang w:val="en-GB"/>
              </w:rPr>
              <w:t>-2.585</w:t>
            </w:r>
          </w:p>
        </w:tc>
        <w:tc>
          <w:tcPr>
            <w:tcW w:w="3220" w:type="dxa"/>
            <w:tcBorders>
              <w:top w:val="single" w:sz="4" w:space="0" w:color="auto"/>
            </w:tcBorders>
            <w:shd w:val="clear" w:color="auto" w:fill="auto"/>
            <w:vAlign w:val="center"/>
          </w:tcPr>
          <w:p w14:paraId="0264189D" w14:textId="77777777" w:rsidR="009B57E2" w:rsidRPr="00732886" w:rsidRDefault="009B57E2" w:rsidP="00B64335">
            <w:pPr>
              <w:spacing w:after="0" w:line="240" w:lineRule="auto"/>
              <w:jc w:val="center"/>
              <w:rPr>
                <w:color w:val="000000"/>
                <w:sz w:val="20"/>
                <w:szCs w:val="20"/>
              </w:rPr>
            </w:pPr>
            <w:r>
              <w:rPr>
                <w:color w:val="000000"/>
                <w:sz w:val="20"/>
                <w:szCs w:val="20"/>
              </w:rPr>
              <w:t>-2.867</w:t>
            </w:r>
          </w:p>
        </w:tc>
      </w:tr>
      <w:tr w:rsidR="009B57E2" w:rsidRPr="00732886" w14:paraId="1F849422" w14:textId="77777777" w:rsidTr="00B64335">
        <w:trPr>
          <w:trHeight w:val="510"/>
        </w:trPr>
        <w:tc>
          <w:tcPr>
            <w:tcW w:w="3219" w:type="dxa"/>
            <w:shd w:val="clear" w:color="auto" w:fill="auto"/>
            <w:vAlign w:val="center"/>
          </w:tcPr>
          <w:p w14:paraId="0836E61E" w14:textId="77777777" w:rsidR="009B57E2" w:rsidRPr="00732886" w:rsidRDefault="009B57E2" w:rsidP="00B64335">
            <w:pPr>
              <w:spacing w:after="0" w:line="240" w:lineRule="auto"/>
              <w:rPr>
                <w:sz w:val="20"/>
                <w:szCs w:val="20"/>
                <w:lang w:val="en-US"/>
              </w:rPr>
            </w:pPr>
            <w:r w:rsidRPr="00732886">
              <w:rPr>
                <w:sz w:val="20"/>
                <w:szCs w:val="20"/>
                <w:lang w:val="en-US"/>
              </w:rPr>
              <w:t>2</w:t>
            </w:r>
            <w:r w:rsidRPr="00732886">
              <w:rPr>
                <w:sz w:val="20"/>
                <w:szCs w:val="20"/>
                <w:vertAlign w:val="superscript"/>
                <w:lang w:val="en-US"/>
              </w:rPr>
              <w:t>nd</w:t>
            </w:r>
            <w:r w:rsidRPr="00732886">
              <w:rPr>
                <w:sz w:val="20"/>
                <w:szCs w:val="20"/>
                <w:lang w:val="en-US"/>
              </w:rPr>
              <w:t xml:space="preserve"> HDI quartile</w:t>
            </w:r>
          </w:p>
        </w:tc>
        <w:tc>
          <w:tcPr>
            <w:tcW w:w="3219" w:type="dxa"/>
            <w:shd w:val="clear" w:color="auto" w:fill="auto"/>
            <w:vAlign w:val="center"/>
          </w:tcPr>
          <w:p w14:paraId="3D26CE29" w14:textId="77777777" w:rsidR="009B57E2" w:rsidRPr="00732886" w:rsidRDefault="009B57E2" w:rsidP="00B64335">
            <w:pPr>
              <w:spacing w:after="0" w:line="240" w:lineRule="auto"/>
              <w:jc w:val="center"/>
              <w:rPr>
                <w:color w:val="000000"/>
                <w:sz w:val="20"/>
                <w:szCs w:val="20"/>
              </w:rPr>
            </w:pPr>
            <w:r>
              <w:rPr>
                <w:color w:val="000000"/>
                <w:sz w:val="20"/>
                <w:szCs w:val="20"/>
              </w:rPr>
              <w:t>-2.779</w:t>
            </w:r>
          </w:p>
        </w:tc>
        <w:tc>
          <w:tcPr>
            <w:tcW w:w="3220" w:type="dxa"/>
            <w:shd w:val="clear" w:color="auto" w:fill="auto"/>
            <w:vAlign w:val="center"/>
          </w:tcPr>
          <w:p w14:paraId="14BFDCC1" w14:textId="77777777" w:rsidR="009B57E2" w:rsidRPr="00732886" w:rsidRDefault="009B57E2" w:rsidP="00B64335">
            <w:pPr>
              <w:spacing w:after="0" w:line="240" w:lineRule="auto"/>
              <w:jc w:val="center"/>
              <w:rPr>
                <w:color w:val="000000"/>
                <w:sz w:val="20"/>
                <w:szCs w:val="20"/>
              </w:rPr>
            </w:pPr>
            <w:r>
              <w:rPr>
                <w:color w:val="000000"/>
                <w:sz w:val="20"/>
                <w:szCs w:val="20"/>
              </w:rPr>
              <w:t>-5.399</w:t>
            </w:r>
          </w:p>
        </w:tc>
      </w:tr>
      <w:tr w:rsidR="009B57E2" w:rsidRPr="00732886" w14:paraId="09B3EE0B" w14:textId="77777777" w:rsidTr="00B64335">
        <w:trPr>
          <w:trHeight w:val="510"/>
        </w:trPr>
        <w:tc>
          <w:tcPr>
            <w:tcW w:w="3219" w:type="dxa"/>
            <w:shd w:val="clear" w:color="auto" w:fill="auto"/>
            <w:vAlign w:val="center"/>
          </w:tcPr>
          <w:p w14:paraId="3C33A2C9" w14:textId="77777777" w:rsidR="009B57E2" w:rsidRPr="00732886" w:rsidRDefault="009B57E2" w:rsidP="00B64335">
            <w:pPr>
              <w:spacing w:after="0" w:line="240" w:lineRule="auto"/>
              <w:rPr>
                <w:sz w:val="20"/>
                <w:szCs w:val="20"/>
                <w:lang w:val="en-US"/>
              </w:rPr>
            </w:pPr>
            <w:r w:rsidRPr="00732886">
              <w:rPr>
                <w:sz w:val="20"/>
                <w:szCs w:val="20"/>
                <w:lang w:val="en-US"/>
              </w:rPr>
              <w:t>3</w:t>
            </w:r>
            <w:r w:rsidRPr="00732886">
              <w:rPr>
                <w:sz w:val="20"/>
                <w:szCs w:val="20"/>
                <w:vertAlign w:val="superscript"/>
                <w:lang w:val="en-US"/>
              </w:rPr>
              <w:t>rd</w:t>
            </w:r>
            <w:r w:rsidRPr="00732886">
              <w:rPr>
                <w:sz w:val="20"/>
                <w:szCs w:val="20"/>
                <w:lang w:val="en-US"/>
              </w:rPr>
              <w:t xml:space="preserve"> HDI quartile</w:t>
            </w:r>
          </w:p>
        </w:tc>
        <w:tc>
          <w:tcPr>
            <w:tcW w:w="3219" w:type="dxa"/>
            <w:shd w:val="clear" w:color="auto" w:fill="auto"/>
            <w:vAlign w:val="center"/>
          </w:tcPr>
          <w:p w14:paraId="23F8C8F8" w14:textId="77777777" w:rsidR="009B57E2" w:rsidRPr="00732886" w:rsidRDefault="009B57E2" w:rsidP="00B64335">
            <w:pPr>
              <w:spacing w:after="0" w:line="240" w:lineRule="auto"/>
              <w:jc w:val="center"/>
              <w:rPr>
                <w:color w:val="000000"/>
                <w:sz w:val="20"/>
                <w:szCs w:val="20"/>
              </w:rPr>
            </w:pPr>
            <w:r>
              <w:rPr>
                <w:color w:val="000000"/>
                <w:sz w:val="20"/>
                <w:szCs w:val="20"/>
              </w:rPr>
              <w:t>-3.584</w:t>
            </w:r>
          </w:p>
        </w:tc>
        <w:tc>
          <w:tcPr>
            <w:tcW w:w="3220" w:type="dxa"/>
            <w:shd w:val="clear" w:color="auto" w:fill="auto"/>
            <w:vAlign w:val="center"/>
          </w:tcPr>
          <w:p w14:paraId="1A42A4AB" w14:textId="77777777" w:rsidR="009B57E2" w:rsidRPr="00732886" w:rsidRDefault="009B57E2" w:rsidP="00B64335">
            <w:pPr>
              <w:spacing w:after="0" w:line="240" w:lineRule="auto"/>
              <w:jc w:val="center"/>
              <w:rPr>
                <w:color w:val="000000"/>
                <w:sz w:val="20"/>
                <w:szCs w:val="20"/>
              </w:rPr>
            </w:pPr>
            <w:r>
              <w:rPr>
                <w:color w:val="000000"/>
                <w:sz w:val="20"/>
                <w:szCs w:val="20"/>
              </w:rPr>
              <w:t>-6.945</w:t>
            </w:r>
          </w:p>
        </w:tc>
      </w:tr>
      <w:tr w:rsidR="009B57E2" w:rsidRPr="00732886" w14:paraId="400B4B58" w14:textId="77777777" w:rsidTr="00B64335">
        <w:trPr>
          <w:trHeight w:val="510"/>
        </w:trPr>
        <w:tc>
          <w:tcPr>
            <w:tcW w:w="3219" w:type="dxa"/>
            <w:tcBorders>
              <w:bottom w:val="single" w:sz="12" w:space="0" w:color="auto"/>
            </w:tcBorders>
            <w:shd w:val="clear" w:color="auto" w:fill="auto"/>
            <w:vAlign w:val="center"/>
          </w:tcPr>
          <w:p w14:paraId="56BFDF21" w14:textId="77777777" w:rsidR="009B57E2" w:rsidRPr="00732886" w:rsidRDefault="009B57E2" w:rsidP="00B64335">
            <w:pPr>
              <w:spacing w:after="0" w:line="240" w:lineRule="auto"/>
              <w:rPr>
                <w:sz w:val="20"/>
                <w:szCs w:val="20"/>
                <w:lang w:val="en-US"/>
              </w:rPr>
            </w:pPr>
            <w:r w:rsidRPr="00732886">
              <w:rPr>
                <w:sz w:val="20"/>
                <w:szCs w:val="20"/>
                <w:lang w:val="en-US"/>
              </w:rPr>
              <w:t>4</w:t>
            </w:r>
            <w:r w:rsidRPr="00732886">
              <w:rPr>
                <w:sz w:val="20"/>
                <w:szCs w:val="20"/>
                <w:vertAlign w:val="superscript"/>
                <w:lang w:val="en-US"/>
              </w:rPr>
              <w:t>th</w:t>
            </w:r>
            <w:r w:rsidRPr="00732886">
              <w:rPr>
                <w:sz w:val="20"/>
                <w:szCs w:val="20"/>
                <w:lang w:val="en-US"/>
              </w:rPr>
              <w:t xml:space="preserve"> HDI quartile</w:t>
            </w:r>
          </w:p>
        </w:tc>
        <w:tc>
          <w:tcPr>
            <w:tcW w:w="3219" w:type="dxa"/>
            <w:tcBorders>
              <w:bottom w:val="single" w:sz="12" w:space="0" w:color="auto"/>
            </w:tcBorders>
            <w:shd w:val="clear" w:color="auto" w:fill="auto"/>
            <w:vAlign w:val="center"/>
          </w:tcPr>
          <w:p w14:paraId="19DFEB9A" w14:textId="77777777" w:rsidR="009B57E2" w:rsidRPr="00732886" w:rsidRDefault="009B57E2" w:rsidP="00B64335">
            <w:pPr>
              <w:spacing w:after="0" w:line="240" w:lineRule="auto"/>
              <w:jc w:val="center"/>
              <w:rPr>
                <w:color w:val="000000"/>
                <w:sz w:val="20"/>
                <w:szCs w:val="20"/>
              </w:rPr>
            </w:pPr>
            <w:r>
              <w:rPr>
                <w:color w:val="000000"/>
                <w:sz w:val="20"/>
                <w:szCs w:val="20"/>
              </w:rPr>
              <w:t>-4.103</w:t>
            </w:r>
          </w:p>
        </w:tc>
        <w:tc>
          <w:tcPr>
            <w:tcW w:w="3220" w:type="dxa"/>
            <w:tcBorders>
              <w:bottom w:val="single" w:sz="12" w:space="0" w:color="auto"/>
            </w:tcBorders>
            <w:shd w:val="clear" w:color="auto" w:fill="auto"/>
            <w:vAlign w:val="center"/>
          </w:tcPr>
          <w:p w14:paraId="3E5E3B07" w14:textId="77777777" w:rsidR="009B57E2" w:rsidRPr="00732886" w:rsidRDefault="009B57E2" w:rsidP="00B64335">
            <w:pPr>
              <w:spacing w:after="0" w:line="240" w:lineRule="auto"/>
              <w:jc w:val="center"/>
              <w:rPr>
                <w:color w:val="000000"/>
                <w:sz w:val="20"/>
                <w:szCs w:val="20"/>
              </w:rPr>
            </w:pPr>
            <w:r>
              <w:rPr>
                <w:color w:val="000000"/>
                <w:sz w:val="20"/>
                <w:szCs w:val="20"/>
              </w:rPr>
              <w:t>-7.534</w:t>
            </w:r>
          </w:p>
        </w:tc>
      </w:tr>
      <w:tr w:rsidR="009B57E2" w:rsidRPr="00732886" w14:paraId="0DFEB643" w14:textId="77777777" w:rsidTr="00B64335">
        <w:trPr>
          <w:trHeight w:val="510"/>
        </w:trPr>
        <w:tc>
          <w:tcPr>
            <w:tcW w:w="3219" w:type="dxa"/>
            <w:tcBorders>
              <w:top w:val="single" w:sz="12" w:space="0" w:color="auto"/>
              <w:bottom w:val="single" w:sz="4" w:space="0" w:color="auto"/>
            </w:tcBorders>
            <w:shd w:val="clear" w:color="auto" w:fill="auto"/>
            <w:vAlign w:val="center"/>
          </w:tcPr>
          <w:p w14:paraId="0C56339B" w14:textId="77777777" w:rsidR="009B57E2" w:rsidRPr="00732886" w:rsidRDefault="009B57E2" w:rsidP="00B64335">
            <w:pPr>
              <w:spacing w:after="0" w:line="240" w:lineRule="auto"/>
              <w:rPr>
                <w:b/>
                <w:sz w:val="20"/>
                <w:szCs w:val="20"/>
                <w:lang w:val="en-US"/>
              </w:rPr>
            </w:pPr>
            <w:r w:rsidRPr="00732886">
              <w:rPr>
                <w:b/>
                <w:sz w:val="20"/>
                <w:szCs w:val="20"/>
                <w:lang w:val="en-US"/>
              </w:rPr>
              <w:t>Model 5</w:t>
            </w:r>
          </w:p>
        </w:tc>
        <w:tc>
          <w:tcPr>
            <w:tcW w:w="3219" w:type="dxa"/>
            <w:tcBorders>
              <w:top w:val="single" w:sz="12" w:space="0" w:color="auto"/>
              <w:bottom w:val="single" w:sz="4" w:space="0" w:color="auto"/>
            </w:tcBorders>
            <w:shd w:val="clear" w:color="auto" w:fill="auto"/>
            <w:vAlign w:val="center"/>
          </w:tcPr>
          <w:p w14:paraId="62068378" w14:textId="77777777" w:rsidR="009B57E2" w:rsidRPr="00732886" w:rsidRDefault="009B57E2" w:rsidP="00B64335">
            <w:pPr>
              <w:spacing w:after="0" w:line="240" w:lineRule="auto"/>
              <w:jc w:val="center"/>
              <w:rPr>
                <w:sz w:val="20"/>
                <w:szCs w:val="20"/>
                <w:lang w:val="en-US"/>
              </w:rPr>
            </w:pPr>
            <w:r w:rsidRPr="00732886">
              <w:rPr>
                <w:sz w:val="20"/>
                <w:szCs w:val="20"/>
                <w:lang w:val="en-US"/>
              </w:rPr>
              <w:t>No co-residence</w:t>
            </w:r>
          </w:p>
        </w:tc>
        <w:tc>
          <w:tcPr>
            <w:tcW w:w="3220" w:type="dxa"/>
            <w:tcBorders>
              <w:top w:val="single" w:sz="12" w:space="0" w:color="auto"/>
              <w:bottom w:val="single" w:sz="4" w:space="0" w:color="auto"/>
            </w:tcBorders>
            <w:shd w:val="clear" w:color="auto" w:fill="auto"/>
            <w:vAlign w:val="center"/>
          </w:tcPr>
          <w:p w14:paraId="2EEE7B58" w14:textId="77777777" w:rsidR="009B57E2" w:rsidRPr="00732886" w:rsidRDefault="009B57E2" w:rsidP="00B64335">
            <w:pPr>
              <w:spacing w:after="0" w:line="240" w:lineRule="auto"/>
              <w:jc w:val="center"/>
              <w:rPr>
                <w:sz w:val="20"/>
                <w:szCs w:val="20"/>
                <w:lang w:val="en-US"/>
              </w:rPr>
            </w:pPr>
            <w:r w:rsidRPr="00732886">
              <w:rPr>
                <w:sz w:val="20"/>
                <w:szCs w:val="20"/>
                <w:lang w:val="en-US"/>
              </w:rPr>
              <w:t>Co-residence</w:t>
            </w:r>
          </w:p>
        </w:tc>
      </w:tr>
      <w:tr w:rsidR="009B57E2" w:rsidRPr="00732886" w14:paraId="11AABE06" w14:textId="77777777" w:rsidTr="00B64335">
        <w:trPr>
          <w:trHeight w:val="510"/>
        </w:trPr>
        <w:tc>
          <w:tcPr>
            <w:tcW w:w="3219" w:type="dxa"/>
            <w:tcBorders>
              <w:top w:val="single" w:sz="4" w:space="0" w:color="auto"/>
            </w:tcBorders>
            <w:shd w:val="clear" w:color="auto" w:fill="auto"/>
            <w:vAlign w:val="center"/>
          </w:tcPr>
          <w:p w14:paraId="7FA2F344" w14:textId="77777777" w:rsidR="009B57E2" w:rsidRPr="00732886" w:rsidRDefault="009B57E2" w:rsidP="00B64335">
            <w:pPr>
              <w:spacing w:after="0" w:line="240" w:lineRule="auto"/>
              <w:rPr>
                <w:sz w:val="20"/>
                <w:szCs w:val="20"/>
                <w:lang w:val="en-US"/>
              </w:rPr>
            </w:pPr>
            <w:r w:rsidRPr="00732886">
              <w:rPr>
                <w:sz w:val="20"/>
                <w:szCs w:val="20"/>
                <w:lang w:val="en-US"/>
              </w:rPr>
              <w:t>1</w:t>
            </w:r>
            <w:r w:rsidRPr="00732886">
              <w:rPr>
                <w:sz w:val="20"/>
                <w:szCs w:val="20"/>
                <w:vertAlign w:val="superscript"/>
                <w:lang w:val="en-US"/>
              </w:rPr>
              <w:t>st</w:t>
            </w:r>
            <w:r w:rsidRPr="00732886">
              <w:rPr>
                <w:sz w:val="20"/>
                <w:szCs w:val="20"/>
                <w:lang w:val="en-US"/>
              </w:rPr>
              <w:t xml:space="preserve"> HDI quartile</w:t>
            </w:r>
          </w:p>
        </w:tc>
        <w:tc>
          <w:tcPr>
            <w:tcW w:w="3219" w:type="dxa"/>
            <w:tcBorders>
              <w:top w:val="single" w:sz="4" w:space="0" w:color="auto"/>
            </w:tcBorders>
            <w:shd w:val="clear" w:color="auto" w:fill="auto"/>
            <w:vAlign w:val="center"/>
          </w:tcPr>
          <w:p w14:paraId="295B6A1F" w14:textId="77777777" w:rsidR="009B57E2" w:rsidRPr="00CE6734" w:rsidRDefault="009B57E2" w:rsidP="00B64335">
            <w:pPr>
              <w:spacing w:after="0" w:line="240" w:lineRule="auto"/>
              <w:jc w:val="center"/>
              <w:rPr>
                <w:sz w:val="20"/>
                <w:szCs w:val="20"/>
                <w:lang w:val="en-GB"/>
              </w:rPr>
            </w:pPr>
            <w:r>
              <w:rPr>
                <w:sz w:val="20"/>
                <w:szCs w:val="20"/>
                <w:lang w:val="en-GB"/>
              </w:rPr>
              <w:t>-2.668</w:t>
            </w:r>
          </w:p>
        </w:tc>
        <w:tc>
          <w:tcPr>
            <w:tcW w:w="3220" w:type="dxa"/>
            <w:tcBorders>
              <w:top w:val="single" w:sz="4" w:space="0" w:color="auto"/>
            </w:tcBorders>
            <w:shd w:val="clear" w:color="auto" w:fill="auto"/>
            <w:vAlign w:val="center"/>
          </w:tcPr>
          <w:p w14:paraId="3302E8D3" w14:textId="77777777" w:rsidR="009B57E2" w:rsidRPr="00732886" w:rsidRDefault="009B57E2" w:rsidP="00B64335">
            <w:pPr>
              <w:spacing w:after="0" w:line="240" w:lineRule="auto"/>
              <w:jc w:val="center"/>
              <w:rPr>
                <w:color w:val="000000"/>
                <w:sz w:val="20"/>
                <w:szCs w:val="20"/>
              </w:rPr>
            </w:pPr>
            <w:r>
              <w:rPr>
                <w:color w:val="000000"/>
                <w:sz w:val="20"/>
                <w:szCs w:val="20"/>
              </w:rPr>
              <w:t>-2.955</w:t>
            </w:r>
          </w:p>
        </w:tc>
      </w:tr>
      <w:tr w:rsidR="009B57E2" w:rsidRPr="00732886" w14:paraId="04326464" w14:textId="77777777" w:rsidTr="00B64335">
        <w:trPr>
          <w:trHeight w:val="510"/>
        </w:trPr>
        <w:tc>
          <w:tcPr>
            <w:tcW w:w="3219" w:type="dxa"/>
            <w:shd w:val="clear" w:color="auto" w:fill="auto"/>
            <w:vAlign w:val="center"/>
          </w:tcPr>
          <w:p w14:paraId="5E4897B6" w14:textId="77777777" w:rsidR="009B57E2" w:rsidRPr="00732886" w:rsidRDefault="009B57E2" w:rsidP="00B64335">
            <w:pPr>
              <w:spacing w:after="0" w:line="240" w:lineRule="auto"/>
              <w:rPr>
                <w:sz w:val="20"/>
                <w:szCs w:val="20"/>
                <w:lang w:val="en-US"/>
              </w:rPr>
            </w:pPr>
            <w:r w:rsidRPr="00732886">
              <w:rPr>
                <w:sz w:val="20"/>
                <w:szCs w:val="20"/>
                <w:lang w:val="en-US"/>
              </w:rPr>
              <w:t>2</w:t>
            </w:r>
            <w:r w:rsidRPr="00732886">
              <w:rPr>
                <w:sz w:val="20"/>
                <w:szCs w:val="20"/>
                <w:vertAlign w:val="superscript"/>
                <w:lang w:val="en-US"/>
              </w:rPr>
              <w:t>nd</w:t>
            </w:r>
            <w:r w:rsidRPr="00732886">
              <w:rPr>
                <w:sz w:val="20"/>
                <w:szCs w:val="20"/>
                <w:lang w:val="en-US"/>
              </w:rPr>
              <w:t xml:space="preserve"> HDI quartile</w:t>
            </w:r>
          </w:p>
        </w:tc>
        <w:tc>
          <w:tcPr>
            <w:tcW w:w="3219" w:type="dxa"/>
            <w:shd w:val="clear" w:color="auto" w:fill="auto"/>
            <w:vAlign w:val="center"/>
          </w:tcPr>
          <w:p w14:paraId="21F10F6A" w14:textId="77777777" w:rsidR="009B57E2" w:rsidRPr="00732886" w:rsidRDefault="009B57E2" w:rsidP="00B64335">
            <w:pPr>
              <w:spacing w:after="0" w:line="240" w:lineRule="auto"/>
              <w:jc w:val="center"/>
              <w:rPr>
                <w:color w:val="000000"/>
                <w:sz w:val="20"/>
                <w:szCs w:val="20"/>
              </w:rPr>
            </w:pPr>
            <w:r>
              <w:rPr>
                <w:color w:val="000000"/>
                <w:sz w:val="20"/>
                <w:szCs w:val="20"/>
              </w:rPr>
              <w:t>-2.840</w:t>
            </w:r>
          </w:p>
        </w:tc>
        <w:tc>
          <w:tcPr>
            <w:tcW w:w="3220" w:type="dxa"/>
            <w:shd w:val="clear" w:color="auto" w:fill="auto"/>
            <w:vAlign w:val="center"/>
          </w:tcPr>
          <w:p w14:paraId="37E9175F" w14:textId="77777777" w:rsidR="009B57E2" w:rsidRPr="00732886" w:rsidRDefault="009B57E2" w:rsidP="00B64335">
            <w:pPr>
              <w:spacing w:after="0" w:line="240" w:lineRule="auto"/>
              <w:jc w:val="center"/>
              <w:rPr>
                <w:color w:val="000000"/>
                <w:sz w:val="20"/>
                <w:szCs w:val="20"/>
              </w:rPr>
            </w:pPr>
            <w:r>
              <w:rPr>
                <w:color w:val="000000"/>
                <w:sz w:val="20"/>
                <w:szCs w:val="20"/>
              </w:rPr>
              <w:t>-5.484</w:t>
            </w:r>
          </w:p>
        </w:tc>
      </w:tr>
      <w:tr w:rsidR="009B57E2" w:rsidRPr="00732886" w14:paraId="26AC8457" w14:textId="77777777" w:rsidTr="00B64335">
        <w:trPr>
          <w:trHeight w:val="510"/>
        </w:trPr>
        <w:tc>
          <w:tcPr>
            <w:tcW w:w="3219" w:type="dxa"/>
            <w:shd w:val="clear" w:color="auto" w:fill="auto"/>
            <w:vAlign w:val="center"/>
          </w:tcPr>
          <w:p w14:paraId="1C4211BE" w14:textId="77777777" w:rsidR="009B57E2" w:rsidRPr="00732886" w:rsidRDefault="009B57E2" w:rsidP="00B64335">
            <w:pPr>
              <w:spacing w:after="0" w:line="240" w:lineRule="auto"/>
              <w:rPr>
                <w:sz w:val="20"/>
                <w:szCs w:val="20"/>
                <w:lang w:val="en-US"/>
              </w:rPr>
            </w:pPr>
            <w:r w:rsidRPr="00732886">
              <w:rPr>
                <w:sz w:val="20"/>
                <w:szCs w:val="20"/>
                <w:lang w:val="en-US"/>
              </w:rPr>
              <w:t>3</w:t>
            </w:r>
            <w:r w:rsidRPr="00732886">
              <w:rPr>
                <w:sz w:val="20"/>
                <w:szCs w:val="20"/>
                <w:vertAlign w:val="superscript"/>
                <w:lang w:val="en-US"/>
              </w:rPr>
              <w:t>rd</w:t>
            </w:r>
            <w:r w:rsidRPr="00732886">
              <w:rPr>
                <w:sz w:val="20"/>
                <w:szCs w:val="20"/>
                <w:lang w:val="en-US"/>
              </w:rPr>
              <w:t xml:space="preserve"> HDI quartile</w:t>
            </w:r>
          </w:p>
        </w:tc>
        <w:tc>
          <w:tcPr>
            <w:tcW w:w="3219" w:type="dxa"/>
            <w:shd w:val="clear" w:color="auto" w:fill="auto"/>
            <w:vAlign w:val="center"/>
          </w:tcPr>
          <w:p w14:paraId="2DAF6F74" w14:textId="77777777" w:rsidR="009B57E2" w:rsidRPr="00732886" w:rsidRDefault="009B57E2" w:rsidP="00B64335">
            <w:pPr>
              <w:spacing w:after="0" w:line="240" w:lineRule="auto"/>
              <w:jc w:val="center"/>
              <w:rPr>
                <w:color w:val="000000"/>
                <w:sz w:val="20"/>
                <w:szCs w:val="20"/>
              </w:rPr>
            </w:pPr>
            <w:r>
              <w:rPr>
                <w:color w:val="000000"/>
                <w:sz w:val="20"/>
                <w:szCs w:val="20"/>
              </w:rPr>
              <w:t>-3.521</w:t>
            </w:r>
          </w:p>
        </w:tc>
        <w:tc>
          <w:tcPr>
            <w:tcW w:w="3220" w:type="dxa"/>
            <w:shd w:val="clear" w:color="auto" w:fill="auto"/>
            <w:vAlign w:val="center"/>
          </w:tcPr>
          <w:p w14:paraId="3E538F48" w14:textId="77777777" w:rsidR="009B57E2" w:rsidRPr="00732886" w:rsidRDefault="009B57E2" w:rsidP="00B64335">
            <w:pPr>
              <w:spacing w:after="0" w:line="240" w:lineRule="auto"/>
              <w:jc w:val="center"/>
              <w:rPr>
                <w:color w:val="000000"/>
                <w:sz w:val="20"/>
                <w:szCs w:val="20"/>
              </w:rPr>
            </w:pPr>
            <w:r>
              <w:rPr>
                <w:color w:val="000000"/>
                <w:sz w:val="20"/>
                <w:szCs w:val="20"/>
              </w:rPr>
              <w:t>-6.911</w:t>
            </w:r>
          </w:p>
        </w:tc>
      </w:tr>
      <w:tr w:rsidR="009B57E2" w:rsidRPr="00732886" w14:paraId="78EAB313" w14:textId="77777777" w:rsidTr="00B64335">
        <w:trPr>
          <w:trHeight w:val="510"/>
        </w:trPr>
        <w:tc>
          <w:tcPr>
            <w:tcW w:w="3219" w:type="dxa"/>
            <w:tcBorders>
              <w:bottom w:val="single" w:sz="12" w:space="0" w:color="auto"/>
            </w:tcBorders>
            <w:shd w:val="clear" w:color="auto" w:fill="auto"/>
            <w:vAlign w:val="center"/>
          </w:tcPr>
          <w:p w14:paraId="435DC683" w14:textId="77777777" w:rsidR="009B57E2" w:rsidRPr="00732886" w:rsidRDefault="009B57E2" w:rsidP="00B64335">
            <w:pPr>
              <w:spacing w:after="0" w:line="240" w:lineRule="auto"/>
              <w:rPr>
                <w:sz w:val="20"/>
                <w:szCs w:val="20"/>
                <w:lang w:val="en-US"/>
              </w:rPr>
            </w:pPr>
            <w:r w:rsidRPr="00732886">
              <w:rPr>
                <w:sz w:val="20"/>
                <w:szCs w:val="20"/>
                <w:lang w:val="en-US"/>
              </w:rPr>
              <w:t>4</w:t>
            </w:r>
            <w:r w:rsidRPr="00732886">
              <w:rPr>
                <w:sz w:val="20"/>
                <w:szCs w:val="20"/>
                <w:vertAlign w:val="superscript"/>
                <w:lang w:val="en-US"/>
              </w:rPr>
              <w:t>th</w:t>
            </w:r>
            <w:r w:rsidRPr="00732886">
              <w:rPr>
                <w:sz w:val="20"/>
                <w:szCs w:val="20"/>
                <w:lang w:val="en-US"/>
              </w:rPr>
              <w:t xml:space="preserve"> HDI quartile</w:t>
            </w:r>
          </w:p>
        </w:tc>
        <w:tc>
          <w:tcPr>
            <w:tcW w:w="3219" w:type="dxa"/>
            <w:tcBorders>
              <w:bottom w:val="single" w:sz="12" w:space="0" w:color="auto"/>
            </w:tcBorders>
            <w:shd w:val="clear" w:color="auto" w:fill="auto"/>
            <w:vAlign w:val="center"/>
          </w:tcPr>
          <w:p w14:paraId="7F955F4F" w14:textId="77777777" w:rsidR="009B57E2" w:rsidRPr="00732886" w:rsidRDefault="009B57E2" w:rsidP="00B64335">
            <w:pPr>
              <w:spacing w:after="0" w:line="240" w:lineRule="auto"/>
              <w:jc w:val="center"/>
              <w:rPr>
                <w:color w:val="000000"/>
                <w:sz w:val="20"/>
                <w:szCs w:val="20"/>
              </w:rPr>
            </w:pPr>
            <w:r>
              <w:rPr>
                <w:color w:val="000000"/>
                <w:sz w:val="20"/>
                <w:szCs w:val="20"/>
              </w:rPr>
              <w:t>-4.023</w:t>
            </w:r>
          </w:p>
        </w:tc>
        <w:tc>
          <w:tcPr>
            <w:tcW w:w="3220" w:type="dxa"/>
            <w:tcBorders>
              <w:bottom w:val="single" w:sz="12" w:space="0" w:color="auto"/>
            </w:tcBorders>
            <w:shd w:val="clear" w:color="auto" w:fill="auto"/>
            <w:vAlign w:val="center"/>
          </w:tcPr>
          <w:p w14:paraId="20766418" w14:textId="77777777" w:rsidR="009B57E2" w:rsidRPr="00732886" w:rsidRDefault="009B57E2" w:rsidP="00B64335">
            <w:pPr>
              <w:spacing w:after="0" w:line="240" w:lineRule="auto"/>
              <w:jc w:val="center"/>
              <w:rPr>
                <w:color w:val="000000"/>
                <w:sz w:val="20"/>
                <w:szCs w:val="20"/>
              </w:rPr>
            </w:pPr>
            <w:r>
              <w:rPr>
                <w:color w:val="000000"/>
                <w:sz w:val="20"/>
                <w:szCs w:val="20"/>
              </w:rPr>
              <w:t>-7.455</w:t>
            </w:r>
          </w:p>
        </w:tc>
      </w:tr>
    </w:tbl>
    <w:p w14:paraId="5EE4CF3F" w14:textId="77777777" w:rsidR="009B57E2" w:rsidRDefault="009B57E2" w:rsidP="009B57E2">
      <w:pPr>
        <w:spacing w:after="0" w:line="240" w:lineRule="auto"/>
      </w:pPr>
    </w:p>
    <w:p w14:paraId="0AEF7ABB" w14:textId="77777777" w:rsidR="009B57E2" w:rsidRPr="00DD5C4E" w:rsidRDefault="009B57E2" w:rsidP="009B57E2">
      <w:pPr>
        <w:spacing w:after="0" w:line="240" w:lineRule="auto"/>
        <w:rPr>
          <w:b/>
          <w:szCs w:val="24"/>
          <w:lang w:val="en-GB"/>
        </w:rPr>
      </w:pPr>
      <w:r w:rsidRPr="00494CA7">
        <w:br w:type="page"/>
      </w:r>
      <w:r w:rsidRPr="00DD5C4E">
        <w:rPr>
          <w:b/>
          <w:szCs w:val="24"/>
          <w:lang w:val="en-GB"/>
        </w:rPr>
        <w:lastRenderedPageBreak/>
        <w:t>Table A.1: Descriptive statistics of selected variables used in the analysis by country. 15-year-old students in 2000. Number of level-1 observations (students) = 151377.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450"/>
        <w:gridCol w:w="1448"/>
        <w:gridCol w:w="1448"/>
        <w:gridCol w:w="1448"/>
        <w:gridCol w:w="1448"/>
      </w:tblGrid>
      <w:tr w:rsidR="009B57E2" w:rsidRPr="00494CA7" w14:paraId="023548A2" w14:textId="77777777" w:rsidTr="00B64335">
        <w:trPr>
          <w:trHeight w:val="284"/>
        </w:trPr>
        <w:tc>
          <w:tcPr>
            <w:tcW w:w="1008" w:type="pct"/>
            <w:tcBorders>
              <w:top w:val="single" w:sz="12" w:space="0" w:color="auto"/>
              <w:left w:val="nil"/>
              <w:bottom w:val="single" w:sz="4" w:space="0" w:color="auto"/>
              <w:right w:val="nil"/>
            </w:tcBorders>
            <w:vAlign w:val="center"/>
          </w:tcPr>
          <w:p w14:paraId="20441F6B" w14:textId="77777777" w:rsidR="009B57E2" w:rsidRPr="00494CA7" w:rsidRDefault="009B57E2" w:rsidP="00B64335">
            <w:pPr>
              <w:spacing w:after="0" w:line="240" w:lineRule="auto"/>
              <w:rPr>
                <w:sz w:val="20"/>
                <w:szCs w:val="20"/>
                <w:lang w:val="en-GB"/>
              </w:rPr>
            </w:pPr>
            <w:r w:rsidRPr="00494CA7">
              <w:rPr>
                <w:sz w:val="20"/>
                <w:szCs w:val="20"/>
                <w:lang w:val="en-GB"/>
              </w:rPr>
              <w:t>Country</w:t>
            </w:r>
          </w:p>
        </w:tc>
        <w:tc>
          <w:tcPr>
            <w:tcW w:w="799" w:type="pct"/>
            <w:tcBorders>
              <w:top w:val="single" w:sz="12" w:space="0" w:color="auto"/>
              <w:left w:val="nil"/>
              <w:bottom w:val="single" w:sz="4" w:space="0" w:color="auto"/>
              <w:right w:val="nil"/>
            </w:tcBorders>
            <w:vAlign w:val="center"/>
          </w:tcPr>
          <w:p w14:paraId="70760A49" w14:textId="77777777" w:rsidR="009B57E2" w:rsidRPr="00494CA7" w:rsidRDefault="009B57E2" w:rsidP="00B64335">
            <w:pPr>
              <w:spacing w:after="0" w:line="240" w:lineRule="auto"/>
              <w:jc w:val="center"/>
              <w:rPr>
                <w:sz w:val="20"/>
                <w:szCs w:val="20"/>
                <w:lang w:val="en-GB"/>
              </w:rPr>
            </w:pPr>
            <w:r w:rsidRPr="00494CA7">
              <w:rPr>
                <w:sz w:val="20"/>
                <w:szCs w:val="20"/>
                <w:lang w:val="en-GB"/>
              </w:rPr>
              <w:t>Reading literacy score (mean)</w:t>
            </w:r>
          </w:p>
        </w:tc>
        <w:tc>
          <w:tcPr>
            <w:tcW w:w="798" w:type="pct"/>
            <w:tcBorders>
              <w:top w:val="single" w:sz="12" w:space="0" w:color="auto"/>
              <w:left w:val="nil"/>
              <w:bottom w:val="single" w:sz="4" w:space="0" w:color="auto"/>
              <w:right w:val="nil"/>
            </w:tcBorders>
            <w:vAlign w:val="center"/>
          </w:tcPr>
          <w:p w14:paraId="7B75781E" w14:textId="77777777" w:rsidR="009B57E2" w:rsidRPr="00494CA7" w:rsidRDefault="009B57E2" w:rsidP="00B64335">
            <w:pPr>
              <w:spacing w:after="0" w:line="240" w:lineRule="auto"/>
              <w:jc w:val="center"/>
              <w:rPr>
                <w:sz w:val="20"/>
                <w:szCs w:val="20"/>
                <w:lang w:val="en-GB"/>
              </w:rPr>
            </w:pPr>
            <w:r w:rsidRPr="00494CA7">
              <w:rPr>
                <w:sz w:val="20"/>
                <w:szCs w:val="20"/>
                <w:lang w:val="en-GB"/>
              </w:rPr>
              <w:t>Number of siblings (mean)</w:t>
            </w:r>
          </w:p>
        </w:tc>
        <w:tc>
          <w:tcPr>
            <w:tcW w:w="798" w:type="pct"/>
            <w:tcBorders>
              <w:top w:val="single" w:sz="12" w:space="0" w:color="auto"/>
              <w:left w:val="nil"/>
              <w:bottom w:val="single" w:sz="4" w:space="0" w:color="auto"/>
              <w:right w:val="nil"/>
            </w:tcBorders>
            <w:vAlign w:val="center"/>
          </w:tcPr>
          <w:p w14:paraId="648E22CA" w14:textId="77777777" w:rsidR="009B57E2" w:rsidRPr="00494CA7" w:rsidRDefault="009B57E2" w:rsidP="00B64335">
            <w:pPr>
              <w:spacing w:after="0" w:line="240" w:lineRule="auto"/>
              <w:jc w:val="center"/>
              <w:rPr>
                <w:sz w:val="20"/>
                <w:szCs w:val="20"/>
                <w:lang w:val="en-GB"/>
              </w:rPr>
            </w:pPr>
            <w:r w:rsidRPr="00953EB0">
              <w:rPr>
                <w:sz w:val="20"/>
                <w:szCs w:val="20"/>
                <w:lang w:val="en-GB"/>
              </w:rPr>
              <w:t>HDI</w:t>
            </w:r>
          </w:p>
        </w:tc>
        <w:tc>
          <w:tcPr>
            <w:tcW w:w="798" w:type="pct"/>
            <w:tcBorders>
              <w:top w:val="single" w:sz="12" w:space="0" w:color="auto"/>
              <w:left w:val="nil"/>
              <w:bottom w:val="single" w:sz="4" w:space="0" w:color="auto"/>
              <w:right w:val="nil"/>
            </w:tcBorders>
            <w:vAlign w:val="center"/>
          </w:tcPr>
          <w:p w14:paraId="3BD97E05" w14:textId="77777777" w:rsidR="009B57E2" w:rsidRPr="00494CA7" w:rsidRDefault="009B57E2" w:rsidP="00B64335">
            <w:pPr>
              <w:spacing w:after="0" w:line="240" w:lineRule="auto"/>
              <w:jc w:val="center"/>
              <w:rPr>
                <w:sz w:val="20"/>
                <w:szCs w:val="20"/>
                <w:lang w:val="en-GB"/>
              </w:rPr>
            </w:pPr>
            <w:r w:rsidRPr="00494CA7">
              <w:rPr>
                <w:sz w:val="20"/>
                <w:szCs w:val="20"/>
                <w:lang w:val="en-GB"/>
              </w:rPr>
              <w:t>HDI quartile</w:t>
            </w:r>
          </w:p>
        </w:tc>
        <w:tc>
          <w:tcPr>
            <w:tcW w:w="798" w:type="pct"/>
            <w:tcBorders>
              <w:top w:val="single" w:sz="12" w:space="0" w:color="auto"/>
              <w:left w:val="nil"/>
              <w:bottom w:val="single" w:sz="4" w:space="0" w:color="auto"/>
              <w:right w:val="nil"/>
            </w:tcBorders>
            <w:vAlign w:val="center"/>
          </w:tcPr>
          <w:p w14:paraId="21C4491B" w14:textId="77777777" w:rsidR="009B57E2" w:rsidRPr="00494CA7" w:rsidRDefault="009B57E2" w:rsidP="00B64335">
            <w:pPr>
              <w:spacing w:after="0" w:line="240" w:lineRule="auto"/>
              <w:jc w:val="center"/>
              <w:rPr>
                <w:sz w:val="20"/>
                <w:szCs w:val="20"/>
                <w:lang w:val="en-GB"/>
              </w:rPr>
            </w:pPr>
            <w:r w:rsidRPr="00494CA7">
              <w:rPr>
                <w:sz w:val="20"/>
                <w:szCs w:val="20"/>
                <w:lang w:val="en-GB"/>
              </w:rPr>
              <w:t>Number of level-1 cases</w:t>
            </w:r>
          </w:p>
        </w:tc>
      </w:tr>
      <w:tr w:rsidR="009B57E2" w:rsidRPr="00494CA7" w14:paraId="4250C237" w14:textId="77777777" w:rsidTr="00B64335">
        <w:trPr>
          <w:trHeight w:val="284"/>
        </w:trPr>
        <w:tc>
          <w:tcPr>
            <w:tcW w:w="1008" w:type="pct"/>
            <w:tcBorders>
              <w:top w:val="single" w:sz="4" w:space="0" w:color="auto"/>
              <w:left w:val="nil"/>
              <w:bottom w:val="nil"/>
              <w:right w:val="nil"/>
            </w:tcBorders>
            <w:vAlign w:val="center"/>
          </w:tcPr>
          <w:p w14:paraId="51302EB1"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Albania</w:t>
            </w:r>
          </w:p>
        </w:tc>
        <w:tc>
          <w:tcPr>
            <w:tcW w:w="799" w:type="pct"/>
            <w:tcBorders>
              <w:top w:val="single" w:sz="4" w:space="0" w:color="auto"/>
              <w:left w:val="nil"/>
              <w:bottom w:val="nil"/>
              <w:right w:val="nil"/>
            </w:tcBorders>
            <w:vAlign w:val="center"/>
          </w:tcPr>
          <w:p w14:paraId="407C0CDA" w14:textId="77777777" w:rsidR="009B57E2" w:rsidRPr="00494CA7" w:rsidRDefault="009B57E2" w:rsidP="00B64335">
            <w:pPr>
              <w:spacing w:after="0" w:line="240" w:lineRule="auto"/>
              <w:jc w:val="center"/>
              <w:rPr>
                <w:sz w:val="20"/>
                <w:szCs w:val="20"/>
                <w:lang w:val="en-GB"/>
              </w:rPr>
            </w:pPr>
            <w:r w:rsidRPr="00494CA7">
              <w:rPr>
                <w:sz w:val="20"/>
                <w:szCs w:val="20"/>
                <w:lang w:val="en-GB"/>
              </w:rPr>
              <w:t>366.6</w:t>
            </w:r>
          </w:p>
        </w:tc>
        <w:tc>
          <w:tcPr>
            <w:tcW w:w="798" w:type="pct"/>
            <w:tcBorders>
              <w:top w:val="single" w:sz="4" w:space="0" w:color="auto"/>
              <w:left w:val="nil"/>
              <w:bottom w:val="nil"/>
              <w:right w:val="nil"/>
            </w:tcBorders>
            <w:vAlign w:val="center"/>
          </w:tcPr>
          <w:p w14:paraId="7205DBC9" w14:textId="77777777" w:rsidR="009B57E2" w:rsidRPr="00494CA7" w:rsidRDefault="009B57E2" w:rsidP="00B64335">
            <w:pPr>
              <w:spacing w:after="0" w:line="240" w:lineRule="auto"/>
              <w:jc w:val="center"/>
              <w:rPr>
                <w:sz w:val="20"/>
                <w:szCs w:val="20"/>
                <w:lang w:val="en-GB"/>
              </w:rPr>
            </w:pPr>
            <w:r w:rsidRPr="00494CA7">
              <w:rPr>
                <w:sz w:val="20"/>
                <w:szCs w:val="20"/>
                <w:lang w:val="en-GB"/>
              </w:rPr>
              <w:t>2.0</w:t>
            </w:r>
          </w:p>
        </w:tc>
        <w:tc>
          <w:tcPr>
            <w:tcW w:w="798" w:type="pct"/>
            <w:tcBorders>
              <w:top w:val="single" w:sz="4" w:space="0" w:color="auto"/>
              <w:left w:val="nil"/>
              <w:bottom w:val="nil"/>
              <w:right w:val="nil"/>
            </w:tcBorders>
            <w:vAlign w:val="center"/>
          </w:tcPr>
          <w:p w14:paraId="65CDB0FE"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0.691</w:t>
            </w:r>
          </w:p>
        </w:tc>
        <w:tc>
          <w:tcPr>
            <w:tcW w:w="798" w:type="pct"/>
            <w:tcBorders>
              <w:top w:val="single" w:sz="4" w:space="0" w:color="auto"/>
              <w:left w:val="nil"/>
              <w:bottom w:val="nil"/>
              <w:right w:val="nil"/>
            </w:tcBorders>
          </w:tcPr>
          <w:p w14:paraId="1F0BED99" w14:textId="77777777" w:rsidR="009B57E2" w:rsidRPr="00494CA7" w:rsidRDefault="009B57E2" w:rsidP="00B64335">
            <w:pPr>
              <w:spacing w:after="0" w:line="240" w:lineRule="auto"/>
              <w:jc w:val="center"/>
              <w:rPr>
                <w:sz w:val="20"/>
                <w:szCs w:val="20"/>
                <w:lang w:val="en-GB"/>
              </w:rPr>
            </w:pPr>
            <w:r w:rsidRPr="00494CA7">
              <w:rPr>
                <w:sz w:val="20"/>
                <w:szCs w:val="20"/>
                <w:lang w:val="en-GB"/>
              </w:rPr>
              <w:t>1</w:t>
            </w:r>
            <w:r w:rsidRPr="00494CA7">
              <w:rPr>
                <w:sz w:val="20"/>
                <w:szCs w:val="20"/>
                <w:vertAlign w:val="superscript"/>
                <w:lang w:val="en-GB"/>
              </w:rPr>
              <w:t>st</w:t>
            </w:r>
          </w:p>
        </w:tc>
        <w:tc>
          <w:tcPr>
            <w:tcW w:w="798" w:type="pct"/>
            <w:tcBorders>
              <w:top w:val="single" w:sz="4" w:space="0" w:color="auto"/>
              <w:left w:val="nil"/>
              <w:bottom w:val="nil"/>
              <w:right w:val="nil"/>
            </w:tcBorders>
            <w:vAlign w:val="center"/>
          </w:tcPr>
          <w:p w14:paraId="27A6BA96" w14:textId="77777777" w:rsidR="009B57E2" w:rsidRPr="00494CA7" w:rsidRDefault="009B57E2" w:rsidP="00B64335">
            <w:pPr>
              <w:spacing w:after="0" w:line="240" w:lineRule="auto"/>
              <w:jc w:val="center"/>
              <w:rPr>
                <w:sz w:val="20"/>
                <w:szCs w:val="20"/>
              </w:rPr>
            </w:pPr>
            <w:r w:rsidRPr="00494CA7">
              <w:rPr>
                <w:sz w:val="20"/>
                <w:szCs w:val="20"/>
                <w:lang w:val="en-GB"/>
              </w:rPr>
              <w:t>3967</w:t>
            </w:r>
          </w:p>
        </w:tc>
      </w:tr>
      <w:tr w:rsidR="009B57E2" w:rsidRPr="00494CA7" w14:paraId="7414B506" w14:textId="77777777" w:rsidTr="00B64335">
        <w:trPr>
          <w:trHeight w:val="284"/>
        </w:trPr>
        <w:tc>
          <w:tcPr>
            <w:tcW w:w="1008" w:type="pct"/>
            <w:tcBorders>
              <w:top w:val="nil"/>
              <w:left w:val="nil"/>
              <w:bottom w:val="nil"/>
              <w:right w:val="nil"/>
            </w:tcBorders>
            <w:vAlign w:val="center"/>
          </w:tcPr>
          <w:p w14:paraId="2F379AE3"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Argentina</w:t>
            </w:r>
          </w:p>
        </w:tc>
        <w:tc>
          <w:tcPr>
            <w:tcW w:w="799" w:type="pct"/>
            <w:tcBorders>
              <w:top w:val="nil"/>
              <w:left w:val="nil"/>
              <w:bottom w:val="nil"/>
              <w:right w:val="nil"/>
            </w:tcBorders>
            <w:vAlign w:val="center"/>
          </w:tcPr>
          <w:p w14:paraId="033DC751" w14:textId="77777777" w:rsidR="009B57E2" w:rsidRPr="00494CA7" w:rsidRDefault="009B57E2" w:rsidP="00B64335">
            <w:pPr>
              <w:spacing w:after="0" w:line="240" w:lineRule="auto"/>
              <w:jc w:val="center"/>
              <w:rPr>
                <w:sz w:val="20"/>
                <w:szCs w:val="20"/>
                <w:lang w:val="en-GB"/>
              </w:rPr>
            </w:pPr>
            <w:r w:rsidRPr="00494CA7">
              <w:rPr>
                <w:sz w:val="20"/>
                <w:szCs w:val="20"/>
                <w:lang w:val="en-GB"/>
              </w:rPr>
              <w:t>432.4</w:t>
            </w:r>
          </w:p>
        </w:tc>
        <w:tc>
          <w:tcPr>
            <w:tcW w:w="798" w:type="pct"/>
            <w:tcBorders>
              <w:top w:val="nil"/>
              <w:left w:val="nil"/>
              <w:bottom w:val="nil"/>
              <w:right w:val="nil"/>
            </w:tcBorders>
            <w:vAlign w:val="center"/>
          </w:tcPr>
          <w:p w14:paraId="74142186" w14:textId="77777777" w:rsidR="009B57E2" w:rsidRPr="00494CA7" w:rsidRDefault="009B57E2" w:rsidP="00B64335">
            <w:pPr>
              <w:spacing w:after="0" w:line="240" w:lineRule="auto"/>
              <w:jc w:val="center"/>
              <w:rPr>
                <w:sz w:val="20"/>
                <w:szCs w:val="20"/>
                <w:lang w:val="en-GB"/>
              </w:rPr>
            </w:pPr>
            <w:r w:rsidRPr="00494CA7">
              <w:rPr>
                <w:sz w:val="20"/>
                <w:szCs w:val="20"/>
                <w:lang w:val="en-GB"/>
              </w:rPr>
              <w:t>2.6</w:t>
            </w:r>
          </w:p>
        </w:tc>
        <w:tc>
          <w:tcPr>
            <w:tcW w:w="798" w:type="pct"/>
            <w:tcBorders>
              <w:top w:val="nil"/>
              <w:left w:val="nil"/>
              <w:bottom w:val="nil"/>
              <w:right w:val="nil"/>
            </w:tcBorders>
            <w:vAlign w:val="center"/>
          </w:tcPr>
          <w:p w14:paraId="43570D3D"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0.749</w:t>
            </w:r>
          </w:p>
        </w:tc>
        <w:tc>
          <w:tcPr>
            <w:tcW w:w="798" w:type="pct"/>
            <w:tcBorders>
              <w:top w:val="nil"/>
              <w:left w:val="nil"/>
              <w:bottom w:val="nil"/>
              <w:right w:val="nil"/>
            </w:tcBorders>
          </w:tcPr>
          <w:p w14:paraId="7DA3BBCB" w14:textId="77777777" w:rsidR="009B57E2" w:rsidRPr="00494CA7" w:rsidRDefault="009B57E2" w:rsidP="00B64335">
            <w:pPr>
              <w:spacing w:after="0" w:line="240" w:lineRule="auto"/>
              <w:jc w:val="center"/>
              <w:rPr>
                <w:sz w:val="20"/>
                <w:szCs w:val="20"/>
                <w:lang w:val="en-GB"/>
              </w:rPr>
            </w:pPr>
            <w:r w:rsidRPr="00494CA7">
              <w:rPr>
                <w:sz w:val="20"/>
                <w:szCs w:val="20"/>
                <w:lang w:val="en-GB"/>
              </w:rPr>
              <w:t>2</w:t>
            </w:r>
            <w:r w:rsidRPr="00494CA7">
              <w:rPr>
                <w:sz w:val="20"/>
                <w:szCs w:val="20"/>
                <w:vertAlign w:val="superscript"/>
                <w:lang w:val="en-GB"/>
              </w:rPr>
              <w:t>nd</w:t>
            </w:r>
          </w:p>
        </w:tc>
        <w:tc>
          <w:tcPr>
            <w:tcW w:w="798" w:type="pct"/>
            <w:tcBorders>
              <w:top w:val="nil"/>
              <w:left w:val="nil"/>
              <w:bottom w:val="nil"/>
              <w:right w:val="nil"/>
            </w:tcBorders>
            <w:vAlign w:val="center"/>
          </w:tcPr>
          <w:p w14:paraId="0D684466" w14:textId="77777777" w:rsidR="009B57E2" w:rsidRPr="00494CA7" w:rsidRDefault="009B57E2" w:rsidP="00B64335">
            <w:pPr>
              <w:spacing w:after="0" w:line="240" w:lineRule="auto"/>
              <w:jc w:val="center"/>
              <w:rPr>
                <w:sz w:val="20"/>
                <w:szCs w:val="20"/>
              </w:rPr>
            </w:pPr>
            <w:r w:rsidRPr="00494CA7">
              <w:rPr>
                <w:sz w:val="20"/>
                <w:szCs w:val="20"/>
                <w:lang w:val="en-GB"/>
              </w:rPr>
              <w:t>2546</w:t>
            </w:r>
          </w:p>
        </w:tc>
      </w:tr>
      <w:tr w:rsidR="009B57E2" w:rsidRPr="00494CA7" w14:paraId="7D2E4E2A" w14:textId="77777777" w:rsidTr="00B64335">
        <w:trPr>
          <w:trHeight w:val="284"/>
        </w:trPr>
        <w:tc>
          <w:tcPr>
            <w:tcW w:w="1008" w:type="pct"/>
            <w:tcBorders>
              <w:top w:val="nil"/>
              <w:left w:val="nil"/>
              <w:bottom w:val="nil"/>
              <w:right w:val="nil"/>
            </w:tcBorders>
            <w:vAlign w:val="center"/>
          </w:tcPr>
          <w:p w14:paraId="59719B51"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Australia</w:t>
            </w:r>
          </w:p>
        </w:tc>
        <w:tc>
          <w:tcPr>
            <w:tcW w:w="799" w:type="pct"/>
            <w:tcBorders>
              <w:top w:val="nil"/>
              <w:left w:val="nil"/>
              <w:bottom w:val="nil"/>
              <w:right w:val="nil"/>
            </w:tcBorders>
            <w:vAlign w:val="center"/>
          </w:tcPr>
          <w:p w14:paraId="7660613E" w14:textId="77777777" w:rsidR="009B57E2" w:rsidRPr="00494CA7" w:rsidRDefault="009B57E2" w:rsidP="00B64335">
            <w:pPr>
              <w:spacing w:after="0" w:line="240" w:lineRule="auto"/>
              <w:jc w:val="center"/>
              <w:rPr>
                <w:sz w:val="20"/>
                <w:szCs w:val="20"/>
                <w:lang w:val="en-GB"/>
              </w:rPr>
            </w:pPr>
            <w:r w:rsidRPr="00494CA7">
              <w:rPr>
                <w:sz w:val="20"/>
                <w:szCs w:val="20"/>
                <w:lang w:val="en-GB"/>
              </w:rPr>
              <w:t>534.9</w:t>
            </w:r>
          </w:p>
        </w:tc>
        <w:tc>
          <w:tcPr>
            <w:tcW w:w="798" w:type="pct"/>
            <w:tcBorders>
              <w:top w:val="nil"/>
              <w:left w:val="nil"/>
              <w:bottom w:val="nil"/>
              <w:right w:val="nil"/>
            </w:tcBorders>
            <w:vAlign w:val="center"/>
          </w:tcPr>
          <w:p w14:paraId="6A7F7A29" w14:textId="77777777" w:rsidR="009B57E2" w:rsidRPr="00494CA7" w:rsidRDefault="009B57E2" w:rsidP="00B64335">
            <w:pPr>
              <w:spacing w:after="0" w:line="240" w:lineRule="auto"/>
              <w:jc w:val="center"/>
              <w:rPr>
                <w:sz w:val="20"/>
                <w:szCs w:val="20"/>
                <w:lang w:val="en-GB"/>
              </w:rPr>
            </w:pPr>
            <w:r w:rsidRPr="00494CA7">
              <w:rPr>
                <w:sz w:val="20"/>
                <w:szCs w:val="20"/>
                <w:lang w:val="en-GB"/>
              </w:rPr>
              <w:t>2.0</w:t>
            </w:r>
          </w:p>
        </w:tc>
        <w:tc>
          <w:tcPr>
            <w:tcW w:w="798" w:type="pct"/>
            <w:tcBorders>
              <w:top w:val="nil"/>
              <w:left w:val="nil"/>
              <w:bottom w:val="nil"/>
              <w:right w:val="nil"/>
            </w:tcBorders>
            <w:vAlign w:val="center"/>
          </w:tcPr>
          <w:p w14:paraId="377E73CD"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0.906</w:t>
            </w:r>
          </w:p>
        </w:tc>
        <w:tc>
          <w:tcPr>
            <w:tcW w:w="798" w:type="pct"/>
            <w:tcBorders>
              <w:top w:val="nil"/>
              <w:left w:val="nil"/>
              <w:bottom w:val="nil"/>
              <w:right w:val="nil"/>
            </w:tcBorders>
          </w:tcPr>
          <w:p w14:paraId="092D5173" w14:textId="77777777" w:rsidR="009B57E2" w:rsidRPr="00494CA7" w:rsidRDefault="009B57E2" w:rsidP="00B64335">
            <w:pPr>
              <w:spacing w:after="0" w:line="240" w:lineRule="auto"/>
              <w:jc w:val="center"/>
              <w:rPr>
                <w:sz w:val="20"/>
                <w:szCs w:val="20"/>
                <w:lang w:val="en-GB"/>
              </w:rPr>
            </w:pPr>
            <w:r w:rsidRPr="00494CA7">
              <w:rPr>
                <w:sz w:val="20"/>
                <w:szCs w:val="20"/>
                <w:lang w:val="en-GB"/>
              </w:rPr>
              <w:t>4</w:t>
            </w:r>
            <w:r w:rsidRPr="00494CA7">
              <w:rPr>
                <w:sz w:val="20"/>
                <w:szCs w:val="20"/>
                <w:vertAlign w:val="superscript"/>
                <w:lang w:val="en-GB"/>
              </w:rPr>
              <w:t>th</w:t>
            </w:r>
          </w:p>
        </w:tc>
        <w:tc>
          <w:tcPr>
            <w:tcW w:w="798" w:type="pct"/>
            <w:tcBorders>
              <w:top w:val="nil"/>
              <w:left w:val="nil"/>
              <w:bottom w:val="nil"/>
              <w:right w:val="nil"/>
            </w:tcBorders>
            <w:vAlign w:val="center"/>
          </w:tcPr>
          <w:p w14:paraId="2A9A5151" w14:textId="77777777" w:rsidR="009B57E2" w:rsidRPr="00494CA7" w:rsidRDefault="009B57E2" w:rsidP="00B64335">
            <w:pPr>
              <w:spacing w:after="0" w:line="240" w:lineRule="auto"/>
              <w:jc w:val="center"/>
              <w:rPr>
                <w:sz w:val="20"/>
                <w:szCs w:val="20"/>
              </w:rPr>
            </w:pPr>
            <w:r w:rsidRPr="00494CA7">
              <w:rPr>
                <w:sz w:val="20"/>
                <w:szCs w:val="20"/>
                <w:lang w:val="en-GB"/>
              </w:rPr>
              <w:t>4650</w:t>
            </w:r>
          </w:p>
        </w:tc>
      </w:tr>
      <w:tr w:rsidR="009B57E2" w:rsidRPr="00494CA7" w14:paraId="442D7E31" w14:textId="77777777" w:rsidTr="00B64335">
        <w:trPr>
          <w:trHeight w:val="284"/>
        </w:trPr>
        <w:tc>
          <w:tcPr>
            <w:tcW w:w="1008" w:type="pct"/>
            <w:tcBorders>
              <w:top w:val="nil"/>
              <w:left w:val="nil"/>
              <w:bottom w:val="nil"/>
              <w:right w:val="nil"/>
            </w:tcBorders>
            <w:vAlign w:val="center"/>
          </w:tcPr>
          <w:p w14:paraId="747994DF"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Austria</w:t>
            </w:r>
          </w:p>
        </w:tc>
        <w:tc>
          <w:tcPr>
            <w:tcW w:w="799" w:type="pct"/>
            <w:tcBorders>
              <w:top w:val="nil"/>
              <w:left w:val="nil"/>
              <w:bottom w:val="nil"/>
              <w:right w:val="nil"/>
            </w:tcBorders>
            <w:vAlign w:val="center"/>
          </w:tcPr>
          <w:p w14:paraId="77511356" w14:textId="77777777" w:rsidR="009B57E2" w:rsidRPr="00494CA7" w:rsidRDefault="009B57E2" w:rsidP="00B64335">
            <w:pPr>
              <w:spacing w:after="0" w:line="240" w:lineRule="auto"/>
              <w:jc w:val="center"/>
              <w:rPr>
                <w:sz w:val="20"/>
                <w:szCs w:val="20"/>
                <w:lang w:val="en-GB"/>
              </w:rPr>
            </w:pPr>
            <w:r w:rsidRPr="00494CA7">
              <w:rPr>
                <w:sz w:val="20"/>
                <w:szCs w:val="20"/>
                <w:lang w:val="en-GB"/>
              </w:rPr>
              <w:t>507.1</w:t>
            </w:r>
          </w:p>
        </w:tc>
        <w:tc>
          <w:tcPr>
            <w:tcW w:w="798" w:type="pct"/>
            <w:tcBorders>
              <w:top w:val="nil"/>
              <w:left w:val="nil"/>
              <w:bottom w:val="nil"/>
              <w:right w:val="nil"/>
            </w:tcBorders>
            <w:vAlign w:val="center"/>
          </w:tcPr>
          <w:p w14:paraId="7C5FD2D5" w14:textId="77777777" w:rsidR="009B57E2" w:rsidRPr="00494CA7" w:rsidRDefault="009B57E2" w:rsidP="00B64335">
            <w:pPr>
              <w:spacing w:after="0" w:line="240" w:lineRule="auto"/>
              <w:jc w:val="center"/>
              <w:rPr>
                <w:sz w:val="20"/>
                <w:szCs w:val="20"/>
                <w:lang w:val="en-GB"/>
              </w:rPr>
            </w:pPr>
            <w:r w:rsidRPr="00494CA7">
              <w:rPr>
                <w:sz w:val="20"/>
                <w:szCs w:val="20"/>
                <w:lang w:val="en-GB"/>
              </w:rPr>
              <w:t>1.6</w:t>
            </w:r>
          </w:p>
        </w:tc>
        <w:tc>
          <w:tcPr>
            <w:tcW w:w="798" w:type="pct"/>
            <w:tcBorders>
              <w:top w:val="nil"/>
              <w:left w:val="nil"/>
              <w:bottom w:val="nil"/>
              <w:right w:val="nil"/>
            </w:tcBorders>
            <w:vAlign w:val="center"/>
          </w:tcPr>
          <w:p w14:paraId="03283AAE"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0.839</w:t>
            </w:r>
          </w:p>
        </w:tc>
        <w:tc>
          <w:tcPr>
            <w:tcW w:w="798" w:type="pct"/>
            <w:tcBorders>
              <w:top w:val="nil"/>
              <w:left w:val="nil"/>
              <w:bottom w:val="nil"/>
              <w:right w:val="nil"/>
            </w:tcBorders>
          </w:tcPr>
          <w:p w14:paraId="395FDE15" w14:textId="77777777" w:rsidR="009B57E2" w:rsidRPr="00494CA7" w:rsidRDefault="009B57E2" w:rsidP="00B64335">
            <w:pPr>
              <w:spacing w:after="0" w:line="240" w:lineRule="auto"/>
              <w:jc w:val="center"/>
              <w:rPr>
                <w:sz w:val="20"/>
                <w:szCs w:val="20"/>
                <w:lang w:val="en-GB"/>
              </w:rPr>
            </w:pPr>
            <w:r w:rsidRPr="00494CA7">
              <w:rPr>
                <w:sz w:val="20"/>
                <w:szCs w:val="20"/>
                <w:lang w:val="en-GB"/>
              </w:rPr>
              <w:t>3</w:t>
            </w:r>
            <w:r w:rsidRPr="00494CA7">
              <w:rPr>
                <w:sz w:val="20"/>
                <w:szCs w:val="20"/>
                <w:vertAlign w:val="superscript"/>
                <w:lang w:val="en-GB"/>
              </w:rPr>
              <w:t>rd</w:t>
            </w:r>
          </w:p>
        </w:tc>
        <w:tc>
          <w:tcPr>
            <w:tcW w:w="798" w:type="pct"/>
            <w:tcBorders>
              <w:top w:val="nil"/>
              <w:left w:val="nil"/>
              <w:bottom w:val="nil"/>
              <w:right w:val="nil"/>
            </w:tcBorders>
            <w:vAlign w:val="center"/>
          </w:tcPr>
          <w:p w14:paraId="2DD7A04D" w14:textId="77777777" w:rsidR="009B57E2" w:rsidRPr="00494CA7" w:rsidRDefault="009B57E2" w:rsidP="00B64335">
            <w:pPr>
              <w:spacing w:after="0" w:line="240" w:lineRule="auto"/>
              <w:jc w:val="center"/>
              <w:rPr>
                <w:sz w:val="20"/>
                <w:szCs w:val="20"/>
              </w:rPr>
            </w:pPr>
            <w:r w:rsidRPr="00494CA7">
              <w:rPr>
                <w:sz w:val="20"/>
                <w:szCs w:val="20"/>
                <w:lang w:val="en-GB"/>
              </w:rPr>
              <w:t>3406</w:t>
            </w:r>
          </w:p>
        </w:tc>
      </w:tr>
      <w:tr w:rsidR="009B57E2" w:rsidRPr="00494CA7" w14:paraId="37C1843D" w14:textId="77777777" w:rsidTr="00B64335">
        <w:trPr>
          <w:trHeight w:val="284"/>
        </w:trPr>
        <w:tc>
          <w:tcPr>
            <w:tcW w:w="1008" w:type="pct"/>
            <w:tcBorders>
              <w:top w:val="nil"/>
              <w:left w:val="nil"/>
              <w:bottom w:val="nil"/>
              <w:right w:val="nil"/>
            </w:tcBorders>
            <w:vAlign w:val="center"/>
          </w:tcPr>
          <w:p w14:paraId="204EFDF0"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Belgium</w:t>
            </w:r>
          </w:p>
        </w:tc>
        <w:tc>
          <w:tcPr>
            <w:tcW w:w="799" w:type="pct"/>
            <w:tcBorders>
              <w:top w:val="nil"/>
              <w:left w:val="nil"/>
              <w:bottom w:val="nil"/>
              <w:right w:val="nil"/>
            </w:tcBorders>
            <w:vAlign w:val="center"/>
          </w:tcPr>
          <w:p w14:paraId="11709564" w14:textId="77777777" w:rsidR="009B57E2" w:rsidRPr="00494CA7" w:rsidRDefault="009B57E2" w:rsidP="00B64335">
            <w:pPr>
              <w:spacing w:after="0" w:line="240" w:lineRule="auto"/>
              <w:jc w:val="center"/>
              <w:rPr>
                <w:sz w:val="20"/>
                <w:szCs w:val="20"/>
                <w:lang w:val="en-GB"/>
              </w:rPr>
            </w:pPr>
            <w:r w:rsidRPr="00494CA7">
              <w:rPr>
                <w:sz w:val="20"/>
                <w:szCs w:val="20"/>
                <w:lang w:val="en-GB"/>
              </w:rPr>
              <w:t>528.4</w:t>
            </w:r>
          </w:p>
        </w:tc>
        <w:tc>
          <w:tcPr>
            <w:tcW w:w="798" w:type="pct"/>
            <w:tcBorders>
              <w:top w:val="nil"/>
              <w:left w:val="nil"/>
              <w:bottom w:val="nil"/>
              <w:right w:val="nil"/>
            </w:tcBorders>
            <w:vAlign w:val="center"/>
          </w:tcPr>
          <w:p w14:paraId="271FCF75" w14:textId="77777777" w:rsidR="009B57E2" w:rsidRPr="00494CA7" w:rsidRDefault="009B57E2" w:rsidP="00B64335">
            <w:pPr>
              <w:spacing w:after="0" w:line="240" w:lineRule="auto"/>
              <w:jc w:val="center"/>
              <w:rPr>
                <w:sz w:val="20"/>
                <w:szCs w:val="20"/>
                <w:lang w:val="en-GB"/>
              </w:rPr>
            </w:pPr>
            <w:r w:rsidRPr="00494CA7">
              <w:rPr>
                <w:sz w:val="20"/>
                <w:szCs w:val="20"/>
                <w:lang w:val="en-GB"/>
              </w:rPr>
              <w:t>1.7</w:t>
            </w:r>
          </w:p>
        </w:tc>
        <w:tc>
          <w:tcPr>
            <w:tcW w:w="798" w:type="pct"/>
            <w:tcBorders>
              <w:top w:val="nil"/>
              <w:left w:val="nil"/>
              <w:bottom w:val="nil"/>
              <w:right w:val="nil"/>
            </w:tcBorders>
            <w:vAlign w:val="center"/>
          </w:tcPr>
          <w:p w14:paraId="0A6682D7"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0.876</w:t>
            </w:r>
          </w:p>
        </w:tc>
        <w:tc>
          <w:tcPr>
            <w:tcW w:w="798" w:type="pct"/>
            <w:tcBorders>
              <w:top w:val="nil"/>
              <w:left w:val="nil"/>
              <w:bottom w:val="nil"/>
              <w:right w:val="nil"/>
            </w:tcBorders>
          </w:tcPr>
          <w:p w14:paraId="19B62296" w14:textId="77777777" w:rsidR="009B57E2" w:rsidRPr="00494CA7" w:rsidRDefault="009B57E2" w:rsidP="00B64335">
            <w:pPr>
              <w:spacing w:after="0" w:line="240" w:lineRule="auto"/>
              <w:jc w:val="center"/>
              <w:rPr>
                <w:sz w:val="20"/>
                <w:szCs w:val="20"/>
                <w:lang w:val="en-GB"/>
              </w:rPr>
            </w:pPr>
            <w:r w:rsidRPr="00494CA7">
              <w:rPr>
                <w:sz w:val="20"/>
                <w:szCs w:val="20"/>
                <w:lang w:val="en-GB"/>
              </w:rPr>
              <w:t>4</w:t>
            </w:r>
            <w:r w:rsidRPr="00494CA7">
              <w:rPr>
                <w:sz w:val="20"/>
                <w:szCs w:val="20"/>
                <w:vertAlign w:val="superscript"/>
                <w:lang w:val="en-GB"/>
              </w:rPr>
              <w:t>th</w:t>
            </w:r>
          </w:p>
        </w:tc>
        <w:tc>
          <w:tcPr>
            <w:tcW w:w="798" w:type="pct"/>
            <w:tcBorders>
              <w:top w:val="nil"/>
              <w:left w:val="nil"/>
              <w:bottom w:val="nil"/>
              <w:right w:val="nil"/>
            </w:tcBorders>
            <w:vAlign w:val="center"/>
          </w:tcPr>
          <w:p w14:paraId="7B599BF8" w14:textId="77777777" w:rsidR="009B57E2" w:rsidRPr="00494CA7" w:rsidRDefault="009B57E2" w:rsidP="00B64335">
            <w:pPr>
              <w:spacing w:after="0" w:line="240" w:lineRule="auto"/>
              <w:jc w:val="center"/>
              <w:rPr>
                <w:sz w:val="20"/>
                <w:szCs w:val="20"/>
              </w:rPr>
            </w:pPr>
            <w:r w:rsidRPr="00494CA7">
              <w:rPr>
                <w:sz w:val="20"/>
                <w:szCs w:val="20"/>
                <w:lang w:val="en-GB"/>
              </w:rPr>
              <w:t>4943</w:t>
            </w:r>
          </w:p>
        </w:tc>
      </w:tr>
      <w:tr w:rsidR="009B57E2" w:rsidRPr="00494CA7" w14:paraId="19CFC75A" w14:textId="77777777" w:rsidTr="00B64335">
        <w:trPr>
          <w:trHeight w:val="284"/>
        </w:trPr>
        <w:tc>
          <w:tcPr>
            <w:tcW w:w="1008" w:type="pct"/>
            <w:tcBorders>
              <w:top w:val="nil"/>
              <w:left w:val="nil"/>
              <w:bottom w:val="nil"/>
              <w:right w:val="nil"/>
            </w:tcBorders>
            <w:vAlign w:val="center"/>
          </w:tcPr>
          <w:p w14:paraId="15FAD77A"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Brazil</w:t>
            </w:r>
          </w:p>
        </w:tc>
        <w:tc>
          <w:tcPr>
            <w:tcW w:w="799" w:type="pct"/>
            <w:tcBorders>
              <w:top w:val="nil"/>
              <w:left w:val="nil"/>
              <w:bottom w:val="nil"/>
              <w:right w:val="nil"/>
            </w:tcBorders>
            <w:vAlign w:val="center"/>
          </w:tcPr>
          <w:p w14:paraId="53292974" w14:textId="77777777" w:rsidR="009B57E2" w:rsidRPr="00494CA7" w:rsidRDefault="009B57E2" w:rsidP="00B64335">
            <w:pPr>
              <w:spacing w:after="0" w:line="240" w:lineRule="auto"/>
              <w:jc w:val="center"/>
              <w:rPr>
                <w:sz w:val="20"/>
                <w:szCs w:val="20"/>
                <w:lang w:val="en-GB"/>
              </w:rPr>
            </w:pPr>
            <w:r w:rsidRPr="00494CA7">
              <w:rPr>
                <w:sz w:val="20"/>
                <w:szCs w:val="20"/>
                <w:lang w:val="en-GB"/>
              </w:rPr>
              <w:t>389.3</w:t>
            </w:r>
          </w:p>
        </w:tc>
        <w:tc>
          <w:tcPr>
            <w:tcW w:w="798" w:type="pct"/>
            <w:tcBorders>
              <w:top w:val="nil"/>
              <w:left w:val="nil"/>
              <w:bottom w:val="nil"/>
              <w:right w:val="nil"/>
            </w:tcBorders>
            <w:vAlign w:val="center"/>
          </w:tcPr>
          <w:p w14:paraId="6D282194" w14:textId="77777777" w:rsidR="009B57E2" w:rsidRPr="00494CA7" w:rsidRDefault="009B57E2" w:rsidP="00B64335">
            <w:pPr>
              <w:spacing w:after="0" w:line="240" w:lineRule="auto"/>
              <w:jc w:val="center"/>
              <w:rPr>
                <w:sz w:val="20"/>
                <w:szCs w:val="20"/>
                <w:lang w:val="en-GB"/>
              </w:rPr>
            </w:pPr>
            <w:r w:rsidRPr="00494CA7">
              <w:rPr>
                <w:sz w:val="20"/>
                <w:szCs w:val="20"/>
                <w:lang w:val="en-GB"/>
              </w:rPr>
              <w:t>2.4</w:t>
            </w:r>
          </w:p>
        </w:tc>
        <w:tc>
          <w:tcPr>
            <w:tcW w:w="798" w:type="pct"/>
            <w:tcBorders>
              <w:top w:val="nil"/>
              <w:left w:val="nil"/>
              <w:bottom w:val="nil"/>
              <w:right w:val="nil"/>
            </w:tcBorders>
            <w:vAlign w:val="center"/>
          </w:tcPr>
          <w:p w14:paraId="379D0DD2"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0.665</w:t>
            </w:r>
          </w:p>
        </w:tc>
        <w:tc>
          <w:tcPr>
            <w:tcW w:w="798" w:type="pct"/>
            <w:tcBorders>
              <w:top w:val="nil"/>
              <w:left w:val="nil"/>
              <w:bottom w:val="nil"/>
              <w:right w:val="nil"/>
            </w:tcBorders>
          </w:tcPr>
          <w:p w14:paraId="1F28103A" w14:textId="77777777" w:rsidR="009B57E2" w:rsidRPr="00494CA7" w:rsidRDefault="009B57E2" w:rsidP="00B64335">
            <w:pPr>
              <w:spacing w:after="0" w:line="240" w:lineRule="auto"/>
              <w:jc w:val="center"/>
              <w:rPr>
                <w:sz w:val="20"/>
                <w:szCs w:val="20"/>
                <w:lang w:val="en-GB"/>
              </w:rPr>
            </w:pPr>
            <w:r w:rsidRPr="00494CA7">
              <w:rPr>
                <w:sz w:val="20"/>
                <w:szCs w:val="20"/>
                <w:lang w:val="en-GB"/>
              </w:rPr>
              <w:t>1</w:t>
            </w:r>
            <w:r w:rsidRPr="00494CA7">
              <w:rPr>
                <w:sz w:val="20"/>
                <w:szCs w:val="20"/>
                <w:vertAlign w:val="superscript"/>
                <w:lang w:val="en-GB"/>
              </w:rPr>
              <w:t>st</w:t>
            </w:r>
          </w:p>
        </w:tc>
        <w:tc>
          <w:tcPr>
            <w:tcW w:w="798" w:type="pct"/>
            <w:tcBorders>
              <w:top w:val="nil"/>
              <w:left w:val="nil"/>
              <w:bottom w:val="nil"/>
              <w:right w:val="nil"/>
            </w:tcBorders>
            <w:vAlign w:val="center"/>
          </w:tcPr>
          <w:p w14:paraId="5F0339DD" w14:textId="77777777" w:rsidR="009B57E2" w:rsidRPr="00494CA7" w:rsidRDefault="009B57E2" w:rsidP="00B64335">
            <w:pPr>
              <w:spacing w:after="0" w:line="240" w:lineRule="auto"/>
              <w:jc w:val="center"/>
              <w:rPr>
                <w:sz w:val="20"/>
                <w:szCs w:val="20"/>
              </w:rPr>
            </w:pPr>
            <w:r w:rsidRPr="00494CA7">
              <w:rPr>
                <w:sz w:val="20"/>
                <w:szCs w:val="20"/>
                <w:lang w:val="en-GB"/>
              </w:rPr>
              <w:t>3446</w:t>
            </w:r>
          </w:p>
        </w:tc>
      </w:tr>
      <w:tr w:rsidR="009B57E2" w:rsidRPr="00494CA7" w14:paraId="646D4C85" w14:textId="77777777" w:rsidTr="00B64335">
        <w:trPr>
          <w:trHeight w:val="284"/>
        </w:trPr>
        <w:tc>
          <w:tcPr>
            <w:tcW w:w="1008" w:type="pct"/>
            <w:tcBorders>
              <w:top w:val="nil"/>
              <w:left w:val="nil"/>
              <w:bottom w:val="nil"/>
              <w:right w:val="nil"/>
            </w:tcBorders>
            <w:vAlign w:val="center"/>
          </w:tcPr>
          <w:p w14:paraId="531F8908"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Bulgaria</w:t>
            </w:r>
          </w:p>
        </w:tc>
        <w:tc>
          <w:tcPr>
            <w:tcW w:w="799" w:type="pct"/>
            <w:tcBorders>
              <w:top w:val="nil"/>
              <w:left w:val="nil"/>
              <w:bottom w:val="nil"/>
              <w:right w:val="nil"/>
            </w:tcBorders>
            <w:vAlign w:val="center"/>
          </w:tcPr>
          <w:p w14:paraId="7BD8E0BA" w14:textId="77777777" w:rsidR="009B57E2" w:rsidRPr="00494CA7" w:rsidRDefault="009B57E2" w:rsidP="00B64335">
            <w:pPr>
              <w:spacing w:after="0" w:line="240" w:lineRule="auto"/>
              <w:jc w:val="center"/>
              <w:rPr>
                <w:sz w:val="20"/>
                <w:szCs w:val="20"/>
                <w:lang w:val="en-GB"/>
              </w:rPr>
            </w:pPr>
            <w:r w:rsidRPr="00494CA7">
              <w:rPr>
                <w:sz w:val="20"/>
                <w:szCs w:val="20"/>
                <w:lang w:val="en-GB"/>
              </w:rPr>
              <w:t>432.4</w:t>
            </w:r>
          </w:p>
        </w:tc>
        <w:tc>
          <w:tcPr>
            <w:tcW w:w="798" w:type="pct"/>
            <w:tcBorders>
              <w:top w:val="nil"/>
              <w:left w:val="nil"/>
              <w:bottom w:val="nil"/>
              <w:right w:val="nil"/>
            </w:tcBorders>
            <w:vAlign w:val="center"/>
          </w:tcPr>
          <w:p w14:paraId="4A324431" w14:textId="77777777" w:rsidR="009B57E2" w:rsidRPr="00494CA7" w:rsidRDefault="009B57E2" w:rsidP="00B64335">
            <w:pPr>
              <w:spacing w:after="0" w:line="240" w:lineRule="auto"/>
              <w:jc w:val="center"/>
              <w:rPr>
                <w:sz w:val="20"/>
                <w:szCs w:val="20"/>
                <w:lang w:val="en-GB"/>
              </w:rPr>
            </w:pPr>
            <w:r w:rsidRPr="00494CA7">
              <w:rPr>
                <w:sz w:val="20"/>
                <w:szCs w:val="20"/>
                <w:lang w:val="en-GB"/>
              </w:rPr>
              <w:t>1.0</w:t>
            </w:r>
          </w:p>
        </w:tc>
        <w:tc>
          <w:tcPr>
            <w:tcW w:w="798" w:type="pct"/>
            <w:tcBorders>
              <w:top w:val="nil"/>
              <w:left w:val="nil"/>
              <w:bottom w:val="nil"/>
              <w:right w:val="nil"/>
            </w:tcBorders>
            <w:vAlign w:val="center"/>
          </w:tcPr>
          <w:p w14:paraId="056EF920"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0.715</w:t>
            </w:r>
          </w:p>
        </w:tc>
        <w:tc>
          <w:tcPr>
            <w:tcW w:w="798" w:type="pct"/>
            <w:tcBorders>
              <w:top w:val="nil"/>
              <w:left w:val="nil"/>
              <w:bottom w:val="nil"/>
              <w:right w:val="nil"/>
            </w:tcBorders>
          </w:tcPr>
          <w:p w14:paraId="0D57F4A1" w14:textId="77777777" w:rsidR="009B57E2" w:rsidRPr="00494CA7" w:rsidRDefault="009B57E2" w:rsidP="00B64335">
            <w:pPr>
              <w:spacing w:after="0" w:line="240" w:lineRule="auto"/>
              <w:jc w:val="center"/>
              <w:rPr>
                <w:sz w:val="20"/>
                <w:szCs w:val="20"/>
                <w:lang w:val="en-GB"/>
              </w:rPr>
            </w:pPr>
            <w:r w:rsidRPr="00494CA7">
              <w:rPr>
                <w:sz w:val="20"/>
                <w:szCs w:val="20"/>
                <w:lang w:val="en-GB"/>
              </w:rPr>
              <w:t>1</w:t>
            </w:r>
            <w:r w:rsidRPr="00494CA7">
              <w:rPr>
                <w:sz w:val="20"/>
                <w:szCs w:val="20"/>
                <w:vertAlign w:val="superscript"/>
                <w:lang w:val="en-GB"/>
              </w:rPr>
              <w:t>st</w:t>
            </w:r>
          </w:p>
        </w:tc>
        <w:tc>
          <w:tcPr>
            <w:tcW w:w="798" w:type="pct"/>
            <w:tcBorders>
              <w:top w:val="nil"/>
              <w:left w:val="nil"/>
              <w:bottom w:val="nil"/>
              <w:right w:val="nil"/>
            </w:tcBorders>
            <w:vAlign w:val="center"/>
          </w:tcPr>
          <w:p w14:paraId="02507A37" w14:textId="77777777" w:rsidR="009B57E2" w:rsidRPr="00494CA7" w:rsidRDefault="009B57E2" w:rsidP="00B64335">
            <w:pPr>
              <w:spacing w:after="0" w:line="240" w:lineRule="auto"/>
              <w:jc w:val="center"/>
              <w:rPr>
                <w:sz w:val="20"/>
                <w:szCs w:val="20"/>
              </w:rPr>
            </w:pPr>
            <w:r w:rsidRPr="00494CA7">
              <w:rPr>
                <w:sz w:val="20"/>
                <w:szCs w:val="20"/>
                <w:lang w:val="en-GB"/>
              </w:rPr>
              <w:t>3056</w:t>
            </w:r>
          </w:p>
        </w:tc>
      </w:tr>
      <w:tr w:rsidR="009B57E2" w:rsidRPr="00494CA7" w14:paraId="1342C8FB" w14:textId="77777777" w:rsidTr="00B64335">
        <w:trPr>
          <w:trHeight w:val="284"/>
        </w:trPr>
        <w:tc>
          <w:tcPr>
            <w:tcW w:w="1008" w:type="pct"/>
            <w:tcBorders>
              <w:top w:val="nil"/>
              <w:left w:val="nil"/>
              <w:bottom w:val="nil"/>
              <w:right w:val="nil"/>
            </w:tcBorders>
            <w:vAlign w:val="center"/>
          </w:tcPr>
          <w:p w14:paraId="501D8187"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Canada</w:t>
            </w:r>
          </w:p>
        </w:tc>
        <w:tc>
          <w:tcPr>
            <w:tcW w:w="799" w:type="pct"/>
            <w:tcBorders>
              <w:top w:val="nil"/>
              <w:left w:val="nil"/>
              <w:bottom w:val="nil"/>
              <w:right w:val="nil"/>
            </w:tcBorders>
            <w:vAlign w:val="center"/>
          </w:tcPr>
          <w:p w14:paraId="16FF0883" w14:textId="77777777" w:rsidR="009B57E2" w:rsidRPr="00494CA7" w:rsidRDefault="009B57E2" w:rsidP="00B64335">
            <w:pPr>
              <w:spacing w:after="0" w:line="240" w:lineRule="auto"/>
              <w:jc w:val="center"/>
              <w:rPr>
                <w:sz w:val="20"/>
                <w:szCs w:val="20"/>
                <w:lang w:val="en-GB"/>
              </w:rPr>
            </w:pPr>
            <w:r w:rsidRPr="00494CA7">
              <w:rPr>
                <w:sz w:val="20"/>
                <w:szCs w:val="20"/>
                <w:lang w:val="en-GB"/>
              </w:rPr>
              <w:t>528.3</w:t>
            </w:r>
          </w:p>
        </w:tc>
        <w:tc>
          <w:tcPr>
            <w:tcW w:w="798" w:type="pct"/>
            <w:tcBorders>
              <w:top w:val="nil"/>
              <w:left w:val="nil"/>
              <w:bottom w:val="nil"/>
              <w:right w:val="nil"/>
            </w:tcBorders>
            <w:vAlign w:val="center"/>
          </w:tcPr>
          <w:p w14:paraId="50F655B7" w14:textId="77777777" w:rsidR="009B57E2" w:rsidRPr="00494CA7" w:rsidRDefault="009B57E2" w:rsidP="00B64335">
            <w:pPr>
              <w:spacing w:after="0" w:line="240" w:lineRule="auto"/>
              <w:jc w:val="center"/>
              <w:rPr>
                <w:sz w:val="20"/>
                <w:szCs w:val="20"/>
                <w:lang w:val="en-GB"/>
              </w:rPr>
            </w:pPr>
            <w:r w:rsidRPr="00494CA7">
              <w:rPr>
                <w:sz w:val="20"/>
                <w:szCs w:val="20"/>
                <w:lang w:val="en-GB"/>
              </w:rPr>
              <w:t>1.9</w:t>
            </w:r>
          </w:p>
        </w:tc>
        <w:tc>
          <w:tcPr>
            <w:tcW w:w="798" w:type="pct"/>
            <w:tcBorders>
              <w:top w:val="nil"/>
              <w:left w:val="nil"/>
              <w:bottom w:val="nil"/>
              <w:right w:val="nil"/>
            </w:tcBorders>
            <w:vAlign w:val="center"/>
          </w:tcPr>
          <w:p w14:paraId="15433C4D"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0.879</w:t>
            </w:r>
          </w:p>
        </w:tc>
        <w:tc>
          <w:tcPr>
            <w:tcW w:w="798" w:type="pct"/>
            <w:tcBorders>
              <w:top w:val="nil"/>
              <w:left w:val="nil"/>
              <w:bottom w:val="nil"/>
              <w:right w:val="nil"/>
            </w:tcBorders>
          </w:tcPr>
          <w:p w14:paraId="4F6D2240" w14:textId="77777777" w:rsidR="009B57E2" w:rsidRPr="00494CA7" w:rsidRDefault="009B57E2" w:rsidP="00B64335">
            <w:pPr>
              <w:spacing w:after="0" w:line="240" w:lineRule="auto"/>
              <w:jc w:val="center"/>
              <w:rPr>
                <w:sz w:val="20"/>
                <w:szCs w:val="20"/>
                <w:lang w:val="en-GB"/>
              </w:rPr>
            </w:pPr>
            <w:r w:rsidRPr="00494CA7">
              <w:rPr>
                <w:sz w:val="20"/>
                <w:szCs w:val="20"/>
                <w:lang w:val="en-GB"/>
              </w:rPr>
              <w:t>4</w:t>
            </w:r>
            <w:r w:rsidRPr="00494CA7">
              <w:rPr>
                <w:sz w:val="20"/>
                <w:szCs w:val="20"/>
                <w:vertAlign w:val="superscript"/>
                <w:lang w:val="en-GB"/>
              </w:rPr>
              <w:t>th</w:t>
            </w:r>
          </w:p>
        </w:tc>
        <w:tc>
          <w:tcPr>
            <w:tcW w:w="798" w:type="pct"/>
            <w:tcBorders>
              <w:top w:val="nil"/>
              <w:left w:val="nil"/>
              <w:bottom w:val="nil"/>
              <w:right w:val="nil"/>
            </w:tcBorders>
            <w:vAlign w:val="center"/>
          </w:tcPr>
          <w:p w14:paraId="28C7C7A5" w14:textId="77777777" w:rsidR="009B57E2" w:rsidRPr="00494CA7" w:rsidRDefault="009B57E2" w:rsidP="00B64335">
            <w:pPr>
              <w:spacing w:after="0" w:line="240" w:lineRule="auto"/>
              <w:jc w:val="center"/>
              <w:rPr>
                <w:sz w:val="20"/>
                <w:szCs w:val="20"/>
              </w:rPr>
            </w:pPr>
            <w:r w:rsidRPr="00494CA7">
              <w:rPr>
                <w:sz w:val="20"/>
                <w:szCs w:val="20"/>
                <w:lang w:val="en-GB"/>
              </w:rPr>
              <w:t>18811</w:t>
            </w:r>
          </w:p>
        </w:tc>
      </w:tr>
      <w:tr w:rsidR="009B57E2" w:rsidRPr="00494CA7" w14:paraId="2A5A9B31" w14:textId="77777777" w:rsidTr="00B64335">
        <w:trPr>
          <w:trHeight w:val="284"/>
        </w:trPr>
        <w:tc>
          <w:tcPr>
            <w:tcW w:w="1008" w:type="pct"/>
            <w:tcBorders>
              <w:top w:val="nil"/>
              <w:left w:val="nil"/>
              <w:bottom w:val="nil"/>
              <w:right w:val="nil"/>
            </w:tcBorders>
            <w:vAlign w:val="center"/>
          </w:tcPr>
          <w:p w14:paraId="0424F5F7"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Chile</w:t>
            </w:r>
          </w:p>
        </w:tc>
        <w:tc>
          <w:tcPr>
            <w:tcW w:w="799" w:type="pct"/>
            <w:tcBorders>
              <w:top w:val="nil"/>
              <w:left w:val="nil"/>
              <w:bottom w:val="nil"/>
              <w:right w:val="nil"/>
            </w:tcBorders>
            <w:vAlign w:val="center"/>
          </w:tcPr>
          <w:p w14:paraId="18FCC1BA" w14:textId="77777777" w:rsidR="009B57E2" w:rsidRPr="00494CA7" w:rsidRDefault="009B57E2" w:rsidP="00B64335">
            <w:pPr>
              <w:spacing w:after="0" w:line="240" w:lineRule="auto"/>
              <w:jc w:val="center"/>
              <w:rPr>
                <w:sz w:val="20"/>
                <w:szCs w:val="20"/>
                <w:lang w:val="en-GB"/>
              </w:rPr>
            </w:pPr>
            <w:r w:rsidRPr="00494CA7">
              <w:rPr>
                <w:sz w:val="20"/>
                <w:szCs w:val="20"/>
                <w:lang w:val="en-GB"/>
              </w:rPr>
              <w:t>422.0</w:t>
            </w:r>
          </w:p>
        </w:tc>
        <w:tc>
          <w:tcPr>
            <w:tcW w:w="798" w:type="pct"/>
            <w:tcBorders>
              <w:top w:val="nil"/>
              <w:left w:val="nil"/>
              <w:bottom w:val="nil"/>
              <w:right w:val="nil"/>
            </w:tcBorders>
            <w:vAlign w:val="center"/>
          </w:tcPr>
          <w:p w14:paraId="33A0AA81" w14:textId="77777777" w:rsidR="009B57E2" w:rsidRPr="00494CA7" w:rsidRDefault="009B57E2" w:rsidP="00B64335">
            <w:pPr>
              <w:spacing w:after="0" w:line="240" w:lineRule="auto"/>
              <w:jc w:val="center"/>
              <w:rPr>
                <w:sz w:val="20"/>
                <w:szCs w:val="20"/>
                <w:lang w:val="en-GB"/>
              </w:rPr>
            </w:pPr>
            <w:r w:rsidRPr="00494CA7">
              <w:rPr>
                <w:sz w:val="20"/>
                <w:szCs w:val="20"/>
                <w:lang w:val="en-GB"/>
              </w:rPr>
              <w:t>2.2</w:t>
            </w:r>
          </w:p>
        </w:tc>
        <w:tc>
          <w:tcPr>
            <w:tcW w:w="798" w:type="pct"/>
            <w:tcBorders>
              <w:top w:val="nil"/>
              <w:left w:val="nil"/>
              <w:bottom w:val="nil"/>
              <w:right w:val="nil"/>
            </w:tcBorders>
            <w:vAlign w:val="center"/>
          </w:tcPr>
          <w:p w14:paraId="35B9D79A"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0.749</w:t>
            </w:r>
          </w:p>
        </w:tc>
        <w:tc>
          <w:tcPr>
            <w:tcW w:w="798" w:type="pct"/>
            <w:tcBorders>
              <w:top w:val="nil"/>
              <w:left w:val="nil"/>
              <w:bottom w:val="nil"/>
              <w:right w:val="nil"/>
            </w:tcBorders>
          </w:tcPr>
          <w:p w14:paraId="35910663" w14:textId="77777777" w:rsidR="009B57E2" w:rsidRPr="00494CA7" w:rsidRDefault="009B57E2" w:rsidP="00B64335">
            <w:pPr>
              <w:spacing w:after="0" w:line="240" w:lineRule="auto"/>
              <w:jc w:val="center"/>
              <w:rPr>
                <w:sz w:val="20"/>
                <w:szCs w:val="20"/>
                <w:lang w:val="en-GB"/>
              </w:rPr>
            </w:pPr>
            <w:r w:rsidRPr="00494CA7">
              <w:rPr>
                <w:sz w:val="20"/>
                <w:szCs w:val="20"/>
                <w:lang w:val="en-GB"/>
              </w:rPr>
              <w:t>2</w:t>
            </w:r>
            <w:r w:rsidRPr="00494CA7">
              <w:rPr>
                <w:sz w:val="20"/>
                <w:szCs w:val="20"/>
                <w:vertAlign w:val="superscript"/>
                <w:lang w:val="en-GB"/>
              </w:rPr>
              <w:t>nd</w:t>
            </w:r>
          </w:p>
        </w:tc>
        <w:tc>
          <w:tcPr>
            <w:tcW w:w="798" w:type="pct"/>
            <w:tcBorders>
              <w:top w:val="nil"/>
              <w:left w:val="nil"/>
              <w:bottom w:val="nil"/>
              <w:right w:val="nil"/>
            </w:tcBorders>
            <w:vAlign w:val="center"/>
          </w:tcPr>
          <w:p w14:paraId="17AEDCD5" w14:textId="77777777" w:rsidR="009B57E2" w:rsidRPr="00494CA7" w:rsidRDefault="009B57E2" w:rsidP="00B64335">
            <w:pPr>
              <w:spacing w:after="0" w:line="240" w:lineRule="auto"/>
              <w:jc w:val="center"/>
              <w:rPr>
                <w:sz w:val="20"/>
                <w:szCs w:val="20"/>
              </w:rPr>
            </w:pPr>
            <w:r w:rsidRPr="00494CA7">
              <w:rPr>
                <w:sz w:val="20"/>
                <w:szCs w:val="20"/>
                <w:lang w:val="en-GB"/>
              </w:rPr>
              <w:t>3500</w:t>
            </w:r>
          </w:p>
        </w:tc>
      </w:tr>
      <w:tr w:rsidR="009B57E2" w:rsidRPr="00494CA7" w14:paraId="133E12C3" w14:textId="77777777" w:rsidTr="00B64335">
        <w:trPr>
          <w:trHeight w:val="284"/>
        </w:trPr>
        <w:tc>
          <w:tcPr>
            <w:tcW w:w="1008" w:type="pct"/>
            <w:tcBorders>
              <w:top w:val="nil"/>
              <w:left w:val="nil"/>
              <w:bottom w:val="nil"/>
              <w:right w:val="nil"/>
            </w:tcBorders>
            <w:vAlign w:val="center"/>
          </w:tcPr>
          <w:p w14:paraId="71006909"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Czech Republic</w:t>
            </w:r>
          </w:p>
        </w:tc>
        <w:tc>
          <w:tcPr>
            <w:tcW w:w="799" w:type="pct"/>
            <w:tcBorders>
              <w:top w:val="nil"/>
              <w:left w:val="nil"/>
              <w:bottom w:val="nil"/>
              <w:right w:val="nil"/>
            </w:tcBorders>
            <w:vAlign w:val="center"/>
          </w:tcPr>
          <w:p w14:paraId="37CA6DFD" w14:textId="77777777" w:rsidR="009B57E2" w:rsidRPr="00494CA7" w:rsidRDefault="009B57E2" w:rsidP="00B64335">
            <w:pPr>
              <w:spacing w:after="0" w:line="240" w:lineRule="auto"/>
              <w:jc w:val="center"/>
              <w:rPr>
                <w:sz w:val="20"/>
                <w:szCs w:val="20"/>
                <w:lang w:val="en-GB"/>
              </w:rPr>
            </w:pPr>
            <w:r w:rsidRPr="00494CA7">
              <w:rPr>
                <w:sz w:val="20"/>
                <w:szCs w:val="20"/>
                <w:lang w:val="en-GB"/>
              </w:rPr>
              <w:t>502.7</w:t>
            </w:r>
          </w:p>
        </w:tc>
        <w:tc>
          <w:tcPr>
            <w:tcW w:w="798" w:type="pct"/>
            <w:tcBorders>
              <w:top w:val="nil"/>
              <w:left w:val="nil"/>
              <w:bottom w:val="nil"/>
              <w:right w:val="nil"/>
            </w:tcBorders>
            <w:vAlign w:val="center"/>
          </w:tcPr>
          <w:p w14:paraId="6BEA5627" w14:textId="77777777" w:rsidR="009B57E2" w:rsidRPr="00494CA7" w:rsidRDefault="009B57E2" w:rsidP="00B64335">
            <w:pPr>
              <w:spacing w:after="0" w:line="240" w:lineRule="auto"/>
              <w:jc w:val="center"/>
              <w:rPr>
                <w:sz w:val="20"/>
                <w:szCs w:val="20"/>
                <w:lang w:val="en-GB"/>
              </w:rPr>
            </w:pPr>
            <w:r w:rsidRPr="00494CA7">
              <w:rPr>
                <w:sz w:val="20"/>
                <w:szCs w:val="20"/>
                <w:lang w:val="en-GB"/>
              </w:rPr>
              <w:t>1.5</w:t>
            </w:r>
          </w:p>
        </w:tc>
        <w:tc>
          <w:tcPr>
            <w:tcW w:w="798" w:type="pct"/>
            <w:tcBorders>
              <w:top w:val="nil"/>
              <w:left w:val="nil"/>
              <w:bottom w:val="nil"/>
              <w:right w:val="nil"/>
            </w:tcBorders>
            <w:vAlign w:val="center"/>
          </w:tcPr>
          <w:p w14:paraId="17F80ECE"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0.816</w:t>
            </w:r>
          </w:p>
        </w:tc>
        <w:tc>
          <w:tcPr>
            <w:tcW w:w="798" w:type="pct"/>
            <w:tcBorders>
              <w:top w:val="nil"/>
              <w:left w:val="nil"/>
              <w:bottom w:val="nil"/>
              <w:right w:val="nil"/>
            </w:tcBorders>
          </w:tcPr>
          <w:p w14:paraId="225CB966" w14:textId="77777777" w:rsidR="009B57E2" w:rsidRPr="00494CA7" w:rsidRDefault="009B57E2" w:rsidP="00B64335">
            <w:pPr>
              <w:spacing w:after="0" w:line="240" w:lineRule="auto"/>
              <w:jc w:val="center"/>
              <w:rPr>
                <w:sz w:val="20"/>
                <w:szCs w:val="20"/>
                <w:lang w:val="en-GB"/>
              </w:rPr>
            </w:pPr>
            <w:r w:rsidRPr="00494CA7">
              <w:rPr>
                <w:sz w:val="20"/>
                <w:szCs w:val="20"/>
                <w:lang w:val="en-GB"/>
              </w:rPr>
              <w:t>2</w:t>
            </w:r>
            <w:r w:rsidRPr="00494CA7">
              <w:rPr>
                <w:sz w:val="20"/>
                <w:szCs w:val="20"/>
                <w:vertAlign w:val="superscript"/>
                <w:lang w:val="en-GB"/>
              </w:rPr>
              <w:t>nd</w:t>
            </w:r>
          </w:p>
        </w:tc>
        <w:tc>
          <w:tcPr>
            <w:tcW w:w="798" w:type="pct"/>
            <w:tcBorders>
              <w:top w:val="nil"/>
              <w:left w:val="nil"/>
              <w:bottom w:val="nil"/>
              <w:right w:val="nil"/>
            </w:tcBorders>
            <w:vAlign w:val="center"/>
          </w:tcPr>
          <w:p w14:paraId="5A41393F" w14:textId="77777777" w:rsidR="009B57E2" w:rsidRPr="00494CA7" w:rsidRDefault="009B57E2" w:rsidP="00B64335">
            <w:pPr>
              <w:spacing w:after="0" w:line="240" w:lineRule="auto"/>
              <w:jc w:val="center"/>
              <w:rPr>
                <w:sz w:val="20"/>
                <w:szCs w:val="20"/>
              </w:rPr>
            </w:pPr>
            <w:r w:rsidRPr="00494CA7">
              <w:rPr>
                <w:sz w:val="20"/>
                <w:szCs w:val="20"/>
                <w:lang w:val="en-GB"/>
              </w:rPr>
              <w:t>4539</w:t>
            </w:r>
          </w:p>
        </w:tc>
      </w:tr>
      <w:tr w:rsidR="009B57E2" w:rsidRPr="00494CA7" w14:paraId="307E2022" w14:textId="77777777" w:rsidTr="00B64335">
        <w:trPr>
          <w:trHeight w:val="284"/>
        </w:trPr>
        <w:tc>
          <w:tcPr>
            <w:tcW w:w="1008" w:type="pct"/>
            <w:tcBorders>
              <w:top w:val="nil"/>
              <w:left w:val="nil"/>
              <w:bottom w:val="nil"/>
              <w:right w:val="nil"/>
            </w:tcBorders>
            <w:vAlign w:val="center"/>
          </w:tcPr>
          <w:p w14:paraId="4F627365"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Denmark</w:t>
            </w:r>
          </w:p>
        </w:tc>
        <w:tc>
          <w:tcPr>
            <w:tcW w:w="799" w:type="pct"/>
            <w:tcBorders>
              <w:top w:val="nil"/>
              <w:left w:val="nil"/>
              <w:bottom w:val="nil"/>
              <w:right w:val="nil"/>
            </w:tcBorders>
            <w:vAlign w:val="center"/>
          </w:tcPr>
          <w:p w14:paraId="0EF1B825" w14:textId="77777777" w:rsidR="009B57E2" w:rsidRPr="00494CA7" w:rsidRDefault="009B57E2" w:rsidP="00B64335">
            <w:pPr>
              <w:spacing w:after="0" w:line="240" w:lineRule="auto"/>
              <w:jc w:val="center"/>
              <w:rPr>
                <w:sz w:val="20"/>
                <w:szCs w:val="20"/>
                <w:lang w:val="en-GB"/>
              </w:rPr>
            </w:pPr>
            <w:r w:rsidRPr="00494CA7">
              <w:rPr>
                <w:sz w:val="20"/>
                <w:szCs w:val="20"/>
                <w:lang w:val="en-GB"/>
              </w:rPr>
              <w:t>509.4</w:t>
            </w:r>
          </w:p>
        </w:tc>
        <w:tc>
          <w:tcPr>
            <w:tcW w:w="798" w:type="pct"/>
            <w:tcBorders>
              <w:top w:val="nil"/>
              <w:left w:val="nil"/>
              <w:bottom w:val="nil"/>
              <w:right w:val="nil"/>
            </w:tcBorders>
            <w:vAlign w:val="center"/>
          </w:tcPr>
          <w:p w14:paraId="6A321DBC" w14:textId="77777777" w:rsidR="009B57E2" w:rsidRPr="00494CA7" w:rsidRDefault="009B57E2" w:rsidP="00B64335">
            <w:pPr>
              <w:spacing w:after="0" w:line="240" w:lineRule="auto"/>
              <w:jc w:val="center"/>
              <w:rPr>
                <w:sz w:val="20"/>
                <w:szCs w:val="20"/>
                <w:lang w:val="en-GB"/>
              </w:rPr>
            </w:pPr>
            <w:r w:rsidRPr="00494CA7">
              <w:rPr>
                <w:sz w:val="20"/>
                <w:szCs w:val="20"/>
                <w:lang w:val="en-GB"/>
              </w:rPr>
              <w:t>1.9</w:t>
            </w:r>
          </w:p>
        </w:tc>
        <w:tc>
          <w:tcPr>
            <w:tcW w:w="798" w:type="pct"/>
            <w:tcBorders>
              <w:top w:val="nil"/>
              <w:left w:val="nil"/>
              <w:bottom w:val="nil"/>
              <w:right w:val="nil"/>
            </w:tcBorders>
            <w:vAlign w:val="center"/>
          </w:tcPr>
          <w:p w14:paraId="1FAB9B47"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0.861</w:t>
            </w:r>
          </w:p>
        </w:tc>
        <w:tc>
          <w:tcPr>
            <w:tcW w:w="798" w:type="pct"/>
            <w:tcBorders>
              <w:top w:val="nil"/>
              <w:left w:val="nil"/>
              <w:bottom w:val="nil"/>
              <w:right w:val="nil"/>
            </w:tcBorders>
          </w:tcPr>
          <w:p w14:paraId="1570AE70" w14:textId="77777777" w:rsidR="009B57E2" w:rsidRPr="00494CA7" w:rsidRDefault="009B57E2" w:rsidP="00B64335">
            <w:pPr>
              <w:spacing w:after="0" w:line="240" w:lineRule="auto"/>
              <w:jc w:val="center"/>
              <w:rPr>
                <w:sz w:val="20"/>
                <w:szCs w:val="20"/>
                <w:lang w:val="en-GB"/>
              </w:rPr>
            </w:pPr>
            <w:r w:rsidRPr="00494CA7">
              <w:rPr>
                <w:sz w:val="20"/>
                <w:szCs w:val="20"/>
                <w:lang w:val="en-GB"/>
              </w:rPr>
              <w:t>3</w:t>
            </w:r>
            <w:r w:rsidRPr="00494CA7">
              <w:rPr>
                <w:sz w:val="20"/>
                <w:szCs w:val="20"/>
                <w:vertAlign w:val="superscript"/>
                <w:lang w:val="en-GB"/>
              </w:rPr>
              <w:t>rd</w:t>
            </w:r>
          </w:p>
        </w:tc>
        <w:tc>
          <w:tcPr>
            <w:tcW w:w="798" w:type="pct"/>
            <w:tcBorders>
              <w:top w:val="nil"/>
              <w:left w:val="nil"/>
              <w:bottom w:val="nil"/>
              <w:right w:val="nil"/>
            </w:tcBorders>
            <w:vAlign w:val="center"/>
          </w:tcPr>
          <w:p w14:paraId="1EE0C8A5" w14:textId="77777777" w:rsidR="009B57E2" w:rsidRPr="00494CA7" w:rsidRDefault="009B57E2" w:rsidP="00B64335">
            <w:pPr>
              <w:spacing w:after="0" w:line="240" w:lineRule="auto"/>
              <w:jc w:val="center"/>
              <w:rPr>
                <w:sz w:val="20"/>
                <w:szCs w:val="20"/>
              </w:rPr>
            </w:pPr>
            <w:r w:rsidRPr="00494CA7">
              <w:rPr>
                <w:sz w:val="20"/>
                <w:szCs w:val="20"/>
                <w:lang w:val="en-GB"/>
              </w:rPr>
              <w:t>3099</w:t>
            </w:r>
          </w:p>
        </w:tc>
      </w:tr>
      <w:tr w:rsidR="009B57E2" w:rsidRPr="00494CA7" w14:paraId="03258C31" w14:textId="77777777" w:rsidTr="00B64335">
        <w:trPr>
          <w:trHeight w:val="284"/>
        </w:trPr>
        <w:tc>
          <w:tcPr>
            <w:tcW w:w="1008" w:type="pct"/>
            <w:tcBorders>
              <w:top w:val="nil"/>
              <w:left w:val="nil"/>
              <w:bottom w:val="nil"/>
              <w:right w:val="nil"/>
            </w:tcBorders>
            <w:vAlign w:val="center"/>
          </w:tcPr>
          <w:p w14:paraId="71A3890C"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Finland</w:t>
            </w:r>
          </w:p>
        </w:tc>
        <w:tc>
          <w:tcPr>
            <w:tcW w:w="799" w:type="pct"/>
            <w:tcBorders>
              <w:top w:val="nil"/>
              <w:left w:val="nil"/>
              <w:bottom w:val="nil"/>
              <w:right w:val="nil"/>
            </w:tcBorders>
            <w:vAlign w:val="center"/>
          </w:tcPr>
          <w:p w14:paraId="29CD8341" w14:textId="77777777" w:rsidR="009B57E2" w:rsidRPr="00494CA7" w:rsidRDefault="009B57E2" w:rsidP="00B64335">
            <w:pPr>
              <w:spacing w:after="0" w:line="240" w:lineRule="auto"/>
              <w:jc w:val="center"/>
              <w:rPr>
                <w:sz w:val="20"/>
                <w:szCs w:val="20"/>
                <w:lang w:val="en-GB"/>
              </w:rPr>
            </w:pPr>
            <w:r w:rsidRPr="00494CA7">
              <w:rPr>
                <w:sz w:val="20"/>
                <w:szCs w:val="20"/>
                <w:lang w:val="en-GB"/>
              </w:rPr>
              <w:t>552.0</w:t>
            </w:r>
          </w:p>
        </w:tc>
        <w:tc>
          <w:tcPr>
            <w:tcW w:w="798" w:type="pct"/>
            <w:tcBorders>
              <w:top w:val="nil"/>
              <w:left w:val="nil"/>
              <w:bottom w:val="nil"/>
              <w:right w:val="nil"/>
            </w:tcBorders>
            <w:vAlign w:val="center"/>
          </w:tcPr>
          <w:p w14:paraId="4C310BAF" w14:textId="77777777" w:rsidR="009B57E2" w:rsidRPr="00494CA7" w:rsidRDefault="009B57E2" w:rsidP="00B64335">
            <w:pPr>
              <w:spacing w:after="0" w:line="240" w:lineRule="auto"/>
              <w:jc w:val="center"/>
              <w:rPr>
                <w:sz w:val="20"/>
                <w:szCs w:val="20"/>
                <w:lang w:val="en-GB"/>
              </w:rPr>
            </w:pPr>
            <w:r w:rsidRPr="00494CA7">
              <w:rPr>
                <w:sz w:val="20"/>
                <w:szCs w:val="20"/>
                <w:lang w:val="en-GB"/>
              </w:rPr>
              <w:t>2.0</w:t>
            </w:r>
          </w:p>
        </w:tc>
        <w:tc>
          <w:tcPr>
            <w:tcW w:w="798" w:type="pct"/>
            <w:tcBorders>
              <w:top w:val="nil"/>
              <w:left w:val="nil"/>
              <w:bottom w:val="nil"/>
              <w:right w:val="nil"/>
            </w:tcBorders>
            <w:vAlign w:val="center"/>
          </w:tcPr>
          <w:p w14:paraId="109A25D3"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0.837</w:t>
            </w:r>
          </w:p>
        </w:tc>
        <w:tc>
          <w:tcPr>
            <w:tcW w:w="798" w:type="pct"/>
            <w:tcBorders>
              <w:top w:val="nil"/>
              <w:left w:val="nil"/>
              <w:bottom w:val="nil"/>
              <w:right w:val="nil"/>
            </w:tcBorders>
          </w:tcPr>
          <w:p w14:paraId="04A9BCB0" w14:textId="77777777" w:rsidR="009B57E2" w:rsidRPr="00494CA7" w:rsidRDefault="009B57E2" w:rsidP="00B64335">
            <w:pPr>
              <w:spacing w:after="0" w:line="240" w:lineRule="auto"/>
              <w:jc w:val="center"/>
              <w:rPr>
                <w:sz w:val="20"/>
                <w:szCs w:val="20"/>
                <w:lang w:val="en-GB"/>
              </w:rPr>
            </w:pPr>
            <w:r w:rsidRPr="00494CA7">
              <w:rPr>
                <w:sz w:val="20"/>
                <w:szCs w:val="20"/>
                <w:lang w:val="en-GB"/>
              </w:rPr>
              <w:t>3</w:t>
            </w:r>
            <w:r w:rsidRPr="00494CA7">
              <w:rPr>
                <w:sz w:val="20"/>
                <w:szCs w:val="20"/>
                <w:vertAlign w:val="superscript"/>
                <w:lang w:val="en-GB"/>
              </w:rPr>
              <w:t>rd</w:t>
            </w:r>
          </w:p>
        </w:tc>
        <w:tc>
          <w:tcPr>
            <w:tcW w:w="798" w:type="pct"/>
            <w:tcBorders>
              <w:top w:val="nil"/>
              <w:left w:val="nil"/>
              <w:bottom w:val="nil"/>
              <w:right w:val="nil"/>
            </w:tcBorders>
            <w:vAlign w:val="center"/>
          </w:tcPr>
          <w:p w14:paraId="7EB865C7" w14:textId="77777777" w:rsidR="009B57E2" w:rsidRPr="00494CA7" w:rsidRDefault="009B57E2" w:rsidP="00B64335">
            <w:pPr>
              <w:spacing w:after="0" w:line="240" w:lineRule="auto"/>
              <w:jc w:val="center"/>
              <w:rPr>
                <w:sz w:val="20"/>
                <w:szCs w:val="20"/>
              </w:rPr>
            </w:pPr>
            <w:r w:rsidRPr="00494CA7">
              <w:rPr>
                <w:sz w:val="20"/>
                <w:szCs w:val="20"/>
                <w:lang w:val="en-GB"/>
              </w:rPr>
              <w:t>4355</w:t>
            </w:r>
          </w:p>
        </w:tc>
      </w:tr>
      <w:tr w:rsidR="009B57E2" w:rsidRPr="00494CA7" w14:paraId="256FF33C" w14:textId="77777777" w:rsidTr="00B64335">
        <w:trPr>
          <w:trHeight w:val="284"/>
        </w:trPr>
        <w:tc>
          <w:tcPr>
            <w:tcW w:w="1008" w:type="pct"/>
            <w:tcBorders>
              <w:top w:val="nil"/>
              <w:left w:val="nil"/>
              <w:bottom w:val="nil"/>
              <w:right w:val="nil"/>
            </w:tcBorders>
            <w:vAlign w:val="center"/>
          </w:tcPr>
          <w:p w14:paraId="527FE1E2"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France</w:t>
            </w:r>
          </w:p>
        </w:tc>
        <w:tc>
          <w:tcPr>
            <w:tcW w:w="799" w:type="pct"/>
            <w:tcBorders>
              <w:top w:val="nil"/>
              <w:left w:val="nil"/>
              <w:bottom w:val="nil"/>
              <w:right w:val="nil"/>
            </w:tcBorders>
            <w:vAlign w:val="center"/>
          </w:tcPr>
          <w:p w14:paraId="0F0969C8" w14:textId="77777777" w:rsidR="009B57E2" w:rsidRPr="00494CA7" w:rsidRDefault="009B57E2" w:rsidP="00B64335">
            <w:pPr>
              <w:spacing w:after="0" w:line="240" w:lineRule="auto"/>
              <w:jc w:val="center"/>
              <w:rPr>
                <w:sz w:val="20"/>
                <w:szCs w:val="20"/>
                <w:lang w:val="en-GB"/>
              </w:rPr>
            </w:pPr>
            <w:r w:rsidRPr="00494CA7">
              <w:rPr>
                <w:sz w:val="20"/>
                <w:szCs w:val="20"/>
                <w:lang w:val="en-GB"/>
              </w:rPr>
              <w:t>512.4</w:t>
            </w:r>
          </w:p>
        </w:tc>
        <w:tc>
          <w:tcPr>
            <w:tcW w:w="798" w:type="pct"/>
            <w:tcBorders>
              <w:top w:val="nil"/>
              <w:left w:val="nil"/>
              <w:bottom w:val="nil"/>
              <w:right w:val="nil"/>
            </w:tcBorders>
            <w:vAlign w:val="center"/>
          </w:tcPr>
          <w:p w14:paraId="772BDD7E" w14:textId="77777777" w:rsidR="009B57E2" w:rsidRPr="00494CA7" w:rsidRDefault="009B57E2" w:rsidP="00B64335">
            <w:pPr>
              <w:spacing w:after="0" w:line="240" w:lineRule="auto"/>
              <w:jc w:val="center"/>
              <w:rPr>
                <w:sz w:val="20"/>
                <w:szCs w:val="20"/>
                <w:lang w:val="en-GB"/>
              </w:rPr>
            </w:pPr>
            <w:r w:rsidRPr="00494CA7">
              <w:rPr>
                <w:sz w:val="20"/>
                <w:szCs w:val="20"/>
                <w:lang w:val="en-GB"/>
              </w:rPr>
              <w:t>1.8</w:t>
            </w:r>
          </w:p>
        </w:tc>
        <w:tc>
          <w:tcPr>
            <w:tcW w:w="798" w:type="pct"/>
            <w:tcBorders>
              <w:top w:val="nil"/>
              <w:left w:val="nil"/>
              <w:bottom w:val="nil"/>
              <w:right w:val="nil"/>
            </w:tcBorders>
            <w:vAlign w:val="center"/>
          </w:tcPr>
          <w:p w14:paraId="68DD21AF"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0.846</w:t>
            </w:r>
          </w:p>
        </w:tc>
        <w:tc>
          <w:tcPr>
            <w:tcW w:w="798" w:type="pct"/>
            <w:tcBorders>
              <w:top w:val="nil"/>
              <w:left w:val="nil"/>
              <w:bottom w:val="nil"/>
              <w:right w:val="nil"/>
            </w:tcBorders>
          </w:tcPr>
          <w:p w14:paraId="06621A9B" w14:textId="77777777" w:rsidR="009B57E2" w:rsidRPr="00494CA7" w:rsidRDefault="009B57E2" w:rsidP="00B64335">
            <w:pPr>
              <w:spacing w:after="0" w:line="240" w:lineRule="auto"/>
              <w:jc w:val="center"/>
              <w:rPr>
                <w:sz w:val="20"/>
                <w:szCs w:val="20"/>
                <w:lang w:val="en-GB"/>
              </w:rPr>
            </w:pPr>
            <w:r w:rsidRPr="00494CA7">
              <w:rPr>
                <w:sz w:val="20"/>
                <w:szCs w:val="20"/>
                <w:lang w:val="en-GB"/>
              </w:rPr>
              <w:t>3</w:t>
            </w:r>
            <w:r w:rsidRPr="00494CA7">
              <w:rPr>
                <w:sz w:val="20"/>
                <w:szCs w:val="20"/>
                <w:vertAlign w:val="superscript"/>
                <w:lang w:val="en-GB"/>
              </w:rPr>
              <w:t>rd</w:t>
            </w:r>
          </w:p>
        </w:tc>
        <w:tc>
          <w:tcPr>
            <w:tcW w:w="798" w:type="pct"/>
            <w:tcBorders>
              <w:top w:val="nil"/>
              <w:left w:val="nil"/>
              <w:bottom w:val="nil"/>
              <w:right w:val="nil"/>
            </w:tcBorders>
            <w:vAlign w:val="center"/>
          </w:tcPr>
          <w:p w14:paraId="7CA37297" w14:textId="77777777" w:rsidR="009B57E2" w:rsidRPr="00494CA7" w:rsidRDefault="009B57E2" w:rsidP="00B64335">
            <w:pPr>
              <w:spacing w:after="0" w:line="240" w:lineRule="auto"/>
              <w:jc w:val="center"/>
              <w:rPr>
                <w:sz w:val="20"/>
                <w:szCs w:val="20"/>
              </w:rPr>
            </w:pPr>
            <w:r w:rsidRPr="00494CA7">
              <w:rPr>
                <w:sz w:val="20"/>
                <w:szCs w:val="20"/>
                <w:lang w:val="en-GB"/>
              </w:rPr>
              <w:t>2986</w:t>
            </w:r>
          </w:p>
        </w:tc>
      </w:tr>
      <w:tr w:rsidR="009B57E2" w:rsidRPr="00494CA7" w14:paraId="6A17A5AD" w14:textId="77777777" w:rsidTr="00B64335">
        <w:trPr>
          <w:trHeight w:val="284"/>
        </w:trPr>
        <w:tc>
          <w:tcPr>
            <w:tcW w:w="1008" w:type="pct"/>
            <w:tcBorders>
              <w:top w:val="nil"/>
              <w:left w:val="nil"/>
              <w:bottom w:val="nil"/>
              <w:right w:val="nil"/>
            </w:tcBorders>
            <w:vAlign w:val="center"/>
          </w:tcPr>
          <w:p w14:paraId="52D2F952"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Germany</w:t>
            </w:r>
          </w:p>
        </w:tc>
        <w:tc>
          <w:tcPr>
            <w:tcW w:w="799" w:type="pct"/>
            <w:tcBorders>
              <w:top w:val="nil"/>
              <w:left w:val="nil"/>
              <w:bottom w:val="nil"/>
              <w:right w:val="nil"/>
            </w:tcBorders>
            <w:vAlign w:val="center"/>
          </w:tcPr>
          <w:p w14:paraId="02B3A54C" w14:textId="77777777" w:rsidR="009B57E2" w:rsidRPr="00494CA7" w:rsidRDefault="009B57E2" w:rsidP="00B64335">
            <w:pPr>
              <w:spacing w:after="0" w:line="240" w:lineRule="auto"/>
              <w:jc w:val="center"/>
              <w:rPr>
                <w:sz w:val="20"/>
                <w:szCs w:val="20"/>
                <w:lang w:val="en-GB"/>
              </w:rPr>
            </w:pPr>
            <w:r w:rsidRPr="00494CA7">
              <w:rPr>
                <w:sz w:val="20"/>
                <w:szCs w:val="20"/>
                <w:lang w:val="en-GB"/>
              </w:rPr>
              <w:t>509.3</w:t>
            </w:r>
          </w:p>
        </w:tc>
        <w:tc>
          <w:tcPr>
            <w:tcW w:w="798" w:type="pct"/>
            <w:tcBorders>
              <w:top w:val="nil"/>
              <w:left w:val="nil"/>
              <w:bottom w:val="nil"/>
              <w:right w:val="nil"/>
            </w:tcBorders>
            <w:vAlign w:val="center"/>
          </w:tcPr>
          <w:p w14:paraId="40D8F44E" w14:textId="77777777" w:rsidR="009B57E2" w:rsidRPr="00494CA7" w:rsidRDefault="009B57E2" w:rsidP="00B64335">
            <w:pPr>
              <w:spacing w:after="0" w:line="240" w:lineRule="auto"/>
              <w:jc w:val="center"/>
              <w:rPr>
                <w:sz w:val="20"/>
                <w:szCs w:val="20"/>
                <w:lang w:val="en-GB"/>
              </w:rPr>
            </w:pPr>
            <w:r w:rsidRPr="00494CA7">
              <w:rPr>
                <w:sz w:val="20"/>
                <w:szCs w:val="20"/>
                <w:lang w:val="en-GB"/>
              </w:rPr>
              <w:t>1.5</w:t>
            </w:r>
          </w:p>
        </w:tc>
        <w:tc>
          <w:tcPr>
            <w:tcW w:w="798" w:type="pct"/>
            <w:tcBorders>
              <w:top w:val="nil"/>
              <w:left w:val="nil"/>
              <w:bottom w:val="nil"/>
              <w:right w:val="nil"/>
            </w:tcBorders>
            <w:vAlign w:val="center"/>
          </w:tcPr>
          <w:p w14:paraId="5E2127CF"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0.864</w:t>
            </w:r>
          </w:p>
        </w:tc>
        <w:tc>
          <w:tcPr>
            <w:tcW w:w="798" w:type="pct"/>
            <w:tcBorders>
              <w:top w:val="nil"/>
              <w:left w:val="nil"/>
              <w:bottom w:val="nil"/>
              <w:right w:val="nil"/>
            </w:tcBorders>
          </w:tcPr>
          <w:p w14:paraId="39010804" w14:textId="77777777" w:rsidR="009B57E2" w:rsidRPr="00494CA7" w:rsidRDefault="009B57E2" w:rsidP="00B64335">
            <w:pPr>
              <w:spacing w:after="0" w:line="240" w:lineRule="auto"/>
              <w:jc w:val="center"/>
              <w:rPr>
                <w:sz w:val="20"/>
                <w:szCs w:val="20"/>
                <w:lang w:val="en-GB"/>
              </w:rPr>
            </w:pPr>
            <w:r w:rsidRPr="00494CA7">
              <w:rPr>
                <w:sz w:val="20"/>
                <w:szCs w:val="20"/>
                <w:lang w:val="en-GB"/>
              </w:rPr>
              <w:t>4</w:t>
            </w:r>
            <w:r w:rsidRPr="00494CA7">
              <w:rPr>
                <w:sz w:val="20"/>
                <w:szCs w:val="20"/>
                <w:vertAlign w:val="superscript"/>
                <w:lang w:val="en-GB"/>
              </w:rPr>
              <w:t>th</w:t>
            </w:r>
          </w:p>
        </w:tc>
        <w:tc>
          <w:tcPr>
            <w:tcW w:w="798" w:type="pct"/>
            <w:tcBorders>
              <w:top w:val="nil"/>
              <w:left w:val="nil"/>
              <w:bottom w:val="nil"/>
              <w:right w:val="nil"/>
            </w:tcBorders>
            <w:vAlign w:val="center"/>
          </w:tcPr>
          <w:p w14:paraId="779D56CB" w14:textId="77777777" w:rsidR="009B57E2" w:rsidRPr="00494CA7" w:rsidRDefault="009B57E2" w:rsidP="00B64335">
            <w:pPr>
              <w:spacing w:after="0" w:line="240" w:lineRule="auto"/>
              <w:jc w:val="center"/>
              <w:rPr>
                <w:sz w:val="20"/>
                <w:szCs w:val="20"/>
              </w:rPr>
            </w:pPr>
            <w:r w:rsidRPr="00494CA7">
              <w:rPr>
                <w:sz w:val="20"/>
                <w:szCs w:val="20"/>
                <w:lang w:val="en-GB"/>
              </w:rPr>
              <w:t>4232</w:t>
            </w:r>
          </w:p>
        </w:tc>
      </w:tr>
      <w:tr w:rsidR="009B57E2" w:rsidRPr="00494CA7" w14:paraId="7F7F1B07" w14:textId="77777777" w:rsidTr="00B64335">
        <w:trPr>
          <w:trHeight w:val="284"/>
        </w:trPr>
        <w:tc>
          <w:tcPr>
            <w:tcW w:w="1008" w:type="pct"/>
            <w:tcBorders>
              <w:top w:val="nil"/>
              <w:left w:val="nil"/>
              <w:bottom w:val="nil"/>
              <w:right w:val="nil"/>
            </w:tcBorders>
            <w:vAlign w:val="center"/>
          </w:tcPr>
          <w:p w14:paraId="283BC879"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Greece</w:t>
            </w:r>
          </w:p>
        </w:tc>
        <w:tc>
          <w:tcPr>
            <w:tcW w:w="799" w:type="pct"/>
            <w:tcBorders>
              <w:top w:val="nil"/>
              <w:left w:val="nil"/>
              <w:bottom w:val="nil"/>
              <w:right w:val="nil"/>
            </w:tcBorders>
            <w:vAlign w:val="center"/>
          </w:tcPr>
          <w:p w14:paraId="18868FA5" w14:textId="77777777" w:rsidR="009B57E2" w:rsidRPr="00494CA7" w:rsidRDefault="009B57E2" w:rsidP="00B64335">
            <w:pPr>
              <w:spacing w:after="0" w:line="240" w:lineRule="auto"/>
              <w:jc w:val="center"/>
              <w:rPr>
                <w:sz w:val="20"/>
                <w:szCs w:val="20"/>
                <w:lang w:val="en-GB"/>
              </w:rPr>
            </w:pPr>
            <w:r w:rsidRPr="00494CA7">
              <w:rPr>
                <w:sz w:val="20"/>
                <w:szCs w:val="20"/>
                <w:lang w:val="en-GB"/>
              </w:rPr>
              <w:t>480.7</w:t>
            </w:r>
          </w:p>
        </w:tc>
        <w:tc>
          <w:tcPr>
            <w:tcW w:w="798" w:type="pct"/>
            <w:tcBorders>
              <w:top w:val="nil"/>
              <w:left w:val="nil"/>
              <w:bottom w:val="nil"/>
              <w:right w:val="nil"/>
            </w:tcBorders>
            <w:vAlign w:val="center"/>
          </w:tcPr>
          <w:p w14:paraId="7D415D91" w14:textId="77777777" w:rsidR="009B57E2" w:rsidRPr="00494CA7" w:rsidRDefault="009B57E2" w:rsidP="00B64335">
            <w:pPr>
              <w:spacing w:after="0" w:line="240" w:lineRule="auto"/>
              <w:jc w:val="center"/>
              <w:rPr>
                <w:sz w:val="20"/>
                <w:szCs w:val="20"/>
                <w:lang w:val="en-GB"/>
              </w:rPr>
            </w:pPr>
            <w:r w:rsidRPr="00494CA7">
              <w:rPr>
                <w:sz w:val="20"/>
                <w:szCs w:val="20"/>
                <w:lang w:val="en-GB"/>
              </w:rPr>
              <w:t>1.4</w:t>
            </w:r>
          </w:p>
        </w:tc>
        <w:tc>
          <w:tcPr>
            <w:tcW w:w="798" w:type="pct"/>
            <w:tcBorders>
              <w:top w:val="nil"/>
              <w:left w:val="nil"/>
              <w:bottom w:val="nil"/>
              <w:right w:val="nil"/>
            </w:tcBorders>
            <w:vAlign w:val="center"/>
          </w:tcPr>
          <w:p w14:paraId="4FAF7F75"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0.802</w:t>
            </w:r>
          </w:p>
        </w:tc>
        <w:tc>
          <w:tcPr>
            <w:tcW w:w="798" w:type="pct"/>
            <w:tcBorders>
              <w:top w:val="nil"/>
              <w:left w:val="nil"/>
              <w:bottom w:val="nil"/>
              <w:right w:val="nil"/>
            </w:tcBorders>
          </w:tcPr>
          <w:p w14:paraId="1AB9880B" w14:textId="77777777" w:rsidR="009B57E2" w:rsidRPr="00494CA7" w:rsidRDefault="009B57E2" w:rsidP="00B64335">
            <w:pPr>
              <w:spacing w:after="0" w:line="240" w:lineRule="auto"/>
              <w:jc w:val="center"/>
              <w:rPr>
                <w:sz w:val="20"/>
                <w:szCs w:val="20"/>
                <w:lang w:val="en-GB"/>
              </w:rPr>
            </w:pPr>
            <w:r w:rsidRPr="00494CA7">
              <w:rPr>
                <w:sz w:val="20"/>
                <w:szCs w:val="20"/>
                <w:lang w:val="en-GB"/>
              </w:rPr>
              <w:t>2</w:t>
            </w:r>
            <w:r w:rsidRPr="00494CA7">
              <w:rPr>
                <w:sz w:val="20"/>
                <w:szCs w:val="20"/>
                <w:vertAlign w:val="superscript"/>
                <w:lang w:val="en-GB"/>
              </w:rPr>
              <w:t>nd</w:t>
            </w:r>
          </w:p>
        </w:tc>
        <w:tc>
          <w:tcPr>
            <w:tcW w:w="798" w:type="pct"/>
            <w:tcBorders>
              <w:top w:val="nil"/>
              <w:left w:val="nil"/>
              <w:bottom w:val="nil"/>
              <w:right w:val="nil"/>
            </w:tcBorders>
            <w:vAlign w:val="center"/>
          </w:tcPr>
          <w:p w14:paraId="5AA4CDFC" w14:textId="77777777" w:rsidR="009B57E2" w:rsidRPr="00494CA7" w:rsidRDefault="009B57E2" w:rsidP="00B64335">
            <w:pPr>
              <w:spacing w:after="0" w:line="240" w:lineRule="auto"/>
              <w:jc w:val="center"/>
              <w:rPr>
                <w:sz w:val="20"/>
                <w:szCs w:val="20"/>
              </w:rPr>
            </w:pPr>
            <w:r w:rsidRPr="00494CA7">
              <w:rPr>
                <w:sz w:val="20"/>
                <w:szCs w:val="20"/>
                <w:lang w:val="en-GB"/>
              </w:rPr>
              <w:t>2749</w:t>
            </w:r>
          </w:p>
        </w:tc>
      </w:tr>
      <w:tr w:rsidR="009B57E2" w:rsidRPr="00494CA7" w14:paraId="43493DF9" w14:textId="77777777" w:rsidTr="00B64335">
        <w:trPr>
          <w:trHeight w:val="284"/>
        </w:trPr>
        <w:tc>
          <w:tcPr>
            <w:tcW w:w="1008" w:type="pct"/>
            <w:tcBorders>
              <w:top w:val="nil"/>
              <w:left w:val="nil"/>
              <w:bottom w:val="nil"/>
              <w:right w:val="nil"/>
            </w:tcBorders>
            <w:vAlign w:val="center"/>
          </w:tcPr>
          <w:p w14:paraId="4A3CDD9E"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Hong Kong</w:t>
            </w:r>
          </w:p>
        </w:tc>
        <w:tc>
          <w:tcPr>
            <w:tcW w:w="799" w:type="pct"/>
            <w:tcBorders>
              <w:top w:val="nil"/>
              <w:left w:val="nil"/>
              <w:bottom w:val="nil"/>
              <w:right w:val="nil"/>
            </w:tcBorders>
            <w:vAlign w:val="center"/>
          </w:tcPr>
          <w:p w14:paraId="1C0EDCD4" w14:textId="77777777" w:rsidR="009B57E2" w:rsidRPr="00494CA7" w:rsidRDefault="009B57E2" w:rsidP="00B64335">
            <w:pPr>
              <w:spacing w:after="0" w:line="240" w:lineRule="auto"/>
              <w:jc w:val="center"/>
              <w:rPr>
                <w:sz w:val="20"/>
                <w:szCs w:val="20"/>
                <w:lang w:val="en-GB"/>
              </w:rPr>
            </w:pPr>
            <w:r w:rsidRPr="00494CA7">
              <w:rPr>
                <w:sz w:val="20"/>
                <w:szCs w:val="20"/>
                <w:lang w:val="en-GB"/>
              </w:rPr>
              <w:t>533.2</w:t>
            </w:r>
          </w:p>
        </w:tc>
        <w:tc>
          <w:tcPr>
            <w:tcW w:w="798" w:type="pct"/>
            <w:tcBorders>
              <w:top w:val="nil"/>
              <w:left w:val="nil"/>
              <w:bottom w:val="nil"/>
              <w:right w:val="nil"/>
            </w:tcBorders>
            <w:vAlign w:val="center"/>
          </w:tcPr>
          <w:p w14:paraId="013A701C" w14:textId="77777777" w:rsidR="009B57E2" w:rsidRPr="00494CA7" w:rsidRDefault="009B57E2" w:rsidP="00B64335">
            <w:pPr>
              <w:spacing w:after="0" w:line="240" w:lineRule="auto"/>
              <w:jc w:val="center"/>
              <w:rPr>
                <w:sz w:val="20"/>
                <w:szCs w:val="20"/>
                <w:lang w:val="en-GB"/>
              </w:rPr>
            </w:pPr>
            <w:r w:rsidRPr="00494CA7">
              <w:rPr>
                <w:sz w:val="20"/>
                <w:szCs w:val="20"/>
                <w:lang w:val="en-GB"/>
              </w:rPr>
              <w:t>1.5</w:t>
            </w:r>
          </w:p>
        </w:tc>
        <w:tc>
          <w:tcPr>
            <w:tcW w:w="798" w:type="pct"/>
            <w:tcBorders>
              <w:top w:val="nil"/>
              <w:left w:val="nil"/>
              <w:bottom w:val="nil"/>
              <w:right w:val="nil"/>
            </w:tcBorders>
            <w:vAlign w:val="center"/>
          </w:tcPr>
          <w:p w14:paraId="39EB9367"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0.824</w:t>
            </w:r>
          </w:p>
        </w:tc>
        <w:tc>
          <w:tcPr>
            <w:tcW w:w="798" w:type="pct"/>
            <w:tcBorders>
              <w:top w:val="nil"/>
              <w:left w:val="nil"/>
              <w:bottom w:val="nil"/>
              <w:right w:val="nil"/>
            </w:tcBorders>
          </w:tcPr>
          <w:p w14:paraId="1D8296DC" w14:textId="77777777" w:rsidR="009B57E2" w:rsidRPr="00494CA7" w:rsidRDefault="009B57E2" w:rsidP="00B64335">
            <w:pPr>
              <w:spacing w:after="0" w:line="240" w:lineRule="auto"/>
              <w:jc w:val="center"/>
              <w:rPr>
                <w:sz w:val="20"/>
                <w:szCs w:val="20"/>
                <w:lang w:val="en-GB"/>
              </w:rPr>
            </w:pPr>
            <w:r w:rsidRPr="00494CA7">
              <w:rPr>
                <w:sz w:val="20"/>
                <w:szCs w:val="20"/>
                <w:lang w:val="en-GB"/>
              </w:rPr>
              <w:t>2</w:t>
            </w:r>
            <w:r w:rsidRPr="00494CA7">
              <w:rPr>
                <w:sz w:val="20"/>
                <w:szCs w:val="20"/>
                <w:vertAlign w:val="superscript"/>
                <w:lang w:val="en-GB"/>
              </w:rPr>
              <w:t>nd</w:t>
            </w:r>
          </w:p>
        </w:tc>
        <w:tc>
          <w:tcPr>
            <w:tcW w:w="798" w:type="pct"/>
            <w:tcBorders>
              <w:top w:val="nil"/>
              <w:left w:val="nil"/>
              <w:bottom w:val="nil"/>
              <w:right w:val="nil"/>
            </w:tcBorders>
            <w:vAlign w:val="center"/>
          </w:tcPr>
          <w:p w14:paraId="35E23CF4" w14:textId="77777777" w:rsidR="009B57E2" w:rsidRPr="00494CA7" w:rsidRDefault="009B57E2" w:rsidP="00B64335">
            <w:pPr>
              <w:spacing w:after="0" w:line="240" w:lineRule="auto"/>
              <w:jc w:val="center"/>
              <w:rPr>
                <w:sz w:val="20"/>
                <w:szCs w:val="20"/>
              </w:rPr>
            </w:pPr>
            <w:r w:rsidRPr="00494CA7">
              <w:rPr>
                <w:sz w:val="20"/>
                <w:szCs w:val="20"/>
                <w:lang w:val="en-GB"/>
              </w:rPr>
              <w:t>3331</w:t>
            </w:r>
          </w:p>
        </w:tc>
      </w:tr>
      <w:tr w:rsidR="009B57E2" w:rsidRPr="00494CA7" w14:paraId="4001FE2D" w14:textId="77777777" w:rsidTr="00B64335">
        <w:trPr>
          <w:trHeight w:val="284"/>
        </w:trPr>
        <w:tc>
          <w:tcPr>
            <w:tcW w:w="1008" w:type="pct"/>
            <w:tcBorders>
              <w:top w:val="nil"/>
              <w:left w:val="nil"/>
              <w:bottom w:val="nil"/>
              <w:right w:val="nil"/>
            </w:tcBorders>
            <w:vAlign w:val="center"/>
          </w:tcPr>
          <w:p w14:paraId="6BDB516C"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Hungary</w:t>
            </w:r>
          </w:p>
        </w:tc>
        <w:tc>
          <w:tcPr>
            <w:tcW w:w="799" w:type="pct"/>
            <w:tcBorders>
              <w:top w:val="nil"/>
              <w:left w:val="nil"/>
              <w:bottom w:val="nil"/>
              <w:right w:val="nil"/>
            </w:tcBorders>
            <w:vAlign w:val="center"/>
          </w:tcPr>
          <w:p w14:paraId="57CF7F83" w14:textId="77777777" w:rsidR="009B57E2" w:rsidRPr="00494CA7" w:rsidRDefault="009B57E2" w:rsidP="00B64335">
            <w:pPr>
              <w:spacing w:after="0" w:line="240" w:lineRule="auto"/>
              <w:jc w:val="center"/>
              <w:rPr>
                <w:sz w:val="20"/>
                <w:szCs w:val="20"/>
                <w:lang w:val="en-GB"/>
              </w:rPr>
            </w:pPr>
            <w:r w:rsidRPr="00494CA7">
              <w:rPr>
                <w:sz w:val="20"/>
                <w:szCs w:val="20"/>
                <w:lang w:val="en-GB"/>
              </w:rPr>
              <w:t>490.3</w:t>
            </w:r>
          </w:p>
        </w:tc>
        <w:tc>
          <w:tcPr>
            <w:tcW w:w="798" w:type="pct"/>
            <w:tcBorders>
              <w:top w:val="nil"/>
              <w:left w:val="nil"/>
              <w:bottom w:val="nil"/>
              <w:right w:val="nil"/>
            </w:tcBorders>
            <w:vAlign w:val="center"/>
          </w:tcPr>
          <w:p w14:paraId="4E5BB85A" w14:textId="77777777" w:rsidR="009B57E2" w:rsidRPr="00494CA7" w:rsidRDefault="009B57E2" w:rsidP="00B64335">
            <w:pPr>
              <w:spacing w:after="0" w:line="240" w:lineRule="auto"/>
              <w:jc w:val="center"/>
              <w:rPr>
                <w:sz w:val="20"/>
                <w:szCs w:val="20"/>
                <w:lang w:val="en-GB"/>
              </w:rPr>
            </w:pPr>
            <w:r w:rsidRPr="00494CA7">
              <w:rPr>
                <w:sz w:val="20"/>
                <w:szCs w:val="20"/>
                <w:lang w:val="en-GB"/>
              </w:rPr>
              <w:t>1.4</w:t>
            </w:r>
          </w:p>
        </w:tc>
        <w:tc>
          <w:tcPr>
            <w:tcW w:w="798" w:type="pct"/>
            <w:tcBorders>
              <w:top w:val="nil"/>
              <w:left w:val="nil"/>
              <w:bottom w:val="nil"/>
              <w:right w:val="nil"/>
            </w:tcBorders>
            <w:vAlign w:val="center"/>
          </w:tcPr>
          <w:p w14:paraId="2FBC46E3"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0.775</w:t>
            </w:r>
          </w:p>
        </w:tc>
        <w:tc>
          <w:tcPr>
            <w:tcW w:w="798" w:type="pct"/>
            <w:tcBorders>
              <w:top w:val="nil"/>
              <w:left w:val="nil"/>
              <w:bottom w:val="nil"/>
              <w:right w:val="nil"/>
            </w:tcBorders>
          </w:tcPr>
          <w:p w14:paraId="64F84569" w14:textId="77777777" w:rsidR="009B57E2" w:rsidRPr="00494CA7" w:rsidRDefault="009B57E2" w:rsidP="00B64335">
            <w:pPr>
              <w:spacing w:after="0" w:line="240" w:lineRule="auto"/>
              <w:jc w:val="center"/>
              <w:rPr>
                <w:sz w:val="20"/>
                <w:szCs w:val="20"/>
                <w:lang w:val="en-GB"/>
              </w:rPr>
            </w:pPr>
            <w:r w:rsidRPr="00494CA7">
              <w:rPr>
                <w:sz w:val="20"/>
                <w:szCs w:val="20"/>
                <w:lang w:val="en-GB"/>
              </w:rPr>
              <w:t>2</w:t>
            </w:r>
            <w:r w:rsidRPr="00494CA7">
              <w:rPr>
                <w:sz w:val="20"/>
                <w:szCs w:val="20"/>
                <w:vertAlign w:val="superscript"/>
                <w:lang w:val="en-GB"/>
              </w:rPr>
              <w:t>nd</w:t>
            </w:r>
          </w:p>
        </w:tc>
        <w:tc>
          <w:tcPr>
            <w:tcW w:w="798" w:type="pct"/>
            <w:tcBorders>
              <w:top w:val="nil"/>
              <w:left w:val="nil"/>
              <w:bottom w:val="nil"/>
              <w:right w:val="nil"/>
            </w:tcBorders>
            <w:vAlign w:val="center"/>
          </w:tcPr>
          <w:p w14:paraId="238BA9E8" w14:textId="77777777" w:rsidR="009B57E2" w:rsidRPr="00494CA7" w:rsidRDefault="009B57E2" w:rsidP="00B64335">
            <w:pPr>
              <w:spacing w:after="0" w:line="240" w:lineRule="auto"/>
              <w:jc w:val="center"/>
              <w:rPr>
                <w:sz w:val="20"/>
                <w:szCs w:val="20"/>
              </w:rPr>
            </w:pPr>
            <w:r w:rsidRPr="00494CA7">
              <w:rPr>
                <w:sz w:val="20"/>
                <w:szCs w:val="20"/>
                <w:lang w:val="en-GB"/>
              </w:rPr>
              <w:t>3944</w:t>
            </w:r>
          </w:p>
        </w:tc>
      </w:tr>
      <w:tr w:rsidR="009B57E2" w:rsidRPr="00494CA7" w14:paraId="65866B19" w14:textId="77777777" w:rsidTr="00B64335">
        <w:trPr>
          <w:trHeight w:val="284"/>
        </w:trPr>
        <w:tc>
          <w:tcPr>
            <w:tcW w:w="1008" w:type="pct"/>
            <w:tcBorders>
              <w:top w:val="nil"/>
              <w:left w:val="nil"/>
              <w:bottom w:val="nil"/>
              <w:right w:val="nil"/>
            </w:tcBorders>
            <w:vAlign w:val="center"/>
          </w:tcPr>
          <w:p w14:paraId="2780D679"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Iceland</w:t>
            </w:r>
          </w:p>
        </w:tc>
        <w:tc>
          <w:tcPr>
            <w:tcW w:w="799" w:type="pct"/>
            <w:tcBorders>
              <w:top w:val="nil"/>
              <w:left w:val="nil"/>
              <w:bottom w:val="nil"/>
              <w:right w:val="nil"/>
            </w:tcBorders>
            <w:vAlign w:val="center"/>
          </w:tcPr>
          <w:p w14:paraId="14B0966F" w14:textId="77777777" w:rsidR="009B57E2" w:rsidRPr="00494CA7" w:rsidRDefault="009B57E2" w:rsidP="00B64335">
            <w:pPr>
              <w:spacing w:after="0" w:line="240" w:lineRule="auto"/>
              <w:jc w:val="center"/>
              <w:rPr>
                <w:sz w:val="20"/>
                <w:szCs w:val="20"/>
                <w:lang w:val="en-GB"/>
              </w:rPr>
            </w:pPr>
            <w:r w:rsidRPr="00494CA7">
              <w:rPr>
                <w:sz w:val="20"/>
                <w:szCs w:val="20"/>
                <w:lang w:val="en-GB"/>
              </w:rPr>
              <w:t>512.1</w:t>
            </w:r>
          </w:p>
        </w:tc>
        <w:tc>
          <w:tcPr>
            <w:tcW w:w="798" w:type="pct"/>
            <w:tcBorders>
              <w:top w:val="nil"/>
              <w:left w:val="nil"/>
              <w:bottom w:val="nil"/>
              <w:right w:val="nil"/>
            </w:tcBorders>
            <w:vAlign w:val="center"/>
          </w:tcPr>
          <w:p w14:paraId="5587D5D2" w14:textId="77777777" w:rsidR="009B57E2" w:rsidRPr="00494CA7" w:rsidRDefault="009B57E2" w:rsidP="00B64335">
            <w:pPr>
              <w:spacing w:after="0" w:line="240" w:lineRule="auto"/>
              <w:jc w:val="center"/>
              <w:rPr>
                <w:sz w:val="20"/>
                <w:szCs w:val="20"/>
                <w:lang w:val="en-GB"/>
              </w:rPr>
            </w:pPr>
            <w:r w:rsidRPr="00494CA7">
              <w:rPr>
                <w:sz w:val="20"/>
                <w:szCs w:val="20"/>
                <w:lang w:val="en-GB"/>
              </w:rPr>
              <w:t>2.5</w:t>
            </w:r>
          </w:p>
        </w:tc>
        <w:tc>
          <w:tcPr>
            <w:tcW w:w="798" w:type="pct"/>
            <w:tcBorders>
              <w:top w:val="nil"/>
              <w:left w:val="nil"/>
              <w:bottom w:val="nil"/>
              <w:right w:val="nil"/>
            </w:tcBorders>
            <w:vAlign w:val="center"/>
          </w:tcPr>
          <w:p w14:paraId="5722CDA7"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0.863</w:t>
            </w:r>
          </w:p>
        </w:tc>
        <w:tc>
          <w:tcPr>
            <w:tcW w:w="798" w:type="pct"/>
            <w:tcBorders>
              <w:top w:val="nil"/>
              <w:left w:val="nil"/>
              <w:bottom w:val="nil"/>
              <w:right w:val="nil"/>
            </w:tcBorders>
          </w:tcPr>
          <w:p w14:paraId="6D385CE0" w14:textId="77777777" w:rsidR="009B57E2" w:rsidRPr="00494CA7" w:rsidRDefault="009B57E2" w:rsidP="00B64335">
            <w:pPr>
              <w:spacing w:after="0" w:line="240" w:lineRule="auto"/>
              <w:jc w:val="center"/>
              <w:rPr>
                <w:sz w:val="20"/>
                <w:szCs w:val="20"/>
                <w:lang w:val="en-GB"/>
              </w:rPr>
            </w:pPr>
            <w:r w:rsidRPr="00494CA7">
              <w:rPr>
                <w:sz w:val="20"/>
                <w:szCs w:val="20"/>
                <w:lang w:val="en-GB"/>
              </w:rPr>
              <w:t>3</w:t>
            </w:r>
            <w:r w:rsidRPr="00494CA7">
              <w:rPr>
                <w:sz w:val="20"/>
                <w:szCs w:val="20"/>
                <w:vertAlign w:val="superscript"/>
                <w:lang w:val="en-GB"/>
              </w:rPr>
              <w:t>rd</w:t>
            </w:r>
          </w:p>
        </w:tc>
        <w:tc>
          <w:tcPr>
            <w:tcW w:w="798" w:type="pct"/>
            <w:tcBorders>
              <w:top w:val="nil"/>
              <w:left w:val="nil"/>
              <w:bottom w:val="nil"/>
              <w:right w:val="nil"/>
            </w:tcBorders>
            <w:vAlign w:val="center"/>
          </w:tcPr>
          <w:p w14:paraId="264FFC15" w14:textId="77777777" w:rsidR="009B57E2" w:rsidRPr="00494CA7" w:rsidRDefault="009B57E2" w:rsidP="00B64335">
            <w:pPr>
              <w:spacing w:after="0" w:line="240" w:lineRule="auto"/>
              <w:jc w:val="center"/>
              <w:rPr>
                <w:sz w:val="20"/>
                <w:szCs w:val="20"/>
              </w:rPr>
            </w:pPr>
            <w:r w:rsidRPr="00494CA7">
              <w:rPr>
                <w:sz w:val="20"/>
                <w:szCs w:val="20"/>
                <w:lang w:val="en-GB"/>
              </w:rPr>
              <w:t>2482</w:t>
            </w:r>
          </w:p>
        </w:tc>
      </w:tr>
      <w:tr w:rsidR="009B57E2" w:rsidRPr="00494CA7" w14:paraId="0330AED8" w14:textId="77777777" w:rsidTr="00B64335">
        <w:trPr>
          <w:trHeight w:val="284"/>
        </w:trPr>
        <w:tc>
          <w:tcPr>
            <w:tcW w:w="1008" w:type="pct"/>
            <w:tcBorders>
              <w:top w:val="nil"/>
              <w:left w:val="nil"/>
              <w:bottom w:val="nil"/>
              <w:right w:val="nil"/>
            </w:tcBorders>
            <w:vAlign w:val="center"/>
          </w:tcPr>
          <w:p w14:paraId="70C78422"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Indonesia</w:t>
            </w:r>
          </w:p>
        </w:tc>
        <w:tc>
          <w:tcPr>
            <w:tcW w:w="799" w:type="pct"/>
            <w:tcBorders>
              <w:top w:val="nil"/>
              <w:left w:val="nil"/>
              <w:bottom w:val="nil"/>
              <w:right w:val="nil"/>
            </w:tcBorders>
            <w:vAlign w:val="center"/>
          </w:tcPr>
          <w:p w14:paraId="3124F554" w14:textId="77777777" w:rsidR="009B57E2" w:rsidRPr="00494CA7" w:rsidRDefault="009B57E2" w:rsidP="00B64335">
            <w:pPr>
              <w:spacing w:after="0" w:line="240" w:lineRule="auto"/>
              <w:jc w:val="center"/>
              <w:rPr>
                <w:sz w:val="20"/>
                <w:szCs w:val="20"/>
                <w:lang w:val="en-GB"/>
              </w:rPr>
            </w:pPr>
            <w:r w:rsidRPr="00494CA7">
              <w:rPr>
                <w:sz w:val="20"/>
                <w:szCs w:val="20"/>
                <w:lang w:val="en-GB"/>
              </w:rPr>
              <w:t>369.8</w:t>
            </w:r>
          </w:p>
        </w:tc>
        <w:tc>
          <w:tcPr>
            <w:tcW w:w="798" w:type="pct"/>
            <w:tcBorders>
              <w:top w:val="nil"/>
              <w:left w:val="nil"/>
              <w:bottom w:val="nil"/>
              <w:right w:val="nil"/>
            </w:tcBorders>
            <w:vAlign w:val="center"/>
          </w:tcPr>
          <w:p w14:paraId="71E45D6C" w14:textId="77777777" w:rsidR="009B57E2" w:rsidRPr="00494CA7" w:rsidRDefault="009B57E2" w:rsidP="00B64335">
            <w:pPr>
              <w:spacing w:after="0" w:line="240" w:lineRule="auto"/>
              <w:jc w:val="center"/>
              <w:rPr>
                <w:sz w:val="20"/>
                <w:szCs w:val="20"/>
                <w:lang w:val="en-GB"/>
              </w:rPr>
            </w:pPr>
            <w:r w:rsidRPr="00494CA7">
              <w:rPr>
                <w:sz w:val="20"/>
                <w:szCs w:val="20"/>
                <w:lang w:val="en-GB"/>
              </w:rPr>
              <w:t>2.9</w:t>
            </w:r>
          </w:p>
        </w:tc>
        <w:tc>
          <w:tcPr>
            <w:tcW w:w="798" w:type="pct"/>
            <w:tcBorders>
              <w:top w:val="nil"/>
              <w:left w:val="nil"/>
              <w:bottom w:val="nil"/>
              <w:right w:val="nil"/>
            </w:tcBorders>
            <w:vAlign w:val="center"/>
          </w:tcPr>
          <w:p w14:paraId="60E0E421"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0.543</w:t>
            </w:r>
          </w:p>
        </w:tc>
        <w:tc>
          <w:tcPr>
            <w:tcW w:w="798" w:type="pct"/>
            <w:tcBorders>
              <w:top w:val="nil"/>
              <w:left w:val="nil"/>
              <w:bottom w:val="nil"/>
              <w:right w:val="nil"/>
            </w:tcBorders>
          </w:tcPr>
          <w:p w14:paraId="2E9CB568" w14:textId="77777777" w:rsidR="009B57E2" w:rsidRPr="00494CA7" w:rsidRDefault="009B57E2" w:rsidP="00B64335">
            <w:pPr>
              <w:spacing w:after="0" w:line="240" w:lineRule="auto"/>
              <w:jc w:val="center"/>
              <w:rPr>
                <w:sz w:val="20"/>
                <w:szCs w:val="20"/>
                <w:lang w:val="en-GB"/>
              </w:rPr>
            </w:pPr>
            <w:r w:rsidRPr="00494CA7">
              <w:rPr>
                <w:sz w:val="20"/>
                <w:szCs w:val="20"/>
                <w:lang w:val="en-GB"/>
              </w:rPr>
              <w:t>1</w:t>
            </w:r>
            <w:r w:rsidRPr="00494CA7">
              <w:rPr>
                <w:sz w:val="20"/>
                <w:szCs w:val="20"/>
                <w:vertAlign w:val="superscript"/>
                <w:lang w:val="en-GB"/>
              </w:rPr>
              <w:t>st</w:t>
            </w:r>
          </w:p>
        </w:tc>
        <w:tc>
          <w:tcPr>
            <w:tcW w:w="798" w:type="pct"/>
            <w:tcBorders>
              <w:top w:val="nil"/>
              <w:left w:val="nil"/>
              <w:bottom w:val="nil"/>
              <w:right w:val="nil"/>
            </w:tcBorders>
            <w:vAlign w:val="center"/>
          </w:tcPr>
          <w:p w14:paraId="4CE83471" w14:textId="77777777" w:rsidR="009B57E2" w:rsidRPr="00494CA7" w:rsidRDefault="009B57E2" w:rsidP="00B64335">
            <w:pPr>
              <w:spacing w:after="0" w:line="240" w:lineRule="auto"/>
              <w:jc w:val="center"/>
              <w:rPr>
                <w:sz w:val="20"/>
                <w:szCs w:val="20"/>
              </w:rPr>
            </w:pPr>
            <w:r w:rsidRPr="00494CA7">
              <w:rPr>
                <w:sz w:val="20"/>
                <w:szCs w:val="20"/>
                <w:lang w:val="en-GB"/>
              </w:rPr>
              <w:t>4664</w:t>
            </w:r>
          </w:p>
        </w:tc>
      </w:tr>
      <w:tr w:rsidR="009B57E2" w:rsidRPr="00494CA7" w14:paraId="1C58285C" w14:textId="77777777" w:rsidTr="00B64335">
        <w:trPr>
          <w:trHeight w:val="284"/>
        </w:trPr>
        <w:tc>
          <w:tcPr>
            <w:tcW w:w="1008" w:type="pct"/>
            <w:tcBorders>
              <w:top w:val="nil"/>
              <w:left w:val="nil"/>
              <w:bottom w:val="nil"/>
              <w:right w:val="nil"/>
            </w:tcBorders>
            <w:vAlign w:val="center"/>
          </w:tcPr>
          <w:p w14:paraId="7DB03522"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Ireland</w:t>
            </w:r>
          </w:p>
        </w:tc>
        <w:tc>
          <w:tcPr>
            <w:tcW w:w="799" w:type="pct"/>
            <w:tcBorders>
              <w:top w:val="nil"/>
              <w:left w:val="nil"/>
              <w:bottom w:val="nil"/>
              <w:right w:val="nil"/>
            </w:tcBorders>
            <w:vAlign w:val="center"/>
          </w:tcPr>
          <w:p w14:paraId="6BF3610C" w14:textId="77777777" w:rsidR="009B57E2" w:rsidRPr="00494CA7" w:rsidRDefault="009B57E2" w:rsidP="00B64335">
            <w:pPr>
              <w:spacing w:after="0" w:line="240" w:lineRule="auto"/>
              <w:jc w:val="center"/>
              <w:rPr>
                <w:sz w:val="20"/>
                <w:szCs w:val="20"/>
                <w:lang w:val="en-GB"/>
              </w:rPr>
            </w:pPr>
            <w:r w:rsidRPr="00494CA7">
              <w:rPr>
                <w:sz w:val="20"/>
                <w:szCs w:val="20"/>
                <w:lang w:val="en-GB"/>
              </w:rPr>
              <w:t>540.5</w:t>
            </w:r>
          </w:p>
        </w:tc>
        <w:tc>
          <w:tcPr>
            <w:tcW w:w="798" w:type="pct"/>
            <w:tcBorders>
              <w:top w:val="nil"/>
              <w:left w:val="nil"/>
              <w:bottom w:val="nil"/>
              <w:right w:val="nil"/>
            </w:tcBorders>
            <w:vAlign w:val="center"/>
          </w:tcPr>
          <w:p w14:paraId="72DEF853" w14:textId="77777777" w:rsidR="009B57E2" w:rsidRPr="00494CA7" w:rsidRDefault="009B57E2" w:rsidP="00B64335">
            <w:pPr>
              <w:spacing w:after="0" w:line="240" w:lineRule="auto"/>
              <w:jc w:val="center"/>
              <w:rPr>
                <w:sz w:val="20"/>
                <w:szCs w:val="20"/>
                <w:lang w:val="en-GB"/>
              </w:rPr>
            </w:pPr>
            <w:r w:rsidRPr="00494CA7">
              <w:rPr>
                <w:sz w:val="20"/>
                <w:szCs w:val="20"/>
                <w:lang w:val="en-GB"/>
              </w:rPr>
              <w:t>2.6</w:t>
            </w:r>
          </w:p>
        </w:tc>
        <w:tc>
          <w:tcPr>
            <w:tcW w:w="798" w:type="pct"/>
            <w:tcBorders>
              <w:top w:val="nil"/>
              <w:left w:val="nil"/>
              <w:bottom w:val="nil"/>
              <w:right w:val="nil"/>
            </w:tcBorders>
            <w:vAlign w:val="center"/>
          </w:tcPr>
          <w:p w14:paraId="6EE988CD"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0.869</w:t>
            </w:r>
          </w:p>
        </w:tc>
        <w:tc>
          <w:tcPr>
            <w:tcW w:w="798" w:type="pct"/>
            <w:tcBorders>
              <w:top w:val="nil"/>
              <w:left w:val="nil"/>
              <w:bottom w:val="nil"/>
              <w:right w:val="nil"/>
            </w:tcBorders>
          </w:tcPr>
          <w:p w14:paraId="10321C08" w14:textId="77777777" w:rsidR="009B57E2" w:rsidRPr="00494CA7" w:rsidRDefault="009B57E2" w:rsidP="00B64335">
            <w:pPr>
              <w:spacing w:after="0" w:line="240" w:lineRule="auto"/>
              <w:jc w:val="center"/>
              <w:rPr>
                <w:sz w:val="20"/>
                <w:szCs w:val="20"/>
                <w:lang w:val="en-GB"/>
              </w:rPr>
            </w:pPr>
            <w:r w:rsidRPr="00494CA7">
              <w:rPr>
                <w:sz w:val="20"/>
                <w:szCs w:val="20"/>
                <w:lang w:val="en-GB"/>
              </w:rPr>
              <w:t>4</w:t>
            </w:r>
            <w:r w:rsidRPr="00494CA7">
              <w:rPr>
                <w:sz w:val="20"/>
                <w:szCs w:val="20"/>
                <w:vertAlign w:val="superscript"/>
                <w:lang w:val="en-GB"/>
              </w:rPr>
              <w:t>th</w:t>
            </w:r>
          </w:p>
        </w:tc>
        <w:tc>
          <w:tcPr>
            <w:tcW w:w="798" w:type="pct"/>
            <w:tcBorders>
              <w:top w:val="nil"/>
              <w:left w:val="nil"/>
              <w:bottom w:val="nil"/>
              <w:right w:val="nil"/>
            </w:tcBorders>
            <w:vAlign w:val="center"/>
          </w:tcPr>
          <w:p w14:paraId="6D6A269C" w14:textId="77777777" w:rsidR="009B57E2" w:rsidRPr="00494CA7" w:rsidRDefault="009B57E2" w:rsidP="00B64335">
            <w:pPr>
              <w:spacing w:after="0" w:line="240" w:lineRule="auto"/>
              <w:jc w:val="center"/>
              <w:rPr>
                <w:sz w:val="20"/>
                <w:szCs w:val="20"/>
              </w:rPr>
            </w:pPr>
            <w:r w:rsidRPr="00494CA7">
              <w:rPr>
                <w:sz w:val="20"/>
                <w:szCs w:val="20"/>
                <w:lang w:val="en-GB"/>
              </w:rPr>
              <w:t>1796</w:t>
            </w:r>
          </w:p>
        </w:tc>
      </w:tr>
      <w:tr w:rsidR="009B57E2" w:rsidRPr="00494CA7" w14:paraId="3E911036" w14:textId="77777777" w:rsidTr="00B64335">
        <w:trPr>
          <w:trHeight w:val="284"/>
        </w:trPr>
        <w:tc>
          <w:tcPr>
            <w:tcW w:w="1008" w:type="pct"/>
            <w:tcBorders>
              <w:top w:val="nil"/>
              <w:left w:val="nil"/>
              <w:bottom w:val="nil"/>
              <w:right w:val="nil"/>
            </w:tcBorders>
            <w:vAlign w:val="center"/>
          </w:tcPr>
          <w:p w14:paraId="7D11044B"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Israel</w:t>
            </w:r>
          </w:p>
        </w:tc>
        <w:tc>
          <w:tcPr>
            <w:tcW w:w="799" w:type="pct"/>
            <w:tcBorders>
              <w:top w:val="nil"/>
              <w:left w:val="nil"/>
              <w:bottom w:val="nil"/>
              <w:right w:val="nil"/>
            </w:tcBorders>
            <w:vAlign w:val="center"/>
          </w:tcPr>
          <w:p w14:paraId="10DEBE44" w14:textId="77777777" w:rsidR="009B57E2" w:rsidRPr="00494CA7" w:rsidRDefault="009B57E2" w:rsidP="00B64335">
            <w:pPr>
              <w:spacing w:after="0" w:line="240" w:lineRule="auto"/>
              <w:jc w:val="center"/>
              <w:rPr>
                <w:sz w:val="20"/>
                <w:szCs w:val="20"/>
                <w:lang w:val="en-GB"/>
              </w:rPr>
            </w:pPr>
            <w:r w:rsidRPr="00494CA7">
              <w:rPr>
                <w:sz w:val="20"/>
                <w:szCs w:val="20"/>
                <w:lang w:val="en-GB"/>
              </w:rPr>
              <w:t>482.3</w:t>
            </w:r>
          </w:p>
        </w:tc>
        <w:tc>
          <w:tcPr>
            <w:tcW w:w="798" w:type="pct"/>
            <w:tcBorders>
              <w:top w:val="nil"/>
              <w:left w:val="nil"/>
              <w:bottom w:val="nil"/>
              <w:right w:val="nil"/>
            </w:tcBorders>
            <w:vAlign w:val="center"/>
          </w:tcPr>
          <w:p w14:paraId="4C35E47C" w14:textId="77777777" w:rsidR="009B57E2" w:rsidRPr="00494CA7" w:rsidRDefault="009B57E2" w:rsidP="00B64335">
            <w:pPr>
              <w:spacing w:after="0" w:line="240" w:lineRule="auto"/>
              <w:jc w:val="center"/>
              <w:rPr>
                <w:sz w:val="20"/>
                <w:szCs w:val="20"/>
                <w:lang w:val="en-GB"/>
              </w:rPr>
            </w:pPr>
            <w:r w:rsidRPr="00494CA7">
              <w:rPr>
                <w:sz w:val="20"/>
                <w:szCs w:val="20"/>
                <w:lang w:val="en-GB"/>
              </w:rPr>
              <w:t>2.9</w:t>
            </w:r>
          </w:p>
        </w:tc>
        <w:tc>
          <w:tcPr>
            <w:tcW w:w="798" w:type="pct"/>
            <w:tcBorders>
              <w:top w:val="nil"/>
              <w:left w:val="nil"/>
              <w:bottom w:val="nil"/>
              <w:right w:val="nil"/>
            </w:tcBorders>
            <w:vAlign w:val="center"/>
          </w:tcPr>
          <w:p w14:paraId="4A8B4236"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0.856</w:t>
            </w:r>
          </w:p>
        </w:tc>
        <w:tc>
          <w:tcPr>
            <w:tcW w:w="798" w:type="pct"/>
            <w:tcBorders>
              <w:top w:val="nil"/>
              <w:left w:val="nil"/>
              <w:bottom w:val="nil"/>
              <w:right w:val="nil"/>
            </w:tcBorders>
          </w:tcPr>
          <w:p w14:paraId="5B77F14D" w14:textId="77777777" w:rsidR="009B57E2" w:rsidRPr="00494CA7" w:rsidRDefault="009B57E2" w:rsidP="00B64335">
            <w:pPr>
              <w:spacing w:after="0" w:line="240" w:lineRule="auto"/>
              <w:jc w:val="center"/>
              <w:rPr>
                <w:sz w:val="20"/>
                <w:szCs w:val="20"/>
                <w:lang w:val="en-GB"/>
              </w:rPr>
            </w:pPr>
            <w:r w:rsidRPr="00494CA7">
              <w:rPr>
                <w:sz w:val="20"/>
                <w:szCs w:val="20"/>
                <w:lang w:val="en-GB"/>
              </w:rPr>
              <w:t>3</w:t>
            </w:r>
            <w:r w:rsidRPr="00494CA7">
              <w:rPr>
                <w:sz w:val="20"/>
                <w:szCs w:val="20"/>
                <w:vertAlign w:val="superscript"/>
                <w:lang w:val="en-GB"/>
              </w:rPr>
              <w:t>rd</w:t>
            </w:r>
          </w:p>
        </w:tc>
        <w:tc>
          <w:tcPr>
            <w:tcW w:w="798" w:type="pct"/>
            <w:tcBorders>
              <w:top w:val="nil"/>
              <w:left w:val="nil"/>
              <w:bottom w:val="nil"/>
              <w:right w:val="nil"/>
            </w:tcBorders>
            <w:vAlign w:val="center"/>
          </w:tcPr>
          <w:p w14:paraId="2370EF17" w14:textId="77777777" w:rsidR="009B57E2" w:rsidRPr="00494CA7" w:rsidRDefault="009B57E2" w:rsidP="00B64335">
            <w:pPr>
              <w:spacing w:after="0" w:line="240" w:lineRule="auto"/>
              <w:jc w:val="center"/>
              <w:rPr>
                <w:sz w:val="20"/>
                <w:szCs w:val="20"/>
              </w:rPr>
            </w:pPr>
            <w:r w:rsidRPr="00494CA7">
              <w:rPr>
                <w:sz w:val="20"/>
                <w:szCs w:val="20"/>
                <w:lang w:val="en-GB"/>
              </w:rPr>
              <w:t>2712</w:t>
            </w:r>
          </w:p>
        </w:tc>
      </w:tr>
      <w:tr w:rsidR="009B57E2" w:rsidRPr="00494CA7" w14:paraId="3B3911E3" w14:textId="77777777" w:rsidTr="00B64335">
        <w:trPr>
          <w:trHeight w:val="284"/>
        </w:trPr>
        <w:tc>
          <w:tcPr>
            <w:tcW w:w="1008" w:type="pct"/>
            <w:tcBorders>
              <w:top w:val="nil"/>
              <w:left w:val="nil"/>
              <w:bottom w:val="nil"/>
              <w:right w:val="nil"/>
            </w:tcBorders>
            <w:vAlign w:val="center"/>
          </w:tcPr>
          <w:p w14:paraId="5E27ACB3"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Italy</w:t>
            </w:r>
          </w:p>
        </w:tc>
        <w:tc>
          <w:tcPr>
            <w:tcW w:w="799" w:type="pct"/>
            <w:tcBorders>
              <w:top w:val="nil"/>
              <w:left w:val="nil"/>
              <w:bottom w:val="nil"/>
              <w:right w:val="nil"/>
            </w:tcBorders>
            <w:vAlign w:val="center"/>
          </w:tcPr>
          <w:p w14:paraId="33193B00" w14:textId="77777777" w:rsidR="009B57E2" w:rsidRPr="00494CA7" w:rsidRDefault="009B57E2" w:rsidP="00B64335">
            <w:pPr>
              <w:spacing w:after="0" w:line="240" w:lineRule="auto"/>
              <w:jc w:val="center"/>
              <w:rPr>
                <w:sz w:val="20"/>
                <w:szCs w:val="20"/>
                <w:lang w:val="en-GB"/>
              </w:rPr>
            </w:pPr>
            <w:r w:rsidRPr="00494CA7">
              <w:rPr>
                <w:sz w:val="20"/>
                <w:szCs w:val="20"/>
                <w:lang w:val="en-GB"/>
              </w:rPr>
              <w:t>496.2</w:t>
            </w:r>
          </w:p>
        </w:tc>
        <w:tc>
          <w:tcPr>
            <w:tcW w:w="798" w:type="pct"/>
            <w:tcBorders>
              <w:top w:val="nil"/>
              <w:left w:val="nil"/>
              <w:bottom w:val="nil"/>
              <w:right w:val="nil"/>
            </w:tcBorders>
            <w:vAlign w:val="center"/>
          </w:tcPr>
          <w:p w14:paraId="69F93F05" w14:textId="77777777" w:rsidR="009B57E2" w:rsidRPr="00494CA7" w:rsidRDefault="009B57E2" w:rsidP="00B64335">
            <w:pPr>
              <w:spacing w:after="0" w:line="240" w:lineRule="auto"/>
              <w:jc w:val="center"/>
              <w:rPr>
                <w:sz w:val="20"/>
                <w:szCs w:val="20"/>
                <w:lang w:val="en-GB"/>
              </w:rPr>
            </w:pPr>
            <w:r w:rsidRPr="00494CA7">
              <w:rPr>
                <w:sz w:val="20"/>
                <w:szCs w:val="20"/>
                <w:lang w:val="en-GB"/>
              </w:rPr>
              <w:t>1.3</w:t>
            </w:r>
          </w:p>
        </w:tc>
        <w:tc>
          <w:tcPr>
            <w:tcW w:w="798" w:type="pct"/>
            <w:tcBorders>
              <w:top w:val="nil"/>
              <w:left w:val="nil"/>
              <w:bottom w:val="nil"/>
              <w:right w:val="nil"/>
            </w:tcBorders>
            <w:vAlign w:val="center"/>
          </w:tcPr>
          <w:p w14:paraId="19F3A2B9"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0.825</w:t>
            </w:r>
          </w:p>
        </w:tc>
        <w:tc>
          <w:tcPr>
            <w:tcW w:w="798" w:type="pct"/>
            <w:tcBorders>
              <w:top w:val="nil"/>
              <w:left w:val="nil"/>
              <w:bottom w:val="nil"/>
              <w:right w:val="nil"/>
            </w:tcBorders>
          </w:tcPr>
          <w:p w14:paraId="32B64902" w14:textId="77777777" w:rsidR="009B57E2" w:rsidRPr="00494CA7" w:rsidRDefault="009B57E2" w:rsidP="00B64335">
            <w:pPr>
              <w:spacing w:after="0" w:line="240" w:lineRule="auto"/>
              <w:jc w:val="center"/>
              <w:rPr>
                <w:sz w:val="20"/>
                <w:szCs w:val="20"/>
                <w:lang w:val="en-GB"/>
              </w:rPr>
            </w:pPr>
            <w:r w:rsidRPr="00494CA7">
              <w:rPr>
                <w:sz w:val="20"/>
                <w:szCs w:val="20"/>
                <w:lang w:val="en-GB"/>
              </w:rPr>
              <w:t>2</w:t>
            </w:r>
            <w:r w:rsidRPr="00494CA7">
              <w:rPr>
                <w:sz w:val="20"/>
                <w:szCs w:val="20"/>
                <w:vertAlign w:val="superscript"/>
                <w:lang w:val="en-GB"/>
              </w:rPr>
              <w:t>nd</w:t>
            </w:r>
          </w:p>
        </w:tc>
        <w:tc>
          <w:tcPr>
            <w:tcW w:w="798" w:type="pct"/>
            <w:tcBorders>
              <w:top w:val="nil"/>
              <w:left w:val="nil"/>
              <w:bottom w:val="nil"/>
              <w:right w:val="nil"/>
            </w:tcBorders>
            <w:vAlign w:val="center"/>
          </w:tcPr>
          <w:p w14:paraId="161B953D" w14:textId="77777777" w:rsidR="009B57E2" w:rsidRPr="00494CA7" w:rsidRDefault="009B57E2" w:rsidP="00B64335">
            <w:pPr>
              <w:spacing w:after="0" w:line="240" w:lineRule="auto"/>
              <w:jc w:val="center"/>
              <w:rPr>
                <w:sz w:val="20"/>
                <w:szCs w:val="20"/>
              </w:rPr>
            </w:pPr>
            <w:r w:rsidRPr="00494CA7">
              <w:rPr>
                <w:sz w:val="20"/>
                <w:szCs w:val="20"/>
                <w:lang w:val="en-GB"/>
              </w:rPr>
              <w:t>3720</w:t>
            </w:r>
          </w:p>
        </w:tc>
      </w:tr>
      <w:tr w:rsidR="009B57E2" w:rsidRPr="00494CA7" w14:paraId="067982DE" w14:textId="77777777" w:rsidTr="00B64335">
        <w:trPr>
          <w:trHeight w:val="284"/>
        </w:trPr>
        <w:tc>
          <w:tcPr>
            <w:tcW w:w="1008" w:type="pct"/>
            <w:tcBorders>
              <w:top w:val="nil"/>
              <w:left w:val="nil"/>
              <w:bottom w:val="nil"/>
              <w:right w:val="nil"/>
            </w:tcBorders>
            <w:vAlign w:val="center"/>
          </w:tcPr>
          <w:p w14:paraId="17700B4F"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Korea</w:t>
            </w:r>
          </w:p>
        </w:tc>
        <w:tc>
          <w:tcPr>
            <w:tcW w:w="799" w:type="pct"/>
            <w:tcBorders>
              <w:top w:val="nil"/>
              <w:left w:val="nil"/>
              <w:bottom w:val="nil"/>
              <w:right w:val="nil"/>
            </w:tcBorders>
            <w:vAlign w:val="center"/>
          </w:tcPr>
          <w:p w14:paraId="406E8102" w14:textId="77777777" w:rsidR="009B57E2" w:rsidRPr="00494CA7" w:rsidRDefault="009B57E2" w:rsidP="00B64335">
            <w:pPr>
              <w:spacing w:after="0" w:line="240" w:lineRule="auto"/>
              <w:jc w:val="center"/>
              <w:rPr>
                <w:sz w:val="20"/>
                <w:szCs w:val="20"/>
                <w:lang w:val="en-GB"/>
              </w:rPr>
            </w:pPr>
            <w:r w:rsidRPr="00494CA7">
              <w:rPr>
                <w:sz w:val="20"/>
                <w:szCs w:val="20"/>
                <w:lang w:val="en-GB"/>
              </w:rPr>
              <w:t>524.7</w:t>
            </w:r>
          </w:p>
        </w:tc>
        <w:tc>
          <w:tcPr>
            <w:tcW w:w="798" w:type="pct"/>
            <w:tcBorders>
              <w:top w:val="nil"/>
              <w:left w:val="nil"/>
              <w:bottom w:val="nil"/>
              <w:right w:val="nil"/>
            </w:tcBorders>
            <w:vAlign w:val="center"/>
          </w:tcPr>
          <w:p w14:paraId="6A58031D" w14:textId="77777777" w:rsidR="009B57E2" w:rsidRPr="00494CA7" w:rsidRDefault="009B57E2" w:rsidP="00B64335">
            <w:pPr>
              <w:spacing w:after="0" w:line="240" w:lineRule="auto"/>
              <w:jc w:val="center"/>
              <w:rPr>
                <w:sz w:val="20"/>
                <w:szCs w:val="20"/>
                <w:lang w:val="en-GB"/>
              </w:rPr>
            </w:pPr>
            <w:r w:rsidRPr="00494CA7">
              <w:rPr>
                <w:sz w:val="20"/>
                <w:szCs w:val="20"/>
                <w:lang w:val="en-GB"/>
              </w:rPr>
              <w:t>1.3</w:t>
            </w:r>
          </w:p>
        </w:tc>
        <w:tc>
          <w:tcPr>
            <w:tcW w:w="798" w:type="pct"/>
            <w:tcBorders>
              <w:top w:val="nil"/>
              <w:left w:val="nil"/>
              <w:bottom w:val="nil"/>
              <w:right w:val="nil"/>
            </w:tcBorders>
            <w:vAlign w:val="center"/>
          </w:tcPr>
          <w:p w14:paraId="4D7C6420"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0.830</w:t>
            </w:r>
          </w:p>
        </w:tc>
        <w:tc>
          <w:tcPr>
            <w:tcW w:w="798" w:type="pct"/>
            <w:tcBorders>
              <w:top w:val="nil"/>
              <w:left w:val="nil"/>
              <w:bottom w:val="nil"/>
              <w:right w:val="nil"/>
            </w:tcBorders>
          </w:tcPr>
          <w:p w14:paraId="3819EB61" w14:textId="77777777" w:rsidR="009B57E2" w:rsidRPr="00494CA7" w:rsidRDefault="009B57E2" w:rsidP="00B64335">
            <w:pPr>
              <w:spacing w:after="0" w:line="240" w:lineRule="auto"/>
              <w:jc w:val="center"/>
              <w:rPr>
                <w:sz w:val="20"/>
                <w:szCs w:val="20"/>
                <w:lang w:val="en-GB"/>
              </w:rPr>
            </w:pPr>
            <w:r w:rsidRPr="00494CA7">
              <w:rPr>
                <w:sz w:val="20"/>
                <w:szCs w:val="20"/>
                <w:lang w:val="en-GB"/>
              </w:rPr>
              <w:t>3</w:t>
            </w:r>
            <w:r w:rsidRPr="00494CA7">
              <w:rPr>
                <w:sz w:val="20"/>
                <w:szCs w:val="20"/>
                <w:vertAlign w:val="superscript"/>
                <w:lang w:val="en-GB"/>
              </w:rPr>
              <w:t>rd</w:t>
            </w:r>
          </w:p>
        </w:tc>
        <w:tc>
          <w:tcPr>
            <w:tcW w:w="798" w:type="pct"/>
            <w:tcBorders>
              <w:top w:val="nil"/>
              <w:left w:val="nil"/>
              <w:bottom w:val="nil"/>
              <w:right w:val="nil"/>
            </w:tcBorders>
            <w:vAlign w:val="center"/>
          </w:tcPr>
          <w:p w14:paraId="5567B437" w14:textId="77777777" w:rsidR="009B57E2" w:rsidRPr="00494CA7" w:rsidRDefault="009B57E2" w:rsidP="00B64335">
            <w:pPr>
              <w:spacing w:after="0" w:line="240" w:lineRule="auto"/>
              <w:jc w:val="center"/>
              <w:rPr>
                <w:sz w:val="20"/>
                <w:szCs w:val="20"/>
              </w:rPr>
            </w:pPr>
            <w:r w:rsidRPr="00494CA7">
              <w:rPr>
                <w:sz w:val="20"/>
                <w:szCs w:val="20"/>
                <w:lang w:val="en-GB"/>
              </w:rPr>
              <w:t>2840</w:t>
            </w:r>
          </w:p>
        </w:tc>
      </w:tr>
      <w:tr w:rsidR="009B57E2" w:rsidRPr="00494CA7" w14:paraId="5D0C4D8E" w14:textId="77777777" w:rsidTr="00B64335">
        <w:trPr>
          <w:trHeight w:val="284"/>
        </w:trPr>
        <w:tc>
          <w:tcPr>
            <w:tcW w:w="1008" w:type="pct"/>
            <w:tcBorders>
              <w:top w:val="nil"/>
              <w:left w:val="nil"/>
              <w:bottom w:val="nil"/>
              <w:right w:val="nil"/>
            </w:tcBorders>
            <w:vAlign w:val="center"/>
          </w:tcPr>
          <w:p w14:paraId="7E9E2CCD"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Latvia</w:t>
            </w:r>
          </w:p>
        </w:tc>
        <w:tc>
          <w:tcPr>
            <w:tcW w:w="799" w:type="pct"/>
            <w:tcBorders>
              <w:top w:val="nil"/>
              <w:left w:val="nil"/>
              <w:bottom w:val="nil"/>
              <w:right w:val="nil"/>
            </w:tcBorders>
            <w:vAlign w:val="center"/>
          </w:tcPr>
          <w:p w14:paraId="1529B07B" w14:textId="77777777" w:rsidR="009B57E2" w:rsidRPr="00494CA7" w:rsidRDefault="009B57E2" w:rsidP="00B64335">
            <w:pPr>
              <w:spacing w:after="0" w:line="240" w:lineRule="auto"/>
              <w:jc w:val="center"/>
              <w:rPr>
                <w:sz w:val="20"/>
                <w:szCs w:val="20"/>
                <w:lang w:val="en-GB"/>
              </w:rPr>
            </w:pPr>
            <w:r w:rsidRPr="00494CA7">
              <w:rPr>
                <w:sz w:val="20"/>
                <w:szCs w:val="20"/>
                <w:lang w:val="en-GB"/>
              </w:rPr>
              <w:t>469.4</w:t>
            </w:r>
          </w:p>
        </w:tc>
        <w:tc>
          <w:tcPr>
            <w:tcW w:w="798" w:type="pct"/>
            <w:tcBorders>
              <w:top w:val="nil"/>
              <w:left w:val="nil"/>
              <w:bottom w:val="nil"/>
              <w:right w:val="nil"/>
            </w:tcBorders>
            <w:vAlign w:val="center"/>
          </w:tcPr>
          <w:p w14:paraId="7B6429D5" w14:textId="77777777" w:rsidR="009B57E2" w:rsidRPr="00494CA7" w:rsidRDefault="009B57E2" w:rsidP="00B64335">
            <w:pPr>
              <w:spacing w:after="0" w:line="240" w:lineRule="auto"/>
              <w:jc w:val="center"/>
              <w:rPr>
                <w:sz w:val="20"/>
                <w:szCs w:val="20"/>
                <w:lang w:val="en-GB"/>
              </w:rPr>
            </w:pPr>
            <w:r w:rsidRPr="00494CA7">
              <w:rPr>
                <w:sz w:val="20"/>
                <w:szCs w:val="20"/>
                <w:lang w:val="en-GB"/>
              </w:rPr>
              <w:t>1.6</w:t>
            </w:r>
          </w:p>
        </w:tc>
        <w:tc>
          <w:tcPr>
            <w:tcW w:w="798" w:type="pct"/>
            <w:tcBorders>
              <w:top w:val="nil"/>
              <w:left w:val="nil"/>
              <w:bottom w:val="nil"/>
              <w:right w:val="nil"/>
            </w:tcBorders>
            <w:vAlign w:val="center"/>
          </w:tcPr>
          <w:p w14:paraId="4CA5D7B3"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0.732</w:t>
            </w:r>
          </w:p>
        </w:tc>
        <w:tc>
          <w:tcPr>
            <w:tcW w:w="798" w:type="pct"/>
            <w:tcBorders>
              <w:top w:val="nil"/>
              <w:left w:val="nil"/>
              <w:bottom w:val="nil"/>
              <w:right w:val="nil"/>
            </w:tcBorders>
          </w:tcPr>
          <w:p w14:paraId="1150C9AB" w14:textId="77777777" w:rsidR="009B57E2" w:rsidRPr="00494CA7" w:rsidRDefault="009B57E2" w:rsidP="00B64335">
            <w:pPr>
              <w:spacing w:after="0" w:line="240" w:lineRule="auto"/>
              <w:jc w:val="center"/>
              <w:rPr>
                <w:sz w:val="20"/>
                <w:szCs w:val="20"/>
                <w:lang w:val="en-GB"/>
              </w:rPr>
            </w:pPr>
            <w:r w:rsidRPr="00494CA7">
              <w:rPr>
                <w:sz w:val="20"/>
                <w:szCs w:val="20"/>
                <w:lang w:val="en-GB"/>
              </w:rPr>
              <w:t>1</w:t>
            </w:r>
            <w:r w:rsidRPr="00494CA7">
              <w:rPr>
                <w:sz w:val="20"/>
                <w:szCs w:val="20"/>
                <w:vertAlign w:val="superscript"/>
                <w:lang w:val="en-GB"/>
              </w:rPr>
              <w:t>st</w:t>
            </w:r>
          </w:p>
        </w:tc>
        <w:tc>
          <w:tcPr>
            <w:tcW w:w="798" w:type="pct"/>
            <w:tcBorders>
              <w:top w:val="nil"/>
              <w:left w:val="nil"/>
              <w:bottom w:val="nil"/>
              <w:right w:val="nil"/>
            </w:tcBorders>
            <w:vAlign w:val="center"/>
          </w:tcPr>
          <w:p w14:paraId="63555E37" w14:textId="77777777" w:rsidR="009B57E2" w:rsidRPr="00494CA7" w:rsidRDefault="009B57E2" w:rsidP="00B64335">
            <w:pPr>
              <w:spacing w:after="0" w:line="240" w:lineRule="auto"/>
              <w:jc w:val="center"/>
              <w:rPr>
                <w:sz w:val="20"/>
                <w:szCs w:val="20"/>
              </w:rPr>
            </w:pPr>
            <w:r w:rsidRPr="00494CA7">
              <w:rPr>
                <w:sz w:val="20"/>
                <w:szCs w:val="20"/>
                <w:lang w:val="en-GB"/>
              </w:rPr>
              <w:t>3086</w:t>
            </w:r>
          </w:p>
        </w:tc>
      </w:tr>
      <w:tr w:rsidR="009B57E2" w:rsidRPr="00494CA7" w14:paraId="60E0E77B" w14:textId="77777777" w:rsidTr="00B64335">
        <w:trPr>
          <w:trHeight w:val="284"/>
        </w:trPr>
        <w:tc>
          <w:tcPr>
            <w:tcW w:w="1008" w:type="pct"/>
            <w:tcBorders>
              <w:top w:val="nil"/>
              <w:left w:val="nil"/>
              <w:bottom w:val="nil"/>
              <w:right w:val="nil"/>
            </w:tcBorders>
            <w:vAlign w:val="center"/>
          </w:tcPr>
          <w:p w14:paraId="3C0817CE"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Luxembourg</w:t>
            </w:r>
          </w:p>
        </w:tc>
        <w:tc>
          <w:tcPr>
            <w:tcW w:w="799" w:type="pct"/>
            <w:tcBorders>
              <w:top w:val="nil"/>
              <w:left w:val="nil"/>
              <w:bottom w:val="nil"/>
              <w:right w:val="nil"/>
            </w:tcBorders>
            <w:vAlign w:val="center"/>
          </w:tcPr>
          <w:p w14:paraId="1D85FDCC" w14:textId="77777777" w:rsidR="009B57E2" w:rsidRPr="00494CA7" w:rsidRDefault="009B57E2" w:rsidP="00B64335">
            <w:pPr>
              <w:spacing w:after="0" w:line="240" w:lineRule="auto"/>
              <w:jc w:val="center"/>
              <w:rPr>
                <w:sz w:val="20"/>
                <w:szCs w:val="20"/>
                <w:lang w:val="en-GB"/>
              </w:rPr>
            </w:pPr>
            <w:r w:rsidRPr="00494CA7">
              <w:rPr>
                <w:sz w:val="20"/>
                <w:szCs w:val="20"/>
                <w:lang w:val="en-GB"/>
              </w:rPr>
              <w:t>460.0</w:t>
            </w:r>
          </w:p>
        </w:tc>
        <w:tc>
          <w:tcPr>
            <w:tcW w:w="798" w:type="pct"/>
            <w:tcBorders>
              <w:top w:val="nil"/>
              <w:left w:val="nil"/>
              <w:bottom w:val="nil"/>
              <w:right w:val="nil"/>
            </w:tcBorders>
            <w:vAlign w:val="center"/>
          </w:tcPr>
          <w:p w14:paraId="38664B49" w14:textId="77777777" w:rsidR="009B57E2" w:rsidRPr="00494CA7" w:rsidRDefault="009B57E2" w:rsidP="00B64335">
            <w:pPr>
              <w:spacing w:after="0" w:line="240" w:lineRule="auto"/>
              <w:jc w:val="center"/>
              <w:rPr>
                <w:sz w:val="20"/>
                <w:szCs w:val="20"/>
                <w:lang w:val="en-GB"/>
              </w:rPr>
            </w:pPr>
            <w:r w:rsidRPr="00494CA7">
              <w:rPr>
                <w:sz w:val="20"/>
                <w:szCs w:val="20"/>
                <w:lang w:val="en-GB"/>
              </w:rPr>
              <w:t>1.6</w:t>
            </w:r>
          </w:p>
        </w:tc>
        <w:tc>
          <w:tcPr>
            <w:tcW w:w="798" w:type="pct"/>
            <w:tcBorders>
              <w:top w:val="nil"/>
              <w:left w:val="nil"/>
              <w:bottom w:val="nil"/>
              <w:right w:val="nil"/>
            </w:tcBorders>
            <w:vAlign w:val="center"/>
          </w:tcPr>
          <w:p w14:paraId="4762F0A2"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0.854</w:t>
            </w:r>
          </w:p>
        </w:tc>
        <w:tc>
          <w:tcPr>
            <w:tcW w:w="798" w:type="pct"/>
            <w:tcBorders>
              <w:top w:val="nil"/>
              <w:left w:val="nil"/>
              <w:bottom w:val="nil"/>
              <w:right w:val="nil"/>
            </w:tcBorders>
          </w:tcPr>
          <w:p w14:paraId="39B64AC6" w14:textId="77777777" w:rsidR="009B57E2" w:rsidRPr="00494CA7" w:rsidRDefault="009B57E2" w:rsidP="00B64335">
            <w:pPr>
              <w:spacing w:after="0" w:line="240" w:lineRule="auto"/>
              <w:jc w:val="center"/>
              <w:rPr>
                <w:sz w:val="20"/>
                <w:szCs w:val="20"/>
                <w:lang w:val="en-GB"/>
              </w:rPr>
            </w:pPr>
            <w:r w:rsidRPr="00494CA7">
              <w:rPr>
                <w:sz w:val="20"/>
                <w:szCs w:val="20"/>
                <w:lang w:val="en-GB"/>
              </w:rPr>
              <w:t>3</w:t>
            </w:r>
            <w:r w:rsidRPr="00494CA7">
              <w:rPr>
                <w:sz w:val="20"/>
                <w:szCs w:val="20"/>
                <w:vertAlign w:val="superscript"/>
                <w:lang w:val="en-GB"/>
              </w:rPr>
              <w:t>rd</w:t>
            </w:r>
          </w:p>
        </w:tc>
        <w:tc>
          <w:tcPr>
            <w:tcW w:w="798" w:type="pct"/>
            <w:tcBorders>
              <w:top w:val="nil"/>
              <w:left w:val="nil"/>
              <w:bottom w:val="nil"/>
              <w:right w:val="nil"/>
            </w:tcBorders>
            <w:vAlign w:val="center"/>
          </w:tcPr>
          <w:p w14:paraId="215F5231" w14:textId="77777777" w:rsidR="009B57E2" w:rsidRPr="00494CA7" w:rsidRDefault="009B57E2" w:rsidP="00B64335">
            <w:pPr>
              <w:spacing w:after="0" w:line="240" w:lineRule="auto"/>
              <w:jc w:val="center"/>
              <w:rPr>
                <w:sz w:val="20"/>
                <w:szCs w:val="20"/>
              </w:rPr>
            </w:pPr>
            <w:r w:rsidRPr="00494CA7">
              <w:rPr>
                <w:sz w:val="20"/>
                <w:szCs w:val="20"/>
                <w:lang w:val="en-GB"/>
              </w:rPr>
              <w:t>2358</w:t>
            </w:r>
          </w:p>
        </w:tc>
      </w:tr>
      <w:tr w:rsidR="009B57E2" w:rsidRPr="00494CA7" w14:paraId="7096996A" w14:textId="77777777" w:rsidTr="00B64335">
        <w:trPr>
          <w:trHeight w:val="284"/>
        </w:trPr>
        <w:tc>
          <w:tcPr>
            <w:tcW w:w="1008" w:type="pct"/>
            <w:tcBorders>
              <w:top w:val="nil"/>
              <w:left w:val="nil"/>
              <w:bottom w:val="nil"/>
              <w:right w:val="nil"/>
            </w:tcBorders>
            <w:vAlign w:val="center"/>
          </w:tcPr>
          <w:p w14:paraId="2F1D570A"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Macedonia</w:t>
            </w:r>
          </w:p>
        </w:tc>
        <w:tc>
          <w:tcPr>
            <w:tcW w:w="799" w:type="pct"/>
            <w:tcBorders>
              <w:top w:val="nil"/>
              <w:left w:val="nil"/>
              <w:bottom w:val="nil"/>
              <w:right w:val="nil"/>
            </w:tcBorders>
            <w:vAlign w:val="center"/>
          </w:tcPr>
          <w:p w14:paraId="13A0F00E" w14:textId="77777777" w:rsidR="009B57E2" w:rsidRPr="00494CA7" w:rsidRDefault="009B57E2" w:rsidP="00B64335">
            <w:pPr>
              <w:spacing w:after="0" w:line="240" w:lineRule="auto"/>
              <w:jc w:val="center"/>
              <w:rPr>
                <w:sz w:val="20"/>
                <w:szCs w:val="20"/>
                <w:lang w:val="en-GB"/>
              </w:rPr>
            </w:pPr>
            <w:r w:rsidRPr="00494CA7">
              <w:rPr>
                <w:sz w:val="20"/>
                <w:szCs w:val="20"/>
                <w:lang w:val="en-GB"/>
              </w:rPr>
              <w:t>383.7</w:t>
            </w:r>
          </w:p>
        </w:tc>
        <w:tc>
          <w:tcPr>
            <w:tcW w:w="798" w:type="pct"/>
            <w:tcBorders>
              <w:top w:val="nil"/>
              <w:left w:val="nil"/>
              <w:bottom w:val="nil"/>
              <w:right w:val="nil"/>
            </w:tcBorders>
            <w:vAlign w:val="center"/>
          </w:tcPr>
          <w:p w14:paraId="2025FF43" w14:textId="77777777" w:rsidR="009B57E2" w:rsidRPr="00494CA7" w:rsidRDefault="009B57E2" w:rsidP="00B64335">
            <w:pPr>
              <w:spacing w:after="0" w:line="240" w:lineRule="auto"/>
              <w:jc w:val="center"/>
              <w:rPr>
                <w:sz w:val="20"/>
                <w:szCs w:val="20"/>
                <w:lang w:val="en-GB"/>
              </w:rPr>
            </w:pPr>
            <w:r w:rsidRPr="00494CA7">
              <w:rPr>
                <w:sz w:val="20"/>
                <w:szCs w:val="20"/>
                <w:lang w:val="en-GB"/>
              </w:rPr>
              <w:t>1.4</w:t>
            </w:r>
          </w:p>
        </w:tc>
        <w:tc>
          <w:tcPr>
            <w:tcW w:w="798" w:type="pct"/>
            <w:tcBorders>
              <w:top w:val="nil"/>
              <w:left w:val="nil"/>
              <w:bottom w:val="nil"/>
              <w:right w:val="nil"/>
            </w:tcBorders>
            <w:vAlign w:val="center"/>
          </w:tcPr>
          <w:p w14:paraId="6CBE6D54"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0.772</w:t>
            </w:r>
          </w:p>
        </w:tc>
        <w:tc>
          <w:tcPr>
            <w:tcW w:w="798" w:type="pct"/>
            <w:tcBorders>
              <w:top w:val="nil"/>
              <w:left w:val="nil"/>
              <w:bottom w:val="nil"/>
              <w:right w:val="nil"/>
            </w:tcBorders>
          </w:tcPr>
          <w:p w14:paraId="60750E00" w14:textId="77777777" w:rsidR="009B57E2" w:rsidRPr="00494CA7" w:rsidRDefault="009B57E2" w:rsidP="00B64335">
            <w:pPr>
              <w:spacing w:after="0" w:line="240" w:lineRule="auto"/>
              <w:jc w:val="center"/>
              <w:rPr>
                <w:sz w:val="20"/>
                <w:szCs w:val="20"/>
                <w:lang w:val="en-GB"/>
              </w:rPr>
            </w:pPr>
            <w:r w:rsidRPr="00494CA7">
              <w:rPr>
                <w:sz w:val="20"/>
                <w:szCs w:val="20"/>
                <w:lang w:val="en-GB"/>
              </w:rPr>
              <w:t>2</w:t>
            </w:r>
            <w:r w:rsidRPr="00494CA7">
              <w:rPr>
                <w:sz w:val="20"/>
                <w:szCs w:val="20"/>
                <w:vertAlign w:val="superscript"/>
                <w:lang w:val="en-GB"/>
              </w:rPr>
              <w:t>nd</w:t>
            </w:r>
          </w:p>
        </w:tc>
        <w:tc>
          <w:tcPr>
            <w:tcW w:w="798" w:type="pct"/>
            <w:tcBorders>
              <w:top w:val="nil"/>
              <w:left w:val="nil"/>
              <w:bottom w:val="nil"/>
              <w:right w:val="nil"/>
            </w:tcBorders>
            <w:vAlign w:val="center"/>
          </w:tcPr>
          <w:p w14:paraId="05A6F1CB" w14:textId="77777777" w:rsidR="009B57E2" w:rsidRPr="00494CA7" w:rsidRDefault="009B57E2" w:rsidP="00B64335">
            <w:pPr>
              <w:spacing w:after="0" w:line="240" w:lineRule="auto"/>
              <w:jc w:val="center"/>
              <w:rPr>
                <w:sz w:val="20"/>
                <w:szCs w:val="20"/>
              </w:rPr>
            </w:pPr>
            <w:r w:rsidRPr="00494CA7">
              <w:rPr>
                <w:sz w:val="20"/>
                <w:szCs w:val="20"/>
                <w:lang w:val="en-GB"/>
              </w:rPr>
              <w:t>3089</w:t>
            </w:r>
          </w:p>
        </w:tc>
      </w:tr>
      <w:tr w:rsidR="009B57E2" w:rsidRPr="00494CA7" w14:paraId="09923CB3" w14:textId="77777777" w:rsidTr="00B64335">
        <w:trPr>
          <w:trHeight w:val="284"/>
        </w:trPr>
        <w:tc>
          <w:tcPr>
            <w:tcW w:w="1008" w:type="pct"/>
            <w:tcBorders>
              <w:top w:val="nil"/>
              <w:left w:val="nil"/>
              <w:bottom w:val="nil"/>
              <w:right w:val="nil"/>
            </w:tcBorders>
            <w:vAlign w:val="center"/>
          </w:tcPr>
          <w:p w14:paraId="5C8858D7"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Mexico</w:t>
            </w:r>
          </w:p>
        </w:tc>
        <w:tc>
          <w:tcPr>
            <w:tcW w:w="799" w:type="pct"/>
            <w:tcBorders>
              <w:top w:val="nil"/>
              <w:left w:val="nil"/>
              <w:bottom w:val="nil"/>
              <w:right w:val="nil"/>
            </w:tcBorders>
            <w:vAlign w:val="center"/>
          </w:tcPr>
          <w:p w14:paraId="75C50825" w14:textId="77777777" w:rsidR="009B57E2" w:rsidRPr="00494CA7" w:rsidRDefault="009B57E2" w:rsidP="00B64335">
            <w:pPr>
              <w:spacing w:after="0" w:line="240" w:lineRule="auto"/>
              <w:jc w:val="center"/>
              <w:rPr>
                <w:sz w:val="20"/>
                <w:szCs w:val="20"/>
                <w:lang w:val="en-GB"/>
              </w:rPr>
            </w:pPr>
            <w:r w:rsidRPr="00494CA7">
              <w:rPr>
                <w:sz w:val="20"/>
                <w:szCs w:val="20"/>
                <w:lang w:val="en-GB"/>
              </w:rPr>
              <w:t>434.9</w:t>
            </w:r>
          </w:p>
        </w:tc>
        <w:tc>
          <w:tcPr>
            <w:tcW w:w="798" w:type="pct"/>
            <w:tcBorders>
              <w:top w:val="nil"/>
              <w:left w:val="nil"/>
              <w:bottom w:val="nil"/>
              <w:right w:val="nil"/>
            </w:tcBorders>
            <w:vAlign w:val="center"/>
          </w:tcPr>
          <w:p w14:paraId="22D65DB1" w14:textId="77777777" w:rsidR="009B57E2" w:rsidRPr="00494CA7" w:rsidRDefault="009B57E2" w:rsidP="00B64335">
            <w:pPr>
              <w:spacing w:after="0" w:line="240" w:lineRule="auto"/>
              <w:jc w:val="center"/>
              <w:rPr>
                <w:sz w:val="20"/>
                <w:szCs w:val="20"/>
                <w:lang w:val="en-GB"/>
              </w:rPr>
            </w:pPr>
            <w:r w:rsidRPr="00494CA7">
              <w:rPr>
                <w:sz w:val="20"/>
                <w:szCs w:val="20"/>
                <w:lang w:val="en-GB"/>
              </w:rPr>
              <w:t>2.9</w:t>
            </w:r>
          </w:p>
        </w:tc>
        <w:tc>
          <w:tcPr>
            <w:tcW w:w="798" w:type="pct"/>
            <w:tcBorders>
              <w:top w:val="nil"/>
              <w:left w:val="nil"/>
              <w:bottom w:val="nil"/>
              <w:right w:val="nil"/>
            </w:tcBorders>
            <w:vAlign w:val="center"/>
          </w:tcPr>
          <w:p w14:paraId="14D518A9"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0.718</w:t>
            </w:r>
          </w:p>
        </w:tc>
        <w:tc>
          <w:tcPr>
            <w:tcW w:w="798" w:type="pct"/>
            <w:tcBorders>
              <w:top w:val="nil"/>
              <w:left w:val="nil"/>
              <w:bottom w:val="nil"/>
              <w:right w:val="nil"/>
            </w:tcBorders>
          </w:tcPr>
          <w:p w14:paraId="4E1FB833" w14:textId="77777777" w:rsidR="009B57E2" w:rsidRPr="00494CA7" w:rsidRDefault="009B57E2" w:rsidP="00B64335">
            <w:pPr>
              <w:spacing w:after="0" w:line="240" w:lineRule="auto"/>
              <w:jc w:val="center"/>
              <w:rPr>
                <w:sz w:val="20"/>
                <w:szCs w:val="20"/>
                <w:lang w:val="en-GB"/>
              </w:rPr>
            </w:pPr>
            <w:r w:rsidRPr="00494CA7">
              <w:rPr>
                <w:sz w:val="20"/>
                <w:szCs w:val="20"/>
                <w:lang w:val="en-GB"/>
              </w:rPr>
              <w:t>1</w:t>
            </w:r>
            <w:r w:rsidRPr="00494CA7">
              <w:rPr>
                <w:sz w:val="20"/>
                <w:szCs w:val="20"/>
                <w:vertAlign w:val="superscript"/>
                <w:lang w:val="en-GB"/>
              </w:rPr>
              <w:t>st</w:t>
            </w:r>
          </w:p>
        </w:tc>
        <w:tc>
          <w:tcPr>
            <w:tcW w:w="798" w:type="pct"/>
            <w:tcBorders>
              <w:top w:val="nil"/>
              <w:left w:val="nil"/>
              <w:bottom w:val="nil"/>
              <w:right w:val="nil"/>
            </w:tcBorders>
            <w:vAlign w:val="center"/>
          </w:tcPr>
          <w:p w14:paraId="31EA6E32" w14:textId="77777777" w:rsidR="009B57E2" w:rsidRPr="00494CA7" w:rsidRDefault="009B57E2" w:rsidP="00B64335">
            <w:pPr>
              <w:spacing w:after="0" w:line="240" w:lineRule="auto"/>
              <w:jc w:val="center"/>
              <w:rPr>
                <w:sz w:val="20"/>
                <w:szCs w:val="20"/>
              </w:rPr>
            </w:pPr>
            <w:r w:rsidRPr="00494CA7">
              <w:rPr>
                <w:sz w:val="20"/>
                <w:szCs w:val="20"/>
                <w:lang w:val="en-GB"/>
              </w:rPr>
              <w:t>3231</w:t>
            </w:r>
          </w:p>
        </w:tc>
      </w:tr>
      <w:tr w:rsidR="009B57E2" w:rsidRPr="00494CA7" w14:paraId="375DD940" w14:textId="77777777" w:rsidTr="00B64335">
        <w:trPr>
          <w:trHeight w:val="284"/>
        </w:trPr>
        <w:tc>
          <w:tcPr>
            <w:tcW w:w="1008" w:type="pct"/>
            <w:tcBorders>
              <w:top w:val="nil"/>
              <w:left w:val="nil"/>
              <w:bottom w:val="nil"/>
              <w:right w:val="nil"/>
            </w:tcBorders>
            <w:vAlign w:val="center"/>
          </w:tcPr>
          <w:p w14:paraId="4A2F4BE9"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 xml:space="preserve">New Zealand </w:t>
            </w:r>
          </w:p>
        </w:tc>
        <w:tc>
          <w:tcPr>
            <w:tcW w:w="799" w:type="pct"/>
            <w:tcBorders>
              <w:top w:val="nil"/>
              <w:left w:val="nil"/>
              <w:bottom w:val="nil"/>
              <w:right w:val="nil"/>
            </w:tcBorders>
            <w:vAlign w:val="center"/>
          </w:tcPr>
          <w:p w14:paraId="137FFBEB" w14:textId="77777777" w:rsidR="009B57E2" w:rsidRPr="00494CA7" w:rsidRDefault="009B57E2" w:rsidP="00B64335">
            <w:pPr>
              <w:spacing w:after="0" w:line="240" w:lineRule="auto"/>
              <w:jc w:val="center"/>
              <w:rPr>
                <w:sz w:val="20"/>
                <w:szCs w:val="20"/>
                <w:lang w:val="en-GB"/>
              </w:rPr>
            </w:pPr>
            <w:r w:rsidRPr="00494CA7">
              <w:rPr>
                <w:sz w:val="20"/>
                <w:szCs w:val="20"/>
                <w:lang w:val="en-GB"/>
              </w:rPr>
              <w:t>544.7</w:t>
            </w:r>
          </w:p>
        </w:tc>
        <w:tc>
          <w:tcPr>
            <w:tcW w:w="798" w:type="pct"/>
            <w:tcBorders>
              <w:top w:val="nil"/>
              <w:left w:val="nil"/>
              <w:bottom w:val="nil"/>
              <w:right w:val="nil"/>
            </w:tcBorders>
            <w:vAlign w:val="center"/>
          </w:tcPr>
          <w:p w14:paraId="2FF02AC8" w14:textId="77777777" w:rsidR="009B57E2" w:rsidRPr="00494CA7" w:rsidRDefault="009B57E2" w:rsidP="00B64335">
            <w:pPr>
              <w:spacing w:after="0" w:line="240" w:lineRule="auto"/>
              <w:jc w:val="center"/>
              <w:rPr>
                <w:sz w:val="20"/>
                <w:szCs w:val="20"/>
                <w:lang w:val="en-GB"/>
              </w:rPr>
            </w:pPr>
            <w:r w:rsidRPr="00494CA7">
              <w:rPr>
                <w:sz w:val="20"/>
                <w:szCs w:val="20"/>
                <w:lang w:val="en-GB"/>
              </w:rPr>
              <w:t>2.2</w:t>
            </w:r>
          </w:p>
        </w:tc>
        <w:tc>
          <w:tcPr>
            <w:tcW w:w="798" w:type="pct"/>
            <w:tcBorders>
              <w:top w:val="nil"/>
              <w:left w:val="nil"/>
              <w:bottom w:val="nil"/>
              <w:right w:val="nil"/>
            </w:tcBorders>
            <w:vAlign w:val="center"/>
          </w:tcPr>
          <w:p w14:paraId="2BA60E47"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0.878</w:t>
            </w:r>
          </w:p>
        </w:tc>
        <w:tc>
          <w:tcPr>
            <w:tcW w:w="798" w:type="pct"/>
            <w:tcBorders>
              <w:top w:val="nil"/>
              <w:left w:val="nil"/>
              <w:bottom w:val="nil"/>
              <w:right w:val="nil"/>
            </w:tcBorders>
          </w:tcPr>
          <w:p w14:paraId="1C7E888C" w14:textId="77777777" w:rsidR="009B57E2" w:rsidRPr="00494CA7" w:rsidRDefault="009B57E2" w:rsidP="00B64335">
            <w:pPr>
              <w:spacing w:after="0" w:line="240" w:lineRule="auto"/>
              <w:jc w:val="center"/>
              <w:rPr>
                <w:sz w:val="20"/>
                <w:szCs w:val="20"/>
                <w:lang w:val="en-GB"/>
              </w:rPr>
            </w:pPr>
            <w:r w:rsidRPr="00494CA7">
              <w:rPr>
                <w:sz w:val="20"/>
                <w:szCs w:val="20"/>
                <w:lang w:val="en-GB"/>
              </w:rPr>
              <w:t>4</w:t>
            </w:r>
            <w:r w:rsidRPr="00494CA7">
              <w:rPr>
                <w:sz w:val="20"/>
                <w:szCs w:val="20"/>
                <w:vertAlign w:val="superscript"/>
                <w:lang w:val="en-GB"/>
              </w:rPr>
              <w:t>th</w:t>
            </w:r>
          </w:p>
        </w:tc>
        <w:tc>
          <w:tcPr>
            <w:tcW w:w="798" w:type="pct"/>
            <w:tcBorders>
              <w:top w:val="nil"/>
              <w:left w:val="nil"/>
              <w:bottom w:val="nil"/>
              <w:right w:val="nil"/>
            </w:tcBorders>
            <w:vAlign w:val="center"/>
          </w:tcPr>
          <w:p w14:paraId="3D4912AA" w14:textId="77777777" w:rsidR="009B57E2" w:rsidRPr="00494CA7" w:rsidRDefault="009B57E2" w:rsidP="00B64335">
            <w:pPr>
              <w:spacing w:after="0" w:line="240" w:lineRule="auto"/>
              <w:jc w:val="center"/>
              <w:rPr>
                <w:sz w:val="20"/>
                <w:szCs w:val="20"/>
              </w:rPr>
            </w:pPr>
            <w:r w:rsidRPr="00494CA7">
              <w:rPr>
                <w:sz w:val="20"/>
                <w:szCs w:val="20"/>
                <w:lang w:val="en-GB"/>
              </w:rPr>
              <w:t>2299</w:t>
            </w:r>
          </w:p>
        </w:tc>
      </w:tr>
      <w:tr w:rsidR="009B57E2" w:rsidRPr="00494CA7" w14:paraId="2E96C491" w14:textId="77777777" w:rsidTr="00B64335">
        <w:trPr>
          <w:trHeight w:val="284"/>
        </w:trPr>
        <w:tc>
          <w:tcPr>
            <w:tcW w:w="1008" w:type="pct"/>
            <w:tcBorders>
              <w:top w:val="nil"/>
              <w:left w:val="nil"/>
              <w:bottom w:val="nil"/>
              <w:right w:val="nil"/>
            </w:tcBorders>
            <w:vAlign w:val="center"/>
          </w:tcPr>
          <w:p w14:paraId="26644FC2"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Norway</w:t>
            </w:r>
          </w:p>
        </w:tc>
        <w:tc>
          <w:tcPr>
            <w:tcW w:w="799" w:type="pct"/>
            <w:tcBorders>
              <w:top w:val="nil"/>
              <w:left w:val="nil"/>
              <w:bottom w:val="nil"/>
              <w:right w:val="nil"/>
            </w:tcBorders>
            <w:vAlign w:val="center"/>
          </w:tcPr>
          <w:p w14:paraId="71548157" w14:textId="77777777" w:rsidR="009B57E2" w:rsidRPr="00494CA7" w:rsidRDefault="009B57E2" w:rsidP="00B64335">
            <w:pPr>
              <w:spacing w:after="0" w:line="240" w:lineRule="auto"/>
              <w:jc w:val="center"/>
              <w:rPr>
                <w:sz w:val="20"/>
                <w:szCs w:val="20"/>
                <w:lang w:val="en-GB"/>
              </w:rPr>
            </w:pPr>
            <w:r w:rsidRPr="00494CA7">
              <w:rPr>
                <w:sz w:val="20"/>
                <w:szCs w:val="20"/>
                <w:lang w:val="en-GB"/>
              </w:rPr>
              <w:t>520.8</w:t>
            </w:r>
          </w:p>
        </w:tc>
        <w:tc>
          <w:tcPr>
            <w:tcW w:w="798" w:type="pct"/>
            <w:tcBorders>
              <w:top w:val="nil"/>
              <w:left w:val="nil"/>
              <w:bottom w:val="nil"/>
              <w:right w:val="nil"/>
            </w:tcBorders>
            <w:vAlign w:val="center"/>
          </w:tcPr>
          <w:p w14:paraId="51F2EBD4" w14:textId="77777777" w:rsidR="009B57E2" w:rsidRPr="00494CA7" w:rsidRDefault="009B57E2" w:rsidP="00B64335">
            <w:pPr>
              <w:spacing w:after="0" w:line="240" w:lineRule="auto"/>
              <w:jc w:val="center"/>
              <w:rPr>
                <w:sz w:val="20"/>
                <w:szCs w:val="20"/>
                <w:lang w:val="en-GB"/>
              </w:rPr>
            </w:pPr>
            <w:r w:rsidRPr="00494CA7">
              <w:rPr>
                <w:sz w:val="20"/>
                <w:szCs w:val="20"/>
                <w:lang w:val="en-GB"/>
              </w:rPr>
              <w:t>2.0</w:t>
            </w:r>
          </w:p>
        </w:tc>
        <w:tc>
          <w:tcPr>
            <w:tcW w:w="798" w:type="pct"/>
            <w:tcBorders>
              <w:top w:val="nil"/>
              <w:left w:val="nil"/>
              <w:bottom w:val="nil"/>
              <w:right w:val="nil"/>
            </w:tcBorders>
            <w:vAlign w:val="center"/>
          </w:tcPr>
          <w:p w14:paraId="6F4DFC5B"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0.913</w:t>
            </w:r>
          </w:p>
        </w:tc>
        <w:tc>
          <w:tcPr>
            <w:tcW w:w="798" w:type="pct"/>
            <w:tcBorders>
              <w:top w:val="nil"/>
              <w:left w:val="nil"/>
              <w:bottom w:val="nil"/>
              <w:right w:val="nil"/>
            </w:tcBorders>
          </w:tcPr>
          <w:p w14:paraId="1DD70ED2" w14:textId="77777777" w:rsidR="009B57E2" w:rsidRPr="00494CA7" w:rsidRDefault="009B57E2" w:rsidP="00B64335">
            <w:pPr>
              <w:spacing w:after="0" w:line="240" w:lineRule="auto"/>
              <w:jc w:val="center"/>
              <w:rPr>
                <w:sz w:val="20"/>
                <w:szCs w:val="20"/>
                <w:lang w:val="en-GB"/>
              </w:rPr>
            </w:pPr>
            <w:r w:rsidRPr="00494CA7">
              <w:rPr>
                <w:sz w:val="20"/>
                <w:szCs w:val="20"/>
                <w:lang w:val="en-GB"/>
              </w:rPr>
              <w:t>4</w:t>
            </w:r>
            <w:r w:rsidRPr="00494CA7">
              <w:rPr>
                <w:sz w:val="20"/>
                <w:szCs w:val="20"/>
                <w:vertAlign w:val="superscript"/>
                <w:lang w:val="en-GB"/>
              </w:rPr>
              <w:t>th</w:t>
            </w:r>
          </w:p>
        </w:tc>
        <w:tc>
          <w:tcPr>
            <w:tcW w:w="798" w:type="pct"/>
            <w:tcBorders>
              <w:top w:val="nil"/>
              <w:left w:val="nil"/>
              <w:bottom w:val="nil"/>
              <w:right w:val="nil"/>
            </w:tcBorders>
            <w:vAlign w:val="center"/>
          </w:tcPr>
          <w:p w14:paraId="5E604728" w14:textId="77777777" w:rsidR="009B57E2" w:rsidRPr="00494CA7" w:rsidRDefault="009B57E2" w:rsidP="00B64335">
            <w:pPr>
              <w:spacing w:after="0" w:line="240" w:lineRule="auto"/>
              <w:jc w:val="center"/>
              <w:rPr>
                <w:sz w:val="20"/>
                <w:szCs w:val="20"/>
              </w:rPr>
            </w:pPr>
            <w:r w:rsidRPr="00494CA7">
              <w:rPr>
                <w:sz w:val="20"/>
                <w:szCs w:val="20"/>
                <w:lang w:val="en-GB"/>
              </w:rPr>
              <w:t>2404</w:t>
            </w:r>
          </w:p>
        </w:tc>
      </w:tr>
      <w:tr w:rsidR="009B57E2" w:rsidRPr="00494CA7" w14:paraId="73562221" w14:textId="77777777" w:rsidTr="00B64335">
        <w:trPr>
          <w:trHeight w:val="284"/>
        </w:trPr>
        <w:tc>
          <w:tcPr>
            <w:tcW w:w="1008" w:type="pct"/>
            <w:tcBorders>
              <w:top w:val="nil"/>
              <w:left w:val="nil"/>
              <w:bottom w:val="nil"/>
              <w:right w:val="nil"/>
            </w:tcBorders>
            <w:vAlign w:val="center"/>
          </w:tcPr>
          <w:p w14:paraId="68FFABE4"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Peru</w:t>
            </w:r>
          </w:p>
        </w:tc>
        <w:tc>
          <w:tcPr>
            <w:tcW w:w="799" w:type="pct"/>
            <w:tcBorders>
              <w:top w:val="nil"/>
              <w:left w:val="nil"/>
              <w:bottom w:val="nil"/>
              <w:right w:val="nil"/>
            </w:tcBorders>
            <w:vAlign w:val="center"/>
          </w:tcPr>
          <w:p w14:paraId="33723307" w14:textId="77777777" w:rsidR="009B57E2" w:rsidRPr="00494CA7" w:rsidRDefault="009B57E2" w:rsidP="00B64335">
            <w:pPr>
              <w:spacing w:after="0" w:line="240" w:lineRule="auto"/>
              <w:jc w:val="center"/>
              <w:rPr>
                <w:sz w:val="20"/>
                <w:szCs w:val="20"/>
                <w:lang w:val="en-GB"/>
              </w:rPr>
            </w:pPr>
            <w:r w:rsidRPr="00494CA7">
              <w:rPr>
                <w:sz w:val="20"/>
                <w:szCs w:val="20"/>
                <w:lang w:val="en-GB"/>
              </w:rPr>
              <w:t>342.8</w:t>
            </w:r>
          </w:p>
        </w:tc>
        <w:tc>
          <w:tcPr>
            <w:tcW w:w="798" w:type="pct"/>
            <w:tcBorders>
              <w:top w:val="nil"/>
              <w:left w:val="nil"/>
              <w:bottom w:val="nil"/>
              <w:right w:val="nil"/>
            </w:tcBorders>
            <w:vAlign w:val="center"/>
          </w:tcPr>
          <w:p w14:paraId="3F1C6E48" w14:textId="77777777" w:rsidR="009B57E2" w:rsidRPr="00494CA7" w:rsidRDefault="009B57E2" w:rsidP="00B64335">
            <w:pPr>
              <w:spacing w:after="0" w:line="240" w:lineRule="auto"/>
              <w:jc w:val="center"/>
              <w:rPr>
                <w:sz w:val="20"/>
                <w:szCs w:val="20"/>
                <w:lang w:val="en-GB"/>
              </w:rPr>
            </w:pPr>
            <w:r w:rsidRPr="00494CA7">
              <w:rPr>
                <w:sz w:val="20"/>
                <w:szCs w:val="20"/>
                <w:lang w:val="en-GB"/>
              </w:rPr>
              <w:t>3.0</w:t>
            </w:r>
          </w:p>
        </w:tc>
        <w:tc>
          <w:tcPr>
            <w:tcW w:w="798" w:type="pct"/>
            <w:tcBorders>
              <w:top w:val="nil"/>
              <w:left w:val="nil"/>
              <w:bottom w:val="nil"/>
              <w:right w:val="nil"/>
            </w:tcBorders>
            <w:vAlign w:val="center"/>
          </w:tcPr>
          <w:p w14:paraId="40BF98B9"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0.674</w:t>
            </w:r>
          </w:p>
        </w:tc>
        <w:tc>
          <w:tcPr>
            <w:tcW w:w="798" w:type="pct"/>
            <w:tcBorders>
              <w:top w:val="nil"/>
              <w:left w:val="nil"/>
              <w:bottom w:val="nil"/>
              <w:right w:val="nil"/>
            </w:tcBorders>
          </w:tcPr>
          <w:p w14:paraId="1152BF83" w14:textId="77777777" w:rsidR="009B57E2" w:rsidRPr="00494CA7" w:rsidRDefault="009B57E2" w:rsidP="00B64335">
            <w:pPr>
              <w:spacing w:after="0" w:line="240" w:lineRule="auto"/>
              <w:jc w:val="center"/>
              <w:rPr>
                <w:sz w:val="20"/>
                <w:szCs w:val="20"/>
                <w:lang w:val="en-GB"/>
              </w:rPr>
            </w:pPr>
            <w:r w:rsidRPr="00494CA7">
              <w:rPr>
                <w:sz w:val="20"/>
                <w:szCs w:val="20"/>
                <w:lang w:val="en-GB"/>
              </w:rPr>
              <w:t>1</w:t>
            </w:r>
            <w:r w:rsidRPr="00494CA7">
              <w:rPr>
                <w:sz w:val="20"/>
                <w:szCs w:val="20"/>
                <w:vertAlign w:val="superscript"/>
                <w:lang w:val="en-GB"/>
              </w:rPr>
              <w:t>st</w:t>
            </w:r>
          </w:p>
        </w:tc>
        <w:tc>
          <w:tcPr>
            <w:tcW w:w="798" w:type="pct"/>
            <w:tcBorders>
              <w:top w:val="nil"/>
              <w:left w:val="nil"/>
              <w:bottom w:val="nil"/>
              <w:right w:val="nil"/>
            </w:tcBorders>
            <w:vAlign w:val="center"/>
          </w:tcPr>
          <w:p w14:paraId="2E89B0F3" w14:textId="77777777" w:rsidR="009B57E2" w:rsidRPr="00494CA7" w:rsidRDefault="009B57E2" w:rsidP="00B64335">
            <w:pPr>
              <w:spacing w:after="0" w:line="240" w:lineRule="auto"/>
              <w:jc w:val="center"/>
              <w:rPr>
                <w:sz w:val="20"/>
                <w:szCs w:val="20"/>
                <w:lang w:val="en-GB"/>
              </w:rPr>
            </w:pPr>
            <w:r w:rsidRPr="00494CA7">
              <w:rPr>
                <w:sz w:val="20"/>
                <w:szCs w:val="20"/>
                <w:lang w:val="en-GB"/>
              </w:rPr>
              <w:t>3634</w:t>
            </w:r>
          </w:p>
        </w:tc>
      </w:tr>
      <w:tr w:rsidR="009B57E2" w:rsidRPr="00494CA7" w14:paraId="793229A2" w14:textId="77777777" w:rsidTr="00B64335">
        <w:trPr>
          <w:trHeight w:val="284"/>
        </w:trPr>
        <w:tc>
          <w:tcPr>
            <w:tcW w:w="1008" w:type="pct"/>
            <w:tcBorders>
              <w:top w:val="nil"/>
              <w:left w:val="nil"/>
              <w:bottom w:val="nil"/>
              <w:right w:val="nil"/>
            </w:tcBorders>
            <w:vAlign w:val="center"/>
          </w:tcPr>
          <w:p w14:paraId="4A68539C"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Poland</w:t>
            </w:r>
          </w:p>
        </w:tc>
        <w:tc>
          <w:tcPr>
            <w:tcW w:w="799" w:type="pct"/>
            <w:tcBorders>
              <w:top w:val="nil"/>
              <w:left w:val="nil"/>
              <w:bottom w:val="nil"/>
              <w:right w:val="nil"/>
            </w:tcBorders>
            <w:vAlign w:val="center"/>
          </w:tcPr>
          <w:p w14:paraId="1F5C58D2" w14:textId="77777777" w:rsidR="009B57E2" w:rsidRPr="00494CA7" w:rsidRDefault="009B57E2" w:rsidP="00B64335">
            <w:pPr>
              <w:spacing w:after="0" w:line="240" w:lineRule="auto"/>
              <w:jc w:val="center"/>
              <w:rPr>
                <w:sz w:val="20"/>
                <w:szCs w:val="20"/>
                <w:lang w:val="en-GB"/>
              </w:rPr>
            </w:pPr>
            <w:r w:rsidRPr="00494CA7">
              <w:rPr>
                <w:sz w:val="20"/>
                <w:szCs w:val="20"/>
                <w:lang w:val="en-GB"/>
              </w:rPr>
              <w:t>479.6</w:t>
            </w:r>
          </w:p>
        </w:tc>
        <w:tc>
          <w:tcPr>
            <w:tcW w:w="798" w:type="pct"/>
            <w:tcBorders>
              <w:top w:val="nil"/>
              <w:left w:val="nil"/>
              <w:bottom w:val="nil"/>
              <w:right w:val="nil"/>
            </w:tcBorders>
            <w:vAlign w:val="center"/>
          </w:tcPr>
          <w:p w14:paraId="34C83F44" w14:textId="77777777" w:rsidR="009B57E2" w:rsidRPr="00494CA7" w:rsidRDefault="009B57E2" w:rsidP="00B64335">
            <w:pPr>
              <w:spacing w:after="0" w:line="240" w:lineRule="auto"/>
              <w:jc w:val="center"/>
              <w:rPr>
                <w:sz w:val="20"/>
                <w:szCs w:val="20"/>
                <w:lang w:val="en-GB"/>
              </w:rPr>
            </w:pPr>
            <w:r w:rsidRPr="00494CA7">
              <w:rPr>
                <w:sz w:val="20"/>
                <w:szCs w:val="20"/>
                <w:lang w:val="en-GB"/>
              </w:rPr>
              <w:t>1.8</w:t>
            </w:r>
          </w:p>
        </w:tc>
        <w:tc>
          <w:tcPr>
            <w:tcW w:w="798" w:type="pct"/>
            <w:tcBorders>
              <w:top w:val="nil"/>
              <w:left w:val="nil"/>
              <w:bottom w:val="nil"/>
              <w:right w:val="nil"/>
            </w:tcBorders>
            <w:vAlign w:val="center"/>
          </w:tcPr>
          <w:p w14:paraId="012FD86B"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0.770</w:t>
            </w:r>
          </w:p>
        </w:tc>
        <w:tc>
          <w:tcPr>
            <w:tcW w:w="798" w:type="pct"/>
            <w:tcBorders>
              <w:top w:val="nil"/>
              <w:left w:val="nil"/>
              <w:bottom w:val="nil"/>
              <w:right w:val="nil"/>
            </w:tcBorders>
          </w:tcPr>
          <w:p w14:paraId="238E23A4" w14:textId="77777777" w:rsidR="009B57E2" w:rsidRPr="00494CA7" w:rsidRDefault="009B57E2" w:rsidP="00B64335">
            <w:pPr>
              <w:spacing w:after="0" w:line="240" w:lineRule="auto"/>
              <w:jc w:val="center"/>
              <w:rPr>
                <w:sz w:val="20"/>
                <w:szCs w:val="20"/>
                <w:lang w:val="en-GB"/>
              </w:rPr>
            </w:pPr>
            <w:r w:rsidRPr="00494CA7">
              <w:rPr>
                <w:sz w:val="20"/>
                <w:szCs w:val="20"/>
                <w:lang w:val="en-GB"/>
              </w:rPr>
              <w:t>2</w:t>
            </w:r>
            <w:r w:rsidRPr="00494CA7">
              <w:rPr>
                <w:sz w:val="20"/>
                <w:szCs w:val="20"/>
                <w:vertAlign w:val="superscript"/>
                <w:lang w:val="en-GB"/>
              </w:rPr>
              <w:t>nd</w:t>
            </w:r>
          </w:p>
        </w:tc>
        <w:tc>
          <w:tcPr>
            <w:tcW w:w="798" w:type="pct"/>
            <w:tcBorders>
              <w:top w:val="nil"/>
              <w:left w:val="nil"/>
              <w:bottom w:val="nil"/>
              <w:right w:val="nil"/>
            </w:tcBorders>
            <w:vAlign w:val="center"/>
          </w:tcPr>
          <w:p w14:paraId="1EFA08D9" w14:textId="77777777" w:rsidR="009B57E2" w:rsidRPr="00494CA7" w:rsidRDefault="009B57E2" w:rsidP="00B64335">
            <w:pPr>
              <w:spacing w:after="0" w:line="240" w:lineRule="auto"/>
              <w:jc w:val="center"/>
              <w:rPr>
                <w:sz w:val="20"/>
                <w:szCs w:val="20"/>
              </w:rPr>
            </w:pPr>
            <w:r w:rsidRPr="00494CA7">
              <w:rPr>
                <w:sz w:val="20"/>
                <w:szCs w:val="20"/>
                <w:lang w:val="en-GB"/>
              </w:rPr>
              <w:t>2959</w:t>
            </w:r>
          </w:p>
        </w:tc>
      </w:tr>
      <w:tr w:rsidR="009B57E2" w:rsidRPr="00494CA7" w14:paraId="3F3E322C" w14:textId="77777777" w:rsidTr="00B64335">
        <w:trPr>
          <w:trHeight w:val="284"/>
        </w:trPr>
        <w:tc>
          <w:tcPr>
            <w:tcW w:w="1008" w:type="pct"/>
            <w:tcBorders>
              <w:top w:val="nil"/>
              <w:left w:val="nil"/>
              <w:bottom w:val="nil"/>
              <w:right w:val="nil"/>
            </w:tcBorders>
            <w:vAlign w:val="center"/>
          </w:tcPr>
          <w:p w14:paraId="14742846"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Portugal</w:t>
            </w:r>
          </w:p>
        </w:tc>
        <w:tc>
          <w:tcPr>
            <w:tcW w:w="799" w:type="pct"/>
            <w:tcBorders>
              <w:top w:val="nil"/>
              <w:left w:val="nil"/>
              <w:bottom w:val="nil"/>
              <w:right w:val="nil"/>
            </w:tcBorders>
            <w:vAlign w:val="center"/>
          </w:tcPr>
          <w:p w14:paraId="4739BD67" w14:textId="77777777" w:rsidR="009B57E2" w:rsidRPr="00494CA7" w:rsidRDefault="009B57E2" w:rsidP="00B64335">
            <w:pPr>
              <w:spacing w:after="0" w:line="240" w:lineRule="auto"/>
              <w:jc w:val="center"/>
              <w:rPr>
                <w:sz w:val="20"/>
                <w:szCs w:val="20"/>
                <w:lang w:val="en-GB"/>
              </w:rPr>
            </w:pPr>
            <w:r w:rsidRPr="00494CA7">
              <w:rPr>
                <w:sz w:val="20"/>
                <w:szCs w:val="20"/>
                <w:lang w:val="en-GB"/>
              </w:rPr>
              <w:t>484.6</w:t>
            </w:r>
          </w:p>
        </w:tc>
        <w:tc>
          <w:tcPr>
            <w:tcW w:w="798" w:type="pct"/>
            <w:tcBorders>
              <w:top w:val="nil"/>
              <w:left w:val="nil"/>
              <w:bottom w:val="nil"/>
              <w:right w:val="nil"/>
            </w:tcBorders>
            <w:vAlign w:val="center"/>
          </w:tcPr>
          <w:p w14:paraId="0D23E632" w14:textId="77777777" w:rsidR="009B57E2" w:rsidRPr="00494CA7" w:rsidRDefault="009B57E2" w:rsidP="00B64335">
            <w:pPr>
              <w:spacing w:after="0" w:line="240" w:lineRule="auto"/>
              <w:jc w:val="center"/>
              <w:rPr>
                <w:sz w:val="20"/>
                <w:szCs w:val="20"/>
                <w:lang w:val="en-GB"/>
              </w:rPr>
            </w:pPr>
            <w:r w:rsidRPr="00494CA7">
              <w:rPr>
                <w:sz w:val="20"/>
                <w:szCs w:val="20"/>
                <w:lang w:val="en-GB"/>
              </w:rPr>
              <w:t>1.4</w:t>
            </w:r>
          </w:p>
        </w:tc>
        <w:tc>
          <w:tcPr>
            <w:tcW w:w="798" w:type="pct"/>
            <w:tcBorders>
              <w:top w:val="nil"/>
              <w:left w:val="nil"/>
              <w:bottom w:val="nil"/>
              <w:right w:val="nil"/>
            </w:tcBorders>
            <w:vAlign w:val="center"/>
          </w:tcPr>
          <w:p w14:paraId="3542D479"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0.778</w:t>
            </w:r>
          </w:p>
        </w:tc>
        <w:tc>
          <w:tcPr>
            <w:tcW w:w="798" w:type="pct"/>
            <w:tcBorders>
              <w:top w:val="nil"/>
              <w:left w:val="nil"/>
              <w:bottom w:val="nil"/>
              <w:right w:val="nil"/>
            </w:tcBorders>
          </w:tcPr>
          <w:p w14:paraId="5FDDE44C" w14:textId="77777777" w:rsidR="009B57E2" w:rsidRPr="00494CA7" w:rsidRDefault="009B57E2" w:rsidP="00B64335">
            <w:pPr>
              <w:spacing w:after="0" w:line="240" w:lineRule="auto"/>
              <w:jc w:val="center"/>
              <w:rPr>
                <w:sz w:val="20"/>
                <w:szCs w:val="20"/>
                <w:lang w:val="en-GB"/>
              </w:rPr>
            </w:pPr>
            <w:r w:rsidRPr="00494CA7">
              <w:rPr>
                <w:sz w:val="20"/>
                <w:szCs w:val="20"/>
                <w:lang w:val="en-GB"/>
              </w:rPr>
              <w:t>2</w:t>
            </w:r>
            <w:r w:rsidRPr="00494CA7">
              <w:rPr>
                <w:sz w:val="20"/>
                <w:szCs w:val="20"/>
                <w:vertAlign w:val="superscript"/>
                <w:lang w:val="en-GB"/>
              </w:rPr>
              <w:t>nd</w:t>
            </w:r>
          </w:p>
        </w:tc>
        <w:tc>
          <w:tcPr>
            <w:tcW w:w="798" w:type="pct"/>
            <w:tcBorders>
              <w:top w:val="nil"/>
              <w:left w:val="nil"/>
              <w:bottom w:val="nil"/>
              <w:right w:val="nil"/>
            </w:tcBorders>
            <w:vAlign w:val="center"/>
          </w:tcPr>
          <w:p w14:paraId="5E8C163E" w14:textId="77777777" w:rsidR="009B57E2" w:rsidRPr="00494CA7" w:rsidRDefault="009B57E2" w:rsidP="00B64335">
            <w:pPr>
              <w:spacing w:after="0" w:line="240" w:lineRule="auto"/>
              <w:jc w:val="center"/>
              <w:rPr>
                <w:sz w:val="20"/>
                <w:szCs w:val="20"/>
              </w:rPr>
            </w:pPr>
            <w:r w:rsidRPr="00494CA7">
              <w:rPr>
                <w:sz w:val="20"/>
                <w:szCs w:val="20"/>
                <w:lang w:val="en-GB"/>
              </w:rPr>
              <w:t>2638</w:t>
            </w:r>
          </w:p>
        </w:tc>
      </w:tr>
      <w:tr w:rsidR="009B57E2" w:rsidRPr="00494CA7" w14:paraId="280F38D0" w14:textId="77777777" w:rsidTr="00B64335">
        <w:trPr>
          <w:trHeight w:val="284"/>
        </w:trPr>
        <w:tc>
          <w:tcPr>
            <w:tcW w:w="1008" w:type="pct"/>
            <w:tcBorders>
              <w:top w:val="nil"/>
              <w:left w:val="nil"/>
              <w:bottom w:val="nil"/>
              <w:right w:val="nil"/>
            </w:tcBorders>
            <w:vAlign w:val="center"/>
          </w:tcPr>
          <w:p w14:paraId="5017A02B"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Romania</w:t>
            </w:r>
          </w:p>
        </w:tc>
        <w:tc>
          <w:tcPr>
            <w:tcW w:w="799" w:type="pct"/>
            <w:tcBorders>
              <w:top w:val="nil"/>
              <w:left w:val="nil"/>
              <w:bottom w:val="nil"/>
              <w:right w:val="nil"/>
            </w:tcBorders>
            <w:vAlign w:val="center"/>
          </w:tcPr>
          <w:p w14:paraId="356877D3" w14:textId="77777777" w:rsidR="009B57E2" w:rsidRPr="00494CA7" w:rsidRDefault="009B57E2" w:rsidP="00B64335">
            <w:pPr>
              <w:spacing w:after="0" w:line="240" w:lineRule="auto"/>
              <w:jc w:val="center"/>
              <w:rPr>
                <w:sz w:val="20"/>
                <w:szCs w:val="20"/>
                <w:lang w:val="en-GB"/>
              </w:rPr>
            </w:pPr>
            <w:r w:rsidRPr="00494CA7">
              <w:rPr>
                <w:sz w:val="20"/>
                <w:szCs w:val="20"/>
                <w:lang w:val="en-GB"/>
              </w:rPr>
              <w:t>453.9</w:t>
            </w:r>
          </w:p>
        </w:tc>
        <w:tc>
          <w:tcPr>
            <w:tcW w:w="798" w:type="pct"/>
            <w:tcBorders>
              <w:top w:val="nil"/>
              <w:left w:val="nil"/>
              <w:bottom w:val="nil"/>
              <w:right w:val="nil"/>
            </w:tcBorders>
            <w:vAlign w:val="center"/>
          </w:tcPr>
          <w:p w14:paraId="03C9AA34" w14:textId="77777777" w:rsidR="009B57E2" w:rsidRPr="00494CA7" w:rsidRDefault="009B57E2" w:rsidP="00B64335">
            <w:pPr>
              <w:spacing w:after="0" w:line="240" w:lineRule="auto"/>
              <w:jc w:val="center"/>
              <w:rPr>
                <w:sz w:val="20"/>
                <w:szCs w:val="20"/>
                <w:lang w:val="en-GB"/>
              </w:rPr>
            </w:pPr>
            <w:r w:rsidRPr="00494CA7">
              <w:rPr>
                <w:sz w:val="20"/>
                <w:szCs w:val="20"/>
                <w:lang w:val="en-GB"/>
              </w:rPr>
              <w:t>1.4</w:t>
            </w:r>
          </w:p>
        </w:tc>
        <w:tc>
          <w:tcPr>
            <w:tcW w:w="798" w:type="pct"/>
            <w:tcBorders>
              <w:top w:val="nil"/>
              <w:left w:val="nil"/>
              <w:bottom w:val="nil"/>
              <w:right w:val="nil"/>
            </w:tcBorders>
            <w:vAlign w:val="center"/>
          </w:tcPr>
          <w:p w14:paraId="6A934A7B"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0.704</w:t>
            </w:r>
          </w:p>
        </w:tc>
        <w:tc>
          <w:tcPr>
            <w:tcW w:w="798" w:type="pct"/>
            <w:tcBorders>
              <w:top w:val="nil"/>
              <w:left w:val="nil"/>
              <w:bottom w:val="nil"/>
              <w:right w:val="nil"/>
            </w:tcBorders>
          </w:tcPr>
          <w:p w14:paraId="2F9D365D" w14:textId="77777777" w:rsidR="009B57E2" w:rsidRPr="00494CA7" w:rsidRDefault="009B57E2" w:rsidP="00B64335">
            <w:pPr>
              <w:spacing w:after="0" w:line="240" w:lineRule="auto"/>
              <w:jc w:val="center"/>
              <w:rPr>
                <w:sz w:val="20"/>
                <w:szCs w:val="20"/>
                <w:lang w:val="en-GB"/>
              </w:rPr>
            </w:pPr>
            <w:r w:rsidRPr="00494CA7">
              <w:rPr>
                <w:sz w:val="20"/>
                <w:szCs w:val="20"/>
                <w:lang w:val="en-GB"/>
              </w:rPr>
              <w:t>1</w:t>
            </w:r>
            <w:r w:rsidRPr="00494CA7">
              <w:rPr>
                <w:sz w:val="20"/>
                <w:szCs w:val="20"/>
                <w:vertAlign w:val="superscript"/>
                <w:lang w:val="en-GB"/>
              </w:rPr>
              <w:t>st</w:t>
            </w:r>
          </w:p>
        </w:tc>
        <w:tc>
          <w:tcPr>
            <w:tcW w:w="798" w:type="pct"/>
            <w:tcBorders>
              <w:top w:val="nil"/>
              <w:left w:val="nil"/>
              <w:bottom w:val="nil"/>
              <w:right w:val="nil"/>
            </w:tcBorders>
            <w:vAlign w:val="center"/>
          </w:tcPr>
          <w:p w14:paraId="3D3B53EB" w14:textId="77777777" w:rsidR="009B57E2" w:rsidRPr="00494CA7" w:rsidRDefault="009B57E2" w:rsidP="00B64335">
            <w:pPr>
              <w:spacing w:after="0" w:line="240" w:lineRule="auto"/>
              <w:jc w:val="center"/>
              <w:rPr>
                <w:sz w:val="20"/>
                <w:szCs w:val="20"/>
              </w:rPr>
            </w:pPr>
            <w:r w:rsidRPr="00494CA7">
              <w:rPr>
                <w:sz w:val="20"/>
                <w:szCs w:val="20"/>
                <w:lang w:val="en-GB"/>
              </w:rPr>
              <w:t>3357</w:t>
            </w:r>
          </w:p>
        </w:tc>
      </w:tr>
      <w:tr w:rsidR="009B57E2" w:rsidRPr="00494CA7" w14:paraId="67396CAE" w14:textId="77777777" w:rsidTr="00B64335">
        <w:trPr>
          <w:trHeight w:val="284"/>
        </w:trPr>
        <w:tc>
          <w:tcPr>
            <w:tcW w:w="1008" w:type="pct"/>
            <w:tcBorders>
              <w:top w:val="nil"/>
              <w:left w:val="nil"/>
              <w:bottom w:val="nil"/>
              <w:right w:val="nil"/>
            </w:tcBorders>
            <w:vAlign w:val="center"/>
          </w:tcPr>
          <w:p w14:paraId="6B034041"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Russia</w:t>
            </w:r>
          </w:p>
        </w:tc>
        <w:tc>
          <w:tcPr>
            <w:tcW w:w="799" w:type="pct"/>
            <w:tcBorders>
              <w:top w:val="nil"/>
              <w:left w:val="nil"/>
              <w:bottom w:val="nil"/>
              <w:right w:val="nil"/>
            </w:tcBorders>
            <w:vAlign w:val="center"/>
          </w:tcPr>
          <w:p w14:paraId="76C4DC65" w14:textId="77777777" w:rsidR="009B57E2" w:rsidRPr="00494CA7" w:rsidRDefault="009B57E2" w:rsidP="00B64335">
            <w:pPr>
              <w:spacing w:after="0" w:line="240" w:lineRule="auto"/>
              <w:jc w:val="center"/>
              <w:rPr>
                <w:sz w:val="20"/>
                <w:szCs w:val="20"/>
                <w:lang w:val="en-GB"/>
              </w:rPr>
            </w:pPr>
            <w:r w:rsidRPr="00494CA7">
              <w:rPr>
                <w:sz w:val="20"/>
                <w:szCs w:val="20"/>
                <w:lang w:val="en-GB"/>
              </w:rPr>
              <w:t>468.7</w:t>
            </w:r>
          </w:p>
        </w:tc>
        <w:tc>
          <w:tcPr>
            <w:tcW w:w="798" w:type="pct"/>
            <w:tcBorders>
              <w:top w:val="nil"/>
              <w:left w:val="nil"/>
              <w:bottom w:val="nil"/>
              <w:right w:val="nil"/>
            </w:tcBorders>
            <w:vAlign w:val="center"/>
          </w:tcPr>
          <w:p w14:paraId="79480659" w14:textId="77777777" w:rsidR="009B57E2" w:rsidRPr="00494CA7" w:rsidRDefault="009B57E2" w:rsidP="00B64335">
            <w:pPr>
              <w:spacing w:after="0" w:line="240" w:lineRule="auto"/>
              <w:jc w:val="center"/>
              <w:rPr>
                <w:sz w:val="20"/>
                <w:szCs w:val="20"/>
                <w:lang w:val="en-GB"/>
              </w:rPr>
            </w:pPr>
            <w:r w:rsidRPr="00494CA7">
              <w:rPr>
                <w:sz w:val="20"/>
                <w:szCs w:val="20"/>
                <w:lang w:val="en-GB"/>
              </w:rPr>
              <w:t>1.7</w:t>
            </w:r>
          </w:p>
        </w:tc>
        <w:tc>
          <w:tcPr>
            <w:tcW w:w="798" w:type="pct"/>
            <w:tcBorders>
              <w:top w:val="nil"/>
              <w:left w:val="nil"/>
              <w:bottom w:val="nil"/>
              <w:right w:val="nil"/>
            </w:tcBorders>
            <w:vAlign w:val="center"/>
          </w:tcPr>
          <w:p w14:paraId="5B2887AE"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0.691</w:t>
            </w:r>
          </w:p>
        </w:tc>
        <w:tc>
          <w:tcPr>
            <w:tcW w:w="798" w:type="pct"/>
            <w:tcBorders>
              <w:top w:val="nil"/>
              <w:left w:val="nil"/>
              <w:bottom w:val="nil"/>
              <w:right w:val="nil"/>
            </w:tcBorders>
          </w:tcPr>
          <w:p w14:paraId="3CEA0816" w14:textId="77777777" w:rsidR="009B57E2" w:rsidRPr="00494CA7" w:rsidRDefault="009B57E2" w:rsidP="00B64335">
            <w:pPr>
              <w:spacing w:after="0" w:line="240" w:lineRule="auto"/>
              <w:jc w:val="center"/>
              <w:rPr>
                <w:sz w:val="20"/>
                <w:szCs w:val="20"/>
                <w:lang w:val="en-GB"/>
              </w:rPr>
            </w:pPr>
            <w:r w:rsidRPr="00494CA7">
              <w:rPr>
                <w:sz w:val="20"/>
                <w:szCs w:val="20"/>
                <w:lang w:val="en-GB"/>
              </w:rPr>
              <w:t>1</w:t>
            </w:r>
            <w:r w:rsidRPr="00494CA7">
              <w:rPr>
                <w:sz w:val="20"/>
                <w:szCs w:val="20"/>
                <w:vertAlign w:val="superscript"/>
                <w:lang w:val="en-GB"/>
              </w:rPr>
              <w:t>st</w:t>
            </w:r>
          </w:p>
        </w:tc>
        <w:tc>
          <w:tcPr>
            <w:tcW w:w="798" w:type="pct"/>
            <w:tcBorders>
              <w:top w:val="nil"/>
              <w:left w:val="nil"/>
              <w:bottom w:val="nil"/>
              <w:right w:val="nil"/>
            </w:tcBorders>
            <w:vAlign w:val="center"/>
          </w:tcPr>
          <w:p w14:paraId="794500B7" w14:textId="77777777" w:rsidR="009B57E2" w:rsidRPr="00494CA7" w:rsidRDefault="009B57E2" w:rsidP="00B64335">
            <w:pPr>
              <w:spacing w:after="0" w:line="240" w:lineRule="auto"/>
              <w:jc w:val="center"/>
              <w:rPr>
                <w:sz w:val="20"/>
                <w:szCs w:val="20"/>
              </w:rPr>
            </w:pPr>
            <w:r w:rsidRPr="00494CA7">
              <w:rPr>
                <w:sz w:val="20"/>
                <w:szCs w:val="20"/>
                <w:lang w:val="en-GB"/>
              </w:rPr>
              <w:t>4441</w:t>
            </w:r>
          </w:p>
        </w:tc>
      </w:tr>
      <w:tr w:rsidR="009B57E2" w:rsidRPr="00494CA7" w14:paraId="63C4D910" w14:textId="77777777" w:rsidTr="00B64335">
        <w:trPr>
          <w:trHeight w:val="284"/>
        </w:trPr>
        <w:tc>
          <w:tcPr>
            <w:tcW w:w="1008" w:type="pct"/>
            <w:tcBorders>
              <w:top w:val="nil"/>
              <w:left w:val="nil"/>
              <w:bottom w:val="nil"/>
              <w:right w:val="nil"/>
            </w:tcBorders>
            <w:vAlign w:val="center"/>
          </w:tcPr>
          <w:p w14:paraId="210B4753"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Spain</w:t>
            </w:r>
          </w:p>
        </w:tc>
        <w:tc>
          <w:tcPr>
            <w:tcW w:w="799" w:type="pct"/>
            <w:tcBorders>
              <w:top w:val="nil"/>
              <w:left w:val="nil"/>
              <w:bottom w:val="nil"/>
              <w:right w:val="nil"/>
            </w:tcBorders>
            <w:vAlign w:val="center"/>
          </w:tcPr>
          <w:p w14:paraId="48BBF526" w14:textId="77777777" w:rsidR="009B57E2" w:rsidRPr="00494CA7" w:rsidRDefault="009B57E2" w:rsidP="00B64335">
            <w:pPr>
              <w:spacing w:after="0" w:line="240" w:lineRule="auto"/>
              <w:jc w:val="center"/>
              <w:rPr>
                <w:sz w:val="20"/>
                <w:szCs w:val="20"/>
                <w:lang w:val="en-GB"/>
              </w:rPr>
            </w:pPr>
            <w:r w:rsidRPr="00494CA7">
              <w:rPr>
                <w:sz w:val="20"/>
                <w:szCs w:val="20"/>
                <w:lang w:val="en-GB"/>
              </w:rPr>
              <w:t>499.7</w:t>
            </w:r>
          </w:p>
        </w:tc>
        <w:tc>
          <w:tcPr>
            <w:tcW w:w="798" w:type="pct"/>
            <w:tcBorders>
              <w:top w:val="nil"/>
              <w:left w:val="nil"/>
              <w:bottom w:val="nil"/>
              <w:right w:val="nil"/>
            </w:tcBorders>
            <w:vAlign w:val="center"/>
          </w:tcPr>
          <w:p w14:paraId="6DB87CE8" w14:textId="77777777" w:rsidR="009B57E2" w:rsidRPr="00494CA7" w:rsidRDefault="009B57E2" w:rsidP="00B64335">
            <w:pPr>
              <w:spacing w:after="0" w:line="240" w:lineRule="auto"/>
              <w:jc w:val="center"/>
              <w:rPr>
                <w:sz w:val="20"/>
                <w:szCs w:val="20"/>
                <w:lang w:val="en-GB"/>
              </w:rPr>
            </w:pPr>
            <w:r w:rsidRPr="00494CA7">
              <w:rPr>
                <w:sz w:val="20"/>
                <w:szCs w:val="20"/>
                <w:lang w:val="en-GB"/>
              </w:rPr>
              <w:t>1.4</w:t>
            </w:r>
          </w:p>
        </w:tc>
        <w:tc>
          <w:tcPr>
            <w:tcW w:w="798" w:type="pct"/>
            <w:tcBorders>
              <w:top w:val="nil"/>
              <w:left w:val="nil"/>
              <w:bottom w:val="nil"/>
              <w:right w:val="nil"/>
            </w:tcBorders>
            <w:vAlign w:val="center"/>
          </w:tcPr>
          <w:p w14:paraId="599CC2C5"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0.839</w:t>
            </w:r>
          </w:p>
        </w:tc>
        <w:tc>
          <w:tcPr>
            <w:tcW w:w="798" w:type="pct"/>
            <w:tcBorders>
              <w:top w:val="nil"/>
              <w:left w:val="nil"/>
              <w:bottom w:val="nil"/>
              <w:right w:val="nil"/>
            </w:tcBorders>
          </w:tcPr>
          <w:p w14:paraId="6DE8EE62" w14:textId="77777777" w:rsidR="009B57E2" w:rsidRPr="00494CA7" w:rsidRDefault="009B57E2" w:rsidP="00B64335">
            <w:pPr>
              <w:spacing w:after="0" w:line="240" w:lineRule="auto"/>
              <w:jc w:val="center"/>
              <w:rPr>
                <w:sz w:val="20"/>
                <w:szCs w:val="20"/>
                <w:lang w:val="en-GB"/>
              </w:rPr>
            </w:pPr>
            <w:r w:rsidRPr="00494CA7">
              <w:rPr>
                <w:sz w:val="20"/>
                <w:szCs w:val="20"/>
                <w:lang w:val="en-GB"/>
              </w:rPr>
              <w:t>3</w:t>
            </w:r>
            <w:r w:rsidRPr="00494CA7">
              <w:rPr>
                <w:sz w:val="20"/>
                <w:szCs w:val="20"/>
                <w:vertAlign w:val="superscript"/>
                <w:lang w:val="en-GB"/>
              </w:rPr>
              <w:t>rd</w:t>
            </w:r>
          </w:p>
        </w:tc>
        <w:tc>
          <w:tcPr>
            <w:tcW w:w="798" w:type="pct"/>
            <w:tcBorders>
              <w:top w:val="nil"/>
              <w:left w:val="nil"/>
              <w:bottom w:val="nil"/>
              <w:right w:val="nil"/>
            </w:tcBorders>
            <w:vAlign w:val="center"/>
          </w:tcPr>
          <w:p w14:paraId="1C0E183F" w14:textId="77777777" w:rsidR="009B57E2" w:rsidRPr="00494CA7" w:rsidRDefault="009B57E2" w:rsidP="00B64335">
            <w:pPr>
              <w:spacing w:after="0" w:line="240" w:lineRule="auto"/>
              <w:jc w:val="center"/>
              <w:rPr>
                <w:sz w:val="20"/>
                <w:szCs w:val="20"/>
              </w:rPr>
            </w:pPr>
            <w:r w:rsidRPr="00494CA7">
              <w:rPr>
                <w:sz w:val="20"/>
                <w:szCs w:val="20"/>
                <w:lang w:val="en-GB"/>
              </w:rPr>
              <w:t>4220</w:t>
            </w:r>
          </w:p>
        </w:tc>
      </w:tr>
      <w:tr w:rsidR="009B57E2" w:rsidRPr="00494CA7" w14:paraId="779E779A" w14:textId="77777777" w:rsidTr="00B64335">
        <w:trPr>
          <w:trHeight w:val="284"/>
        </w:trPr>
        <w:tc>
          <w:tcPr>
            <w:tcW w:w="1008" w:type="pct"/>
            <w:tcBorders>
              <w:top w:val="nil"/>
              <w:left w:val="nil"/>
              <w:bottom w:val="nil"/>
              <w:right w:val="nil"/>
            </w:tcBorders>
            <w:vAlign w:val="center"/>
          </w:tcPr>
          <w:p w14:paraId="11C83327"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Sweden</w:t>
            </w:r>
          </w:p>
        </w:tc>
        <w:tc>
          <w:tcPr>
            <w:tcW w:w="799" w:type="pct"/>
            <w:tcBorders>
              <w:top w:val="nil"/>
              <w:left w:val="nil"/>
              <w:bottom w:val="nil"/>
              <w:right w:val="nil"/>
            </w:tcBorders>
            <w:vAlign w:val="center"/>
          </w:tcPr>
          <w:p w14:paraId="485F07B4" w14:textId="77777777" w:rsidR="009B57E2" w:rsidRPr="00494CA7" w:rsidRDefault="009B57E2" w:rsidP="00B64335">
            <w:pPr>
              <w:spacing w:after="0" w:line="240" w:lineRule="auto"/>
              <w:jc w:val="center"/>
              <w:rPr>
                <w:sz w:val="20"/>
                <w:szCs w:val="20"/>
                <w:lang w:val="en-GB"/>
              </w:rPr>
            </w:pPr>
            <w:r w:rsidRPr="00494CA7">
              <w:rPr>
                <w:sz w:val="20"/>
                <w:szCs w:val="20"/>
                <w:lang w:val="en-GB"/>
              </w:rPr>
              <w:t>524.2</w:t>
            </w:r>
          </w:p>
        </w:tc>
        <w:tc>
          <w:tcPr>
            <w:tcW w:w="798" w:type="pct"/>
            <w:tcBorders>
              <w:top w:val="nil"/>
              <w:left w:val="nil"/>
              <w:bottom w:val="nil"/>
              <w:right w:val="nil"/>
            </w:tcBorders>
            <w:vAlign w:val="center"/>
          </w:tcPr>
          <w:p w14:paraId="00B76880" w14:textId="77777777" w:rsidR="009B57E2" w:rsidRPr="00494CA7" w:rsidRDefault="009B57E2" w:rsidP="00B64335">
            <w:pPr>
              <w:spacing w:after="0" w:line="240" w:lineRule="auto"/>
              <w:jc w:val="center"/>
              <w:rPr>
                <w:sz w:val="20"/>
                <w:szCs w:val="20"/>
                <w:lang w:val="en-GB"/>
              </w:rPr>
            </w:pPr>
            <w:r w:rsidRPr="00494CA7">
              <w:rPr>
                <w:sz w:val="20"/>
                <w:szCs w:val="20"/>
                <w:lang w:val="en-GB"/>
              </w:rPr>
              <w:t>2.2</w:t>
            </w:r>
          </w:p>
        </w:tc>
        <w:tc>
          <w:tcPr>
            <w:tcW w:w="798" w:type="pct"/>
            <w:tcBorders>
              <w:top w:val="nil"/>
              <w:left w:val="nil"/>
              <w:bottom w:val="nil"/>
              <w:right w:val="nil"/>
            </w:tcBorders>
            <w:vAlign w:val="center"/>
          </w:tcPr>
          <w:p w14:paraId="17309D64"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0.894</w:t>
            </w:r>
          </w:p>
        </w:tc>
        <w:tc>
          <w:tcPr>
            <w:tcW w:w="798" w:type="pct"/>
            <w:tcBorders>
              <w:top w:val="nil"/>
              <w:left w:val="nil"/>
              <w:bottom w:val="nil"/>
              <w:right w:val="nil"/>
            </w:tcBorders>
          </w:tcPr>
          <w:p w14:paraId="3F12C338" w14:textId="77777777" w:rsidR="009B57E2" w:rsidRPr="00494CA7" w:rsidRDefault="009B57E2" w:rsidP="00B64335">
            <w:pPr>
              <w:spacing w:after="0" w:line="240" w:lineRule="auto"/>
              <w:jc w:val="center"/>
              <w:rPr>
                <w:sz w:val="20"/>
                <w:szCs w:val="20"/>
                <w:lang w:val="en-GB"/>
              </w:rPr>
            </w:pPr>
            <w:r w:rsidRPr="00494CA7">
              <w:rPr>
                <w:sz w:val="20"/>
                <w:szCs w:val="20"/>
                <w:lang w:val="en-GB"/>
              </w:rPr>
              <w:t>4</w:t>
            </w:r>
            <w:r w:rsidRPr="00494CA7">
              <w:rPr>
                <w:sz w:val="20"/>
                <w:szCs w:val="20"/>
                <w:vertAlign w:val="superscript"/>
                <w:lang w:val="en-GB"/>
              </w:rPr>
              <w:t>th</w:t>
            </w:r>
          </w:p>
        </w:tc>
        <w:tc>
          <w:tcPr>
            <w:tcW w:w="798" w:type="pct"/>
            <w:tcBorders>
              <w:top w:val="nil"/>
              <w:left w:val="nil"/>
              <w:bottom w:val="nil"/>
              <w:right w:val="nil"/>
            </w:tcBorders>
            <w:vAlign w:val="center"/>
          </w:tcPr>
          <w:p w14:paraId="4DD82208" w14:textId="77777777" w:rsidR="009B57E2" w:rsidRPr="00494CA7" w:rsidRDefault="009B57E2" w:rsidP="00B64335">
            <w:pPr>
              <w:spacing w:after="0" w:line="240" w:lineRule="auto"/>
              <w:jc w:val="center"/>
              <w:rPr>
                <w:sz w:val="20"/>
                <w:szCs w:val="20"/>
              </w:rPr>
            </w:pPr>
            <w:r w:rsidRPr="00494CA7">
              <w:rPr>
                <w:sz w:val="20"/>
                <w:szCs w:val="20"/>
                <w:lang w:val="en-GB"/>
              </w:rPr>
              <w:t>2629</w:t>
            </w:r>
          </w:p>
        </w:tc>
      </w:tr>
      <w:tr w:rsidR="009B57E2" w:rsidRPr="00494CA7" w14:paraId="01C1C71E" w14:textId="77777777" w:rsidTr="00B64335">
        <w:trPr>
          <w:trHeight w:val="284"/>
        </w:trPr>
        <w:tc>
          <w:tcPr>
            <w:tcW w:w="1008" w:type="pct"/>
            <w:tcBorders>
              <w:top w:val="nil"/>
              <w:left w:val="nil"/>
              <w:bottom w:val="nil"/>
              <w:right w:val="nil"/>
            </w:tcBorders>
            <w:vAlign w:val="center"/>
          </w:tcPr>
          <w:p w14:paraId="155F41F7"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Switzerland</w:t>
            </w:r>
          </w:p>
        </w:tc>
        <w:tc>
          <w:tcPr>
            <w:tcW w:w="799" w:type="pct"/>
            <w:tcBorders>
              <w:top w:val="nil"/>
              <w:left w:val="nil"/>
              <w:bottom w:val="nil"/>
              <w:right w:val="nil"/>
            </w:tcBorders>
            <w:vAlign w:val="center"/>
          </w:tcPr>
          <w:p w14:paraId="02724D51" w14:textId="77777777" w:rsidR="009B57E2" w:rsidRPr="00494CA7" w:rsidRDefault="009B57E2" w:rsidP="00B64335">
            <w:pPr>
              <w:spacing w:after="0" w:line="240" w:lineRule="auto"/>
              <w:jc w:val="center"/>
              <w:rPr>
                <w:sz w:val="20"/>
                <w:szCs w:val="20"/>
                <w:lang w:val="en-GB"/>
              </w:rPr>
            </w:pPr>
            <w:r w:rsidRPr="00494CA7">
              <w:rPr>
                <w:sz w:val="20"/>
                <w:szCs w:val="20"/>
                <w:lang w:val="en-GB"/>
              </w:rPr>
              <w:t>504.3</w:t>
            </w:r>
          </w:p>
        </w:tc>
        <w:tc>
          <w:tcPr>
            <w:tcW w:w="798" w:type="pct"/>
            <w:tcBorders>
              <w:top w:val="nil"/>
              <w:left w:val="nil"/>
              <w:bottom w:val="nil"/>
              <w:right w:val="nil"/>
            </w:tcBorders>
            <w:vAlign w:val="center"/>
          </w:tcPr>
          <w:p w14:paraId="760CD2D2" w14:textId="77777777" w:rsidR="009B57E2" w:rsidRPr="00494CA7" w:rsidRDefault="009B57E2" w:rsidP="00B64335">
            <w:pPr>
              <w:spacing w:after="0" w:line="240" w:lineRule="auto"/>
              <w:jc w:val="center"/>
              <w:rPr>
                <w:sz w:val="20"/>
                <w:szCs w:val="20"/>
                <w:lang w:val="en-GB"/>
              </w:rPr>
            </w:pPr>
            <w:r w:rsidRPr="00494CA7">
              <w:rPr>
                <w:sz w:val="20"/>
                <w:szCs w:val="20"/>
                <w:lang w:val="en-GB"/>
              </w:rPr>
              <w:t>1.6</w:t>
            </w:r>
          </w:p>
        </w:tc>
        <w:tc>
          <w:tcPr>
            <w:tcW w:w="798" w:type="pct"/>
            <w:tcBorders>
              <w:top w:val="nil"/>
              <w:left w:val="nil"/>
              <w:bottom w:val="nil"/>
              <w:right w:val="nil"/>
            </w:tcBorders>
            <w:vAlign w:val="center"/>
          </w:tcPr>
          <w:p w14:paraId="6500BD8C"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0.873</w:t>
            </w:r>
          </w:p>
        </w:tc>
        <w:tc>
          <w:tcPr>
            <w:tcW w:w="798" w:type="pct"/>
            <w:tcBorders>
              <w:top w:val="nil"/>
              <w:left w:val="nil"/>
              <w:bottom w:val="nil"/>
              <w:right w:val="nil"/>
            </w:tcBorders>
          </w:tcPr>
          <w:p w14:paraId="68748CFB" w14:textId="77777777" w:rsidR="009B57E2" w:rsidRPr="00494CA7" w:rsidRDefault="009B57E2" w:rsidP="00B64335">
            <w:pPr>
              <w:spacing w:after="0" w:line="240" w:lineRule="auto"/>
              <w:jc w:val="center"/>
              <w:rPr>
                <w:sz w:val="20"/>
                <w:szCs w:val="20"/>
                <w:lang w:val="en-GB"/>
              </w:rPr>
            </w:pPr>
            <w:r w:rsidRPr="00494CA7">
              <w:rPr>
                <w:sz w:val="20"/>
                <w:szCs w:val="20"/>
                <w:lang w:val="en-GB"/>
              </w:rPr>
              <w:t>4</w:t>
            </w:r>
            <w:r w:rsidRPr="00494CA7">
              <w:rPr>
                <w:sz w:val="20"/>
                <w:szCs w:val="20"/>
                <w:vertAlign w:val="superscript"/>
                <w:lang w:val="en-GB"/>
              </w:rPr>
              <w:t>th</w:t>
            </w:r>
          </w:p>
        </w:tc>
        <w:tc>
          <w:tcPr>
            <w:tcW w:w="798" w:type="pct"/>
            <w:tcBorders>
              <w:top w:val="nil"/>
              <w:left w:val="nil"/>
              <w:bottom w:val="nil"/>
              <w:right w:val="nil"/>
            </w:tcBorders>
            <w:vAlign w:val="center"/>
          </w:tcPr>
          <w:p w14:paraId="5A517351" w14:textId="77777777" w:rsidR="009B57E2" w:rsidRPr="00494CA7" w:rsidRDefault="009B57E2" w:rsidP="00B64335">
            <w:pPr>
              <w:spacing w:after="0" w:line="240" w:lineRule="auto"/>
              <w:jc w:val="center"/>
              <w:rPr>
                <w:sz w:val="20"/>
                <w:szCs w:val="20"/>
              </w:rPr>
            </w:pPr>
            <w:r w:rsidRPr="00494CA7">
              <w:rPr>
                <w:sz w:val="20"/>
                <w:szCs w:val="20"/>
                <w:lang w:val="en-GB"/>
              </w:rPr>
              <w:t>4389</w:t>
            </w:r>
          </w:p>
        </w:tc>
      </w:tr>
      <w:tr w:rsidR="009B57E2" w:rsidRPr="00494CA7" w14:paraId="7E93D7D7" w14:textId="77777777" w:rsidTr="00B64335">
        <w:trPr>
          <w:trHeight w:val="284"/>
        </w:trPr>
        <w:tc>
          <w:tcPr>
            <w:tcW w:w="1008" w:type="pct"/>
            <w:tcBorders>
              <w:top w:val="nil"/>
              <w:left w:val="nil"/>
              <w:bottom w:val="nil"/>
              <w:right w:val="nil"/>
            </w:tcBorders>
            <w:vAlign w:val="center"/>
          </w:tcPr>
          <w:p w14:paraId="02007177" w14:textId="77777777" w:rsidR="009B57E2" w:rsidRPr="00494CA7" w:rsidRDefault="009B57E2" w:rsidP="00B64335">
            <w:pPr>
              <w:spacing w:after="0" w:line="240" w:lineRule="auto"/>
              <w:rPr>
                <w:sz w:val="20"/>
                <w:szCs w:val="20"/>
                <w:lang w:val="en-GB"/>
              </w:rPr>
            </w:pPr>
            <w:r w:rsidRPr="00494CA7">
              <w:rPr>
                <w:color w:val="000000"/>
                <w:sz w:val="20"/>
                <w:szCs w:val="20"/>
                <w:lang w:val="en-GB"/>
              </w:rPr>
              <w:t>Thailand</w:t>
            </w:r>
          </w:p>
        </w:tc>
        <w:tc>
          <w:tcPr>
            <w:tcW w:w="799" w:type="pct"/>
            <w:tcBorders>
              <w:top w:val="nil"/>
              <w:left w:val="nil"/>
              <w:bottom w:val="nil"/>
              <w:right w:val="nil"/>
            </w:tcBorders>
            <w:vAlign w:val="center"/>
          </w:tcPr>
          <w:p w14:paraId="660D921C" w14:textId="77777777" w:rsidR="009B57E2" w:rsidRPr="00494CA7" w:rsidRDefault="009B57E2" w:rsidP="00B64335">
            <w:pPr>
              <w:spacing w:after="0" w:line="240" w:lineRule="auto"/>
              <w:jc w:val="center"/>
              <w:rPr>
                <w:sz w:val="20"/>
                <w:szCs w:val="20"/>
                <w:lang w:val="en-GB"/>
              </w:rPr>
            </w:pPr>
            <w:r w:rsidRPr="00494CA7">
              <w:rPr>
                <w:sz w:val="20"/>
                <w:szCs w:val="20"/>
                <w:lang w:val="en-GB"/>
              </w:rPr>
              <w:t>443.3</w:t>
            </w:r>
          </w:p>
        </w:tc>
        <w:tc>
          <w:tcPr>
            <w:tcW w:w="798" w:type="pct"/>
            <w:tcBorders>
              <w:top w:val="nil"/>
              <w:left w:val="nil"/>
              <w:bottom w:val="nil"/>
              <w:right w:val="nil"/>
            </w:tcBorders>
            <w:vAlign w:val="center"/>
          </w:tcPr>
          <w:p w14:paraId="31AB2FA2" w14:textId="77777777" w:rsidR="009B57E2" w:rsidRPr="00494CA7" w:rsidRDefault="009B57E2" w:rsidP="00B64335">
            <w:pPr>
              <w:spacing w:after="0" w:line="240" w:lineRule="auto"/>
              <w:jc w:val="center"/>
              <w:rPr>
                <w:sz w:val="20"/>
                <w:szCs w:val="20"/>
                <w:lang w:val="en-GB"/>
              </w:rPr>
            </w:pPr>
            <w:r w:rsidRPr="00494CA7">
              <w:rPr>
                <w:sz w:val="20"/>
                <w:szCs w:val="20"/>
                <w:lang w:val="en-GB"/>
              </w:rPr>
              <w:t>2.1</w:t>
            </w:r>
          </w:p>
        </w:tc>
        <w:tc>
          <w:tcPr>
            <w:tcW w:w="798" w:type="pct"/>
            <w:tcBorders>
              <w:top w:val="nil"/>
              <w:left w:val="nil"/>
              <w:bottom w:val="nil"/>
              <w:right w:val="nil"/>
            </w:tcBorders>
            <w:vAlign w:val="center"/>
          </w:tcPr>
          <w:p w14:paraId="0F4F2888"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0.626</w:t>
            </w:r>
          </w:p>
        </w:tc>
        <w:tc>
          <w:tcPr>
            <w:tcW w:w="798" w:type="pct"/>
            <w:tcBorders>
              <w:top w:val="nil"/>
              <w:left w:val="nil"/>
              <w:bottom w:val="nil"/>
              <w:right w:val="nil"/>
            </w:tcBorders>
          </w:tcPr>
          <w:p w14:paraId="6AD2923D" w14:textId="77777777" w:rsidR="009B57E2" w:rsidRPr="00494CA7" w:rsidRDefault="009B57E2" w:rsidP="00B64335">
            <w:pPr>
              <w:spacing w:after="0" w:line="240" w:lineRule="auto"/>
              <w:jc w:val="center"/>
              <w:rPr>
                <w:sz w:val="20"/>
                <w:szCs w:val="20"/>
                <w:lang w:val="en-GB"/>
              </w:rPr>
            </w:pPr>
            <w:r w:rsidRPr="00494CA7">
              <w:rPr>
                <w:sz w:val="20"/>
                <w:szCs w:val="20"/>
                <w:lang w:val="en-GB"/>
              </w:rPr>
              <w:t>1</w:t>
            </w:r>
            <w:r w:rsidRPr="00494CA7">
              <w:rPr>
                <w:sz w:val="20"/>
                <w:szCs w:val="20"/>
                <w:vertAlign w:val="superscript"/>
                <w:lang w:val="en-GB"/>
              </w:rPr>
              <w:t>st</w:t>
            </w:r>
          </w:p>
        </w:tc>
        <w:tc>
          <w:tcPr>
            <w:tcW w:w="798" w:type="pct"/>
            <w:tcBorders>
              <w:top w:val="nil"/>
              <w:left w:val="nil"/>
              <w:bottom w:val="nil"/>
              <w:right w:val="nil"/>
            </w:tcBorders>
            <w:vAlign w:val="center"/>
          </w:tcPr>
          <w:p w14:paraId="2B412E24" w14:textId="77777777" w:rsidR="009B57E2" w:rsidRPr="00494CA7" w:rsidRDefault="009B57E2" w:rsidP="00B64335">
            <w:pPr>
              <w:spacing w:after="0" w:line="240" w:lineRule="auto"/>
              <w:jc w:val="center"/>
              <w:rPr>
                <w:sz w:val="20"/>
                <w:szCs w:val="20"/>
              </w:rPr>
            </w:pPr>
            <w:r w:rsidRPr="00494CA7">
              <w:rPr>
                <w:sz w:val="20"/>
                <w:szCs w:val="20"/>
                <w:lang w:val="en-GB"/>
              </w:rPr>
              <w:t>3801</w:t>
            </w:r>
          </w:p>
        </w:tc>
      </w:tr>
      <w:tr w:rsidR="009B57E2" w:rsidRPr="00494CA7" w14:paraId="4A323955" w14:textId="77777777" w:rsidTr="00B64335">
        <w:trPr>
          <w:trHeight w:val="284"/>
        </w:trPr>
        <w:tc>
          <w:tcPr>
            <w:tcW w:w="1008" w:type="pct"/>
            <w:tcBorders>
              <w:top w:val="nil"/>
              <w:left w:val="nil"/>
              <w:bottom w:val="nil"/>
              <w:right w:val="nil"/>
            </w:tcBorders>
            <w:vAlign w:val="center"/>
          </w:tcPr>
          <w:p w14:paraId="08CC5F3A"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UK</w:t>
            </w:r>
          </w:p>
        </w:tc>
        <w:tc>
          <w:tcPr>
            <w:tcW w:w="799" w:type="pct"/>
            <w:tcBorders>
              <w:top w:val="nil"/>
              <w:left w:val="nil"/>
              <w:bottom w:val="nil"/>
              <w:right w:val="nil"/>
            </w:tcBorders>
            <w:vAlign w:val="center"/>
          </w:tcPr>
          <w:p w14:paraId="236DDAF6" w14:textId="77777777" w:rsidR="009B57E2" w:rsidRPr="00494CA7" w:rsidRDefault="009B57E2" w:rsidP="00B64335">
            <w:pPr>
              <w:spacing w:after="0" w:line="240" w:lineRule="auto"/>
              <w:jc w:val="center"/>
              <w:rPr>
                <w:sz w:val="20"/>
                <w:szCs w:val="20"/>
                <w:lang w:val="en-GB"/>
              </w:rPr>
            </w:pPr>
            <w:r w:rsidRPr="00494CA7">
              <w:rPr>
                <w:sz w:val="20"/>
                <w:szCs w:val="20"/>
                <w:lang w:val="en-GB"/>
              </w:rPr>
              <w:t>545.5</w:t>
            </w:r>
          </w:p>
        </w:tc>
        <w:tc>
          <w:tcPr>
            <w:tcW w:w="798" w:type="pct"/>
            <w:tcBorders>
              <w:top w:val="nil"/>
              <w:left w:val="nil"/>
              <w:bottom w:val="nil"/>
              <w:right w:val="nil"/>
            </w:tcBorders>
            <w:vAlign w:val="center"/>
          </w:tcPr>
          <w:p w14:paraId="4875CD42" w14:textId="77777777" w:rsidR="009B57E2" w:rsidRPr="00494CA7" w:rsidRDefault="009B57E2" w:rsidP="00B64335">
            <w:pPr>
              <w:spacing w:after="0" w:line="240" w:lineRule="auto"/>
              <w:jc w:val="center"/>
              <w:rPr>
                <w:sz w:val="20"/>
                <w:szCs w:val="20"/>
                <w:lang w:val="en-GB"/>
              </w:rPr>
            </w:pPr>
            <w:r w:rsidRPr="00494CA7">
              <w:rPr>
                <w:sz w:val="20"/>
                <w:szCs w:val="20"/>
                <w:lang w:val="en-GB"/>
              </w:rPr>
              <w:t>2.0</w:t>
            </w:r>
          </w:p>
        </w:tc>
        <w:tc>
          <w:tcPr>
            <w:tcW w:w="798" w:type="pct"/>
            <w:tcBorders>
              <w:top w:val="nil"/>
              <w:left w:val="nil"/>
              <w:bottom w:val="nil"/>
              <w:right w:val="nil"/>
            </w:tcBorders>
            <w:vAlign w:val="center"/>
          </w:tcPr>
          <w:p w14:paraId="6A503829"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0.833</w:t>
            </w:r>
          </w:p>
        </w:tc>
        <w:tc>
          <w:tcPr>
            <w:tcW w:w="798" w:type="pct"/>
            <w:tcBorders>
              <w:top w:val="nil"/>
              <w:left w:val="nil"/>
              <w:bottom w:val="nil"/>
              <w:right w:val="nil"/>
            </w:tcBorders>
          </w:tcPr>
          <w:p w14:paraId="22877F46" w14:textId="77777777" w:rsidR="009B57E2" w:rsidRPr="00494CA7" w:rsidRDefault="009B57E2" w:rsidP="00B64335">
            <w:pPr>
              <w:spacing w:after="0" w:line="240" w:lineRule="auto"/>
              <w:jc w:val="center"/>
              <w:rPr>
                <w:sz w:val="20"/>
                <w:szCs w:val="20"/>
                <w:lang w:val="en-GB"/>
              </w:rPr>
            </w:pPr>
            <w:r w:rsidRPr="00494CA7">
              <w:rPr>
                <w:sz w:val="20"/>
                <w:szCs w:val="20"/>
                <w:lang w:val="en-GB"/>
              </w:rPr>
              <w:t>3</w:t>
            </w:r>
            <w:r w:rsidRPr="00494CA7">
              <w:rPr>
                <w:sz w:val="20"/>
                <w:szCs w:val="20"/>
                <w:vertAlign w:val="superscript"/>
                <w:lang w:val="en-GB"/>
              </w:rPr>
              <w:t>rd</w:t>
            </w:r>
          </w:p>
        </w:tc>
        <w:tc>
          <w:tcPr>
            <w:tcW w:w="798" w:type="pct"/>
            <w:tcBorders>
              <w:top w:val="nil"/>
              <w:left w:val="nil"/>
              <w:bottom w:val="nil"/>
              <w:right w:val="nil"/>
            </w:tcBorders>
            <w:vAlign w:val="center"/>
          </w:tcPr>
          <w:p w14:paraId="432A5601" w14:textId="77777777" w:rsidR="009B57E2" w:rsidRPr="00494CA7" w:rsidRDefault="009B57E2" w:rsidP="00B64335">
            <w:pPr>
              <w:spacing w:after="0" w:line="240" w:lineRule="auto"/>
              <w:jc w:val="center"/>
              <w:rPr>
                <w:sz w:val="20"/>
                <w:szCs w:val="20"/>
              </w:rPr>
            </w:pPr>
            <w:r w:rsidRPr="00494CA7">
              <w:rPr>
                <w:sz w:val="20"/>
                <w:szCs w:val="20"/>
                <w:lang w:val="en-GB"/>
              </w:rPr>
              <w:t>4682</w:t>
            </w:r>
          </w:p>
        </w:tc>
      </w:tr>
      <w:tr w:rsidR="009B57E2" w:rsidRPr="00494CA7" w14:paraId="50494B8A" w14:textId="77777777" w:rsidTr="00B64335">
        <w:trPr>
          <w:trHeight w:val="284"/>
        </w:trPr>
        <w:tc>
          <w:tcPr>
            <w:tcW w:w="1008" w:type="pct"/>
            <w:tcBorders>
              <w:top w:val="nil"/>
              <w:left w:val="nil"/>
              <w:bottom w:val="single" w:sz="12" w:space="0" w:color="auto"/>
              <w:right w:val="nil"/>
            </w:tcBorders>
            <w:vAlign w:val="center"/>
          </w:tcPr>
          <w:p w14:paraId="03CE4AF9" w14:textId="77777777" w:rsidR="009B57E2" w:rsidRPr="00494CA7" w:rsidRDefault="009B57E2" w:rsidP="00B64335">
            <w:pPr>
              <w:spacing w:after="0" w:line="240" w:lineRule="auto"/>
              <w:rPr>
                <w:sz w:val="20"/>
                <w:szCs w:val="20"/>
                <w:lang w:val="en-GB"/>
              </w:rPr>
            </w:pPr>
            <w:r w:rsidRPr="00494CA7">
              <w:rPr>
                <w:color w:val="000000"/>
                <w:sz w:val="20"/>
                <w:szCs w:val="20"/>
                <w:lang w:val="en-GB"/>
              </w:rPr>
              <w:t>USA</w:t>
            </w:r>
          </w:p>
        </w:tc>
        <w:tc>
          <w:tcPr>
            <w:tcW w:w="799" w:type="pct"/>
            <w:tcBorders>
              <w:top w:val="nil"/>
              <w:left w:val="nil"/>
              <w:bottom w:val="single" w:sz="12" w:space="0" w:color="auto"/>
              <w:right w:val="nil"/>
            </w:tcBorders>
            <w:vAlign w:val="center"/>
          </w:tcPr>
          <w:p w14:paraId="1C1EE4D0" w14:textId="77777777" w:rsidR="009B57E2" w:rsidRPr="00494CA7" w:rsidRDefault="009B57E2" w:rsidP="00B64335">
            <w:pPr>
              <w:spacing w:after="0" w:line="240" w:lineRule="auto"/>
              <w:jc w:val="center"/>
              <w:rPr>
                <w:sz w:val="20"/>
                <w:szCs w:val="20"/>
                <w:lang w:val="en-GB"/>
              </w:rPr>
            </w:pPr>
            <w:r w:rsidRPr="00494CA7">
              <w:rPr>
                <w:sz w:val="20"/>
                <w:szCs w:val="20"/>
                <w:lang w:val="en-GB"/>
              </w:rPr>
              <w:t>519.2</w:t>
            </w:r>
          </w:p>
        </w:tc>
        <w:tc>
          <w:tcPr>
            <w:tcW w:w="798" w:type="pct"/>
            <w:tcBorders>
              <w:top w:val="nil"/>
              <w:left w:val="nil"/>
              <w:bottom w:val="single" w:sz="12" w:space="0" w:color="auto"/>
              <w:right w:val="nil"/>
            </w:tcBorders>
            <w:vAlign w:val="center"/>
          </w:tcPr>
          <w:p w14:paraId="683CB56F" w14:textId="77777777" w:rsidR="009B57E2" w:rsidRPr="00494CA7" w:rsidRDefault="009B57E2" w:rsidP="00B64335">
            <w:pPr>
              <w:spacing w:after="0" w:line="240" w:lineRule="auto"/>
              <w:jc w:val="center"/>
              <w:rPr>
                <w:sz w:val="20"/>
                <w:szCs w:val="20"/>
                <w:lang w:val="en-GB"/>
              </w:rPr>
            </w:pPr>
            <w:r w:rsidRPr="00494CA7">
              <w:rPr>
                <w:sz w:val="20"/>
                <w:szCs w:val="20"/>
                <w:lang w:val="en-GB"/>
              </w:rPr>
              <w:t>2.4</w:t>
            </w:r>
          </w:p>
        </w:tc>
        <w:tc>
          <w:tcPr>
            <w:tcW w:w="798" w:type="pct"/>
            <w:tcBorders>
              <w:top w:val="nil"/>
              <w:left w:val="nil"/>
              <w:bottom w:val="single" w:sz="12" w:space="0" w:color="auto"/>
              <w:right w:val="nil"/>
            </w:tcBorders>
            <w:vAlign w:val="center"/>
          </w:tcPr>
          <w:p w14:paraId="7C09542A" w14:textId="77777777" w:rsidR="009B57E2" w:rsidRPr="00494CA7" w:rsidRDefault="009B57E2" w:rsidP="00B64335">
            <w:pPr>
              <w:spacing w:after="0" w:line="240" w:lineRule="auto"/>
              <w:jc w:val="center"/>
              <w:rPr>
                <w:color w:val="000000"/>
                <w:sz w:val="20"/>
                <w:szCs w:val="20"/>
              </w:rPr>
            </w:pPr>
            <w:r w:rsidRPr="00494CA7">
              <w:rPr>
                <w:color w:val="000000"/>
                <w:sz w:val="20"/>
                <w:szCs w:val="20"/>
              </w:rPr>
              <w:t>0.897</w:t>
            </w:r>
          </w:p>
        </w:tc>
        <w:tc>
          <w:tcPr>
            <w:tcW w:w="798" w:type="pct"/>
            <w:tcBorders>
              <w:top w:val="nil"/>
              <w:left w:val="nil"/>
              <w:bottom w:val="single" w:sz="12" w:space="0" w:color="auto"/>
              <w:right w:val="nil"/>
            </w:tcBorders>
          </w:tcPr>
          <w:p w14:paraId="0CEEBE3B" w14:textId="77777777" w:rsidR="009B57E2" w:rsidRPr="00494CA7" w:rsidRDefault="009B57E2" w:rsidP="00B64335">
            <w:pPr>
              <w:spacing w:after="0" w:line="240" w:lineRule="auto"/>
              <w:jc w:val="center"/>
              <w:rPr>
                <w:sz w:val="20"/>
                <w:szCs w:val="20"/>
                <w:lang w:val="en-GB"/>
              </w:rPr>
            </w:pPr>
            <w:r w:rsidRPr="00494CA7">
              <w:rPr>
                <w:sz w:val="20"/>
                <w:szCs w:val="20"/>
                <w:lang w:val="en-GB"/>
              </w:rPr>
              <w:t>4</w:t>
            </w:r>
            <w:r w:rsidRPr="00494CA7">
              <w:rPr>
                <w:sz w:val="20"/>
                <w:szCs w:val="20"/>
                <w:vertAlign w:val="superscript"/>
                <w:lang w:val="en-GB"/>
              </w:rPr>
              <w:t>th</w:t>
            </w:r>
          </w:p>
        </w:tc>
        <w:tc>
          <w:tcPr>
            <w:tcW w:w="798" w:type="pct"/>
            <w:tcBorders>
              <w:top w:val="nil"/>
              <w:left w:val="nil"/>
              <w:bottom w:val="single" w:sz="12" w:space="0" w:color="auto"/>
              <w:right w:val="nil"/>
            </w:tcBorders>
            <w:vAlign w:val="center"/>
          </w:tcPr>
          <w:p w14:paraId="3E04915C" w14:textId="77777777" w:rsidR="009B57E2" w:rsidRPr="00494CA7" w:rsidRDefault="009B57E2" w:rsidP="00B64335">
            <w:pPr>
              <w:spacing w:after="0" w:line="240" w:lineRule="auto"/>
              <w:jc w:val="center"/>
              <w:rPr>
                <w:sz w:val="20"/>
                <w:szCs w:val="20"/>
              </w:rPr>
            </w:pPr>
            <w:r w:rsidRPr="00494CA7">
              <w:rPr>
                <w:sz w:val="20"/>
                <w:szCs w:val="20"/>
                <w:lang w:val="en-GB"/>
              </w:rPr>
              <w:t>2386</w:t>
            </w:r>
          </w:p>
        </w:tc>
      </w:tr>
    </w:tbl>
    <w:p w14:paraId="26E3D429" w14:textId="77777777" w:rsidR="009B57E2" w:rsidRPr="00DD5C4E" w:rsidRDefault="009B57E2" w:rsidP="009B57E2">
      <w:pPr>
        <w:spacing w:after="0" w:line="240" w:lineRule="auto"/>
        <w:rPr>
          <w:b/>
          <w:szCs w:val="24"/>
          <w:lang w:val="en-GB"/>
        </w:rPr>
      </w:pPr>
      <w:r w:rsidRPr="00494CA7">
        <w:rPr>
          <w:szCs w:val="24"/>
          <w:lang w:val="en-GB"/>
        </w:rPr>
        <w:br w:type="page"/>
      </w:r>
      <w:r w:rsidRPr="00DD5C4E">
        <w:rPr>
          <w:b/>
          <w:szCs w:val="24"/>
          <w:lang w:val="en-GB"/>
        </w:rPr>
        <w:lastRenderedPageBreak/>
        <w:t>Table A.2: Per cent co-residing with grandparents and per cent living in various family types by country. 15-year-old students in 2000. Number of level-1 observations (students) = 151377.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724"/>
        <w:gridCol w:w="1724"/>
        <w:gridCol w:w="1724"/>
        <w:gridCol w:w="1724"/>
      </w:tblGrid>
      <w:tr w:rsidR="009B57E2" w:rsidRPr="00494CA7" w14:paraId="478BFFED" w14:textId="77777777" w:rsidTr="00B64335">
        <w:trPr>
          <w:trHeight w:val="284"/>
        </w:trPr>
        <w:tc>
          <w:tcPr>
            <w:tcW w:w="1199" w:type="pct"/>
            <w:tcBorders>
              <w:top w:val="single" w:sz="12" w:space="0" w:color="auto"/>
              <w:left w:val="nil"/>
              <w:bottom w:val="nil"/>
              <w:right w:val="nil"/>
            </w:tcBorders>
            <w:vAlign w:val="center"/>
          </w:tcPr>
          <w:p w14:paraId="0D4EF95F" w14:textId="77777777" w:rsidR="009B57E2" w:rsidRPr="00494CA7" w:rsidRDefault="009B57E2" w:rsidP="00B64335">
            <w:pPr>
              <w:spacing w:after="0" w:line="240" w:lineRule="auto"/>
              <w:rPr>
                <w:sz w:val="20"/>
                <w:szCs w:val="20"/>
                <w:lang w:val="en-GB"/>
              </w:rPr>
            </w:pPr>
          </w:p>
        </w:tc>
        <w:tc>
          <w:tcPr>
            <w:tcW w:w="950" w:type="pct"/>
            <w:tcBorders>
              <w:top w:val="single" w:sz="12" w:space="0" w:color="auto"/>
              <w:left w:val="nil"/>
              <w:bottom w:val="nil"/>
              <w:right w:val="nil"/>
            </w:tcBorders>
            <w:vAlign w:val="center"/>
          </w:tcPr>
          <w:p w14:paraId="29C16823" w14:textId="77777777" w:rsidR="009B57E2" w:rsidRPr="00494CA7" w:rsidRDefault="009B57E2" w:rsidP="00B64335">
            <w:pPr>
              <w:spacing w:after="0" w:line="240" w:lineRule="auto"/>
              <w:jc w:val="center"/>
              <w:rPr>
                <w:sz w:val="20"/>
                <w:szCs w:val="20"/>
                <w:lang w:val="en-GB"/>
              </w:rPr>
            </w:pPr>
          </w:p>
        </w:tc>
        <w:tc>
          <w:tcPr>
            <w:tcW w:w="2850" w:type="pct"/>
            <w:gridSpan w:val="3"/>
            <w:tcBorders>
              <w:top w:val="single" w:sz="12" w:space="0" w:color="auto"/>
              <w:left w:val="nil"/>
              <w:bottom w:val="single" w:sz="4" w:space="0" w:color="auto"/>
              <w:right w:val="nil"/>
            </w:tcBorders>
            <w:vAlign w:val="center"/>
          </w:tcPr>
          <w:p w14:paraId="7BC4CA26" w14:textId="77777777" w:rsidR="009B57E2" w:rsidRPr="00494CA7" w:rsidRDefault="009B57E2" w:rsidP="00B64335">
            <w:pPr>
              <w:spacing w:after="0" w:line="240" w:lineRule="auto"/>
              <w:jc w:val="center"/>
              <w:rPr>
                <w:sz w:val="20"/>
                <w:szCs w:val="20"/>
                <w:lang w:val="en-GB"/>
              </w:rPr>
            </w:pPr>
            <w:r w:rsidRPr="00494CA7">
              <w:rPr>
                <w:sz w:val="20"/>
                <w:szCs w:val="20"/>
                <w:lang w:val="en-GB"/>
              </w:rPr>
              <w:t>Family type</w:t>
            </w:r>
          </w:p>
        </w:tc>
      </w:tr>
      <w:tr w:rsidR="009B57E2" w:rsidRPr="00494CA7" w14:paraId="52C01FD8" w14:textId="77777777" w:rsidTr="00B64335">
        <w:trPr>
          <w:trHeight w:val="284"/>
        </w:trPr>
        <w:tc>
          <w:tcPr>
            <w:tcW w:w="1199" w:type="pct"/>
            <w:tcBorders>
              <w:top w:val="nil"/>
              <w:left w:val="nil"/>
              <w:bottom w:val="single" w:sz="4" w:space="0" w:color="auto"/>
              <w:right w:val="nil"/>
            </w:tcBorders>
            <w:vAlign w:val="center"/>
          </w:tcPr>
          <w:p w14:paraId="60E60522" w14:textId="77777777" w:rsidR="009B57E2" w:rsidRPr="00494CA7" w:rsidRDefault="009B57E2" w:rsidP="00B64335">
            <w:pPr>
              <w:spacing w:after="0" w:line="240" w:lineRule="auto"/>
              <w:rPr>
                <w:sz w:val="20"/>
                <w:szCs w:val="20"/>
                <w:lang w:val="en-GB"/>
              </w:rPr>
            </w:pPr>
            <w:r w:rsidRPr="00494CA7">
              <w:rPr>
                <w:sz w:val="20"/>
                <w:szCs w:val="20"/>
                <w:lang w:val="en-GB"/>
              </w:rPr>
              <w:t>Country</w:t>
            </w:r>
          </w:p>
        </w:tc>
        <w:tc>
          <w:tcPr>
            <w:tcW w:w="950" w:type="pct"/>
            <w:tcBorders>
              <w:top w:val="nil"/>
              <w:left w:val="nil"/>
              <w:bottom w:val="single" w:sz="4" w:space="0" w:color="auto"/>
              <w:right w:val="nil"/>
            </w:tcBorders>
            <w:vAlign w:val="center"/>
          </w:tcPr>
          <w:p w14:paraId="735FC19D" w14:textId="77777777" w:rsidR="009B57E2" w:rsidRPr="00494CA7" w:rsidRDefault="009B57E2" w:rsidP="00B64335">
            <w:pPr>
              <w:spacing w:after="0" w:line="240" w:lineRule="auto"/>
              <w:jc w:val="center"/>
              <w:rPr>
                <w:sz w:val="20"/>
                <w:szCs w:val="20"/>
                <w:lang w:val="en-GB"/>
              </w:rPr>
            </w:pPr>
            <w:r w:rsidRPr="00494CA7">
              <w:rPr>
                <w:sz w:val="20"/>
                <w:szCs w:val="20"/>
                <w:lang w:val="en-GB"/>
              </w:rPr>
              <w:t>% co-residing with grandparents</w:t>
            </w:r>
          </w:p>
        </w:tc>
        <w:tc>
          <w:tcPr>
            <w:tcW w:w="950" w:type="pct"/>
            <w:tcBorders>
              <w:top w:val="single" w:sz="4" w:space="0" w:color="auto"/>
              <w:left w:val="nil"/>
              <w:bottom w:val="single" w:sz="4" w:space="0" w:color="auto"/>
              <w:right w:val="nil"/>
            </w:tcBorders>
            <w:vAlign w:val="center"/>
          </w:tcPr>
          <w:p w14:paraId="3B93A330" w14:textId="77777777" w:rsidR="009B57E2" w:rsidRPr="00494CA7" w:rsidRDefault="009B57E2" w:rsidP="00B64335">
            <w:pPr>
              <w:spacing w:after="0" w:line="240" w:lineRule="auto"/>
              <w:jc w:val="center"/>
              <w:rPr>
                <w:sz w:val="20"/>
                <w:szCs w:val="20"/>
                <w:lang w:val="en-GB"/>
              </w:rPr>
            </w:pPr>
            <w:r w:rsidRPr="00494CA7">
              <w:rPr>
                <w:sz w:val="20"/>
                <w:szCs w:val="20"/>
                <w:lang w:val="en-GB"/>
              </w:rPr>
              <w:t>% in intact families</w:t>
            </w:r>
          </w:p>
        </w:tc>
        <w:tc>
          <w:tcPr>
            <w:tcW w:w="950" w:type="pct"/>
            <w:tcBorders>
              <w:top w:val="single" w:sz="4" w:space="0" w:color="auto"/>
              <w:left w:val="nil"/>
              <w:bottom w:val="single" w:sz="4" w:space="0" w:color="auto"/>
              <w:right w:val="nil"/>
            </w:tcBorders>
            <w:vAlign w:val="center"/>
          </w:tcPr>
          <w:p w14:paraId="29E84BB8" w14:textId="77777777" w:rsidR="009B57E2" w:rsidRPr="00494CA7" w:rsidRDefault="009B57E2" w:rsidP="00B64335">
            <w:pPr>
              <w:spacing w:after="0" w:line="240" w:lineRule="auto"/>
              <w:jc w:val="center"/>
              <w:rPr>
                <w:sz w:val="20"/>
                <w:szCs w:val="20"/>
                <w:lang w:val="en-GB"/>
              </w:rPr>
            </w:pPr>
            <w:r w:rsidRPr="00494CA7">
              <w:rPr>
                <w:sz w:val="20"/>
                <w:szCs w:val="20"/>
                <w:lang w:val="en-GB"/>
              </w:rPr>
              <w:t>% in single parent families</w:t>
            </w:r>
          </w:p>
        </w:tc>
        <w:tc>
          <w:tcPr>
            <w:tcW w:w="950" w:type="pct"/>
            <w:tcBorders>
              <w:top w:val="single" w:sz="4" w:space="0" w:color="auto"/>
              <w:left w:val="nil"/>
              <w:bottom w:val="single" w:sz="4" w:space="0" w:color="auto"/>
              <w:right w:val="nil"/>
            </w:tcBorders>
            <w:vAlign w:val="center"/>
          </w:tcPr>
          <w:p w14:paraId="4FAD9F2B" w14:textId="77777777" w:rsidR="009B57E2" w:rsidRPr="00494CA7" w:rsidRDefault="009B57E2" w:rsidP="00B64335">
            <w:pPr>
              <w:spacing w:after="0" w:line="240" w:lineRule="auto"/>
              <w:jc w:val="center"/>
              <w:rPr>
                <w:sz w:val="20"/>
                <w:szCs w:val="20"/>
                <w:lang w:val="en-GB"/>
              </w:rPr>
            </w:pPr>
            <w:r w:rsidRPr="00494CA7">
              <w:rPr>
                <w:sz w:val="20"/>
                <w:szCs w:val="20"/>
                <w:lang w:val="en-GB"/>
              </w:rPr>
              <w:t>% in step-parent families</w:t>
            </w:r>
          </w:p>
        </w:tc>
      </w:tr>
      <w:tr w:rsidR="009B57E2" w:rsidRPr="00494CA7" w14:paraId="62735579" w14:textId="77777777" w:rsidTr="00B64335">
        <w:trPr>
          <w:trHeight w:val="284"/>
        </w:trPr>
        <w:tc>
          <w:tcPr>
            <w:tcW w:w="1199" w:type="pct"/>
            <w:tcBorders>
              <w:top w:val="single" w:sz="4" w:space="0" w:color="auto"/>
              <w:left w:val="nil"/>
              <w:bottom w:val="nil"/>
              <w:right w:val="nil"/>
            </w:tcBorders>
            <w:vAlign w:val="center"/>
          </w:tcPr>
          <w:p w14:paraId="2F927889"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Albania</w:t>
            </w:r>
          </w:p>
        </w:tc>
        <w:tc>
          <w:tcPr>
            <w:tcW w:w="950" w:type="pct"/>
            <w:tcBorders>
              <w:top w:val="single" w:sz="4" w:space="0" w:color="auto"/>
              <w:left w:val="nil"/>
              <w:bottom w:val="nil"/>
              <w:right w:val="nil"/>
            </w:tcBorders>
            <w:vAlign w:val="center"/>
          </w:tcPr>
          <w:p w14:paraId="2126FC29" w14:textId="77777777" w:rsidR="009B57E2" w:rsidRPr="00494CA7" w:rsidRDefault="009B57E2" w:rsidP="00B64335">
            <w:pPr>
              <w:spacing w:after="0" w:line="240" w:lineRule="auto"/>
              <w:jc w:val="center"/>
              <w:rPr>
                <w:sz w:val="20"/>
                <w:szCs w:val="20"/>
                <w:lang w:val="en-GB"/>
              </w:rPr>
            </w:pPr>
            <w:r w:rsidRPr="00494CA7">
              <w:rPr>
                <w:sz w:val="20"/>
                <w:szCs w:val="20"/>
                <w:lang w:val="en-GB"/>
              </w:rPr>
              <w:t>32.2</w:t>
            </w:r>
          </w:p>
        </w:tc>
        <w:tc>
          <w:tcPr>
            <w:tcW w:w="950" w:type="pct"/>
            <w:tcBorders>
              <w:top w:val="single" w:sz="4" w:space="0" w:color="auto"/>
              <w:left w:val="nil"/>
              <w:bottom w:val="nil"/>
              <w:right w:val="nil"/>
            </w:tcBorders>
            <w:vAlign w:val="center"/>
          </w:tcPr>
          <w:p w14:paraId="6FA462F2" w14:textId="77777777" w:rsidR="009B57E2" w:rsidRPr="00494CA7" w:rsidRDefault="009B57E2" w:rsidP="00B64335">
            <w:pPr>
              <w:spacing w:after="0" w:line="240" w:lineRule="auto"/>
              <w:jc w:val="center"/>
              <w:rPr>
                <w:sz w:val="20"/>
                <w:szCs w:val="20"/>
                <w:lang w:val="en-GB"/>
              </w:rPr>
            </w:pPr>
            <w:r w:rsidRPr="00494CA7">
              <w:rPr>
                <w:sz w:val="20"/>
                <w:szCs w:val="20"/>
                <w:lang w:val="en-GB"/>
              </w:rPr>
              <w:t>91.7</w:t>
            </w:r>
          </w:p>
        </w:tc>
        <w:tc>
          <w:tcPr>
            <w:tcW w:w="950" w:type="pct"/>
            <w:tcBorders>
              <w:top w:val="single" w:sz="4" w:space="0" w:color="auto"/>
              <w:left w:val="nil"/>
              <w:bottom w:val="nil"/>
              <w:right w:val="nil"/>
            </w:tcBorders>
            <w:vAlign w:val="center"/>
          </w:tcPr>
          <w:p w14:paraId="1074C4A5" w14:textId="77777777" w:rsidR="009B57E2" w:rsidRPr="00494CA7" w:rsidRDefault="009B57E2" w:rsidP="00B64335">
            <w:pPr>
              <w:spacing w:after="0" w:line="240" w:lineRule="auto"/>
              <w:jc w:val="center"/>
              <w:rPr>
                <w:sz w:val="20"/>
                <w:szCs w:val="20"/>
                <w:lang w:val="en-GB"/>
              </w:rPr>
            </w:pPr>
            <w:r w:rsidRPr="00494CA7">
              <w:rPr>
                <w:sz w:val="20"/>
                <w:szCs w:val="20"/>
                <w:lang w:val="en-GB"/>
              </w:rPr>
              <w:t>7.4</w:t>
            </w:r>
          </w:p>
        </w:tc>
        <w:tc>
          <w:tcPr>
            <w:tcW w:w="950" w:type="pct"/>
            <w:tcBorders>
              <w:top w:val="single" w:sz="4" w:space="0" w:color="auto"/>
              <w:left w:val="nil"/>
              <w:bottom w:val="nil"/>
              <w:right w:val="nil"/>
            </w:tcBorders>
            <w:vAlign w:val="center"/>
          </w:tcPr>
          <w:p w14:paraId="6AA8A29D" w14:textId="77777777" w:rsidR="009B57E2" w:rsidRPr="00494CA7" w:rsidRDefault="009B57E2" w:rsidP="00B64335">
            <w:pPr>
              <w:spacing w:after="0" w:line="240" w:lineRule="auto"/>
              <w:jc w:val="center"/>
              <w:rPr>
                <w:sz w:val="20"/>
                <w:szCs w:val="20"/>
                <w:lang w:val="en-GB"/>
              </w:rPr>
            </w:pPr>
            <w:r w:rsidRPr="00494CA7">
              <w:rPr>
                <w:sz w:val="20"/>
                <w:szCs w:val="20"/>
                <w:lang w:val="en-GB"/>
              </w:rPr>
              <w:t>0.9</w:t>
            </w:r>
          </w:p>
        </w:tc>
      </w:tr>
      <w:tr w:rsidR="009B57E2" w:rsidRPr="00494CA7" w14:paraId="1B56A8D9" w14:textId="77777777" w:rsidTr="00B64335">
        <w:trPr>
          <w:trHeight w:val="284"/>
        </w:trPr>
        <w:tc>
          <w:tcPr>
            <w:tcW w:w="1199" w:type="pct"/>
            <w:tcBorders>
              <w:top w:val="nil"/>
              <w:left w:val="nil"/>
              <w:bottom w:val="nil"/>
              <w:right w:val="nil"/>
            </w:tcBorders>
            <w:vAlign w:val="center"/>
          </w:tcPr>
          <w:p w14:paraId="7DA2E722"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Argentina</w:t>
            </w:r>
          </w:p>
        </w:tc>
        <w:tc>
          <w:tcPr>
            <w:tcW w:w="950" w:type="pct"/>
            <w:tcBorders>
              <w:top w:val="nil"/>
              <w:left w:val="nil"/>
              <w:bottom w:val="nil"/>
              <w:right w:val="nil"/>
            </w:tcBorders>
            <w:vAlign w:val="center"/>
          </w:tcPr>
          <w:p w14:paraId="6D89FDEF" w14:textId="77777777" w:rsidR="009B57E2" w:rsidRPr="00494CA7" w:rsidRDefault="009B57E2" w:rsidP="00B64335">
            <w:pPr>
              <w:spacing w:after="0" w:line="240" w:lineRule="auto"/>
              <w:jc w:val="center"/>
              <w:rPr>
                <w:sz w:val="20"/>
                <w:szCs w:val="20"/>
                <w:lang w:val="en-GB"/>
              </w:rPr>
            </w:pPr>
            <w:r w:rsidRPr="00494CA7">
              <w:rPr>
                <w:sz w:val="20"/>
                <w:szCs w:val="20"/>
                <w:lang w:val="en-GB"/>
              </w:rPr>
              <w:t>29.0</w:t>
            </w:r>
          </w:p>
        </w:tc>
        <w:tc>
          <w:tcPr>
            <w:tcW w:w="950" w:type="pct"/>
            <w:tcBorders>
              <w:top w:val="nil"/>
              <w:left w:val="nil"/>
              <w:bottom w:val="nil"/>
              <w:right w:val="nil"/>
            </w:tcBorders>
            <w:vAlign w:val="center"/>
          </w:tcPr>
          <w:p w14:paraId="61DF99F5" w14:textId="77777777" w:rsidR="009B57E2" w:rsidRPr="00494CA7" w:rsidRDefault="009B57E2" w:rsidP="00B64335">
            <w:pPr>
              <w:spacing w:after="0" w:line="240" w:lineRule="auto"/>
              <w:jc w:val="center"/>
              <w:rPr>
                <w:sz w:val="20"/>
                <w:szCs w:val="20"/>
                <w:lang w:val="en-GB"/>
              </w:rPr>
            </w:pPr>
            <w:r w:rsidRPr="00494CA7">
              <w:rPr>
                <w:sz w:val="20"/>
                <w:szCs w:val="20"/>
                <w:lang w:val="en-GB"/>
              </w:rPr>
              <w:t>76.7</w:t>
            </w:r>
          </w:p>
        </w:tc>
        <w:tc>
          <w:tcPr>
            <w:tcW w:w="950" w:type="pct"/>
            <w:tcBorders>
              <w:top w:val="nil"/>
              <w:left w:val="nil"/>
              <w:bottom w:val="nil"/>
              <w:right w:val="nil"/>
            </w:tcBorders>
            <w:vAlign w:val="center"/>
          </w:tcPr>
          <w:p w14:paraId="5A2227A4" w14:textId="77777777" w:rsidR="009B57E2" w:rsidRPr="00494CA7" w:rsidRDefault="009B57E2" w:rsidP="00B64335">
            <w:pPr>
              <w:spacing w:after="0" w:line="240" w:lineRule="auto"/>
              <w:jc w:val="center"/>
              <w:rPr>
                <w:sz w:val="20"/>
                <w:szCs w:val="20"/>
                <w:lang w:val="en-GB"/>
              </w:rPr>
            </w:pPr>
            <w:r w:rsidRPr="00494CA7">
              <w:rPr>
                <w:sz w:val="20"/>
                <w:szCs w:val="20"/>
                <w:lang w:val="en-GB"/>
              </w:rPr>
              <w:t>17.5</w:t>
            </w:r>
          </w:p>
        </w:tc>
        <w:tc>
          <w:tcPr>
            <w:tcW w:w="950" w:type="pct"/>
            <w:tcBorders>
              <w:top w:val="nil"/>
              <w:left w:val="nil"/>
              <w:bottom w:val="nil"/>
              <w:right w:val="nil"/>
            </w:tcBorders>
            <w:vAlign w:val="center"/>
          </w:tcPr>
          <w:p w14:paraId="6B579E09" w14:textId="77777777" w:rsidR="009B57E2" w:rsidRPr="00494CA7" w:rsidRDefault="009B57E2" w:rsidP="00B64335">
            <w:pPr>
              <w:spacing w:after="0" w:line="240" w:lineRule="auto"/>
              <w:jc w:val="center"/>
              <w:rPr>
                <w:sz w:val="20"/>
                <w:szCs w:val="20"/>
                <w:lang w:val="en-US"/>
              </w:rPr>
            </w:pPr>
            <w:r w:rsidRPr="00494CA7">
              <w:rPr>
                <w:sz w:val="20"/>
                <w:szCs w:val="20"/>
                <w:lang w:val="en-US"/>
              </w:rPr>
              <w:t>5.8</w:t>
            </w:r>
          </w:p>
        </w:tc>
      </w:tr>
      <w:tr w:rsidR="009B57E2" w:rsidRPr="00494CA7" w14:paraId="3CED0937" w14:textId="77777777" w:rsidTr="00B64335">
        <w:trPr>
          <w:trHeight w:val="284"/>
        </w:trPr>
        <w:tc>
          <w:tcPr>
            <w:tcW w:w="1199" w:type="pct"/>
            <w:tcBorders>
              <w:top w:val="nil"/>
              <w:left w:val="nil"/>
              <w:bottom w:val="nil"/>
              <w:right w:val="nil"/>
            </w:tcBorders>
            <w:vAlign w:val="center"/>
          </w:tcPr>
          <w:p w14:paraId="66983DC2"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Australia</w:t>
            </w:r>
          </w:p>
        </w:tc>
        <w:tc>
          <w:tcPr>
            <w:tcW w:w="950" w:type="pct"/>
            <w:tcBorders>
              <w:top w:val="nil"/>
              <w:left w:val="nil"/>
              <w:bottom w:val="nil"/>
              <w:right w:val="nil"/>
            </w:tcBorders>
            <w:vAlign w:val="center"/>
          </w:tcPr>
          <w:p w14:paraId="79862CC4" w14:textId="77777777" w:rsidR="009B57E2" w:rsidRPr="00494CA7" w:rsidRDefault="009B57E2" w:rsidP="00B64335">
            <w:pPr>
              <w:spacing w:after="0" w:line="240" w:lineRule="auto"/>
              <w:jc w:val="center"/>
              <w:rPr>
                <w:sz w:val="20"/>
                <w:szCs w:val="20"/>
                <w:lang w:val="en-GB"/>
              </w:rPr>
            </w:pPr>
            <w:r w:rsidRPr="00494CA7">
              <w:rPr>
                <w:sz w:val="20"/>
                <w:szCs w:val="20"/>
                <w:lang w:val="en-GB"/>
              </w:rPr>
              <w:t>5.3</w:t>
            </w:r>
          </w:p>
        </w:tc>
        <w:tc>
          <w:tcPr>
            <w:tcW w:w="950" w:type="pct"/>
            <w:tcBorders>
              <w:top w:val="nil"/>
              <w:left w:val="nil"/>
              <w:bottom w:val="nil"/>
              <w:right w:val="nil"/>
            </w:tcBorders>
            <w:vAlign w:val="center"/>
          </w:tcPr>
          <w:p w14:paraId="2B704D9F" w14:textId="77777777" w:rsidR="009B57E2" w:rsidRPr="00494CA7" w:rsidRDefault="009B57E2" w:rsidP="00B64335">
            <w:pPr>
              <w:spacing w:after="0" w:line="240" w:lineRule="auto"/>
              <w:jc w:val="center"/>
              <w:rPr>
                <w:sz w:val="20"/>
                <w:szCs w:val="20"/>
                <w:lang w:val="en-GB"/>
              </w:rPr>
            </w:pPr>
            <w:r w:rsidRPr="00494CA7">
              <w:rPr>
                <w:sz w:val="20"/>
                <w:szCs w:val="20"/>
                <w:lang w:val="en-GB"/>
              </w:rPr>
              <w:t>74.5</w:t>
            </w:r>
          </w:p>
        </w:tc>
        <w:tc>
          <w:tcPr>
            <w:tcW w:w="950" w:type="pct"/>
            <w:tcBorders>
              <w:top w:val="nil"/>
              <w:left w:val="nil"/>
              <w:bottom w:val="nil"/>
              <w:right w:val="nil"/>
            </w:tcBorders>
            <w:vAlign w:val="center"/>
          </w:tcPr>
          <w:p w14:paraId="0E5E8E54" w14:textId="77777777" w:rsidR="009B57E2" w:rsidRPr="00494CA7" w:rsidRDefault="009B57E2" w:rsidP="00B64335">
            <w:pPr>
              <w:spacing w:after="0" w:line="240" w:lineRule="auto"/>
              <w:jc w:val="center"/>
              <w:rPr>
                <w:sz w:val="20"/>
                <w:szCs w:val="20"/>
                <w:lang w:val="en-GB"/>
              </w:rPr>
            </w:pPr>
            <w:r w:rsidRPr="00494CA7">
              <w:rPr>
                <w:sz w:val="20"/>
                <w:szCs w:val="20"/>
                <w:lang w:val="en-GB"/>
              </w:rPr>
              <w:t>16.0</w:t>
            </w:r>
          </w:p>
        </w:tc>
        <w:tc>
          <w:tcPr>
            <w:tcW w:w="950" w:type="pct"/>
            <w:tcBorders>
              <w:top w:val="nil"/>
              <w:left w:val="nil"/>
              <w:bottom w:val="nil"/>
              <w:right w:val="nil"/>
            </w:tcBorders>
            <w:vAlign w:val="center"/>
          </w:tcPr>
          <w:p w14:paraId="5C86DD84" w14:textId="77777777" w:rsidR="009B57E2" w:rsidRPr="00494CA7" w:rsidRDefault="009B57E2" w:rsidP="00B64335">
            <w:pPr>
              <w:spacing w:after="0" w:line="240" w:lineRule="auto"/>
              <w:jc w:val="center"/>
              <w:rPr>
                <w:sz w:val="20"/>
                <w:szCs w:val="20"/>
                <w:lang w:val="en-GB"/>
              </w:rPr>
            </w:pPr>
            <w:r w:rsidRPr="00494CA7">
              <w:rPr>
                <w:sz w:val="20"/>
                <w:szCs w:val="20"/>
                <w:lang w:val="en-GB"/>
              </w:rPr>
              <w:t>9.5</w:t>
            </w:r>
          </w:p>
        </w:tc>
      </w:tr>
      <w:tr w:rsidR="009B57E2" w:rsidRPr="00494CA7" w14:paraId="1366F50F" w14:textId="77777777" w:rsidTr="00B64335">
        <w:trPr>
          <w:trHeight w:val="284"/>
        </w:trPr>
        <w:tc>
          <w:tcPr>
            <w:tcW w:w="1199" w:type="pct"/>
            <w:tcBorders>
              <w:top w:val="nil"/>
              <w:left w:val="nil"/>
              <w:bottom w:val="nil"/>
              <w:right w:val="nil"/>
            </w:tcBorders>
            <w:vAlign w:val="center"/>
          </w:tcPr>
          <w:p w14:paraId="6C874AE9"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Austria</w:t>
            </w:r>
          </w:p>
        </w:tc>
        <w:tc>
          <w:tcPr>
            <w:tcW w:w="950" w:type="pct"/>
            <w:tcBorders>
              <w:top w:val="nil"/>
              <w:left w:val="nil"/>
              <w:bottom w:val="nil"/>
              <w:right w:val="nil"/>
            </w:tcBorders>
            <w:vAlign w:val="center"/>
          </w:tcPr>
          <w:p w14:paraId="1D51B4DF" w14:textId="77777777" w:rsidR="009B57E2" w:rsidRPr="00494CA7" w:rsidRDefault="009B57E2" w:rsidP="00B64335">
            <w:pPr>
              <w:spacing w:after="0" w:line="240" w:lineRule="auto"/>
              <w:jc w:val="center"/>
              <w:rPr>
                <w:sz w:val="20"/>
                <w:szCs w:val="20"/>
                <w:lang w:val="en-GB"/>
              </w:rPr>
            </w:pPr>
            <w:r w:rsidRPr="00494CA7">
              <w:rPr>
                <w:sz w:val="20"/>
                <w:szCs w:val="20"/>
                <w:lang w:val="en-GB"/>
              </w:rPr>
              <w:t>25.0</w:t>
            </w:r>
          </w:p>
        </w:tc>
        <w:tc>
          <w:tcPr>
            <w:tcW w:w="950" w:type="pct"/>
            <w:tcBorders>
              <w:top w:val="nil"/>
              <w:left w:val="nil"/>
              <w:bottom w:val="nil"/>
              <w:right w:val="nil"/>
            </w:tcBorders>
            <w:vAlign w:val="center"/>
          </w:tcPr>
          <w:p w14:paraId="62949BF6" w14:textId="77777777" w:rsidR="009B57E2" w:rsidRPr="00494CA7" w:rsidRDefault="009B57E2" w:rsidP="00B64335">
            <w:pPr>
              <w:spacing w:after="0" w:line="240" w:lineRule="auto"/>
              <w:jc w:val="center"/>
              <w:rPr>
                <w:sz w:val="20"/>
                <w:szCs w:val="20"/>
                <w:lang w:val="en-GB"/>
              </w:rPr>
            </w:pPr>
            <w:r w:rsidRPr="00494CA7">
              <w:rPr>
                <w:sz w:val="20"/>
                <w:szCs w:val="20"/>
                <w:lang w:val="en-GB"/>
              </w:rPr>
              <w:t>80.1</w:t>
            </w:r>
          </w:p>
        </w:tc>
        <w:tc>
          <w:tcPr>
            <w:tcW w:w="950" w:type="pct"/>
            <w:tcBorders>
              <w:top w:val="nil"/>
              <w:left w:val="nil"/>
              <w:bottom w:val="nil"/>
              <w:right w:val="nil"/>
            </w:tcBorders>
            <w:vAlign w:val="center"/>
          </w:tcPr>
          <w:p w14:paraId="7A301B1C" w14:textId="77777777" w:rsidR="009B57E2" w:rsidRPr="00494CA7" w:rsidRDefault="009B57E2" w:rsidP="00B64335">
            <w:pPr>
              <w:spacing w:after="0" w:line="240" w:lineRule="auto"/>
              <w:jc w:val="center"/>
              <w:rPr>
                <w:sz w:val="20"/>
                <w:szCs w:val="20"/>
                <w:lang w:val="en-GB"/>
              </w:rPr>
            </w:pPr>
            <w:r w:rsidRPr="00494CA7">
              <w:rPr>
                <w:sz w:val="20"/>
                <w:szCs w:val="20"/>
                <w:lang w:val="en-GB"/>
              </w:rPr>
              <w:t>12.9</w:t>
            </w:r>
          </w:p>
        </w:tc>
        <w:tc>
          <w:tcPr>
            <w:tcW w:w="950" w:type="pct"/>
            <w:tcBorders>
              <w:top w:val="nil"/>
              <w:left w:val="nil"/>
              <w:bottom w:val="nil"/>
              <w:right w:val="nil"/>
            </w:tcBorders>
            <w:vAlign w:val="center"/>
          </w:tcPr>
          <w:p w14:paraId="228CECD9" w14:textId="77777777" w:rsidR="009B57E2" w:rsidRPr="00494CA7" w:rsidRDefault="009B57E2" w:rsidP="00B64335">
            <w:pPr>
              <w:spacing w:after="0" w:line="240" w:lineRule="auto"/>
              <w:jc w:val="center"/>
              <w:rPr>
                <w:sz w:val="20"/>
                <w:szCs w:val="20"/>
                <w:lang w:val="en-GB"/>
              </w:rPr>
            </w:pPr>
            <w:r w:rsidRPr="00494CA7">
              <w:rPr>
                <w:sz w:val="20"/>
                <w:szCs w:val="20"/>
                <w:lang w:val="en-GB"/>
              </w:rPr>
              <w:t>7.1</w:t>
            </w:r>
          </w:p>
        </w:tc>
      </w:tr>
      <w:tr w:rsidR="009B57E2" w:rsidRPr="00494CA7" w14:paraId="6A87E5B5" w14:textId="77777777" w:rsidTr="00B64335">
        <w:trPr>
          <w:trHeight w:val="284"/>
        </w:trPr>
        <w:tc>
          <w:tcPr>
            <w:tcW w:w="1199" w:type="pct"/>
            <w:tcBorders>
              <w:top w:val="nil"/>
              <w:left w:val="nil"/>
              <w:bottom w:val="nil"/>
              <w:right w:val="nil"/>
            </w:tcBorders>
            <w:vAlign w:val="center"/>
          </w:tcPr>
          <w:p w14:paraId="6FD40B13"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Belgium</w:t>
            </w:r>
          </w:p>
        </w:tc>
        <w:tc>
          <w:tcPr>
            <w:tcW w:w="950" w:type="pct"/>
            <w:tcBorders>
              <w:top w:val="nil"/>
              <w:left w:val="nil"/>
              <w:bottom w:val="nil"/>
              <w:right w:val="nil"/>
            </w:tcBorders>
            <w:vAlign w:val="center"/>
          </w:tcPr>
          <w:p w14:paraId="34B9D4CF" w14:textId="77777777" w:rsidR="009B57E2" w:rsidRPr="00494CA7" w:rsidRDefault="009B57E2" w:rsidP="00B64335">
            <w:pPr>
              <w:spacing w:after="0" w:line="240" w:lineRule="auto"/>
              <w:jc w:val="center"/>
              <w:rPr>
                <w:sz w:val="20"/>
                <w:szCs w:val="20"/>
                <w:lang w:val="en-GB"/>
              </w:rPr>
            </w:pPr>
            <w:r w:rsidRPr="00494CA7">
              <w:rPr>
                <w:sz w:val="20"/>
                <w:szCs w:val="20"/>
                <w:lang w:val="en-GB"/>
              </w:rPr>
              <w:t>6.7</w:t>
            </w:r>
          </w:p>
        </w:tc>
        <w:tc>
          <w:tcPr>
            <w:tcW w:w="950" w:type="pct"/>
            <w:tcBorders>
              <w:top w:val="nil"/>
              <w:left w:val="nil"/>
              <w:bottom w:val="nil"/>
              <w:right w:val="nil"/>
            </w:tcBorders>
            <w:vAlign w:val="center"/>
          </w:tcPr>
          <w:p w14:paraId="5825DB3F" w14:textId="77777777" w:rsidR="009B57E2" w:rsidRPr="00494CA7" w:rsidRDefault="009B57E2" w:rsidP="00B64335">
            <w:pPr>
              <w:spacing w:after="0" w:line="240" w:lineRule="auto"/>
              <w:jc w:val="center"/>
              <w:rPr>
                <w:sz w:val="20"/>
                <w:szCs w:val="20"/>
                <w:lang w:val="en-GB"/>
              </w:rPr>
            </w:pPr>
            <w:r w:rsidRPr="00494CA7">
              <w:rPr>
                <w:sz w:val="20"/>
                <w:szCs w:val="20"/>
                <w:lang w:val="en-GB"/>
              </w:rPr>
              <w:t>79.9</w:t>
            </w:r>
          </w:p>
        </w:tc>
        <w:tc>
          <w:tcPr>
            <w:tcW w:w="950" w:type="pct"/>
            <w:tcBorders>
              <w:top w:val="nil"/>
              <w:left w:val="nil"/>
              <w:bottom w:val="nil"/>
              <w:right w:val="nil"/>
            </w:tcBorders>
            <w:vAlign w:val="center"/>
          </w:tcPr>
          <w:p w14:paraId="3F58D5C1" w14:textId="77777777" w:rsidR="009B57E2" w:rsidRPr="00494CA7" w:rsidRDefault="009B57E2" w:rsidP="00B64335">
            <w:pPr>
              <w:spacing w:after="0" w:line="240" w:lineRule="auto"/>
              <w:jc w:val="center"/>
              <w:rPr>
                <w:sz w:val="20"/>
                <w:szCs w:val="20"/>
                <w:lang w:val="en-GB"/>
              </w:rPr>
            </w:pPr>
            <w:r w:rsidRPr="00494CA7">
              <w:rPr>
                <w:sz w:val="20"/>
                <w:szCs w:val="20"/>
                <w:lang w:val="en-GB"/>
              </w:rPr>
              <w:t>11.5</w:t>
            </w:r>
          </w:p>
        </w:tc>
        <w:tc>
          <w:tcPr>
            <w:tcW w:w="950" w:type="pct"/>
            <w:tcBorders>
              <w:top w:val="nil"/>
              <w:left w:val="nil"/>
              <w:bottom w:val="nil"/>
              <w:right w:val="nil"/>
            </w:tcBorders>
            <w:vAlign w:val="center"/>
          </w:tcPr>
          <w:p w14:paraId="4E0D2D19" w14:textId="77777777" w:rsidR="009B57E2" w:rsidRPr="00494CA7" w:rsidRDefault="009B57E2" w:rsidP="00B64335">
            <w:pPr>
              <w:spacing w:after="0" w:line="240" w:lineRule="auto"/>
              <w:jc w:val="center"/>
              <w:rPr>
                <w:sz w:val="20"/>
                <w:szCs w:val="20"/>
                <w:lang w:val="en-GB"/>
              </w:rPr>
            </w:pPr>
            <w:r w:rsidRPr="00494CA7">
              <w:rPr>
                <w:sz w:val="20"/>
                <w:szCs w:val="20"/>
                <w:lang w:val="en-GB"/>
              </w:rPr>
              <w:t>8.7</w:t>
            </w:r>
          </w:p>
        </w:tc>
      </w:tr>
      <w:tr w:rsidR="009B57E2" w:rsidRPr="00494CA7" w14:paraId="6FAD6F43" w14:textId="77777777" w:rsidTr="00B64335">
        <w:trPr>
          <w:trHeight w:val="284"/>
        </w:trPr>
        <w:tc>
          <w:tcPr>
            <w:tcW w:w="1199" w:type="pct"/>
            <w:tcBorders>
              <w:top w:val="nil"/>
              <w:left w:val="nil"/>
              <w:bottom w:val="nil"/>
              <w:right w:val="nil"/>
            </w:tcBorders>
            <w:vAlign w:val="center"/>
          </w:tcPr>
          <w:p w14:paraId="7A84317C"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Brazil</w:t>
            </w:r>
          </w:p>
        </w:tc>
        <w:tc>
          <w:tcPr>
            <w:tcW w:w="950" w:type="pct"/>
            <w:tcBorders>
              <w:top w:val="nil"/>
              <w:left w:val="nil"/>
              <w:bottom w:val="nil"/>
              <w:right w:val="nil"/>
            </w:tcBorders>
            <w:vAlign w:val="center"/>
          </w:tcPr>
          <w:p w14:paraId="3C6B4EFE" w14:textId="77777777" w:rsidR="009B57E2" w:rsidRPr="00494CA7" w:rsidRDefault="009B57E2" w:rsidP="00B64335">
            <w:pPr>
              <w:spacing w:after="0" w:line="240" w:lineRule="auto"/>
              <w:jc w:val="center"/>
              <w:rPr>
                <w:sz w:val="20"/>
                <w:szCs w:val="20"/>
                <w:lang w:val="en-GB"/>
              </w:rPr>
            </w:pPr>
            <w:r w:rsidRPr="00494CA7">
              <w:rPr>
                <w:sz w:val="20"/>
                <w:szCs w:val="20"/>
                <w:lang w:val="en-GB"/>
              </w:rPr>
              <w:t>26.2</w:t>
            </w:r>
          </w:p>
        </w:tc>
        <w:tc>
          <w:tcPr>
            <w:tcW w:w="950" w:type="pct"/>
            <w:tcBorders>
              <w:top w:val="nil"/>
              <w:left w:val="nil"/>
              <w:bottom w:val="nil"/>
              <w:right w:val="nil"/>
            </w:tcBorders>
            <w:vAlign w:val="center"/>
          </w:tcPr>
          <w:p w14:paraId="7BC2444E" w14:textId="77777777" w:rsidR="009B57E2" w:rsidRPr="00494CA7" w:rsidRDefault="009B57E2" w:rsidP="00B64335">
            <w:pPr>
              <w:spacing w:after="0" w:line="240" w:lineRule="auto"/>
              <w:jc w:val="center"/>
              <w:rPr>
                <w:sz w:val="20"/>
                <w:szCs w:val="20"/>
                <w:lang w:val="en-GB"/>
              </w:rPr>
            </w:pPr>
            <w:r w:rsidRPr="00494CA7">
              <w:rPr>
                <w:sz w:val="20"/>
                <w:szCs w:val="20"/>
                <w:lang w:val="en-GB"/>
              </w:rPr>
              <w:t>73.3</w:t>
            </w:r>
          </w:p>
        </w:tc>
        <w:tc>
          <w:tcPr>
            <w:tcW w:w="950" w:type="pct"/>
            <w:tcBorders>
              <w:top w:val="nil"/>
              <w:left w:val="nil"/>
              <w:bottom w:val="nil"/>
              <w:right w:val="nil"/>
            </w:tcBorders>
            <w:vAlign w:val="center"/>
          </w:tcPr>
          <w:p w14:paraId="66C362F6" w14:textId="77777777" w:rsidR="009B57E2" w:rsidRPr="00494CA7" w:rsidRDefault="009B57E2" w:rsidP="00B64335">
            <w:pPr>
              <w:spacing w:after="0" w:line="240" w:lineRule="auto"/>
              <w:jc w:val="center"/>
              <w:rPr>
                <w:sz w:val="20"/>
                <w:szCs w:val="20"/>
                <w:lang w:val="en-GB"/>
              </w:rPr>
            </w:pPr>
            <w:r w:rsidRPr="00494CA7">
              <w:rPr>
                <w:sz w:val="20"/>
                <w:szCs w:val="20"/>
                <w:lang w:val="en-GB"/>
              </w:rPr>
              <w:t>18.1</w:t>
            </w:r>
          </w:p>
        </w:tc>
        <w:tc>
          <w:tcPr>
            <w:tcW w:w="950" w:type="pct"/>
            <w:tcBorders>
              <w:top w:val="nil"/>
              <w:left w:val="nil"/>
              <w:bottom w:val="nil"/>
              <w:right w:val="nil"/>
            </w:tcBorders>
            <w:vAlign w:val="center"/>
          </w:tcPr>
          <w:p w14:paraId="70B876AB" w14:textId="77777777" w:rsidR="009B57E2" w:rsidRPr="00494CA7" w:rsidRDefault="009B57E2" w:rsidP="00B64335">
            <w:pPr>
              <w:spacing w:after="0" w:line="240" w:lineRule="auto"/>
              <w:jc w:val="center"/>
              <w:rPr>
                <w:sz w:val="20"/>
                <w:szCs w:val="20"/>
                <w:lang w:val="en-GB"/>
              </w:rPr>
            </w:pPr>
            <w:r w:rsidRPr="00494CA7">
              <w:rPr>
                <w:sz w:val="20"/>
                <w:szCs w:val="20"/>
                <w:lang w:val="en-GB"/>
              </w:rPr>
              <w:t>8.6</w:t>
            </w:r>
          </w:p>
        </w:tc>
      </w:tr>
      <w:tr w:rsidR="009B57E2" w:rsidRPr="00494CA7" w14:paraId="46F59CB1" w14:textId="77777777" w:rsidTr="00B64335">
        <w:trPr>
          <w:trHeight w:val="284"/>
        </w:trPr>
        <w:tc>
          <w:tcPr>
            <w:tcW w:w="1199" w:type="pct"/>
            <w:tcBorders>
              <w:top w:val="nil"/>
              <w:left w:val="nil"/>
              <w:bottom w:val="nil"/>
              <w:right w:val="nil"/>
            </w:tcBorders>
            <w:vAlign w:val="center"/>
          </w:tcPr>
          <w:p w14:paraId="6B9241F7"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Bulgaria</w:t>
            </w:r>
          </w:p>
        </w:tc>
        <w:tc>
          <w:tcPr>
            <w:tcW w:w="950" w:type="pct"/>
            <w:tcBorders>
              <w:top w:val="nil"/>
              <w:left w:val="nil"/>
              <w:bottom w:val="nil"/>
              <w:right w:val="nil"/>
            </w:tcBorders>
            <w:vAlign w:val="center"/>
          </w:tcPr>
          <w:p w14:paraId="64F99ED5" w14:textId="77777777" w:rsidR="009B57E2" w:rsidRPr="00494CA7" w:rsidRDefault="009B57E2" w:rsidP="00B64335">
            <w:pPr>
              <w:spacing w:after="0" w:line="240" w:lineRule="auto"/>
              <w:jc w:val="center"/>
              <w:rPr>
                <w:sz w:val="20"/>
                <w:szCs w:val="20"/>
                <w:lang w:val="en-GB"/>
              </w:rPr>
            </w:pPr>
            <w:r w:rsidRPr="00494CA7">
              <w:rPr>
                <w:sz w:val="20"/>
                <w:szCs w:val="20"/>
                <w:lang w:val="en-GB"/>
              </w:rPr>
              <w:t>50.3</w:t>
            </w:r>
          </w:p>
        </w:tc>
        <w:tc>
          <w:tcPr>
            <w:tcW w:w="950" w:type="pct"/>
            <w:tcBorders>
              <w:top w:val="nil"/>
              <w:left w:val="nil"/>
              <w:bottom w:val="nil"/>
              <w:right w:val="nil"/>
            </w:tcBorders>
            <w:vAlign w:val="center"/>
          </w:tcPr>
          <w:p w14:paraId="574F4631" w14:textId="77777777" w:rsidR="009B57E2" w:rsidRPr="00494CA7" w:rsidRDefault="009B57E2" w:rsidP="00B64335">
            <w:pPr>
              <w:spacing w:after="0" w:line="240" w:lineRule="auto"/>
              <w:jc w:val="center"/>
              <w:rPr>
                <w:sz w:val="20"/>
                <w:szCs w:val="20"/>
                <w:lang w:val="en-GB"/>
              </w:rPr>
            </w:pPr>
            <w:r w:rsidRPr="00494CA7">
              <w:rPr>
                <w:sz w:val="20"/>
                <w:szCs w:val="20"/>
                <w:lang w:val="en-GB"/>
              </w:rPr>
              <w:t>85.5</w:t>
            </w:r>
          </w:p>
        </w:tc>
        <w:tc>
          <w:tcPr>
            <w:tcW w:w="950" w:type="pct"/>
            <w:tcBorders>
              <w:top w:val="nil"/>
              <w:left w:val="nil"/>
              <w:bottom w:val="nil"/>
              <w:right w:val="nil"/>
            </w:tcBorders>
            <w:vAlign w:val="center"/>
          </w:tcPr>
          <w:p w14:paraId="1744A676" w14:textId="77777777" w:rsidR="009B57E2" w:rsidRPr="00494CA7" w:rsidRDefault="009B57E2" w:rsidP="00B64335">
            <w:pPr>
              <w:spacing w:after="0" w:line="240" w:lineRule="auto"/>
              <w:jc w:val="center"/>
              <w:rPr>
                <w:sz w:val="20"/>
                <w:szCs w:val="20"/>
                <w:lang w:val="en-GB"/>
              </w:rPr>
            </w:pPr>
            <w:r w:rsidRPr="00494CA7">
              <w:rPr>
                <w:sz w:val="20"/>
                <w:szCs w:val="20"/>
                <w:lang w:val="en-GB"/>
              </w:rPr>
              <w:t>12.1</w:t>
            </w:r>
          </w:p>
        </w:tc>
        <w:tc>
          <w:tcPr>
            <w:tcW w:w="950" w:type="pct"/>
            <w:tcBorders>
              <w:top w:val="nil"/>
              <w:left w:val="nil"/>
              <w:bottom w:val="nil"/>
              <w:right w:val="nil"/>
            </w:tcBorders>
            <w:vAlign w:val="center"/>
          </w:tcPr>
          <w:p w14:paraId="3FB2BC7B" w14:textId="77777777" w:rsidR="009B57E2" w:rsidRPr="00494CA7" w:rsidRDefault="009B57E2" w:rsidP="00B64335">
            <w:pPr>
              <w:spacing w:after="0" w:line="240" w:lineRule="auto"/>
              <w:jc w:val="center"/>
              <w:rPr>
                <w:sz w:val="20"/>
                <w:szCs w:val="20"/>
                <w:lang w:val="en-GB"/>
              </w:rPr>
            </w:pPr>
            <w:r w:rsidRPr="00494CA7">
              <w:rPr>
                <w:sz w:val="20"/>
                <w:szCs w:val="20"/>
                <w:lang w:val="en-GB"/>
              </w:rPr>
              <w:t>2.3</w:t>
            </w:r>
          </w:p>
        </w:tc>
      </w:tr>
      <w:tr w:rsidR="009B57E2" w:rsidRPr="00494CA7" w14:paraId="7BEF3A2A" w14:textId="77777777" w:rsidTr="00B64335">
        <w:trPr>
          <w:trHeight w:val="284"/>
        </w:trPr>
        <w:tc>
          <w:tcPr>
            <w:tcW w:w="1199" w:type="pct"/>
            <w:tcBorders>
              <w:top w:val="nil"/>
              <w:left w:val="nil"/>
              <w:bottom w:val="nil"/>
              <w:right w:val="nil"/>
            </w:tcBorders>
            <w:vAlign w:val="center"/>
          </w:tcPr>
          <w:p w14:paraId="5788FC41"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Canada</w:t>
            </w:r>
          </w:p>
        </w:tc>
        <w:tc>
          <w:tcPr>
            <w:tcW w:w="950" w:type="pct"/>
            <w:tcBorders>
              <w:top w:val="nil"/>
              <w:left w:val="nil"/>
              <w:bottom w:val="nil"/>
              <w:right w:val="nil"/>
            </w:tcBorders>
            <w:vAlign w:val="center"/>
          </w:tcPr>
          <w:p w14:paraId="3D422E2B" w14:textId="77777777" w:rsidR="009B57E2" w:rsidRPr="00494CA7" w:rsidRDefault="009B57E2" w:rsidP="00B64335">
            <w:pPr>
              <w:spacing w:after="0" w:line="240" w:lineRule="auto"/>
              <w:jc w:val="center"/>
              <w:rPr>
                <w:sz w:val="20"/>
                <w:szCs w:val="20"/>
                <w:lang w:val="en-GB"/>
              </w:rPr>
            </w:pPr>
            <w:r w:rsidRPr="00494CA7">
              <w:rPr>
                <w:sz w:val="20"/>
                <w:szCs w:val="20"/>
                <w:lang w:val="en-GB"/>
              </w:rPr>
              <w:t>9.5</w:t>
            </w:r>
          </w:p>
        </w:tc>
        <w:tc>
          <w:tcPr>
            <w:tcW w:w="950" w:type="pct"/>
            <w:tcBorders>
              <w:top w:val="nil"/>
              <w:left w:val="nil"/>
              <w:bottom w:val="nil"/>
              <w:right w:val="nil"/>
            </w:tcBorders>
            <w:vAlign w:val="center"/>
          </w:tcPr>
          <w:p w14:paraId="2EF1F852" w14:textId="77777777" w:rsidR="009B57E2" w:rsidRPr="00494CA7" w:rsidRDefault="009B57E2" w:rsidP="00B64335">
            <w:pPr>
              <w:spacing w:after="0" w:line="240" w:lineRule="auto"/>
              <w:jc w:val="center"/>
              <w:rPr>
                <w:sz w:val="20"/>
                <w:szCs w:val="20"/>
                <w:lang w:val="en-GB"/>
              </w:rPr>
            </w:pPr>
            <w:r w:rsidRPr="00494CA7">
              <w:rPr>
                <w:sz w:val="20"/>
                <w:szCs w:val="20"/>
                <w:lang w:val="en-GB"/>
              </w:rPr>
              <w:t>76.3</w:t>
            </w:r>
          </w:p>
        </w:tc>
        <w:tc>
          <w:tcPr>
            <w:tcW w:w="950" w:type="pct"/>
            <w:tcBorders>
              <w:top w:val="nil"/>
              <w:left w:val="nil"/>
              <w:bottom w:val="nil"/>
              <w:right w:val="nil"/>
            </w:tcBorders>
            <w:vAlign w:val="center"/>
          </w:tcPr>
          <w:p w14:paraId="13D02D52" w14:textId="77777777" w:rsidR="009B57E2" w:rsidRPr="00494CA7" w:rsidRDefault="009B57E2" w:rsidP="00B64335">
            <w:pPr>
              <w:spacing w:after="0" w:line="240" w:lineRule="auto"/>
              <w:jc w:val="center"/>
              <w:rPr>
                <w:sz w:val="20"/>
                <w:szCs w:val="20"/>
                <w:lang w:val="en-GB"/>
              </w:rPr>
            </w:pPr>
            <w:r w:rsidRPr="00494CA7">
              <w:rPr>
                <w:sz w:val="20"/>
                <w:szCs w:val="20"/>
                <w:lang w:val="en-GB"/>
              </w:rPr>
              <w:t>13.7</w:t>
            </w:r>
          </w:p>
        </w:tc>
        <w:tc>
          <w:tcPr>
            <w:tcW w:w="950" w:type="pct"/>
            <w:tcBorders>
              <w:top w:val="nil"/>
              <w:left w:val="nil"/>
              <w:bottom w:val="nil"/>
              <w:right w:val="nil"/>
            </w:tcBorders>
            <w:vAlign w:val="center"/>
          </w:tcPr>
          <w:p w14:paraId="346759DD" w14:textId="77777777" w:rsidR="009B57E2" w:rsidRPr="00494CA7" w:rsidRDefault="009B57E2" w:rsidP="00B64335">
            <w:pPr>
              <w:spacing w:after="0" w:line="240" w:lineRule="auto"/>
              <w:jc w:val="center"/>
              <w:rPr>
                <w:sz w:val="20"/>
                <w:szCs w:val="20"/>
                <w:lang w:val="en-GB"/>
              </w:rPr>
            </w:pPr>
            <w:r w:rsidRPr="00494CA7">
              <w:rPr>
                <w:sz w:val="20"/>
                <w:szCs w:val="20"/>
                <w:lang w:val="en-GB"/>
              </w:rPr>
              <w:t>10.0</w:t>
            </w:r>
          </w:p>
        </w:tc>
      </w:tr>
      <w:tr w:rsidR="009B57E2" w:rsidRPr="00494CA7" w14:paraId="299A80AA" w14:textId="77777777" w:rsidTr="00B64335">
        <w:trPr>
          <w:trHeight w:val="284"/>
        </w:trPr>
        <w:tc>
          <w:tcPr>
            <w:tcW w:w="1199" w:type="pct"/>
            <w:tcBorders>
              <w:top w:val="nil"/>
              <w:left w:val="nil"/>
              <w:bottom w:val="nil"/>
              <w:right w:val="nil"/>
            </w:tcBorders>
            <w:vAlign w:val="center"/>
          </w:tcPr>
          <w:p w14:paraId="23975705"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Chile</w:t>
            </w:r>
          </w:p>
        </w:tc>
        <w:tc>
          <w:tcPr>
            <w:tcW w:w="950" w:type="pct"/>
            <w:tcBorders>
              <w:top w:val="nil"/>
              <w:left w:val="nil"/>
              <w:bottom w:val="nil"/>
              <w:right w:val="nil"/>
            </w:tcBorders>
            <w:vAlign w:val="center"/>
          </w:tcPr>
          <w:p w14:paraId="7FF214BB" w14:textId="77777777" w:rsidR="009B57E2" w:rsidRPr="00494CA7" w:rsidRDefault="009B57E2" w:rsidP="00B64335">
            <w:pPr>
              <w:spacing w:after="0" w:line="240" w:lineRule="auto"/>
              <w:jc w:val="center"/>
              <w:rPr>
                <w:sz w:val="20"/>
                <w:szCs w:val="20"/>
                <w:lang w:val="en-GB"/>
              </w:rPr>
            </w:pPr>
            <w:r w:rsidRPr="00494CA7">
              <w:rPr>
                <w:sz w:val="20"/>
                <w:szCs w:val="20"/>
                <w:lang w:val="en-GB"/>
              </w:rPr>
              <w:t>22.0</w:t>
            </w:r>
          </w:p>
        </w:tc>
        <w:tc>
          <w:tcPr>
            <w:tcW w:w="950" w:type="pct"/>
            <w:tcBorders>
              <w:top w:val="nil"/>
              <w:left w:val="nil"/>
              <w:bottom w:val="nil"/>
              <w:right w:val="nil"/>
            </w:tcBorders>
            <w:vAlign w:val="center"/>
          </w:tcPr>
          <w:p w14:paraId="051259CD" w14:textId="77777777" w:rsidR="009B57E2" w:rsidRPr="00494CA7" w:rsidRDefault="009B57E2" w:rsidP="00B64335">
            <w:pPr>
              <w:spacing w:after="0" w:line="240" w:lineRule="auto"/>
              <w:jc w:val="center"/>
              <w:rPr>
                <w:sz w:val="20"/>
                <w:szCs w:val="20"/>
                <w:lang w:val="en-GB"/>
              </w:rPr>
            </w:pPr>
            <w:r w:rsidRPr="00494CA7">
              <w:rPr>
                <w:sz w:val="20"/>
                <w:szCs w:val="20"/>
                <w:lang w:val="en-GB"/>
              </w:rPr>
              <w:t>71.4</w:t>
            </w:r>
          </w:p>
        </w:tc>
        <w:tc>
          <w:tcPr>
            <w:tcW w:w="950" w:type="pct"/>
            <w:tcBorders>
              <w:top w:val="nil"/>
              <w:left w:val="nil"/>
              <w:bottom w:val="nil"/>
              <w:right w:val="nil"/>
            </w:tcBorders>
            <w:vAlign w:val="center"/>
          </w:tcPr>
          <w:p w14:paraId="2C0BB75C" w14:textId="77777777" w:rsidR="009B57E2" w:rsidRPr="00494CA7" w:rsidRDefault="009B57E2" w:rsidP="00B64335">
            <w:pPr>
              <w:spacing w:after="0" w:line="240" w:lineRule="auto"/>
              <w:jc w:val="center"/>
              <w:rPr>
                <w:sz w:val="20"/>
                <w:szCs w:val="20"/>
                <w:lang w:val="en-GB"/>
              </w:rPr>
            </w:pPr>
            <w:r w:rsidRPr="00494CA7">
              <w:rPr>
                <w:sz w:val="20"/>
                <w:szCs w:val="20"/>
                <w:lang w:val="en-GB"/>
              </w:rPr>
              <w:t>19.2</w:t>
            </w:r>
          </w:p>
        </w:tc>
        <w:tc>
          <w:tcPr>
            <w:tcW w:w="950" w:type="pct"/>
            <w:tcBorders>
              <w:top w:val="nil"/>
              <w:left w:val="nil"/>
              <w:bottom w:val="nil"/>
              <w:right w:val="nil"/>
            </w:tcBorders>
            <w:vAlign w:val="center"/>
          </w:tcPr>
          <w:p w14:paraId="58860C80" w14:textId="77777777" w:rsidR="009B57E2" w:rsidRPr="00494CA7" w:rsidRDefault="009B57E2" w:rsidP="00B64335">
            <w:pPr>
              <w:spacing w:after="0" w:line="240" w:lineRule="auto"/>
              <w:jc w:val="center"/>
              <w:rPr>
                <w:sz w:val="20"/>
                <w:szCs w:val="20"/>
                <w:lang w:val="en-GB"/>
              </w:rPr>
            </w:pPr>
            <w:r w:rsidRPr="00494CA7">
              <w:rPr>
                <w:sz w:val="20"/>
                <w:szCs w:val="20"/>
                <w:lang w:val="en-GB"/>
              </w:rPr>
              <w:t>9.4</w:t>
            </w:r>
          </w:p>
        </w:tc>
      </w:tr>
      <w:tr w:rsidR="009B57E2" w:rsidRPr="00494CA7" w14:paraId="5F471EFF" w14:textId="77777777" w:rsidTr="00B64335">
        <w:trPr>
          <w:trHeight w:val="284"/>
        </w:trPr>
        <w:tc>
          <w:tcPr>
            <w:tcW w:w="1199" w:type="pct"/>
            <w:tcBorders>
              <w:top w:val="nil"/>
              <w:left w:val="nil"/>
              <w:bottom w:val="nil"/>
              <w:right w:val="nil"/>
            </w:tcBorders>
            <w:vAlign w:val="center"/>
          </w:tcPr>
          <w:p w14:paraId="2746BE65"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Czech Republic</w:t>
            </w:r>
          </w:p>
        </w:tc>
        <w:tc>
          <w:tcPr>
            <w:tcW w:w="950" w:type="pct"/>
            <w:tcBorders>
              <w:top w:val="nil"/>
              <w:left w:val="nil"/>
              <w:bottom w:val="nil"/>
              <w:right w:val="nil"/>
            </w:tcBorders>
            <w:vAlign w:val="center"/>
          </w:tcPr>
          <w:p w14:paraId="6002EADA" w14:textId="77777777" w:rsidR="009B57E2" w:rsidRPr="00494CA7" w:rsidRDefault="009B57E2" w:rsidP="00B64335">
            <w:pPr>
              <w:spacing w:after="0" w:line="240" w:lineRule="auto"/>
              <w:jc w:val="center"/>
              <w:rPr>
                <w:sz w:val="20"/>
                <w:szCs w:val="20"/>
                <w:lang w:val="en-GB"/>
              </w:rPr>
            </w:pPr>
            <w:r w:rsidRPr="00494CA7">
              <w:rPr>
                <w:sz w:val="20"/>
                <w:szCs w:val="20"/>
                <w:lang w:val="en-GB"/>
              </w:rPr>
              <w:t>19.1</w:t>
            </w:r>
          </w:p>
        </w:tc>
        <w:tc>
          <w:tcPr>
            <w:tcW w:w="950" w:type="pct"/>
            <w:tcBorders>
              <w:top w:val="nil"/>
              <w:left w:val="nil"/>
              <w:bottom w:val="nil"/>
              <w:right w:val="nil"/>
            </w:tcBorders>
            <w:vAlign w:val="center"/>
          </w:tcPr>
          <w:p w14:paraId="6AF895F1" w14:textId="77777777" w:rsidR="009B57E2" w:rsidRPr="00494CA7" w:rsidRDefault="009B57E2" w:rsidP="00B64335">
            <w:pPr>
              <w:spacing w:after="0" w:line="240" w:lineRule="auto"/>
              <w:jc w:val="center"/>
              <w:rPr>
                <w:sz w:val="20"/>
                <w:szCs w:val="20"/>
                <w:lang w:val="en-GB"/>
              </w:rPr>
            </w:pPr>
            <w:r w:rsidRPr="00494CA7">
              <w:rPr>
                <w:sz w:val="20"/>
                <w:szCs w:val="20"/>
                <w:lang w:val="en-GB"/>
              </w:rPr>
              <w:t>79.8</w:t>
            </w:r>
          </w:p>
        </w:tc>
        <w:tc>
          <w:tcPr>
            <w:tcW w:w="950" w:type="pct"/>
            <w:tcBorders>
              <w:top w:val="nil"/>
              <w:left w:val="nil"/>
              <w:bottom w:val="nil"/>
              <w:right w:val="nil"/>
            </w:tcBorders>
            <w:vAlign w:val="center"/>
          </w:tcPr>
          <w:p w14:paraId="5D9D3C34" w14:textId="77777777" w:rsidR="009B57E2" w:rsidRPr="00494CA7" w:rsidRDefault="009B57E2" w:rsidP="00B64335">
            <w:pPr>
              <w:spacing w:after="0" w:line="240" w:lineRule="auto"/>
              <w:jc w:val="center"/>
              <w:rPr>
                <w:sz w:val="20"/>
                <w:szCs w:val="20"/>
                <w:lang w:val="en-GB"/>
              </w:rPr>
            </w:pPr>
            <w:r w:rsidRPr="00494CA7">
              <w:rPr>
                <w:sz w:val="20"/>
                <w:szCs w:val="20"/>
                <w:lang w:val="en-GB"/>
              </w:rPr>
              <w:t>10.6</w:t>
            </w:r>
          </w:p>
        </w:tc>
        <w:tc>
          <w:tcPr>
            <w:tcW w:w="950" w:type="pct"/>
            <w:tcBorders>
              <w:top w:val="nil"/>
              <w:left w:val="nil"/>
              <w:bottom w:val="nil"/>
              <w:right w:val="nil"/>
            </w:tcBorders>
            <w:vAlign w:val="center"/>
          </w:tcPr>
          <w:p w14:paraId="741B8841" w14:textId="77777777" w:rsidR="009B57E2" w:rsidRPr="00494CA7" w:rsidRDefault="009B57E2" w:rsidP="00B64335">
            <w:pPr>
              <w:spacing w:after="0" w:line="240" w:lineRule="auto"/>
              <w:jc w:val="center"/>
              <w:rPr>
                <w:sz w:val="20"/>
                <w:szCs w:val="20"/>
                <w:lang w:val="en-GB"/>
              </w:rPr>
            </w:pPr>
            <w:r w:rsidRPr="00494CA7">
              <w:rPr>
                <w:sz w:val="20"/>
                <w:szCs w:val="20"/>
                <w:lang w:val="en-GB"/>
              </w:rPr>
              <w:t>9.6</w:t>
            </w:r>
          </w:p>
        </w:tc>
      </w:tr>
      <w:tr w:rsidR="009B57E2" w:rsidRPr="00494CA7" w14:paraId="39B43B9A" w14:textId="77777777" w:rsidTr="00B64335">
        <w:trPr>
          <w:trHeight w:val="284"/>
        </w:trPr>
        <w:tc>
          <w:tcPr>
            <w:tcW w:w="1199" w:type="pct"/>
            <w:tcBorders>
              <w:top w:val="nil"/>
              <w:left w:val="nil"/>
              <w:bottom w:val="nil"/>
              <w:right w:val="nil"/>
            </w:tcBorders>
            <w:vAlign w:val="center"/>
          </w:tcPr>
          <w:p w14:paraId="467D005E"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Denmark</w:t>
            </w:r>
          </w:p>
        </w:tc>
        <w:tc>
          <w:tcPr>
            <w:tcW w:w="950" w:type="pct"/>
            <w:tcBorders>
              <w:top w:val="nil"/>
              <w:left w:val="nil"/>
              <w:bottom w:val="nil"/>
              <w:right w:val="nil"/>
            </w:tcBorders>
            <w:vAlign w:val="center"/>
          </w:tcPr>
          <w:p w14:paraId="4483E6EC" w14:textId="77777777" w:rsidR="009B57E2" w:rsidRPr="00494CA7" w:rsidRDefault="009B57E2" w:rsidP="00B64335">
            <w:pPr>
              <w:spacing w:after="0" w:line="240" w:lineRule="auto"/>
              <w:jc w:val="center"/>
              <w:rPr>
                <w:sz w:val="20"/>
                <w:szCs w:val="20"/>
                <w:lang w:val="en-GB"/>
              </w:rPr>
            </w:pPr>
            <w:r w:rsidRPr="00494CA7">
              <w:rPr>
                <w:sz w:val="20"/>
                <w:szCs w:val="20"/>
                <w:lang w:val="en-GB"/>
              </w:rPr>
              <w:t>4.5</w:t>
            </w:r>
          </w:p>
        </w:tc>
        <w:tc>
          <w:tcPr>
            <w:tcW w:w="950" w:type="pct"/>
            <w:tcBorders>
              <w:top w:val="nil"/>
              <w:left w:val="nil"/>
              <w:bottom w:val="nil"/>
              <w:right w:val="nil"/>
            </w:tcBorders>
            <w:vAlign w:val="center"/>
          </w:tcPr>
          <w:p w14:paraId="133EBE3C" w14:textId="77777777" w:rsidR="009B57E2" w:rsidRPr="00494CA7" w:rsidRDefault="009B57E2" w:rsidP="00B64335">
            <w:pPr>
              <w:spacing w:after="0" w:line="240" w:lineRule="auto"/>
              <w:jc w:val="center"/>
              <w:rPr>
                <w:sz w:val="20"/>
                <w:szCs w:val="20"/>
                <w:lang w:val="en-GB"/>
              </w:rPr>
            </w:pPr>
            <w:r w:rsidRPr="00494CA7">
              <w:rPr>
                <w:sz w:val="20"/>
                <w:szCs w:val="20"/>
                <w:lang w:val="en-GB"/>
              </w:rPr>
              <w:t>75.5</w:t>
            </w:r>
          </w:p>
        </w:tc>
        <w:tc>
          <w:tcPr>
            <w:tcW w:w="950" w:type="pct"/>
            <w:tcBorders>
              <w:top w:val="nil"/>
              <w:left w:val="nil"/>
              <w:bottom w:val="nil"/>
              <w:right w:val="nil"/>
            </w:tcBorders>
            <w:vAlign w:val="center"/>
          </w:tcPr>
          <w:p w14:paraId="6914B6BF" w14:textId="77777777" w:rsidR="009B57E2" w:rsidRPr="00494CA7" w:rsidRDefault="009B57E2" w:rsidP="00B64335">
            <w:pPr>
              <w:spacing w:after="0" w:line="240" w:lineRule="auto"/>
              <w:jc w:val="center"/>
              <w:rPr>
                <w:sz w:val="20"/>
                <w:szCs w:val="20"/>
                <w:lang w:val="en-GB"/>
              </w:rPr>
            </w:pPr>
            <w:r w:rsidRPr="00494CA7">
              <w:rPr>
                <w:sz w:val="20"/>
                <w:szCs w:val="20"/>
                <w:lang w:val="en-GB"/>
              </w:rPr>
              <w:t>13.9</w:t>
            </w:r>
          </w:p>
        </w:tc>
        <w:tc>
          <w:tcPr>
            <w:tcW w:w="950" w:type="pct"/>
            <w:tcBorders>
              <w:top w:val="nil"/>
              <w:left w:val="nil"/>
              <w:bottom w:val="nil"/>
              <w:right w:val="nil"/>
            </w:tcBorders>
            <w:vAlign w:val="center"/>
          </w:tcPr>
          <w:p w14:paraId="5AB3AB01" w14:textId="77777777" w:rsidR="009B57E2" w:rsidRPr="00494CA7" w:rsidRDefault="009B57E2" w:rsidP="00B64335">
            <w:pPr>
              <w:spacing w:after="0" w:line="240" w:lineRule="auto"/>
              <w:jc w:val="center"/>
              <w:rPr>
                <w:sz w:val="20"/>
                <w:szCs w:val="20"/>
                <w:lang w:val="en-GB"/>
              </w:rPr>
            </w:pPr>
            <w:r w:rsidRPr="00494CA7">
              <w:rPr>
                <w:sz w:val="20"/>
                <w:szCs w:val="20"/>
                <w:lang w:val="en-GB"/>
              </w:rPr>
              <w:t>10.6</w:t>
            </w:r>
          </w:p>
        </w:tc>
      </w:tr>
      <w:tr w:rsidR="009B57E2" w:rsidRPr="00494CA7" w14:paraId="0580CEDE" w14:textId="77777777" w:rsidTr="00B64335">
        <w:trPr>
          <w:trHeight w:val="284"/>
        </w:trPr>
        <w:tc>
          <w:tcPr>
            <w:tcW w:w="1199" w:type="pct"/>
            <w:tcBorders>
              <w:top w:val="nil"/>
              <w:left w:val="nil"/>
              <w:bottom w:val="nil"/>
              <w:right w:val="nil"/>
            </w:tcBorders>
            <w:vAlign w:val="center"/>
          </w:tcPr>
          <w:p w14:paraId="525F4E8C"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Finland</w:t>
            </w:r>
          </w:p>
        </w:tc>
        <w:tc>
          <w:tcPr>
            <w:tcW w:w="950" w:type="pct"/>
            <w:tcBorders>
              <w:top w:val="nil"/>
              <w:left w:val="nil"/>
              <w:bottom w:val="nil"/>
              <w:right w:val="nil"/>
            </w:tcBorders>
            <w:vAlign w:val="center"/>
          </w:tcPr>
          <w:p w14:paraId="2D553544" w14:textId="77777777" w:rsidR="009B57E2" w:rsidRPr="00494CA7" w:rsidRDefault="009B57E2" w:rsidP="00B64335">
            <w:pPr>
              <w:spacing w:after="0" w:line="240" w:lineRule="auto"/>
              <w:jc w:val="center"/>
              <w:rPr>
                <w:sz w:val="20"/>
                <w:szCs w:val="20"/>
                <w:lang w:val="en-GB"/>
              </w:rPr>
            </w:pPr>
            <w:r w:rsidRPr="00494CA7">
              <w:rPr>
                <w:sz w:val="20"/>
                <w:szCs w:val="20"/>
                <w:lang w:val="en-GB"/>
              </w:rPr>
              <w:t>2.4</w:t>
            </w:r>
          </w:p>
        </w:tc>
        <w:tc>
          <w:tcPr>
            <w:tcW w:w="950" w:type="pct"/>
            <w:tcBorders>
              <w:top w:val="nil"/>
              <w:left w:val="nil"/>
              <w:bottom w:val="nil"/>
              <w:right w:val="nil"/>
            </w:tcBorders>
            <w:vAlign w:val="center"/>
          </w:tcPr>
          <w:p w14:paraId="38E93477" w14:textId="77777777" w:rsidR="009B57E2" w:rsidRPr="00494CA7" w:rsidRDefault="009B57E2" w:rsidP="00B64335">
            <w:pPr>
              <w:spacing w:after="0" w:line="240" w:lineRule="auto"/>
              <w:jc w:val="center"/>
              <w:rPr>
                <w:sz w:val="20"/>
                <w:szCs w:val="20"/>
                <w:lang w:val="en-GB"/>
              </w:rPr>
            </w:pPr>
            <w:r w:rsidRPr="00494CA7">
              <w:rPr>
                <w:sz w:val="20"/>
                <w:szCs w:val="20"/>
                <w:lang w:val="en-GB"/>
              </w:rPr>
              <w:t>76.4</w:t>
            </w:r>
          </w:p>
        </w:tc>
        <w:tc>
          <w:tcPr>
            <w:tcW w:w="950" w:type="pct"/>
            <w:tcBorders>
              <w:top w:val="nil"/>
              <w:left w:val="nil"/>
              <w:bottom w:val="nil"/>
              <w:right w:val="nil"/>
            </w:tcBorders>
            <w:vAlign w:val="center"/>
          </w:tcPr>
          <w:p w14:paraId="658E8D00" w14:textId="77777777" w:rsidR="009B57E2" w:rsidRPr="00494CA7" w:rsidRDefault="009B57E2" w:rsidP="00B64335">
            <w:pPr>
              <w:spacing w:after="0" w:line="240" w:lineRule="auto"/>
              <w:jc w:val="center"/>
              <w:rPr>
                <w:sz w:val="20"/>
                <w:szCs w:val="20"/>
                <w:lang w:val="en-GB"/>
              </w:rPr>
            </w:pPr>
            <w:r w:rsidRPr="00494CA7">
              <w:rPr>
                <w:sz w:val="20"/>
                <w:szCs w:val="20"/>
                <w:lang w:val="en-GB"/>
              </w:rPr>
              <w:t>16.6</w:t>
            </w:r>
          </w:p>
        </w:tc>
        <w:tc>
          <w:tcPr>
            <w:tcW w:w="950" w:type="pct"/>
            <w:tcBorders>
              <w:top w:val="nil"/>
              <w:left w:val="nil"/>
              <w:bottom w:val="nil"/>
              <w:right w:val="nil"/>
            </w:tcBorders>
            <w:vAlign w:val="center"/>
          </w:tcPr>
          <w:p w14:paraId="28C415B0" w14:textId="77777777" w:rsidR="009B57E2" w:rsidRPr="00494CA7" w:rsidRDefault="009B57E2" w:rsidP="00B64335">
            <w:pPr>
              <w:spacing w:after="0" w:line="240" w:lineRule="auto"/>
              <w:jc w:val="center"/>
              <w:rPr>
                <w:sz w:val="20"/>
                <w:szCs w:val="20"/>
                <w:lang w:val="en-GB"/>
              </w:rPr>
            </w:pPr>
            <w:r w:rsidRPr="00494CA7">
              <w:rPr>
                <w:sz w:val="20"/>
                <w:szCs w:val="20"/>
                <w:lang w:val="en-GB"/>
              </w:rPr>
              <w:t>7.1</w:t>
            </w:r>
          </w:p>
        </w:tc>
      </w:tr>
      <w:tr w:rsidR="009B57E2" w:rsidRPr="00494CA7" w14:paraId="32A9BD1F" w14:textId="77777777" w:rsidTr="00B64335">
        <w:trPr>
          <w:trHeight w:val="284"/>
        </w:trPr>
        <w:tc>
          <w:tcPr>
            <w:tcW w:w="1199" w:type="pct"/>
            <w:tcBorders>
              <w:top w:val="nil"/>
              <w:left w:val="nil"/>
              <w:bottom w:val="nil"/>
              <w:right w:val="nil"/>
            </w:tcBorders>
            <w:vAlign w:val="center"/>
          </w:tcPr>
          <w:p w14:paraId="398CCA87"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France</w:t>
            </w:r>
          </w:p>
        </w:tc>
        <w:tc>
          <w:tcPr>
            <w:tcW w:w="950" w:type="pct"/>
            <w:tcBorders>
              <w:top w:val="nil"/>
              <w:left w:val="nil"/>
              <w:bottom w:val="nil"/>
              <w:right w:val="nil"/>
            </w:tcBorders>
            <w:vAlign w:val="center"/>
          </w:tcPr>
          <w:p w14:paraId="69427981" w14:textId="77777777" w:rsidR="009B57E2" w:rsidRPr="00494CA7" w:rsidRDefault="009B57E2" w:rsidP="00B64335">
            <w:pPr>
              <w:spacing w:after="0" w:line="240" w:lineRule="auto"/>
              <w:jc w:val="center"/>
              <w:rPr>
                <w:sz w:val="20"/>
                <w:szCs w:val="20"/>
                <w:lang w:val="en-GB"/>
              </w:rPr>
            </w:pPr>
            <w:r w:rsidRPr="00494CA7">
              <w:rPr>
                <w:sz w:val="20"/>
                <w:szCs w:val="20"/>
                <w:lang w:val="en-GB"/>
              </w:rPr>
              <w:t>7.4</w:t>
            </w:r>
          </w:p>
        </w:tc>
        <w:tc>
          <w:tcPr>
            <w:tcW w:w="950" w:type="pct"/>
            <w:tcBorders>
              <w:top w:val="nil"/>
              <w:left w:val="nil"/>
              <w:bottom w:val="nil"/>
              <w:right w:val="nil"/>
            </w:tcBorders>
            <w:vAlign w:val="center"/>
          </w:tcPr>
          <w:p w14:paraId="363C293F" w14:textId="77777777" w:rsidR="009B57E2" w:rsidRPr="00494CA7" w:rsidRDefault="009B57E2" w:rsidP="00B64335">
            <w:pPr>
              <w:spacing w:after="0" w:line="240" w:lineRule="auto"/>
              <w:jc w:val="center"/>
              <w:rPr>
                <w:sz w:val="20"/>
                <w:szCs w:val="20"/>
                <w:lang w:val="en-GB"/>
              </w:rPr>
            </w:pPr>
            <w:r w:rsidRPr="00494CA7">
              <w:rPr>
                <w:sz w:val="20"/>
                <w:szCs w:val="20"/>
                <w:lang w:val="en-GB"/>
              </w:rPr>
              <w:t>76.6</w:t>
            </w:r>
          </w:p>
        </w:tc>
        <w:tc>
          <w:tcPr>
            <w:tcW w:w="950" w:type="pct"/>
            <w:tcBorders>
              <w:top w:val="nil"/>
              <w:left w:val="nil"/>
              <w:bottom w:val="nil"/>
              <w:right w:val="nil"/>
            </w:tcBorders>
            <w:vAlign w:val="center"/>
          </w:tcPr>
          <w:p w14:paraId="3D07387E" w14:textId="77777777" w:rsidR="009B57E2" w:rsidRPr="00494CA7" w:rsidRDefault="009B57E2" w:rsidP="00B64335">
            <w:pPr>
              <w:spacing w:after="0" w:line="240" w:lineRule="auto"/>
              <w:jc w:val="center"/>
              <w:rPr>
                <w:sz w:val="20"/>
                <w:szCs w:val="20"/>
                <w:lang w:val="en-GB"/>
              </w:rPr>
            </w:pPr>
            <w:r w:rsidRPr="00494CA7">
              <w:rPr>
                <w:sz w:val="20"/>
                <w:szCs w:val="20"/>
                <w:lang w:val="en-GB"/>
              </w:rPr>
              <w:t>14.4</w:t>
            </w:r>
          </w:p>
        </w:tc>
        <w:tc>
          <w:tcPr>
            <w:tcW w:w="950" w:type="pct"/>
            <w:tcBorders>
              <w:top w:val="nil"/>
              <w:left w:val="nil"/>
              <w:bottom w:val="nil"/>
              <w:right w:val="nil"/>
            </w:tcBorders>
            <w:vAlign w:val="center"/>
          </w:tcPr>
          <w:p w14:paraId="590F151C" w14:textId="77777777" w:rsidR="009B57E2" w:rsidRPr="00494CA7" w:rsidRDefault="009B57E2" w:rsidP="00B64335">
            <w:pPr>
              <w:spacing w:after="0" w:line="240" w:lineRule="auto"/>
              <w:jc w:val="center"/>
              <w:rPr>
                <w:sz w:val="20"/>
                <w:szCs w:val="20"/>
                <w:lang w:val="en-GB"/>
              </w:rPr>
            </w:pPr>
            <w:r w:rsidRPr="00494CA7">
              <w:rPr>
                <w:sz w:val="20"/>
                <w:szCs w:val="20"/>
                <w:lang w:val="en-GB"/>
              </w:rPr>
              <w:t>9.1</w:t>
            </w:r>
          </w:p>
        </w:tc>
      </w:tr>
      <w:tr w:rsidR="009B57E2" w:rsidRPr="00494CA7" w14:paraId="1FF3BEC0" w14:textId="77777777" w:rsidTr="00B64335">
        <w:trPr>
          <w:trHeight w:val="284"/>
        </w:trPr>
        <w:tc>
          <w:tcPr>
            <w:tcW w:w="1199" w:type="pct"/>
            <w:tcBorders>
              <w:top w:val="nil"/>
              <w:left w:val="nil"/>
              <w:bottom w:val="nil"/>
              <w:right w:val="nil"/>
            </w:tcBorders>
            <w:vAlign w:val="center"/>
          </w:tcPr>
          <w:p w14:paraId="34C921F5"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Germany</w:t>
            </w:r>
          </w:p>
        </w:tc>
        <w:tc>
          <w:tcPr>
            <w:tcW w:w="950" w:type="pct"/>
            <w:tcBorders>
              <w:top w:val="nil"/>
              <w:left w:val="nil"/>
              <w:bottom w:val="nil"/>
              <w:right w:val="nil"/>
            </w:tcBorders>
            <w:vAlign w:val="center"/>
          </w:tcPr>
          <w:p w14:paraId="232889B9" w14:textId="77777777" w:rsidR="009B57E2" w:rsidRPr="00494CA7" w:rsidRDefault="009B57E2" w:rsidP="00B64335">
            <w:pPr>
              <w:spacing w:after="0" w:line="240" w:lineRule="auto"/>
              <w:jc w:val="center"/>
              <w:rPr>
                <w:sz w:val="20"/>
                <w:szCs w:val="20"/>
                <w:lang w:val="en-GB"/>
              </w:rPr>
            </w:pPr>
            <w:r w:rsidRPr="00494CA7">
              <w:rPr>
                <w:sz w:val="20"/>
                <w:szCs w:val="20"/>
                <w:lang w:val="en-GB"/>
              </w:rPr>
              <w:t>19.7</w:t>
            </w:r>
          </w:p>
        </w:tc>
        <w:tc>
          <w:tcPr>
            <w:tcW w:w="950" w:type="pct"/>
            <w:tcBorders>
              <w:top w:val="nil"/>
              <w:left w:val="nil"/>
              <w:bottom w:val="nil"/>
              <w:right w:val="nil"/>
            </w:tcBorders>
            <w:vAlign w:val="center"/>
          </w:tcPr>
          <w:p w14:paraId="65385040" w14:textId="77777777" w:rsidR="009B57E2" w:rsidRPr="00494CA7" w:rsidRDefault="009B57E2" w:rsidP="00B64335">
            <w:pPr>
              <w:spacing w:after="0" w:line="240" w:lineRule="auto"/>
              <w:jc w:val="center"/>
              <w:rPr>
                <w:sz w:val="20"/>
                <w:szCs w:val="20"/>
                <w:lang w:val="en-GB"/>
              </w:rPr>
            </w:pPr>
            <w:r w:rsidRPr="00494CA7">
              <w:rPr>
                <w:sz w:val="20"/>
                <w:szCs w:val="20"/>
                <w:lang w:val="en-GB"/>
              </w:rPr>
              <w:t>77.8</w:t>
            </w:r>
          </w:p>
        </w:tc>
        <w:tc>
          <w:tcPr>
            <w:tcW w:w="950" w:type="pct"/>
            <w:tcBorders>
              <w:top w:val="nil"/>
              <w:left w:val="nil"/>
              <w:bottom w:val="nil"/>
              <w:right w:val="nil"/>
            </w:tcBorders>
            <w:vAlign w:val="center"/>
          </w:tcPr>
          <w:p w14:paraId="3C6BA37B" w14:textId="77777777" w:rsidR="009B57E2" w:rsidRPr="00494CA7" w:rsidRDefault="009B57E2" w:rsidP="00B64335">
            <w:pPr>
              <w:spacing w:after="0" w:line="240" w:lineRule="auto"/>
              <w:jc w:val="center"/>
              <w:rPr>
                <w:sz w:val="20"/>
                <w:szCs w:val="20"/>
                <w:lang w:val="en-GB"/>
              </w:rPr>
            </w:pPr>
            <w:r w:rsidRPr="00494CA7">
              <w:rPr>
                <w:sz w:val="20"/>
                <w:szCs w:val="20"/>
                <w:lang w:val="en-GB"/>
              </w:rPr>
              <w:t>14.6</w:t>
            </w:r>
          </w:p>
        </w:tc>
        <w:tc>
          <w:tcPr>
            <w:tcW w:w="950" w:type="pct"/>
            <w:tcBorders>
              <w:top w:val="nil"/>
              <w:left w:val="nil"/>
              <w:bottom w:val="nil"/>
              <w:right w:val="nil"/>
            </w:tcBorders>
            <w:vAlign w:val="center"/>
          </w:tcPr>
          <w:p w14:paraId="086B85AC" w14:textId="77777777" w:rsidR="009B57E2" w:rsidRPr="00494CA7" w:rsidRDefault="009B57E2" w:rsidP="00B64335">
            <w:pPr>
              <w:spacing w:after="0" w:line="240" w:lineRule="auto"/>
              <w:jc w:val="center"/>
              <w:rPr>
                <w:sz w:val="20"/>
                <w:szCs w:val="20"/>
                <w:lang w:val="en-GB"/>
              </w:rPr>
            </w:pPr>
            <w:r w:rsidRPr="00494CA7">
              <w:rPr>
                <w:sz w:val="20"/>
                <w:szCs w:val="20"/>
                <w:lang w:val="en-GB"/>
              </w:rPr>
              <w:t>7.7</w:t>
            </w:r>
          </w:p>
        </w:tc>
      </w:tr>
      <w:tr w:rsidR="009B57E2" w:rsidRPr="00494CA7" w14:paraId="6967CAFB" w14:textId="77777777" w:rsidTr="00B64335">
        <w:trPr>
          <w:trHeight w:val="284"/>
        </w:trPr>
        <w:tc>
          <w:tcPr>
            <w:tcW w:w="1199" w:type="pct"/>
            <w:tcBorders>
              <w:top w:val="nil"/>
              <w:left w:val="nil"/>
              <w:bottom w:val="nil"/>
              <w:right w:val="nil"/>
            </w:tcBorders>
            <w:vAlign w:val="center"/>
          </w:tcPr>
          <w:p w14:paraId="64E9861E"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Greece</w:t>
            </w:r>
          </w:p>
        </w:tc>
        <w:tc>
          <w:tcPr>
            <w:tcW w:w="950" w:type="pct"/>
            <w:tcBorders>
              <w:top w:val="nil"/>
              <w:left w:val="nil"/>
              <w:bottom w:val="nil"/>
              <w:right w:val="nil"/>
            </w:tcBorders>
            <w:vAlign w:val="center"/>
          </w:tcPr>
          <w:p w14:paraId="6DCB19D7" w14:textId="77777777" w:rsidR="009B57E2" w:rsidRPr="00494CA7" w:rsidRDefault="009B57E2" w:rsidP="00B64335">
            <w:pPr>
              <w:spacing w:after="0" w:line="240" w:lineRule="auto"/>
              <w:jc w:val="center"/>
              <w:rPr>
                <w:sz w:val="20"/>
                <w:szCs w:val="20"/>
                <w:lang w:val="en-GB"/>
              </w:rPr>
            </w:pPr>
            <w:r w:rsidRPr="00494CA7">
              <w:rPr>
                <w:sz w:val="20"/>
                <w:szCs w:val="20"/>
                <w:lang w:val="en-GB"/>
              </w:rPr>
              <w:t>24.4</w:t>
            </w:r>
          </w:p>
        </w:tc>
        <w:tc>
          <w:tcPr>
            <w:tcW w:w="950" w:type="pct"/>
            <w:tcBorders>
              <w:top w:val="nil"/>
              <w:left w:val="nil"/>
              <w:bottom w:val="nil"/>
              <w:right w:val="nil"/>
            </w:tcBorders>
            <w:vAlign w:val="center"/>
          </w:tcPr>
          <w:p w14:paraId="23AB515B" w14:textId="77777777" w:rsidR="009B57E2" w:rsidRPr="00494CA7" w:rsidRDefault="009B57E2" w:rsidP="00B64335">
            <w:pPr>
              <w:spacing w:after="0" w:line="240" w:lineRule="auto"/>
              <w:jc w:val="center"/>
              <w:rPr>
                <w:sz w:val="20"/>
                <w:szCs w:val="20"/>
                <w:lang w:val="en-GB"/>
              </w:rPr>
            </w:pPr>
            <w:r w:rsidRPr="00494CA7">
              <w:rPr>
                <w:sz w:val="20"/>
                <w:szCs w:val="20"/>
                <w:lang w:val="en-GB"/>
              </w:rPr>
              <w:t>92.1</w:t>
            </w:r>
          </w:p>
        </w:tc>
        <w:tc>
          <w:tcPr>
            <w:tcW w:w="950" w:type="pct"/>
            <w:tcBorders>
              <w:top w:val="nil"/>
              <w:left w:val="nil"/>
              <w:bottom w:val="nil"/>
              <w:right w:val="nil"/>
            </w:tcBorders>
            <w:vAlign w:val="center"/>
          </w:tcPr>
          <w:p w14:paraId="7E5CDA75" w14:textId="77777777" w:rsidR="009B57E2" w:rsidRPr="00494CA7" w:rsidRDefault="009B57E2" w:rsidP="00B64335">
            <w:pPr>
              <w:spacing w:after="0" w:line="240" w:lineRule="auto"/>
              <w:jc w:val="center"/>
              <w:rPr>
                <w:sz w:val="20"/>
                <w:szCs w:val="20"/>
                <w:lang w:val="en-GB"/>
              </w:rPr>
            </w:pPr>
            <w:r w:rsidRPr="00494CA7">
              <w:rPr>
                <w:sz w:val="20"/>
                <w:szCs w:val="20"/>
                <w:lang w:val="en-GB"/>
              </w:rPr>
              <w:t>6.3</w:t>
            </w:r>
          </w:p>
        </w:tc>
        <w:tc>
          <w:tcPr>
            <w:tcW w:w="950" w:type="pct"/>
            <w:tcBorders>
              <w:top w:val="nil"/>
              <w:left w:val="nil"/>
              <w:bottom w:val="nil"/>
              <w:right w:val="nil"/>
            </w:tcBorders>
            <w:vAlign w:val="center"/>
          </w:tcPr>
          <w:p w14:paraId="4B35C8DE" w14:textId="77777777" w:rsidR="009B57E2" w:rsidRPr="00494CA7" w:rsidRDefault="009B57E2" w:rsidP="00B64335">
            <w:pPr>
              <w:spacing w:after="0" w:line="240" w:lineRule="auto"/>
              <w:jc w:val="center"/>
              <w:rPr>
                <w:sz w:val="20"/>
                <w:szCs w:val="20"/>
                <w:lang w:val="en-GB"/>
              </w:rPr>
            </w:pPr>
            <w:r w:rsidRPr="00494CA7">
              <w:rPr>
                <w:sz w:val="20"/>
                <w:szCs w:val="20"/>
                <w:lang w:val="en-GB"/>
              </w:rPr>
              <w:t>1.5</w:t>
            </w:r>
          </w:p>
        </w:tc>
      </w:tr>
      <w:tr w:rsidR="009B57E2" w:rsidRPr="00494CA7" w14:paraId="5C0903B8" w14:textId="77777777" w:rsidTr="00B64335">
        <w:trPr>
          <w:trHeight w:val="284"/>
        </w:trPr>
        <w:tc>
          <w:tcPr>
            <w:tcW w:w="1199" w:type="pct"/>
            <w:tcBorders>
              <w:top w:val="nil"/>
              <w:left w:val="nil"/>
              <w:bottom w:val="nil"/>
              <w:right w:val="nil"/>
            </w:tcBorders>
            <w:vAlign w:val="center"/>
          </w:tcPr>
          <w:p w14:paraId="4DE2F352"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Hong Kong</w:t>
            </w:r>
          </w:p>
        </w:tc>
        <w:tc>
          <w:tcPr>
            <w:tcW w:w="950" w:type="pct"/>
            <w:tcBorders>
              <w:top w:val="nil"/>
              <w:left w:val="nil"/>
              <w:bottom w:val="nil"/>
              <w:right w:val="nil"/>
            </w:tcBorders>
            <w:vAlign w:val="center"/>
          </w:tcPr>
          <w:p w14:paraId="169D7F76" w14:textId="77777777" w:rsidR="009B57E2" w:rsidRPr="00494CA7" w:rsidRDefault="009B57E2" w:rsidP="00B64335">
            <w:pPr>
              <w:spacing w:after="0" w:line="240" w:lineRule="auto"/>
              <w:jc w:val="center"/>
              <w:rPr>
                <w:sz w:val="20"/>
                <w:szCs w:val="20"/>
                <w:lang w:val="en-GB"/>
              </w:rPr>
            </w:pPr>
            <w:r w:rsidRPr="00494CA7">
              <w:rPr>
                <w:sz w:val="20"/>
                <w:szCs w:val="20"/>
                <w:lang w:val="en-GB"/>
              </w:rPr>
              <w:t>12.6</w:t>
            </w:r>
          </w:p>
        </w:tc>
        <w:tc>
          <w:tcPr>
            <w:tcW w:w="950" w:type="pct"/>
            <w:tcBorders>
              <w:top w:val="nil"/>
              <w:left w:val="nil"/>
              <w:bottom w:val="nil"/>
              <w:right w:val="nil"/>
            </w:tcBorders>
            <w:vAlign w:val="center"/>
          </w:tcPr>
          <w:p w14:paraId="332F9035" w14:textId="77777777" w:rsidR="009B57E2" w:rsidRPr="00494CA7" w:rsidRDefault="009B57E2" w:rsidP="00B64335">
            <w:pPr>
              <w:spacing w:after="0" w:line="240" w:lineRule="auto"/>
              <w:jc w:val="center"/>
              <w:rPr>
                <w:sz w:val="20"/>
                <w:szCs w:val="20"/>
                <w:lang w:val="en-GB"/>
              </w:rPr>
            </w:pPr>
            <w:r w:rsidRPr="00494CA7">
              <w:rPr>
                <w:sz w:val="20"/>
                <w:szCs w:val="20"/>
                <w:lang w:val="en-GB"/>
              </w:rPr>
              <w:t>89.7</w:t>
            </w:r>
          </w:p>
        </w:tc>
        <w:tc>
          <w:tcPr>
            <w:tcW w:w="950" w:type="pct"/>
            <w:tcBorders>
              <w:top w:val="nil"/>
              <w:left w:val="nil"/>
              <w:bottom w:val="nil"/>
              <w:right w:val="nil"/>
            </w:tcBorders>
            <w:vAlign w:val="center"/>
          </w:tcPr>
          <w:p w14:paraId="42BC1FE3" w14:textId="77777777" w:rsidR="009B57E2" w:rsidRPr="00494CA7" w:rsidRDefault="009B57E2" w:rsidP="00B64335">
            <w:pPr>
              <w:spacing w:after="0" w:line="240" w:lineRule="auto"/>
              <w:jc w:val="center"/>
              <w:rPr>
                <w:sz w:val="20"/>
                <w:szCs w:val="20"/>
                <w:lang w:val="en-GB"/>
              </w:rPr>
            </w:pPr>
            <w:r w:rsidRPr="00494CA7">
              <w:rPr>
                <w:sz w:val="20"/>
                <w:szCs w:val="20"/>
                <w:lang w:val="en-GB"/>
              </w:rPr>
              <w:t>8.9</w:t>
            </w:r>
          </w:p>
        </w:tc>
        <w:tc>
          <w:tcPr>
            <w:tcW w:w="950" w:type="pct"/>
            <w:tcBorders>
              <w:top w:val="nil"/>
              <w:left w:val="nil"/>
              <w:bottom w:val="nil"/>
              <w:right w:val="nil"/>
            </w:tcBorders>
            <w:vAlign w:val="center"/>
          </w:tcPr>
          <w:p w14:paraId="4620311D" w14:textId="77777777" w:rsidR="009B57E2" w:rsidRPr="00494CA7" w:rsidRDefault="009B57E2" w:rsidP="00B64335">
            <w:pPr>
              <w:spacing w:after="0" w:line="240" w:lineRule="auto"/>
              <w:jc w:val="center"/>
              <w:rPr>
                <w:sz w:val="20"/>
                <w:szCs w:val="20"/>
                <w:lang w:val="en-GB"/>
              </w:rPr>
            </w:pPr>
            <w:r w:rsidRPr="00494CA7">
              <w:rPr>
                <w:sz w:val="20"/>
                <w:szCs w:val="20"/>
                <w:lang w:val="en-GB"/>
              </w:rPr>
              <w:t>1.4</w:t>
            </w:r>
          </w:p>
        </w:tc>
      </w:tr>
      <w:tr w:rsidR="009B57E2" w:rsidRPr="00494CA7" w14:paraId="07C58195" w14:textId="77777777" w:rsidTr="00B64335">
        <w:trPr>
          <w:trHeight w:val="284"/>
        </w:trPr>
        <w:tc>
          <w:tcPr>
            <w:tcW w:w="1199" w:type="pct"/>
            <w:tcBorders>
              <w:top w:val="nil"/>
              <w:left w:val="nil"/>
              <w:bottom w:val="nil"/>
              <w:right w:val="nil"/>
            </w:tcBorders>
            <w:vAlign w:val="center"/>
          </w:tcPr>
          <w:p w14:paraId="60E0900B"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Hungary</w:t>
            </w:r>
          </w:p>
        </w:tc>
        <w:tc>
          <w:tcPr>
            <w:tcW w:w="950" w:type="pct"/>
            <w:tcBorders>
              <w:top w:val="nil"/>
              <w:left w:val="nil"/>
              <w:bottom w:val="nil"/>
              <w:right w:val="nil"/>
            </w:tcBorders>
            <w:vAlign w:val="center"/>
          </w:tcPr>
          <w:p w14:paraId="2202ECE9" w14:textId="77777777" w:rsidR="009B57E2" w:rsidRPr="00494CA7" w:rsidRDefault="009B57E2" w:rsidP="00B64335">
            <w:pPr>
              <w:spacing w:after="0" w:line="240" w:lineRule="auto"/>
              <w:jc w:val="center"/>
              <w:rPr>
                <w:sz w:val="20"/>
                <w:szCs w:val="20"/>
                <w:lang w:val="en-GB"/>
              </w:rPr>
            </w:pPr>
            <w:r w:rsidRPr="00494CA7">
              <w:rPr>
                <w:sz w:val="20"/>
                <w:szCs w:val="20"/>
                <w:lang w:val="en-GB"/>
              </w:rPr>
              <w:t>13.4</w:t>
            </w:r>
          </w:p>
        </w:tc>
        <w:tc>
          <w:tcPr>
            <w:tcW w:w="950" w:type="pct"/>
            <w:tcBorders>
              <w:top w:val="nil"/>
              <w:left w:val="nil"/>
              <w:bottom w:val="nil"/>
              <w:right w:val="nil"/>
            </w:tcBorders>
            <w:vAlign w:val="center"/>
          </w:tcPr>
          <w:p w14:paraId="6547643C" w14:textId="77777777" w:rsidR="009B57E2" w:rsidRPr="00494CA7" w:rsidRDefault="009B57E2" w:rsidP="00B64335">
            <w:pPr>
              <w:spacing w:after="0" w:line="240" w:lineRule="auto"/>
              <w:jc w:val="center"/>
              <w:rPr>
                <w:sz w:val="20"/>
                <w:szCs w:val="20"/>
                <w:lang w:val="en-GB"/>
              </w:rPr>
            </w:pPr>
            <w:r w:rsidRPr="00494CA7">
              <w:rPr>
                <w:sz w:val="20"/>
                <w:szCs w:val="20"/>
                <w:lang w:val="en-GB"/>
              </w:rPr>
              <w:t>76.5</w:t>
            </w:r>
          </w:p>
        </w:tc>
        <w:tc>
          <w:tcPr>
            <w:tcW w:w="950" w:type="pct"/>
            <w:tcBorders>
              <w:top w:val="nil"/>
              <w:left w:val="nil"/>
              <w:bottom w:val="nil"/>
              <w:right w:val="nil"/>
            </w:tcBorders>
            <w:vAlign w:val="center"/>
          </w:tcPr>
          <w:p w14:paraId="7EDD3779" w14:textId="77777777" w:rsidR="009B57E2" w:rsidRPr="00494CA7" w:rsidRDefault="009B57E2" w:rsidP="00B64335">
            <w:pPr>
              <w:spacing w:after="0" w:line="240" w:lineRule="auto"/>
              <w:jc w:val="center"/>
              <w:rPr>
                <w:sz w:val="20"/>
                <w:szCs w:val="20"/>
                <w:lang w:val="en-GB"/>
              </w:rPr>
            </w:pPr>
            <w:r w:rsidRPr="00494CA7">
              <w:rPr>
                <w:sz w:val="20"/>
                <w:szCs w:val="20"/>
                <w:lang w:val="en-GB"/>
              </w:rPr>
              <w:t>15.6</w:t>
            </w:r>
          </w:p>
        </w:tc>
        <w:tc>
          <w:tcPr>
            <w:tcW w:w="950" w:type="pct"/>
            <w:tcBorders>
              <w:top w:val="nil"/>
              <w:left w:val="nil"/>
              <w:bottom w:val="nil"/>
              <w:right w:val="nil"/>
            </w:tcBorders>
            <w:vAlign w:val="center"/>
          </w:tcPr>
          <w:p w14:paraId="07A60975" w14:textId="77777777" w:rsidR="009B57E2" w:rsidRPr="00494CA7" w:rsidRDefault="009B57E2" w:rsidP="00B64335">
            <w:pPr>
              <w:spacing w:after="0" w:line="240" w:lineRule="auto"/>
              <w:jc w:val="center"/>
              <w:rPr>
                <w:sz w:val="20"/>
                <w:szCs w:val="20"/>
                <w:lang w:val="en-GB"/>
              </w:rPr>
            </w:pPr>
            <w:r w:rsidRPr="00494CA7">
              <w:rPr>
                <w:sz w:val="20"/>
                <w:szCs w:val="20"/>
                <w:lang w:val="en-GB"/>
              </w:rPr>
              <w:t>7.9</w:t>
            </w:r>
          </w:p>
        </w:tc>
      </w:tr>
      <w:tr w:rsidR="009B57E2" w:rsidRPr="00494CA7" w14:paraId="45F871DD" w14:textId="77777777" w:rsidTr="00B64335">
        <w:trPr>
          <w:trHeight w:val="284"/>
        </w:trPr>
        <w:tc>
          <w:tcPr>
            <w:tcW w:w="1199" w:type="pct"/>
            <w:tcBorders>
              <w:top w:val="nil"/>
              <w:left w:val="nil"/>
              <w:bottom w:val="nil"/>
              <w:right w:val="nil"/>
            </w:tcBorders>
            <w:vAlign w:val="center"/>
          </w:tcPr>
          <w:p w14:paraId="3F08EDD2"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Iceland</w:t>
            </w:r>
          </w:p>
        </w:tc>
        <w:tc>
          <w:tcPr>
            <w:tcW w:w="950" w:type="pct"/>
            <w:tcBorders>
              <w:top w:val="nil"/>
              <w:left w:val="nil"/>
              <w:bottom w:val="nil"/>
              <w:right w:val="nil"/>
            </w:tcBorders>
            <w:vAlign w:val="center"/>
          </w:tcPr>
          <w:p w14:paraId="54987013" w14:textId="77777777" w:rsidR="009B57E2" w:rsidRPr="00494CA7" w:rsidRDefault="009B57E2" w:rsidP="00B64335">
            <w:pPr>
              <w:spacing w:after="0" w:line="240" w:lineRule="auto"/>
              <w:jc w:val="center"/>
              <w:rPr>
                <w:sz w:val="20"/>
                <w:szCs w:val="20"/>
                <w:lang w:val="en-GB"/>
              </w:rPr>
            </w:pPr>
            <w:r w:rsidRPr="00494CA7">
              <w:rPr>
                <w:sz w:val="20"/>
                <w:szCs w:val="20"/>
                <w:lang w:val="en-GB"/>
              </w:rPr>
              <w:t>3.8</w:t>
            </w:r>
          </w:p>
        </w:tc>
        <w:tc>
          <w:tcPr>
            <w:tcW w:w="950" w:type="pct"/>
            <w:tcBorders>
              <w:top w:val="nil"/>
              <w:left w:val="nil"/>
              <w:bottom w:val="nil"/>
              <w:right w:val="nil"/>
            </w:tcBorders>
            <w:vAlign w:val="center"/>
          </w:tcPr>
          <w:p w14:paraId="77105A1F" w14:textId="77777777" w:rsidR="009B57E2" w:rsidRPr="00494CA7" w:rsidRDefault="009B57E2" w:rsidP="00B64335">
            <w:pPr>
              <w:spacing w:after="0" w:line="240" w:lineRule="auto"/>
              <w:jc w:val="center"/>
              <w:rPr>
                <w:sz w:val="20"/>
                <w:szCs w:val="20"/>
                <w:lang w:val="en-GB"/>
              </w:rPr>
            </w:pPr>
            <w:r w:rsidRPr="00494CA7">
              <w:rPr>
                <w:sz w:val="20"/>
                <w:szCs w:val="20"/>
                <w:lang w:val="en-GB"/>
              </w:rPr>
              <w:t>73.2</w:t>
            </w:r>
          </w:p>
        </w:tc>
        <w:tc>
          <w:tcPr>
            <w:tcW w:w="950" w:type="pct"/>
            <w:tcBorders>
              <w:top w:val="nil"/>
              <w:left w:val="nil"/>
              <w:bottom w:val="nil"/>
              <w:right w:val="nil"/>
            </w:tcBorders>
            <w:vAlign w:val="center"/>
          </w:tcPr>
          <w:p w14:paraId="495E5391" w14:textId="77777777" w:rsidR="009B57E2" w:rsidRPr="00494CA7" w:rsidRDefault="009B57E2" w:rsidP="00B64335">
            <w:pPr>
              <w:spacing w:after="0" w:line="240" w:lineRule="auto"/>
              <w:jc w:val="center"/>
              <w:rPr>
                <w:sz w:val="20"/>
                <w:szCs w:val="20"/>
                <w:lang w:val="en-GB"/>
              </w:rPr>
            </w:pPr>
            <w:r w:rsidRPr="00494CA7">
              <w:rPr>
                <w:sz w:val="20"/>
                <w:szCs w:val="20"/>
                <w:lang w:val="en-GB"/>
              </w:rPr>
              <w:t>13.3</w:t>
            </w:r>
          </w:p>
        </w:tc>
        <w:tc>
          <w:tcPr>
            <w:tcW w:w="950" w:type="pct"/>
            <w:tcBorders>
              <w:top w:val="nil"/>
              <w:left w:val="nil"/>
              <w:bottom w:val="nil"/>
              <w:right w:val="nil"/>
            </w:tcBorders>
            <w:vAlign w:val="center"/>
          </w:tcPr>
          <w:p w14:paraId="42B8C8B4" w14:textId="77777777" w:rsidR="009B57E2" w:rsidRPr="00494CA7" w:rsidRDefault="009B57E2" w:rsidP="00B64335">
            <w:pPr>
              <w:spacing w:after="0" w:line="240" w:lineRule="auto"/>
              <w:jc w:val="center"/>
              <w:rPr>
                <w:sz w:val="20"/>
                <w:szCs w:val="20"/>
                <w:lang w:val="en-GB"/>
              </w:rPr>
            </w:pPr>
            <w:r w:rsidRPr="00494CA7">
              <w:rPr>
                <w:sz w:val="20"/>
                <w:szCs w:val="20"/>
                <w:lang w:val="en-GB"/>
              </w:rPr>
              <w:t>13.5</w:t>
            </w:r>
          </w:p>
        </w:tc>
      </w:tr>
      <w:tr w:rsidR="009B57E2" w:rsidRPr="00494CA7" w14:paraId="44029797" w14:textId="77777777" w:rsidTr="00B64335">
        <w:trPr>
          <w:trHeight w:val="284"/>
        </w:trPr>
        <w:tc>
          <w:tcPr>
            <w:tcW w:w="1199" w:type="pct"/>
            <w:tcBorders>
              <w:top w:val="nil"/>
              <w:left w:val="nil"/>
              <w:bottom w:val="nil"/>
              <w:right w:val="nil"/>
            </w:tcBorders>
            <w:vAlign w:val="center"/>
          </w:tcPr>
          <w:p w14:paraId="67350845"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Indonesia</w:t>
            </w:r>
          </w:p>
        </w:tc>
        <w:tc>
          <w:tcPr>
            <w:tcW w:w="950" w:type="pct"/>
            <w:tcBorders>
              <w:top w:val="nil"/>
              <w:left w:val="nil"/>
              <w:bottom w:val="nil"/>
              <w:right w:val="nil"/>
            </w:tcBorders>
            <w:vAlign w:val="center"/>
          </w:tcPr>
          <w:p w14:paraId="788B28DD" w14:textId="77777777" w:rsidR="009B57E2" w:rsidRPr="00494CA7" w:rsidRDefault="009B57E2" w:rsidP="00B64335">
            <w:pPr>
              <w:spacing w:after="0" w:line="240" w:lineRule="auto"/>
              <w:jc w:val="center"/>
              <w:rPr>
                <w:sz w:val="20"/>
                <w:szCs w:val="20"/>
                <w:lang w:val="en-GB"/>
              </w:rPr>
            </w:pPr>
            <w:r w:rsidRPr="00494CA7">
              <w:rPr>
                <w:sz w:val="20"/>
                <w:szCs w:val="20"/>
                <w:lang w:val="en-GB"/>
              </w:rPr>
              <w:t>48.2</w:t>
            </w:r>
          </w:p>
        </w:tc>
        <w:tc>
          <w:tcPr>
            <w:tcW w:w="950" w:type="pct"/>
            <w:tcBorders>
              <w:top w:val="nil"/>
              <w:left w:val="nil"/>
              <w:bottom w:val="nil"/>
              <w:right w:val="nil"/>
            </w:tcBorders>
            <w:vAlign w:val="center"/>
          </w:tcPr>
          <w:p w14:paraId="0DAB9269" w14:textId="77777777" w:rsidR="009B57E2" w:rsidRPr="00494CA7" w:rsidRDefault="009B57E2" w:rsidP="00B64335">
            <w:pPr>
              <w:spacing w:after="0" w:line="240" w:lineRule="auto"/>
              <w:jc w:val="center"/>
              <w:rPr>
                <w:sz w:val="20"/>
                <w:szCs w:val="20"/>
                <w:lang w:val="en-GB"/>
              </w:rPr>
            </w:pPr>
            <w:r w:rsidRPr="00494CA7">
              <w:rPr>
                <w:sz w:val="20"/>
                <w:szCs w:val="20"/>
                <w:lang w:val="en-GB"/>
              </w:rPr>
              <w:t>92.8</w:t>
            </w:r>
          </w:p>
        </w:tc>
        <w:tc>
          <w:tcPr>
            <w:tcW w:w="950" w:type="pct"/>
            <w:tcBorders>
              <w:top w:val="nil"/>
              <w:left w:val="nil"/>
              <w:bottom w:val="nil"/>
              <w:right w:val="nil"/>
            </w:tcBorders>
            <w:vAlign w:val="center"/>
          </w:tcPr>
          <w:p w14:paraId="0A1C7DD2" w14:textId="77777777" w:rsidR="009B57E2" w:rsidRPr="00494CA7" w:rsidRDefault="009B57E2" w:rsidP="00B64335">
            <w:pPr>
              <w:spacing w:after="0" w:line="240" w:lineRule="auto"/>
              <w:jc w:val="center"/>
              <w:rPr>
                <w:sz w:val="20"/>
                <w:szCs w:val="20"/>
                <w:lang w:val="en-GB"/>
              </w:rPr>
            </w:pPr>
            <w:r w:rsidRPr="00494CA7">
              <w:rPr>
                <w:sz w:val="20"/>
                <w:szCs w:val="20"/>
                <w:lang w:val="en-GB"/>
              </w:rPr>
              <w:t>4.3</w:t>
            </w:r>
          </w:p>
        </w:tc>
        <w:tc>
          <w:tcPr>
            <w:tcW w:w="950" w:type="pct"/>
            <w:tcBorders>
              <w:top w:val="nil"/>
              <w:left w:val="nil"/>
              <w:bottom w:val="nil"/>
              <w:right w:val="nil"/>
            </w:tcBorders>
            <w:vAlign w:val="center"/>
          </w:tcPr>
          <w:p w14:paraId="02139332" w14:textId="77777777" w:rsidR="009B57E2" w:rsidRPr="00494CA7" w:rsidRDefault="009B57E2" w:rsidP="00B64335">
            <w:pPr>
              <w:spacing w:after="0" w:line="240" w:lineRule="auto"/>
              <w:jc w:val="center"/>
              <w:rPr>
                <w:sz w:val="20"/>
                <w:szCs w:val="20"/>
                <w:lang w:val="en-GB"/>
              </w:rPr>
            </w:pPr>
            <w:r w:rsidRPr="00494CA7">
              <w:rPr>
                <w:sz w:val="20"/>
                <w:szCs w:val="20"/>
                <w:lang w:val="en-GB"/>
              </w:rPr>
              <w:t>2.9</w:t>
            </w:r>
          </w:p>
        </w:tc>
      </w:tr>
      <w:tr w:rsidR="009B57E2" w:rsidRPr="00494CA7" w14:paraId="210CF462" w14:textId="77777777" w:rsidTr="00B64335">
        <w:trPr>
          <w:trHeight w:val="284"/>
        </w:trPr>
        <w:tc>
          <w:tcPr>
            <w:tcW w:w="1199" w:type="pct"/>
            <w:tcBorders>
              <w:top w:val="nil"/>
              <w:left w:val="nil"/>
              <w:bottom w:val="nil"/>
              <w:right w:val="nil"/>
            </w:tcBorders>
            <w:vAlign w:val="center"/>
          </w:tcPr>
          <w:p w14:paraId="327E5F10"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Ireland</w:t>
            </w:r>
          </w:p>
        </w:tc>
        <w:tc>
          <w:tcPr>
            <w:tcW w:w="950" w:type="pct"/>
            <w:tcBorders>
              <w:top w:val="nil"/>
              <w:left w:val="nil"/>
              <w:bottom w:val="nil"/>
              <w:right w:val="nil"/>
            </w:tcBorders>
            <w:vAlign w:val="center"/>
          </w:tcPr>
          <w:p w14:paraId="3511C62D" w14:textId="77777777" w:rsidR="009B57E2" w:rsidRPr="00494CA7" w:rsidRDefault="009B57E2" w:rsidP="00B64335">
            <w:pPr>
              <w:spacing w:after="0" w:line="240" w:lineRule="auto"/>
              <w:jc w:val="center"/>
              <w:rPr>
                <w:sz w:val="20"/>
                <w:szCs w:val="20"/>
                <w:lang w:val="en-GB"/>
              </w:rPr>
            </w:pPr>
            <w:r w:rsidRPr="00494CA7">
              <w:rPr>
                <w:sz w:val="20"/>
                <w:szCs w:val="20"/>
                <w:lang w:val="en-GB"/>
              </w:rPr>
              <w:t>10.9</w:t>
            </w:r>
          </w:p>
        </w:tc>
        <w:tc>
          <w:tcPr>
            <w:tcW w:w="950" w:type="pct"/>
            <w:tcBorders>
              <w:top w:val="nil"/>
              <w:left w:val="nil"/>
              <w:bottom w:val="nil"/>
              <w:right w:val="nil"/>
            </w:tcBorders>
            <w:vAlign w:val="center"/>
          </w:tcPr>
          <w:p w14:paraId="05EC6C44" w14:textId="77777777" w:rsidR="009B57E2" w:rsidRPr="00494CA7" w:rsidRDefault="009B57E2" w:rsidP="00B64335">
            <w:pPr>
              <w:spacing w:after="0" w:line="240" w:lineRule="auto"/>
              <w:jc w:val="center"/>
              <w:rPr>
                <w:sz w:val="20"/>
                <w:szCs w:val="20"/>
                <w:lang w:val="en-GB"/>
              </w:rPr>
            </w:pPr>
            <w:r w:rsidRPr="00494CA7">
              <w:rPr>
                <w:sz w:val="20"/>
                <w:szCs w:val="20"/>
                <w:lang w:val="en-GB"/>
              </w:rPr>
              <w:t>87.4</w:t>
            </w:r>
          </w:p>
        </w:tc>
        <w:tc>
          <w:tcPr>
            <w:tcW w:w="950" w:type="pct"/>
            <w:tcBorders>
              <w:top w:val="nil"/>
              <w:left w:val="nil"/>
              <w:bottom w:val="nil"/>
              <w:right w:val="nil"/>
            </w:tcBorders>
            <w:vAlign w:val="center"/>
          </w:tcPr>
          <w:p w14:paraId="5A021DDB" w14:textId="77777777" w:rsidR="009B57E2" w:rsidRPr="00494CA7" w:rsidRDefault="009B57E2" w:rsidP="00B64335">
            <w:pPr>
              <w:spacing w:after="0" w:line="240" w:lineRule="auto"/>
              <w:jc w:val="center"/>
              <w:rPr>
                <w:sz w:val="20"/>
                <w:szCs w:val="20"/>
                <w:lang w:val="en-GB"/>
              </w:rPr>
            </w:pPr>
            <w:r w:rsidRPr="00494CA7">
              <w:rPr>
                <w:sz w:val="20"/>
                <w:szCs w:val="20"/>
                <w:lang w:val="en-GB"/>
              </w:rPr>
              <w:t>10.1</w:t>
            </w:r>
          </w:p>
        </w:tc>
        <w:tc>
          <w:tcPr>
            <w:tcW w:w="950" w:type="pct"/>
            <w:tcBorders>
              <w:top w:val="nil"/>
              <w:left w:val="nil"/>
              <w:bottom w:val="nil"/>
              <w:right w:val="nil"/>
            </w:tcBorders>
            <w:vAlign w:val="center"/>
          </w:tcPr>
          <w:p w14:paraId="1E403A65" w14:textId="77777777" w:rsidR="009B57E2" w:rsidRPr="00494CA7" w:rsidRDefault="009B57E2" w:rsidP="00B64335">
            <w:pPr>
              <w:spacing w:after="0" w:line="240" w:lineRule="auto"/>
              <w:jc w:val="center"/>
              <w:rPr>
                <w:sz w:val="20"/>
                <w:szCs w:val="20"/>
                <w:lang w:val="en-GB"/>
              </w:rPr>
            </w:pPr>
            <w:r w:rsidRPr="00494CA7">
              <w:rPr>
                <w:sz w:val="20"/>
                <w:szCs w:val="20"/>
                <w:lang w:val="en-GB"/>
              </w:rPr>
              <w:t>2.5</w:t>
            </w:r>
          </w:p>
        </w:tc>
      </w:tr>
      <w:tr w:rsidR="009B57E2" w:rsidRPr="00494CA7" w14:paraId="2345FDA0" w14:textId="77777777" w:rsidTr="00B64335">
        <w:trPr>
          <w:trHeight w:val="284"/>
        </w:trPr>
        <w:tc>
          <w:tcPr>
            <w:tcW w:w="1199" w:type="pct"/>
            <w:tcBorders>
              <w:top w:val="nil"/>
              <w:left w:val="nil"/>
              <w:bottom w:val="nil"/>
              <w:right w:val="nil"/>
            </w:tcBorders>
            <w:vAlign w:val="center"/>
          </w:tcPr>
          <w:p w14:paraId="09081637"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Israel</w:t>
            </w:r>
          </w:p>
        </w:tc>
        <w:tc>
          <w:tcPr>
            <w:tcW w:w="950" w:type="pct"/>
            <w:tcBorders>
              <w:top w:val="nil"/>
              <w:left w:val="nil"/>
              <w:bottom w:val="nil"/>
              <w:right w:val="nil"/>
            </w:tcBorders>
            <w:vAlign w:val="center"/>
          </w:tcPr>
          <w:p w14:paraId="164901D1" w14:textId="77777777" w:rsidR="009B57E2" w:rsidRPr="00494CA7" w:rsidRDefault="009B57E2" w:rsidP="00B64335">
            <w:pPr>
              <w:spacing w:after="0" w:line="240" w:lineRule="auto"/>
              <w:jc w:val="center"/>
              <w:rPr>
                <w:sz w:val="20"/>
                <w:szCs w:val="20"/>
                <w:lang w:val="en-GB"/>
              </w:rPr>
            </w:pPr>
            <w:r w:rsidRPr="00494CA7">
              <w:rPr>
                <w:sz w:val="20"/>
                <w:szCs w:val="20"/>
                <w:lang w:val="en-GB"/>
              </w:rPr>
              <w:t>14.3</w:t>
            </w:r>
          </w:p>
        </w:tc>
        <w:tc>
          <w:tcPr>
            <w:tcW w:w="950" w:type="pct"/>
            <w:tcBorders>
              <w:top w:val="nil"/>
              <w:left w:val="nil"/>
              <w:bottom w:val="nil"/>
              <w:right w:val="nil"/>
            </w:tcBorders>
            <w:vAlign w:val="center"/>
          </w:tcPr>
          <w:p w14:paraId="09D76D7F" w14:textId="77777777" w:rsidR="009B57E2" w:rsidRPr="00494CA7" w:rsidRDefault="009B57E2" w:rsidP="00B64335">
            <w:pPr>
              <w:spacing w:after="0" w:line="240" w:lineRule="auto"/>
              <w:jc w:val="center"/>
              <w:rPr>
                <w:sz w:val="20"/>
                <w:szCs w:val="20"/>
                <w:lang w:val="en-GB"/>
              </w:rPr>
            </w:pPr>
            <w:r w:rsidRPr="00494CA7">
              <w:rPr>
                <w:sz w:val="20"/>
                <w:szCs w:val="20"/>
                <w:lang w:val="en-GB"/>
              </w:rPr>
              <w:t>89.9</w:t>
            </w:r>
          </w:p>
        </w:tc>
        <w:tc>
          <w:tcPr>
            <w:tcW w:w="950" w:type="pct"/>
            <w:tcBorders>
              <w:top w:val="nil"/>
              <w:left w:val="nil"/>
              <w:bottom w:val="nil"/>
              <w:right w:val="nil"/>
            </w:tcBorders>
            <w:vAlign w:val="center"/>
          </w:tcPr>
          <w:p w14:paraId="289047F4" w14:textId="77777777" w:rsidR="009B57E2" w:rsidRPr="00494CA7" w:rsidRDefault="009B57E2" w:rsidP="00B64335">
            <w:pPr>
              <w:spacing w:after="0" w:line="240" w:lineRule="auto"/>
              <w:jc w:val="center"/>
              <w:rPr>
                <w:sz w:val="20"/>
                <w:szCs w:val="20"/>
                <w:lang w:val="en-GB"/>
              </w:rPr>
            </w:pPr>
            <w:r w:rsidRPr="00494CA7">
              <w:rPr>
                <w:sz w:val="20"/>
                <w:szCs w:val="20"/>
                <w:lang w:val="en-GB"/>
              </w:rPr>
              <w:t>8.0</w:t>
            </w:r>
          </w:p>
        </w:tc>
        <w:tc>
          <w:tcPr>
            <w:tcW w:w="950" w:type="pct"/>
            <w:tcBorders>
              <w:top w:val="nil"/>
              <w:left w:val="nil"/>
              <w:bottom w:val="nil"/>
              <w:right w:val="nil"/>
            </w:tcBorders>
            <w:vAlign w:val="center"/>
          </w:tcPr>
          <w:p w14:paraId="42251290" w14:textId="77777777" w:rsidR="009B57E2" w:rsidRPr="00494CA7" w:rsidRDefault="009B57E2" w:rsidP="00B64335">
            <w:pPr>
              <w:spacing w:after="0" w:line="240" w:lineRule="auto"/>
              <w:jc w:val="center"/>
              <w:rPr>
                <w:sz w:val="20"/>
                <w:szCs w:val="20"/>
                <w:lang w:val="en-GB"/>
              </w:rPr>
            </w:pPr>
            <w:r w:rsidRPr="00494CA7">
              <w:rPr>
                <w:sz w:val="20"/>
                <w:szCs w:val="20"/>
                <w:lang w:val="en-GB"/>
              </w:rPr>
              <w:t>2.0</w:t>
            </w:r>
          </w:p>
        </w:tc>
      </w:tr>
      <w:tr w:rsidR="009B57E2" w:rsidRPr="00494CA7" w14:paraId="1075BF55" w14:textId="77777777" w:rsidTr="00B64335">
        <w:trPr>
          <w:trHeight w:val="284"/>
        </w:trPr>
        <w:tc>
          <w:tcPr>
            <w:tcW w:w="1199" w:type="pct"/>
            <w:tcBorders>
              <w:top w:val="nil"/>
              <w:left w:val="nil"/>
              <w:bottom w:val="nil"/>
              <w:right w:val="nil"/>
            </w:tcBorders>
            <w:vAlign w:val="center"/>
          </w:tcPr>
          <w:p w14:paraId="4F1F9866"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Italy</w:t>
            </w:r>
          </w:p>
        </w:tc>
        <w:tc>
          <w:tcPr>
            <w:tcW w:w="950" w:type="pct"/>
            <w:tcBorders>
              <w:top w:val="nil"/>
              <w:left w:val="nil"/>
              <w:bottom w:val="nil"/>
              <w:right w:val="nil"/>
            </w:tcBorders>
            <w:vAlign w:val="center"/>
          </w:tcPr>
          <w:p w14:paraId="0A266084" w14:textId="77777777" w:rsidR="009B57E2" w:rsidRPr="00494CA7" w:rsidRDefault="009B57E2" w:rsidP="00B64335">
            <w:pPr>
              <w:spacing w:after="0" w:line="240" w:lineRule="auto"/>
              <w:jc w:val="center"/>
              <w:rPr>
                <w:sz w:val="20"/>
                <w:szCs w:val="20"/>
                <w:lang w:val="en-GB"/>
              </w:rPr>
            </w:pPr>
            <w:r w:rsidRPr="00494CA7">
              <w:rPr>
                <w:sz w:val="20"/>
                <w:szCs w:val="20"/>
                <w:lang w:val="en-GB"/>
              </w:rPr>
              <w:t>32.0</w:t>
            </w:r>
          </w:p>
        </w:tc>
        <w:tc>
          <w:tcPr>
            <w:tcW w:w="950" w:type="pct"/>
            <w:tcBorders>
              <w:top w:val="nil"/>
              <w:left w:val="nil"/>
              <w:bottom w:val="nil"/>
              <w:right w:val="nil"/>
            </w:tcBorders>
            <w:vAlign w:val="center"/>
          </w:tcPr>
          <w:p w14:paraId="7D516B29" w14:textId="77777777" w:rsidR="009B57E2" w:rsidRPr="00494CA7" w:rsidRDefault="009B57E2" w:rsidP="00B64335">
            <w:pPr>
              <w:spacing w:after="0" w:line="240" w:lineRule="auto"/>
              <w:jc w:val="center"/>
              <w:rPr>
                <w:sz w:val="20"/>
                <w:szCs w:val="20"/>
                <w:lang w:val="en-GB"/>
              </w:rPr>
            </w:pPr>
            <w:r w:rsidRPr="00494CA7">
              <w:rPr>
                <w:sz w:val="20"/>
                <w:szCs w:val="20"/>
                <w:lang w:val="en-GB"/>
              </w:rPr>
              <w:t>84.0</w:t>
            </w:r>
          </w:p>
        </w:tc>
        <w:tc>
          <w:tcPr>
            <w:tcW w:w="950" w:type="pct"/>
            <w:tcBorders>
              <w:top w:val="nil"/>
              <w:left w:val="nil"/>
              <w:bottom w:val="nil"/>
              <w:right w:val="nil"/>
            </w:tcBorders>
            <w:vAlign w:val="center"/>
          </w:tcPr>
          <w:p w14:paraId="3789017A" w14:textId="77777777" w:rsidR="009B57E2" w:rsidRPr="00494CA7" w:rsidRDefault="009B57E2" w:rsidP="00B64335">
            <w:pPr>
              <w:spacing w:after="0" w:line="240" w:lineRule="auto"/>
              <w:jc w:val="center"/>
              <w:rPr>
                <w:sz w:val="20"/>
                <w:szCs w:val="20"/>
                <w:lang w:val="en-GB"/>
              </w:rPr>
            </w:pPr>
            <w:r w:rsidRPr="00494CA7">
              <w:rPr>
                <w:sz w:val="20"/>
                <w:szCs w:val="20"/>
                <w:lang w:val="en-GB"/>
              </w:rPr>
              <w:t>14.0</w:t>
            </w:r>
          </w:p>
        </w:tc>
        <w:tc>
          <w:tcPr>
            <w:tcW w:w="950" w:type="pct"/>
            <w:tcBorders>
              <w:top w:val="nil"/>
              <w:left w:val="nil"/>
              <w:bottom w:val="nil"/>
              <w:right w:val="nil"/>
            </w:tcBorders>
            <w:vAlign w:val="center"/>
          </w:tcPr>
          <w:p w14:paraId="1E0A6948" w14:textId="77777777" w:rsidR="009B57E2" w:rsidRPr="00494CA7" w:rsidRDefault="009B57E2" w:rsidP="00B64335">
            <w:pPr>
              <w:spacing w:after="0" w:line="240" w:lineRule="auto"/>
              <w:jc w:val="center"/>
              <w:rPr>
                <w:sz w:val="20"/>
                <w:szCs w:val="20"/>
                <w:lang w:val="en-GB"/>
              </w:rPr>
            </w:pPr>
            <w:r w:rsidRPr="00494CA7">
              <w:rPr>
                <w:sz w:val="20"/>
                <w:szCs w:val="20"/>
                <w:lang w:val="en-GB"/>
              </w:rPr>
              <w:t>2.0</w:t>
            </w:r>
          </w:p>
        </w:tc>
      </w:tr>
      <w:tr w:rsidR="009B57E2" w:rsidRPr="00494CA7" w14:paraId="15A9053A" w14:textId="77777777" w:rsidTr="00B64335">
        <w:trPr>
          <w:trHeight w:val="284"/>
        </w:trPr>
        <w:tc>
          <w:tcPr>
            <w:tcW w:w="1199" w:type="pct"/>
            <w:tcBorders>
              <w:top w:val="nil"/>
              <w:left w:val="nil"/>
              <w:bottom w:val="nil"/>
              <w:right w:val="nil"/>
            </w:tcBorders>
            <w:vAlign w:val="center"/>
          </w:tcPr>
          <w:p w14:paraId="1039E0FF"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Korea</w:t>
            </w:r>
          </w:p>
        </w:tc>
        <w:tc>
          <w:tcPr>
            <w:tcW w:w="950" w:type="pct"/>
            <w:tcBorders>
              <w:top w:val="nil"/>
              <w:left w:val="nil"/>
              <w:bottom w:val="nil"/>
              <w:right w:val="nil"/>
            </w:tcBorders>
            <w:vAlign w:val="center"/>
          </w:tcPr>
          <w:p w14:paraId="17794432" w14:textId="77777777" w:rsidR="009B57E2" w:rsidRPr="00494CA7" w:rsidRDefault="009B57E2" w:rsidP="00B64335">
            <w:pPr>
              <w:spacing w:after="0" w:line="240" w:lineRule="auto"/>
              <w:jc w:val="center"/>
              <w:rPr>
                <w:sz w:val="20"/>
                <w:szCs w:val="20"/>
                <w:lang w:val="en-GB"/>
              </w:rPr>
            </w:pPr>
            <w:r w:rsidRPr="00494CA7">
              <w:rPr>
                <w:sz w:val="20"/>
                <w:szCs w:val="20"/>
                <w:lang w:val="en-GB"/>
              </w:rPr>
              <w:t>27.9</w:t>
            </w:r>
          </w:p>
        </w:tc>
        <w:tc>
          <w:tcPr>
            <w:tcW w:w="950" w:type="pct"/>
            <w:tcBorders>
              <w:top w:val="nil"/>
              <w:left w:val="nil"/>
              <w:bottom w:val="nil"/>
              <w:right w:val="nil"/>
            </w:tcBorders>
            <w:vAlign w:val="center"/>
          </w:tcPr>
          <w:p w14:paraId="2239F66D" w14:textId="77777777" w:rsidR="009B57E2" w:rsidRPr="00494CA7" w:rsidRDefault="009B57E2" w:rsidP="00B64335">
            <w:pPr>
              <w:spacing w:after="0" w:line="240" w:lineRule="auto"/>
              <w:jc w:val="center"/>
              <w:rPr>
                <w:sz w:val="20"/>
                <w:szCs w:val="20"/>
                <w:lang w:val="en-GB"/>
              </w:rPr>
            </w:pPr>
            <w:r w:rsidRPr="00494CA7">
              <w:rPr>
                <w:sz w:val="20"/>
                <w:szCs w:val="20"/>
                <w:lang w:val="en-GB"/>
              </w:rPr>
              <w:t>92.8</w:t>
            </w:r>
          </w:p>
        </w:tc>
        <w:tc>
          <w:tcPr>
            <w:tcW w:w="950" w:type="pct"/>
            <w:tcBorders>
              <w:top w:val="nil"/>
              <w:left w:val="nil"/>
              <w:bottom w:val="nil"/>
              <w:right w:val="nil"/>
            </w:tcBorders>
            <w:vAlign w:val="center"/>
          </w:tcPr>
          <w:p w14:paraId="24AF7948" w14:textId="77777777" w:rsidR="009B57E2" w:rsidRPr="00494CA7" w:rsidRDefault="009B57E2" w:rsidP="00B64335">
            <w:pPr>
              <w:spacing w:after="0" w:line="240" w:lineRule="auto"/>
              <w:jc w:val="center"/>
              <w:rPr>
                <w:sz w:val="20"/>
                <w:szCs w:val="20"/>
                <w:lang w:val="en-GB"/>
              </w:rPr>
            </w:pPr>
            <w:r w:rsidRPr="00494CA7">
              <w:rPr>
                <w:sz w:val="20"/>
                <w:szCs w:val="20"/>
                <w:lang w:val="en-GB"/>
              </w:rPr>
              <w:t>5.9</w:t>
            </w:r>
          </w:p>
        </w:tc>
        <w:tc>
          <w:tcPr>
            <w:tcW w:w="950" w:type="pct"/>
            <w:tcBorders>
              <w:top w:val="nil"/>
              <w:left w:val="nil"/>
              <w:bottom w:val="nil"/>
              <w:right w:val="nil"/>
            </w:tcBorders>
            <w:vAlign w:val="center"/>
          </w:tcPr>
          <w:p w14:paraId="7ACC9625" w14:textId="77777777" w:rsidR="009B57E2" w:rsidRPr="00494CA7" w:rsidRDefault="009B57E2" w:rsidP="00B64335">
            <w:pPr>
              <w:spacing w:after="0" w:line="240" w:lineRule="auto"/>
              <w:jc w:val="center"/>
              <w:rPr>
                <w:sz w:val="20"/>
                <w:szCs w:val="20"/>
                <w:lang w:val="en-GB"/>
              </w:rPr>
            </w:pPr>
            <w:r w:rsidRPr="00494CA7">
              <w:rPr>
                <w:sz w:val="20"/>
                <w:szCs w:val="20"/>
                <w:lang w:val="en-GB"/>
              </w:rPr>
              <w:t>1.3</w:t>
            </w:r>
          </w:p>
        </w:tc>
      </w:tr>
      <w:tr w:rsidR="009B57E2" w:rsidRPr="00494CA7" w14:paraId="421BC03F" w14:textId="77777777" w:rsidTr="00B64335">
        <w:trPr>
          <w:trHeight w:val="284"/>
        </w:trPr>
        <w:tc>
          <w:tcPr>
            <w:tcW w:w="1199" w:type="pct"/>
            <w:tcBorders>
              <w:top w:val="nil"/>
              <w:left w:val="nil"/>
              <w:bottom w:val="nil"/>
              <w:right w:val="nil"/>
            </w:tcBorders>
            <w:vAlign w:val="center"/>
          </w:tcPr>
          <w:p w14:paraId="103A383F"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Latvia</w:t>
            </w:r>
          </w:p>
        </w:tc>
        <w:tc>
          <w:tcPr>
            <w:tcW w:w="950" w:type="pct"/>
            <w:tcBorders>
              <w:top w:val="nil"/>
              <w:left w:val="nil"/>
              <w:bottom w:val="nil"/>
              <w:right w:val="nil"/>
            </w:tcBorders>
            <w:vAlign w:val="center"/>
          </w:tcPr>
          <w:p w14:paraId="248C88E1" w14:textId="77777777" w:rsidR="009B57E2" w:rsidRPr="00494CA7" w:rsidRDefault="009B57E2" w:rsidP="00B64335">
            <w:pPr>
              <w:spacing w:after="0" w:line="240" w:lineRule="auto"/>
              <w:jc w:val="center"/>
              <w:rPr>
                <w:sz w:val="20"/>
                <w:szCs w:val="20"/>
                <w:lang w:val="en-GB"/>
              </w:rPr>
            </w:pPr>
            <w:r w:rsidRPr="00494CA7">
              <w:rPr>
                <w:sz w:val="20"/>
                <w:szCs w:val="20"/>
                <w:lang w:val="en-GB"/>
              </w:rPr>
              <w:t>30.8</w:t>
            </w:r>
          </w:p>
        </w:tc>
        <w:tc>
          <w:tcPr>
            <w:tcW w:w="950" w:type="pct"/>
            <w:tcBorders>
              <w:top w:val="nil"/>
              <w:left w:val="nil"/>
              <w:bottom w:val="nil"/>
              <w:right w:val="nil"/>
            </w:tcBorders>
            <w:vAlign w:val="center"/>
          </w:tcPr>
          <w:p w14:paraId="3E6BD7DC" w14:textId="77777777" w:rsidR="009B57E2" w:rsidRPr="00494CA7" w:rsidRDefault="009B57E2" w:rsidP="00B64335">
            <w:pPr>
              <w:spacing w:after="0" w:line="240" w:lineRule="auto"/>
              <w:jc w:val="center"/>
              <w:rPr>
                <w:sz w:val="20"/>
                <w:szCs w:val="20"/>
                <w:lang w:val="en-GB"/>
              </w:rPr>
            </w:pPr>
            <w:r w:rsidRPr="00494CA7">
              <w:rPr>
                <w:sz w:val="20"/>
                <w:szCs w:val="20"/>
                <w:lang w:val="en-GB"/>
              </w:rPr>
              <w:t>68.5</w:t>
            </w:r>
          </w:p>
        </w:tc>
        <w:tc>
          <w:tcPr>
            <w:tcW w:w="950" w:type="pct"/>
            <w:tcBorders>
              <w:top w:val="nil"/>
              <w:left w:val="nil"/>
              <w:bottom w:val="nil"/>
              <w:right w:val="nil"/>
            </w:tcBorders>
            <w:vAlign w:val="center"/>
          </w:tcPr>
          <w:p w14:paraId="4A44EEA2" w14:textId="77777777" w:rsidR="009B57E2" w:rsidRPr="00494CA7" w:rsidRDefault="009B57E2" w:rsidP="00B64335">
            <w:pPr>
              <w:spacing w:after="0" w:line="240" w:lineRule="auto"/>
              <w:jc w:val="center"/>
              <w:rPr>
                <w:sz w:val="20"/>
                <w:szCs w:val="20"/>
                <w:lang w:val="en-GB"/>
              </w:rPr>
            </w:pPr>
            <w:r w:rsidRPr="00494CA7">
              <w:rPr>
                <w:sz w:val="20"/>
                <w:szCs w:val="20"/>
                <w:lang w:val="en-GB"/>
              </w:rPr>
              <w:t>20.0</w:t>
            </w:r>
          </w:p>
        </w:tc>
        <w:tc>
          <w:tcPr>
            <w:tcW w:w="950" w:type="pct"/>
            <w:tcBorders>
              <w:top w:val="nil"/>
              <w:left w:val="nil"/>
              <w:bottom w:val="nil"/>
              <w:right w:val="nil"/>
            </w:tcBorders>
            <w:vAlign w:val="center"/>
          </w:tcPr>
          <w:p w14:paraId="5183A347" w14:textId="77777777" w:rsidR="009B57E2" w:rsidRPr="00494CA7" w:rsidRDefault="009B57E2" w:rsidP="00B64335">
            <w:pPr>
              <w:spacing w:after="0" w:line="240" w:lineRule="auto"/>
              <w:jc w:val="center"/>
              <w:rPr>
                <w:sz w:val="20"/>
                <w:szCs w:val="20"/>
                <w:lang w:val="en-GB"/>
              </w:rPr>
            </w:pPr>
            <w:r w:rsidRPr="00494CA7">
              <w:rPr>
                <w:sz w:val="20"/>
                <w:szCs w:val="20"/>
                <w:lang w:val="en-GB"/>
              </w:rPr>
              <w:t>11.6</w:t>
            </w:r>
          </w:p>
        </w:tc>
      </w:tr>
      <w:tr w:rsidR="009B57E2" w:rsidRPr="00494CA7" w14:paraId="1905A402" w14:textId="77777777" w:rsidTr="00B64335">
        <w:trPr>
          <w:trHeight w:val="284"/>
        </w:trPr>
        <w:tc>
          <w:tcPr>
            <w:tcW w:w="1199" w:type="pct"/>
            <w:tcBorders>
              <w:top w:val="nil"/>
              <w:left w:val="nil"/>
              <w:bottom w:val="nil"/>
              <w:right w:val="nil"/>
            </w:tcBorders>
            <w:vAlign w:val="center"/>
          </w:tcPr>
          <w:p w14:paraId="3DAB087A"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Luxembourg</w:t>
            </w:r>
          </w:p>
        </w:tc>
        <w:tc>
          <w:tcPr>
            <w:tcW w:w="950" w:type="pct"/>
            <w:tcBorders>
              <w:top w:val="nil"/>
              <w:left w:val="nil"/>
              <w:bottom w:val="nil"/>
              <w:right w:val="nil"/>
            </w:tcBorders>
            <w:vAlign w:val="center"/>
          </w:tcPr>
          <w:p w14:paraId="6571171F" w14:textId="77777777" w:rsidR="009B57E2" w:rsidRPr="00494CA7" w:rsidRDefault="009B57E2" w:rsidP="00B64335">
            <w:pPr>
              <w:spacing w:after="0" w:line="240" w:lineRule="auto"/>
              <w:jc w:val="center"/>
              <w:rPr>
                <w:sz w:val="20"/>
                <w:szCs w:val="20"/>
                <w:lang w:val="en-GB"/>
              </w:rPr>
            </w:pPr>
            <w:r w:rsidRPr="00494CA7">
              <w:rPr>
                <w:sz w:val="20"/>
                <w:szCs w:val="20"/>
                <w:lang w:val="en-GB"/>
              </w:rPr>
              <w:t>16.2</w:t>
            </w:r>
          </w:p>
        </w:tc>
        <w:tc>
          <w:tcPr>
            <w:tcW w:w="950" w:type="pct"/>
            <w:tcBorders>
              <w:top w:val="nil"/>
              <w:left w:val="nil"/>
              <w:bottom w:val="nil"/>
              <w:right w:val="nil"/>
            </w:tcBorders>
            <w:vAlign w:val="center"/>
          </w:tcPr>
          <w:p w14:paraId="3E90E232" w14:textId="77777777" w:rsidR="009B57E2" w:rsidRPr="00494CA7" w:rsidRDefault="009B57E2" w:rsidP="00B64335">
            <w:pPr>
              <w:spacing w:after="0" w:line="240" w:lineRule="auto"/>
              <w:jc w:val="center"/>
              <w:rPr>
                <w:sz w:val="20"/>
                <w:szCs w:val="20"/>
                <w:lang w:val="en-GB"/>
              </w:rPr>
            </w:pPr>
            <w:r w:rsidRPr="00494CA7">
              <w:rPr>
                <w:sz w:val="20"/>
                <w:szCs w:val="20"/>
                <w:lang w:val="en-GB"/>
              </w:rPr>
              <w:t>83.0</w:t>
            </w:r>
          </w:p>
        </w:tc>
        <w:tc>
          <w:tcPr>
            <w:tcW w:w="950" w:type="pct"/>
            <w:tcBorders>
              <w:top w:val="nil"/>
              <w:left w:val="nil"/>
              <w:bottom w:val="nil"/>
              <w:right w:val="nil"/>
            </w:tcBorders>
            <w:vAlign w:val="center"/>
          </w:tcPr>
          <w:p w14:paraId="57425B26" w14:textId="77777777" w:rsidR="009B57E2" w:rsidRPr="00494CA7" w:rsidRDefault="009B57E2" w:rsidP="00B64335">
            <w:pPr>
              <w:spacing w:after="0" w:line="240" w:lineRule="auto"/>
              <w:jc w:val="center"/>
              <w:rPr>
                <w:sz w:val="20"/>
                <w:szCs w:val="20"/>
                <w:lang w:val="en-GB"/>
              </w:rPr>
            </w:pPr>
            <w:r w:rsidRPr="00494CA7">
              <w:rPr>
                <w:sz w:val="20"/>
                <w:szCs w:val="20"/>
                <w:lang w:val="en-GB"/>
              </w:rPr>
              <w:t>9.2</w:t>
            </w:r>
          </w:p>
        </w:tc>
        <w:tc>
          <w:tcPr>
            <w:tcW w:w="950" w:type="pct"/>
            <w:tcBorders>
              <w:top w:val="nil"/>
              <w:left w:val="nil"/>
              <w:bottom w:val="nil"/>
              <w:right w:val="nil"/>
            </w:tcBorders>
            <w:vAlign w:val="center"/>
          </w:tcPr>
          <w:p w14:paraId="27AFA97B" w14:textId="77777777" w:rsidR="009B57E2" w:rsidRPr="00494CA7" w:rsidRDefault="009B57E2" w:rsidP="00B64335">
            <w:pPr>
              <w:spacing w:after="0" w:line="240" w:lineRule="auto"/>
              <w:jc w:val="center"/>
              <w:rPr>
                <w:sz w:val="20"/>
                <w:szCs w:val="20"/>
                <w:lang w:val="en-GB"/>
              </w:rPr>
            </w:pPr>
            <w:r w:rsidRPr="00494CA7">
              <w:rPr>
                <w:sz w:val="20"/>
                <w:szCs w:val="20"/>
                <w:lang w:val="en-GB"/>
              </w:rPr>
              <w:t>7.9</w:t>
            </w:r>
          </w:p>
        </w:tc>
      </w:tr>
      <w:tr w:rsidR="009B57E2" w:rsidRPr="00494CA7" w14:paraId="19B086B8" w14:textId="77777777" w:rsidTr="00B64335">
        <w:trPr>
          <w:trHeight w:val="284"/>
        </w:trPr>
        <w:tc>
          <w:tcPr>
            <w:tcW w:w="1199" w:type="pct"/>
            <w:tcBorders>
              <w:top w:val="nil"/>
              <w:left w:val="nil"/>
              <w:bottom w:val="nil"/>
              <w:right w:val="nil"/>
            </w:tcBorders>
            <w:vAlign w:val="center"/>
          </w:tcPr>
          <w:p w14:paraId="0871AFC8"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Macedonia</w:t>
            </w:r>
          </w:p>
        </w:tc>
        <w:tc>
          <w:tcPr>
            <w:tcW w:w="950" w:type="pct"/>
            <w:tcBorders>
              <w:top w:val="nil"/>
              <w:left w:val="nil"/>
              <w:bottom w:val="nil"/>
              <w:right w:val="nil"/>
            </w:tcBorders>
            <w:vAlign w:val="center"/>
          </w:tcPr>
          <w:p w14:paraId="0C7130F9" w14:textId="77777777" w:rsidR="009B57E2" w:rsidRPr="00494CA7" w:rsidRDefault="009B57E2" w:rsidP="00B64335">
            <w:pPr>
              <w:spacing w:after="0" w:line="240" w:lineRule="auto"/>
              <w:jc w:val="center"/>
              <w:rPr>
                <w:sz w:val="20"/>
                <w:szCs w:val="20"/>
                <w:lang w:val="en-GB"/>
              </w:rPr>
            </w:pPr>
            <w:r w:rsidRPr="00494CA7">
              <w:rPr>
                <w:sz w:val="20"/>
                <w:szCs w:val="20"/>
                <w:lang w:val="en-GB"/>
              </w:rPr>
              <w:t>46.6</w:t>
            </w:r>
          </w:p>
        </w:tc>
        <w:tc>
          <w:tcPr>
            <w:tcW w:w="950" w:type="pct"/>
            <w:tcBorders>
              <w:top w:val="nil"/>
              <w:left w:val="nil"/>
              <w:bottom w:val="nil"/>
              <w:right w:val="nil"/>
            </w:tcBorders>
            <w:vAlign w:val="center"/>
          </w:tcPr>
          <w:p w14:paraId="6D708577" w14:textId="77777777" w:rsidR="009B57E2" w:rsidRPr="00494CA7" w:rsidRDefault="009B57E2" w:rsidP="00B64335">
            <w:pPr>
              <w:spacing w:after="0" w:line="240" w:lineRule="auto"/>
              <w:jc w:val="center"/>
              <w:rPr>
                <w:sz w:val="20"/>
                <w:szCs w:val="20"/>
                <w:lang w:val="en-GB"/>
              </w:rPr>
            </w:pPr>
            <w:r w:rsidRPr="00494CA7">
              <w:rPr>
                <w:sz w:val="20"/>
                <w:szCs w:val="20"/>
                <w:lang w:val="en-GB"/>
              </w:rPr>
              <w:t>93.8</w:t>
            </w:r>
          </w:p>
        </w:tc>
        <w:tc>
          <w:tcPr>
            <w:tcW w:w="950" w:type="pct"/>
            <w:tcBorders>
              <w:top w:val="nil"/>
              <w:left w:val="nil"/>
              <w:bottom w:val="nil"/>
              <w:right w:val="nil"/>
            </w:tcBorders>
            <w:vAlign w:val="center"/>
          </w:tcPr>
          <w:p w14:paraId="10BD0B3D" w14:textId="77777777" w:rsidR="009B57E2" w:rsidRPr="00494CA7" w:rsidRDefault="009B57E2" w:rsidP="00B64335">
            <w:pPr>
              <w:spacing w:after="0" w:line="240" w:lineRule="auto"/>
              <w:jc w:val="center"/>
              <w:rPr>
                <w:sz w:val="20"/>
                <w:szCs w:val="20"/>
                <w:lang w:val="en-GB"/>
              </w:rPr>
            </w:pPr>
            <w:r w:rsidRPr="00494CA7">
              <w:rPr>
                <w:sz w:val="20"/>
                <w:szCs w:val="20"/>
                <w:lang w:val="en-GB"/>
              </w:rPr>
              <w:t>5.4</w:t>
            </w:r>
          </w:p>
        </w:tc>
        <w:tc>
          <w:tcPr>
            <w:tcW w:w="950" w:type="pct"/>
            <w:tcBorders>
              <w:top w:val="nil"/>
              <w:left w:val="nil"/>
              <w:bottom w:val="nil"/>
              <w:right w:val="nil"/>
            </w:tcBorders>
            <w:vAlign w:val="center"/>
          </w:tcPr>
          <w:p w14:paraId="3F64D0F1" w14:textId="77777777" w:rsidR="009B57E2" w:rsidRPr="00494CA7" w:rsidRDefault="009B57E2" w:rsidP="00B64335">
            <w:pPr>
              <w:spacing w:after="0" w:line="240" w:lineRule="auto"/>
              <w:jc w:val="center"/>
              <w:rPr>
                <w:sz w:val="20"/>
                <w:szCs w:val="20"/>
                <w:lang w:val="en-GB"/>
              </w:rPr>
            </w:pPr>
            <w:r w:rsidRPr="00494CA7">
              <w:rPr>
                <w:sz w:val="20"/>
                <w:szCs w:val="20"/>
                <w:lang w:val="en-GB"/>
              </w:rPr>
              <w:t>0.8</w:t>
            </w:r>
          </w:p>
        </w:tc>
      </w:tr>
      <w:tr w:rsidR="009B57E2" w:rsidRPr="00494CA7" w14:paraId="3D912983" w14:textId="77777777" w:rsidTr="00B64335">
        <w:trPr>
          <w:trHeight w:val="284"/>
        </w:trPr>
        <w:tc>
          <w:tcPr>
            <w:tcW w:w="1199" w:type="pct"/>
            <w:tcBorders>
              <w:top w:val="nil"/>
              <w:left w:val="nil"/>
              <w:bottom w:val="nil"/>
              <w:right w:val="nil"/>
            </w:tcBorders>
            <w:vAlign w:val="center"/>
          </w:tcPr>
          <w:p w14:paraId="242CFA2A"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Mexico</w:t>
            </w:r>
          </w:p>
        </w:tc>
        <w:tc>
          <w:tcPr>
            <w:tcW w:w="950" w:type="pct"/>
            <w:tcBorders>
              <w:top w:val="nil"/>
              <w:left w:val="nil"/>
              <w:bottom w:val="nil"/>
              <w:right w:val="nil"/>
            </w:tcBorders>
            <w:vAlign w:val="center"/>
          </w:tcPr>
          <w:p w14:paraId="6C85F55F" w14:textId="77777777" w:rsidR="009B57E2" w:rsidRPr="00494CA7" w:rsidRDefault="009B57E2" w:rsidP="00B64335">
            <w:pPr>
              <w:spacing w:after="0" w:line="240" w:lineRule="auto"/>
              <w:jc w:val="center"/>
              <w:rPr>
                <w:sz w:val="20"/>
                <w:szCs w:val="20"/>
                <w:lang w:val="en-GB"/>
              </w:rPr>
            </w:pPr>
            <w:r w:rsidRPr="00494CA7">
              <w:rPr>
                <w:sz w:val="20"/>
                <w:szCs w:val="20"/>
                <w:lang w:val="en-GB"/>
              </w:rPr>
              <w:t>28.6</w:t>
            </w:r>
          </w:p>
        </w:tc>
        <w:tc>
          <w:tcPr>
            <w:tcW w:w="950" w:type="pct"/>
            <w:tcBorders>
              <w:top w:val="nil"/>
              <w:left w:val="nil"/>
              <w:bottom w:val="nil"/>
              <w:right w:val="nil"/>
            </w:tcBorders>
            <w:vAlign w:val="center"/>
          </w:tcPr>
          <w:p w14:paraId="6A232EBA" w14:textId="77777777" w:rsidR="009B57E2" w:rsidRPr="00494CA7" w:rsidRDefault="009B57E2" w:rsidP="00B64335">
            <w:pPr>
              <w:spacing w:after="0" w:line="240" w:lineRule="auto"/>
              <w:jc w:val="center"/>
              <w:rPr>
                <w:sz w:val="20"/>
                <w:szCs w:val="20"/>
                <w:lang w:val="en-GB"/>
              </w:rPr>
            </w:pPr>
            <w:r w:rsidRPr="00494CA7">
              <w:rPr>
                <w:sz w:val="20"/>
                <w:szCs w:val="20"/>
                <w:lang w:val="en-GB"/>
              </w:rPr>
              <w:t>82.6</w:t>
            </w:r>
          </w:p>
        </w:tc>
        <w:tc>
          <w:tcPr>
            <w:tcW w:w="950" w:type="pct"/>
            <w:tcBorders>
              <w:top w:val="nil"/>
              <w:left w:val="nil"/>
              <w:bottom w:val="nil"/>
              <w:right w:val="nil"/>
            </w:tcBorders>
            <w:vAlign w:val="center"/>
          </w:tcPr>
          <w:p w14:paraId="62C48117" w14:textId="77777777" w:rsidR="009B57E2" w:rsidRPr="00494CA7" w:rsidRDefault="009B57E2" w:rsidP="00B64335">
            <w:pPr>
              <w:spacing w:after="0" w:line="240" w:lineRule="auto"/>
              <w:jc w:val="center"/>
              <w:rPr>
                <w:sz w:val="20"/>
                <w:szCs w:val="20"/>
                <w:lang w:val="en-GB"/>
              </w:rPr>
            </w:pPr>
            <w:r w:rsidRPr="00494CA7">
              <w:rPr>
                <w:sz w:val="20"/>
                <w:szCs w:val="20"/>
                <w:lang w:val="en-GB"/>
              </w:rPr>
              <w:t>13.8</w:t>
            </w:r>
          </w:p>
        </w:tc>
        <w:tc>
          <w:tcPr>
            <w:tcW w:w="950" w:type="pct"/>
            <w:tcBorders>
              <w:top w:val="nil"/>
              <w:left w:val="nil"/>
              <w:bottom w:val="nil"/>
              <w:right w:val="nil"/>
            </w:tcBorders>
            <w:vAlign w:val="center"/>
          </w:tcPr>
          <w:p w14:paraId="2799424C" w14:textId="77777777" w:rsidR="009B57E2" w:rsidRPr="00494CA7" w:rsidRDefault="009B57E2" w:rsidP="00B64335">
            <w:pPr>
              <w:spacing w:after="0" w:line="240" w:lineRule="auto"/>
              <w:jc w:val="center"/>
              <w:rPr>
                <w:sz w:val="20"/>
                <w:szCs w:val="20"/>
                <w:lang w:val="en-GB"/>
              </w:rPr>
            </w:pPr>
            <w:r w:rsidRPr="00494CA7">
              <w:rPr>
                <w:sz w:val="20"/>
                <w:szCs w:val="20"/>
                <w:lang w:val="en-GB"/>
              </w:rPr>
              <w:t>3.6</w:t>
            </w:r>
          </w:p>
        </w:tc>
      </w:tr>
      <w:tr w:rsidR="009B57E2" w:rsidRPr="00494CA7" w14:paraId="31BA45C0" w14:textId="77777777" w:rsidTr="00B64335">
        <w:trPr>
          <w:trHeight w:val="284"/>
        </w:trPr>
        <w:tc>
          <w:tcPr>
            <w:tcW w:w="1199" w:type="pct"/>
            <w:tcBorders>
              <w:top w:val="nil"/>
              <w:left w:val="nil"/>
              <w:bottom w:val="nil"/>
              <w:right w:val="nil"/>
            </w:tcBorders>
            <w:vAlign w:val="center"/>
          </w:tcPr>
          <w:p w14:paraId="04F26082"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 xml:space="preserve">New Zealand </w:t>
            </w:r>
          </w:p>
        </w:tc>
        <w:tc>
          <w:tcPr>
            <w:tcW w:w="950" w:type="pct"/>
            <w:tcBorders>
              <w:top w:val="nil"/>
              <w:left w:val="nil"/>
              <w:bottom w:val="nil"/>
              <w:right w:val="nil"/>
            </w:tcBorders>
            <w:vAlign w:val="center"/>
          </w:tcPr>
          <w:p w14:paraId="616D0D80" w14:textId="77777777" w:rsidR="009B57E2" w:rsidRPr="00494CA7" w:rsidRDefault="009B57E2" w:rsidP="00B64335">
            <w:pPr>
              <w:spacing w:after="0" w:line="240" w:lineRule="auto"/>
              <w:jc w:val="center"/>
              <w:rPr>
                <w:sz w:val="20"/>
                <w:szCs w:val="20"/>
                <w:lang w:val="en-GB"/>
              </w:rPr>
            </w:pPr>
            <w:r w:rsidRPr="00494CA7">
              <w:rPr>
                <w:sz w:val="20"/>
                <w:szCs w:val="20"/>
                <w:lang w:val="en-GB"/>
              </w:rPr>
              <w:t>6.4</w:t>
            </w:r>
          </w:p>
        </w:tc>
        <w:tc>
          <w:tcPr>
            <w:tcW w:w="950" w:type="pct"/>
            <w:tcBorders>
              <w:top w:val="nil"/>
              <w:left w:val="nil"/>
              <w:bottom w:val="nil"/>
              <w:right w:val="nil"/>
            </w:tcBorders>
            <w:vAlign w:val="center"/>
          </w:tcPr>
          <w:p w14:paraId="2FABE322" w14:textId="77777777" w:rsidR="009B57E2" w:rsidRPr="00494CA7" w:rsidRDefault="009B57E2" w:rsidP="00B64335">
            <w:pPr>
              <w:spacing w:after="0" w:line="240" w:lineRule="auto"/>
              <w:jc w:val="center"/>
              <w:rPr>
                <w:sz w:val="20"/>
                <w:szCs w:val="20"/>
                <w:lang w:val="en-GB"/>
              </w:rPr>
            </w:pPr>
            <w:r w:rsidRPr="00494CA7">
              <w:rPr>
                <w:sz w:val="20"/>
                <w:szCs w:val="20"/>
                <w:lang w:val="en-GB"/>
              </w:rPr>
              <w:t>70.9</w:t>
            </w:r>
          </w:p>
        </w:tc>
        <w:tc>
          <w:tcPr>
            <w:tcW w:w="950" w:type="pct"/>
            <w:tcBorders>
              <w:top w:val="nil"/>
              <w:left w:val="nil"/>
              <w:bottom w:val="nil"/>
              <w:right w:val="nil"/>
            </w:tcBorders>
            <w:vAlign w:val="center"/>
          </w:tcPr>
          <w:p w14:paraId="70355DF3" w14:textId="77777777" w:rsidR="009B57E2" w:rsidRPr="00494CA7" w:rsidRDefault="009B57E2" w:rsidP="00B64335">
            <w:pPr>
              <w:spacing w:after="0" w:line="240" w:lineRule="auto"/>
              <w:jc w:val="center"/>
              <w:rPr>
                <w:sz w:val="20"/>
                <w:szCs w:val="20"/>
                <w:lang w:val="en-GB"/>
              </w:rPr>
            </w:pPr>
            <w:r w:rsidRPr="00494CA7">
              <w:rPr>
                <w:sz w:val="20"/>
                <w:szCs w:val="20"/>
                <w:lang w:val="en-GB"/>
              </w:rPr>
              <w:t>18.8</w:t>
            </w:r>
          </w:p>
        </w:tc>
        <w:tc>
          <w:tcPr>
            <w:tcW w:w="950" w:type="pct"/>
            <w:tcBorders>
              <w:top w:val="nil"/>
              <w:left w:val="nil"/>
              <w:bottom w:val="nil"/>
              <w:right w:val="nil"/>
            </w:tcBorders>
            <w:vAlign w:val="center"/>
          </w:tcPr>
          <w:p w14:paraId="4A6221DF" w14:textId="77777777" w:rsidR="009B57E2" w:rsidRPr="00494CA7" w:rsidRDefault="009B57E2" w:rsidP="00B64335">
            <w:pPr>
              <w:spacing w:after="0" w:line="240" w:lineRule="auto"/>
              <w:jc w:val="center"/>
              <w:rPr>
                <w:sz w:val="20"/>
                <w:szCs w:val="20"/>
                <w:lang w:val="en-GB"/>
              </w:rPr>
            </w:pPr>
            <w:r w:rsidRPr="00494CA7">
              <w:rPr>
                <w:sz w:val="20"/>
                <w:szCs w:val="20"/>
                <w:lang w:val="en-GB"/>
              </w:rPr>
              <w:t>10.4</w:t>
            </w:r>
          </w:p>
        </w:tc>
      </w:tr>
      <w:tr w:rsidR="009B57E2" w:rsidRPr="00494CA7" w14:paraId="4B007E70" w14:textId="77777777" w:rsidTr="00B64335">
        <w:trPr>
          <w:trHeight w:val="284"/>
        </w:trPr>
        <w:tc>
          <w:tcPr>
            <w:tcW w:w="1199" w:type="pct"/>
            <w:tcBorders>
              <w:top w:val="nil"/>
              <w:left w:val="nil"/>
              <w:bottom w:val="nil"/>
              <w:right w:val="nil"/>
            </w:tcBorders>
            <w:vAlign w:val="center"/>
          </w:tcPr>
          <w:p w14:paraId="52129324"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Norway</w:t>
            </w:r>
          </w:p>
        </w:tc>
        <w:tc>
          <w:tcPr>
            <w:tcW w:w="950" w:type="pct"/>
            <w:tcBorders>
              <w:top w:val="nil"/>
              <w:left w:val="nil"/>
              <w:bottom w:val="nil"/>
              <w:right w:val="nil"/>
            </w:tcBorders>
            <w:vAlign w:val="center"/>
          </w:tcPr>
          <w:p w14:paraId="2DA3B55B" w14:textId="77777777" w:rsidR="009B57E2" w:rsidRPr="00494CA7" w:rsidRDefault="009B57E2" w:rsidP="00B64335">
            <w:pPr>
              <w:spacing w:after="0" w:line="240" w:lineRule="auto"/>
              <w:jc w:val="center"/>
              <w:rPr>
                <w:sz w:val="20"/>
                <w:szCs w:val="20"/>
                <w:lang w:val="en-GB"/>
              </w:rPr>
            </w:pPr>
            <w:r w:rsidRPr="00494CA7">
              <w:rPr>
                <w:sz w:val="20"/>
                <w:szCs w:val="20"/>
                <w:lang w:val="en-GB"/>
              </w:rPr>
              <w:t>9.3</w:t>
            </w:r>
          </w:p>
        </w:tc>
        <w:tc>
          <w:tcPr>
            <w:tcW w:w="950" w:type="pct"/>
            <w:tcBorders>
              <w:top w:val="nil"/>
              <w:left w:val="nil"/>
              <w:bottom w:val="nil"/>
              <w:right w:val="nil"/>
            </w:tcBorders>
            <w:vAlign w:val="center"/>
          </w:tcPr>
          <w:p w14:paraId="7C711F66" w14:textId="77777777" w:rsidR="009B57E2" w:rsidRPr="00494CA7" w:rsidRDefault="009B57E2" w:rsidP="00B64335">
            <w:pPr>
              <w:spacing w:after="0" w:line="240" w:lineRule="auto"/>
              <w:jc w:val="center"/>
              <w:rPr>
                <w:sz w:val="20"/>
                <w:szCs w:val="20"/>
                <w:lang w:val="en-GB"/>
              </w:rPr>
            </w:pPr>
            <w:r w:rsidRPr="00494CA7">
              <w:rPr>
                <w:sz w:val="20"/>
                <w:szCs w:val="20"/>
                <w:lang w:val="en-GB"/>
              </w:rPr>
              <w:t>77.0</w:t>
            </w:r>
          </w:p>
        </w:tc>
        <w:tc>
          <w:tcPr>
            <w:tcW w:w="950" w:type="pct"/>
            <w:tcBorders>
              <w:top w:val="nil"/>
              <w:left w:val="nil"/>
              <w:bottom w:val="nil"/>
              <w:right w:val="nil"/>
            </w:tcBorders>
            <w:vAlign w:val="center"/>
          </w:tcPr>
          <w:p w14:paraId="1ACE86DD" w14:textId="77777777" w:rsidR="009B57E2" w:rsidRPr="00494CA7" w:rsidRDefault="009B57E2" w:rsidP="00B64335">
            <w:pPr>
              <w:spacing w:after="0" w:line="240" w:lineRule="auto"/>
              <w:jc w:val="center"/>
              <w:rPr>
                <w:sz w:val="20"/>
                <w:szCs w:val="20"/>
                <w:lang w:val="en-GB"/>
              </w:rPr>
            </w:pPr>
            <w:r w:rsidRPr="00494CA7">
              <w:rPr>
                <w:sz w:val="20"/>
                <w:szCs w:val="20"/>
                <w:lang w:val="en-GB"/>
              </w:rPr>
              <w:t>12.9</w:t>
            </w:r>
          </w:p>
        </w:tc>
        <w:tc>
          <w:tcPr>
            <w:tcW w:w="950" w:type="pct"/>
            <w:tcBorders>
              <w:top w:val="nil"/>
              <w:left w:val="nil"/>
              <w:bottom w:val="nil"/>
              <w:right w:val="nil"/>
            </w:tcBorders>
            <w:vAlign w:val="center"/>
          </w:tcPr>
          <w:p w14:paraId="00189B0A" w14:textId="77777777" w:rsidR="009B57E2" w:rsidRPr="00494CA7" w:rsidRDefault="009B57E2" w:rsidP="00B64335">
            <w:pPr>
              <w:spacing w:after="0" w:line="240" w:lineRule="auto"/>
              <w:jc w:val="center"/>
              <w:rPr>
                <w:sz w:val="20"/>
                <w:szCs w:val="20"/>
                <w:lang w:val="en-GB"/>
              </w:rPr>
            </w:pPr>
            <w:r w:rsidRPr="00494CA7">
              <w:rPr>
                <w:sz w:val="20"/>
                <w:szCs w:val="20"/>
                <w:lang w:val="en-GB"/>
              </w:rPr>
              <w:t>10.1</w:t>
            </w:r>
          </w:p>
        </w:tc>
      </w:tr>
      <w:tr w:rsidR="009B57E2" w:rsidRPr="00494CA7" w14:paraId="7F1B72F9" w14:textId="77777777" w:rsidTr="00B64335">
        <w:trPr>
          <w:trHeight w:val="284"/>
        </w:trPr>
        <w:tc>
          <w:tcPr>
            <w:tcW w:w="1199" w:type="pct"/>
            <w:tcBorders>
              <w:top w:val="nil"/>
              <w:left w:val="nil"/>
              <w:bottom w:val="nil"/>
              <w:right w:val="nil"/>
            </w:tcBorders>
            <w:vAlign w:val="center"/>
          </w:tcPr>
          <w:p w14:paraId="6CFF642E"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Peru</w:t>
            </w:r>
          </w:p>
        </w:tc>
        <w:tc>
          <w:tcPr>
            <w:tcW w:w="950" w:type="pct"/>
            <w:tcBorders>
              <w:top w:val="nil"/>
              <w:left w:val="nil"/>
              <w:bottom w:val="nil"/>
              <w:right w:val="nil"/>
            </w:tcBorders>
            <w:vAlign w:val="center"/>
          </w:tcPr>
          <w:p w14:paraId="1CB329DB" w14:textId="77777777" w:rsidR="009B57E2" w:rsidRPr="00494CA7" w:rsidRDefault="009B57E2" w:rsidP="00B64335">
            <w:pPr>
              <w:spacing w:after="0" w:line="240" w:lineRule="auto"/>
              <w:jc w:val="center"/>
              <w:rPr>
                <w:sz w:val="20"/>
                <w:szCs w:val="20"/>
                <w:lang w:val="en-GB"/>
              </w:rPr>
            </w:pPr>
            <w:r w:rsidRPr="00494CA7">
              <w:rPr>
                <w:sz w:val="20"/>
                <w:szCs w:val="20"/>
                <w:lang w:val="en-GB"/>
              </w:rPr>
              <w:t>21.8</w:t>
            </w:r>
          </w:p>
        </w:tc>
        <w:tc>
          <w:tcPr>
            <w:tcW w:w="950" w:type="pct"/>
            <w:tcBorders>
              <w:top w:val="nil"/>
              <w:left w:val="nil"/>
              <w:bottom w:val="nil"/>
              <w:right w:val="nil"/>
            </w:tcBorders>
            <w:vAlign w:val="center"/>
          </w:tcPr>
          <w:p w14:paraId="205974D4" w14:textId="77777777" w:rsidR="009B57E2" w:rsidRPr="00494CA7" w:rsidRDefault="009B57E2" w:rsidP="00B64335">
            <w:pPr>
              <w:spacing w:after="0" w:line="240" w:lineRule="auto"/>
              <w:jc w:val="center"/>
              <w:rPr>
                <w:sz w:val="20"/>
                <w:szCs w:val="20"/>
                <w:lang w:val="en-GB"/>
              </w:rPr>
            </w:pPr>
            <w:r w:rsidRPr="00494CA7">
              <w:rPr>
                <w:sz w:val="20"/>
                <w:szCs w:val="20"/>
                <w:lang w:val="en-GB"/>
              </w:rPr>
              <w:t>79.1</w:t>
            </w:r>
          </w:p>
        </w:tc>
        <w:tc>
          <w:tcPr>
            <w:tcW w:w="950" w:type="pct"/>
            <w:tcBorders>
              <w:top w:val="nil"/>
              <w:left w:val="nil"/>
              <w:bottom w:val="nil"/>
              <w:right w:val="nil"/>
            </w:tcBorders>
            <w:vAlign w:val="center"/>
          </w:tcPr>
          <w:p w14:paraId="22E39A52" w14:textId="77777777" w:rsidR="009B57E2" w:rsidRPr="00494CA7" w:rsidRDefault="009B57E2" w:rsidP="00B64335">
            <w:pPr>
              <w:spacing w:after="0" w:line="240" w:lineRule="auto"/>
              <w:jc w:val="center"/>
              <w:rPr>
                <w:sz w:val="20"/>
                <w:szCs w:val="20"/>
                <w:lang w:val="en-GB"/>
              </w:rPr>
            </w:pPr>
            <w:r w:rsidRPr="00494CA7">
              <w:rPr>
                <w:sz w:val="20"/>
                <w:szCs w:val="20"/>
                <w:lang w:val="en-GB"/>
              </w:rPr>
              <w:t>17.6</w:t>
            </w:r>
          </w:p>
        </w:tc>
        <w:tc>
          <w:tcPr>
            <w:tcW w:w="950" w:type="pct"/>
            <w:tcBorders>
              <w:top w:val="nil"/>
              <w:left w:val="nil"/>
              <w:bottom w:val="nil"/>
              <w:right w:val="nil"/>
            </w:tcBorders>
            <w:vAlign w:val="center"/>
          </w:tcPr>
          <w:p w14:paraId="10A40333" w14:textId="77777777" w:rsidR="009B57E2" w:rsidRPr="00494CA7" w:rsidRDefault="009B57E2" w:rsidP="00B64335">
            <w:pPr>
              <w:spacing w:after="0" w:line="240" w:lineRule="auto"/>
              <w:jc w:val="center"/>
              <w:rPr>
                <w:sz w:val="20"/>
                <w:szCs w:val="20"/>
                <w:lang w:val="en-GB"/>
              </w:rPr>
            </w:pPr>
            <w:r w:rsidRPr="00494CA7">
              <w:rPr>
                <w:sz w:val="20"/>
                <w:szCs w:val="20"/>
                <w:lang w:val="en-GB"/>
              </w:rPr>
              <w:t>3.4</w:t>
            </w:r>
          </w:p>
        </w:tc>
      </w:tr>
      <w:tr w:rsidR="009B57E2" w:rsidRPr="00494CA7" w14:paraId="59262EC5" w14:textId="77777777" w:rsidTr="00B64335">
        <w:trPr>
          <w:trHeight w:val="284"/>
        </w:trPr>
        <w:tc>
          <w:tcPr>
            <w:tcW w:w="1199" w:type="pct"/>
            <w:tcBorders>
              <w:top w:val="nil"/>
              <w:left w:val="nil"/>
              <w:bottom w:val="nil"/>
              <w:right w:val="nil"/>
            </w:tcBorders>
            <w:vAlign w:val="center"/>
          </w:tcPr>
          <w:p w14:paraId="5B16A42E"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Poland</w:t>
            </w:r>
          </w:p>
        </w:tc>
        <w:tc>
          <w:tcPr>
            <w:tcW w:w="950" w:type="pct"/>
            <w:tcBorders>
              <w:top w:val="nil"/>
              <w:left w:val="nil"/>
              <w:bottom w:val="nil"/>
              <w:right w:val="nil"/>
            </w:tcBorders>
            <w:vAlign w:val="center"/>
          </w:tcPr>
          <w:p w14:paraId="0EA55DF1" w14:textId="77777777" w:rsidR="009B57E2" w:rsidRPr="00494CA7" w:rsidRDefault="009B57E2" w:rsidP="00B64335">
            <w:pPr>
              <w:spacing w:after="0" w:line="240" w:lineRule="auto"/>
              <w:jc w:val="center"/>
              <w:rPr>
                <w:sz w:val="20"/>
                <w:szCs w:val="20"/>
                <w:lang w:val="en-GB"/>
              </w:rPr>
            </w:pPr>
            <w:r w:rsidRPr="00494CA7">
              <w:rPr>
                <w:sz w:val="20"/>
                <w:szCs w:val="20"/>
                <w:lang w:val="en-GB"/>
              </w:rPr>
              <w:t>18.9</w:t>
            </w:r>
          </w:p>
        </w:tc>
        <w:tc>
          <w:tcPr>
            <w:tcW w:w="950" w:type="pct"/>
            <w:tcBorders>
              <w:top w:val="nil"/>
              <w:left w:val="nil"/>
              <w:bottom w:val="nil"/>
              <w:right w:val="nil"/>
            </w:tcBorders>
            <w:vAlign w:val="center"/>
          </w:tcPr>
          <w:p w14:paraId="7911A93C" w14:textId="77777777" w:rsidR="009B57E2" w:rsidRPr="00494CA7" w:rsidRDefault="009B57E2" w:rsidP="00B64335">
            <w:pPr>
              <w:spacing w:after="0" w:line="240" w:lineRule="auto"/>
              <w:jc w:val="center"/>
              <w:rPr>
                <w:sz w:val="20"/>
                <w:szCs w:val="20"/>
                <w:lang w:val="en-GB"/>
              </w:rPr>
            </w:pPr>
            <w:r w:rsidRPr="00494CA7">
              <w:rPr>
                <w:sz w:val="20"/>
                <w:szCs w:val="20"/>
                <w:lang w:val="en-GB"/>
              </w:rPr>
              <w:t>89.2</w:t>
            </w:r>
          </w:p>
        </w:tc>
        <w:tc>
          <w:tcPr>
            <w:tcW w:w="950" w:type="pct"/>
            <w:tcBorders>
              <w:top w:val="nil"/>
              <w:left w:val="nil"/>
              <w:bottom w:val="nil"/>
              <w:right w:val="nil"/>
            </w:tcBorders>
            <w:vAlign w:val="center"/>
          </w:tcPr>
          <w:p w14:paraId="359655F6" w14:textId="77777777" w:rsidR="009B57E2" w:rsidRPr="00494CA7" w:rsidRDefault="009B57E2" w:rsidP="00B64335">
            <w:pPr>
              <w:spacing w:after="0" w:line="240" w:lineRule="auto"/>
              <w:jc w:val="center"/>
              <w:rPr>
                <w:sz w:val="20"/>
                <w:szCs w:val="20"/>
                <w:lang w:val="en-GB"/>
              </w:rPr>
            </w:pPr>
            <w:r w:rsidRPr="00494CA7">
              <w:rPr>
                <w:sz w:val="20"/>
                <w:szCs w:val="20"/>
                <w:lang w:val="en-GB"/>
              </w:rPr>
              <w:t>8.1</w:t>
            </w:r>
          </w:p>
        </w:tc>
        <w:tc>
          <w:tcPr>
            <w:tcW w:w="950" w:type="pct"/>
            <w:tcBorders>
              <w:top w:val="nil"/>
              <w:left w:val="nil"/>
              <w:bottom w:val="nil"/>
              <w:right w:val="nil"/>
            </w:tcBorders>
            <w:vAlign w:val="center"/>
          </w:tcPr>
          <w:p w14:paraId="636C9F3F" w14:textId="77777777" w:rsidR="009B57E2" w:rsidRPr="00494CA7" w:rsidRDefault="009B57E2" w:rsidP="00B64335">
            <w:pPr>
              <w:spacing w:after="0" w:line="240" w:lineRule="auto"/>
              <w:jc w:val="center"/>
              <w:rPr>
                <w:sz w:val="20"/>
                <w:szCs w:val="20"/>
                <w:lang w:val="en-GB"/>
              </w:rPr>
            </w:pPr>
            <w:r w:rsidRPr="00494CA7">
              <w:rPr>
                <w:sz w:val="20"/>
                <w:szCs w:val="20"/>
                <w:lang w:val="en-GB"/>
              </w:rPr>
              <w:t>2.7</w:t>
            </w:r>
          </w:p>
        </w:tc>
      </w:tr>
      <w:tr w:rsidR="009B57E2" w:rsidRPr="00494CA7" w14:paraId="2C128387" w14:textId="77777777" w:rsidTr="00B64335">
        <w:trPr>
          <w:trHeight w:val="284"/>
        </w:trPr>
        <w:tc>
          <w:tcPr>
            <w:tcW w:w="1199" w:type="pct"/>
            <w:tcBorders>
              <w:top w:val="nil"/>
              <w:left w:val="nil"/>
              <w:bottom w:val="nil"/>
              <w:right w:val="nil"/>
            </w:tcBorders>
            <w:vAlign w:val="center"/>
          </w:tcPr>
          <w:p w14:paraId="28DD1136"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Portugal</w:t>
            </w:r>
          </w:p>
        </w:tc>
        <w:tc>
          <w:tcPr>
            <w:tcW w:w="950" w:type="pct"/>
            <w:tcBorders>
              <w:top w:val="nil"/>
              <w:left w:val="nil"/>
              <w:bottom w:val="nil"/>
              <w:right w:val="nil"/>
            </w:tcBorders>
            <w:vAlign w:val="center"/>
          </w:tcPr>
          <w:p w14:paraId="43EA0FB2" w14:textId="77777777" w:rsidR="009B57E2" w:rsidRPr="00494CA7" w:rsidRDefault="009B57E2" w:rsidP="00B64335">
            <w:pPr>
              <w:spacing w:after="0" w:line="240" w:lineRule="auto"/>
              <w:jc w:val="center"/>
              <w:rPr>
                <w:sz w:val="20"/>
                <w:szCs w:val="20"/>
                <w:lang w:val="en-GB"/>
              </w:rPr>
            </w:pPr>
            <w:r w:rsidRPr="00494CA7">
              <w:rPr>
                <w:sz w:val="20"/>
                <w:szCs w:val="20"/>
                <w:lang w:val="en-GB"/>
              </w:rPr>
              <w:t>25.3</w:t>
            </w:r>
          </w:p>
        </w:tc>
        <w:tc>
          <w:tcPr>
            <w:tcW w:w="950" w:type="pct"/>
            <w:tcBorders>
              <w:top w:val="nil"/>
              <w:left w:val="nil"/>
              <w:bottom w:val="nil"/>
              <w:right w:val="nil"/>
            </w:tcBorders>
            <w:vAlign w:val="center"/>
          </w:tcPr>
          <w:p w14:paraId="0568F9A8" w14:textId="77777777" w:rsidR="009B57E2" w:rsidRPr="00494CA7" w:rsidRDefault="009B57E2" w:rsidP="00B64335">
            <w:pPr>
              <w:spacing w:after="0" w:line="240" w:lineRule="auto"/>
              <w:jc w:val="center"/>
              <w:rPr>
                <w:sz w:val="20"/>
                <w:szCs w:val="20"/>
                <w:lang w:val="en-GB"/>
              </w:rPr>
            </w:pPr>
            <w:r w:rsidRPr="00494CA7">
              <w:rPr>
                <w:sz w:val="20"/>
                <w:szCs w:val="20"/>
                <w:lang w:val="en-GB"/>
              </w:rPr>
              <w:t>84.3</w:t>
            </w:r>
          </w:p>
        </w:tc>
        <w:tc>
          <w:tcPr>
            <w:tcW w:w="950" w:type="pct"/>
            <w:tcBorders>
              <w:top w:val="nil"/>
              <w:left w:val="nil"/>
              <w:bottom w:val="nil"/>
              <w:right w:val="nil"/>
            </w:tcBorders>
            <w:vAlign w:val="center"/>
          </w:tcPr>
          <w:p w14:paraId="273E5B47" w14:textId="77777777" w:rsidR="009B57E2" w:rsidRPr="00494CA7" w:rsidRDefault="009B57E2" w:rsidP="00B64335">
            <w:pPr>
              <w:spacing w:after="0" w:line="240" w:lineRule="auto"/>
              <w:jc w:val="center"/>
              <w:rPr>
                <w:sz w:val="20"/>
                <w:szCs w:val="20"/>
                <w:lang w:val="en-GB"/>
              </w:rPr>
            </w:pPr>
            <w:r w:rsidRPr="00494CA7">
              <w:rPr>
                <w:sz w:val="20"/>
                <w:szCs w:val="20"/>
                <w:lang w:val="en-GB"/>
              </w:rPr>
              <w:t>10.6</w:t>
            </w:r>
          </w:p>
        </w:tc>
        <w:tc>
          <w:tcPr>
            <w:tcW w:w="950" w:type="pct"/>
            <w:tcBorders>
              <w:top w:val="nil"/>
              <w:left w:val="nil"/>
              <w:bottom w:val="nil"/>
              <w:right w:val="nil"/>
            </w:tcBorders>
            <w:vAlign w:val="center"/>
          </w:tcPr>
          <w:p w14:paraId="1E4083F1" w14:textId="77777777" w:rsidR="009B57E2" w:rsidRPr="00494CA7" w:rsidRDefault="009B57E2" w:rsidP="00B64335">
            <w:pPr>
              <w:spacing w:after="0" w:line="240" w:lineRule="auto"/>
              <w:jc w:val="center"/>
              <w:rPr>
                <w:sz w:val="20"/>
                <w:szCs w:val="20"/>
                <w:lang w:val="en-GB"/>
              </w:rPr>
            </w:pPr>
            <w:r w:rsidRPr="00494CA7">
              <w:rPr>
                <w:sz w:val="20"/>
                <w:szCs w:val="20"/>
                <w:lang w:val="en-GB"/>
              </w:rPr>
              <w:t>5.1</w:t>
            </w:r>
          </w:p>
        </w:tc>
      </w:tr>
      <w:tr w:rsidR="009B57E2" w:rsidRPr="00494CA7" w14:paraId="0087599E" w14:textId="77777777" w:rsidTr="00B64335">
        <w:trPr>
          <w:trHeight w:val="284"/>
        </w:trPr>
        <w:tc>
          <w:tcPr>
            <w:tcW w:w="1199" w:type="pct"/>
            <w:tcBorders>
              <w:top w:val="nil"/>
              <w:left w:val="nil"/>
              <w:bottom w:val="nil"/>
              <w:right w:val="nil"/>
            </w:tcBorders>
            <w:vAlign w:val="center"/>
          </w:tcPr>
          <w:p w14:paraId="5D4C96C0"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Romania</w:t>
            </w:r>
          </w:p>
        </w:tc>
        <w:tc>
          <w:tcPr>
            <w:tcW w:w="950" w:type="pct"/>
            <w:tcBorders>
              <w:top w:val="nil"/>
              <w:left w:val="nil"/>
              <w:bottom w:val="nil"/>
              <w:right w:val="nil"/>
            </w:tcBorders>
            <w:vAlign w:val="center"/>
          </w:tcPr>
          <w:p w14:paraId="5E40333E" w14:textId="77777777" w:rsidR="009B57E2" w:rsidRPr="00494CA7" w:rsidRDefault="009B57E2" w:rsidP="00B64335">
            <w:pPr>
              <w:spacing w:after="0" w:line="240" w:lineRule="auto"/>
              <w:jc w:val="center"/>
              <w:rPr>
                <w:sz w:val="20"/>
                <w:szCs w:val="20"/>
                <w:lang w:val="en-GB"/>
              </w:rPr>
            </w:pPr>
            <w:r w:rsidRPr="00494CA7">
              <w:rPr>
                <w:sz w:val="20"/>
                <w:szCs w:val="20"/>
                <w:lang w:val="en-GB"/>
              </w:rPr>
              <w:t>31.4</w:t>
            </w:r>
          </w:p>
        </w:tc>
        <w:tc>
          <w:tcPr>
            <w:tcW w:w="950" w:type="pct"/>
            <w:tcBorders>
              <w:top w:val="nil"/>
              <w:left w:val="nil"/>
              <w:bottom w:val="nil"/>
              <w:right w:val="nil"/>
            </w:tcBorders>
            <w:vAlign w:val="center"/>
          </w:tcPr>
          <w:p w14:paraId="5FFAB627" w14:textId="77777777" w:rsidR="009B57E2" w:rsidRPr="00494CA7" w:rsidRDefault="009B57E2" w:rsidP="00B64335">
            <w:pPr>
              <w:spacing w:after="0" w:line="240" w:lineRule="auto"/>
              <w:jc w:val="center"/>
              <w:rPr>
                <w:sz w:val="20"/>
                <w:szCs w:val="20"/>
                <w:lang w:val="en-GB"/>
              </w:rPr>
            </w:pPr>
            <w:r w:rsidRPr="00494CA7">
              <w:rPr>
                <w:sz w:val="20"/>
                <w:szCs w:val="20"/>
                <w:lang w:val="en-GB"/>
              </w:rPr>
              <w:t>86.2</w:t>
            </w:r>
          </w:p>
        </w:tc>
        <w:tc>
          <w:tcPr>
            <w:tcW w:w="950" w:type="pct"/>
            <w:tcBorders>
              <w:top w:val="nil"/>
              <w:left w:val="nil"/>
              <w:bottom w:val="nil"/>
              <w:right w:val="nil"/>
            </w:tcBorders>
            <w:vAlign w:val="center"/>
          </w:tcPr>
          <w:p w14:paraId="302ACDD6" w14:textId="77777777" w:rsidR="009B57E2" w:rsidRPr="00494CA7" w:rsidRDefault="009B57E2" w:rsidP="00B64335">
            <w:pPr>
              <w:spacing w:after="0" w:line="240" w:lineRule="auto"/>
              <w:jc w:val="center"/>
              <w:rPr>
                <w:sz w:val="20"/>
                <w:szCs w:val="20"/>
                <w:lang w:val="en-GB"/>
              </w:rPr>
            </w:pPr>
            <w:r w:rsidRPr="00494CA7">
              <w:rPr>
                <w:sz w:val="20"/>
                <w:szCs w:val="20"/>
                <w:lang w:val="en-GB"/>
              </w:rPr>
              <w:t>10.1</w:t>
            </w:r>
          </w:p>
        </w:tc>
        <w:tc>
          <w:tcPr>
            <w:tcW w:w="950" w:type="pct"/>
            <w:tcBorders>
              <w:top w:val="nil"/>
              <w:left w:val="nil"/>
              <w:bottom w:val="nil"/>
              <w:right w:val="nil"/>
            </w:tcBorders>
            <w:vAlign w:val="center"/>
          </w:tcPr>
          <w:p w14:paraId="75275225" w14:textId="77777777" w:rsidR="009B57E2" w:rsidRPr="00494CA7" w:rsidRDefault="009B57E2" w:rsidP="00B64335">
            <w:pPr>
              <w:spacing w:after="0" w:line="240" w:lineRule="auto"/>
              <w:jc w:val="center"/>
              <w:rPr>
                <w:sz w:val="20"/>
                <w:szCs w:val="20"/>
                <w:lang w:val="en-GB"/>
              </w:rPr>
            </w:pPr>
            <w:r w:rsidRPr="00494CA7">
              <w:rPr>
                <w:sz w:val="20"/>
                <w:szCs w:val="20"/>
                <w:lang w:val="en-GB"/>
              </w:rPr>
              <w:t>3.7</w:t>
            </w:r>
          </w:p>
        </w:tc>
      </w:tr>
      <w:tr w:rsidR="009B57E2" w:rsidRPr="00494CA7" w14:paraId="1D412C92" w14:textId="77777777" w:rsidTr="00B64335">
        <w:trPr>
          <w:trHeight w:val="284"/>
        </w:trPr>
        <w:tc>
          <w:tcPr>
            <w:tcW w:w="1199" w:type="pct"/>
            <w:tcBorders>
              <w:top w:val="nil"/>
              <w:left w:val="nil"/>
              <w:bottom w:val="nil"/>
              <w:right w:val="nil"/>
            </w:tcBorders>
            <w:vAlign w:val="center"/>
          </w:tcPr>
          <w:p w14:paraId="6385C5C2"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Russia</w:t>
            </w:r>
          </w:p>
        </w:tc>
        <w:tc>
          <w:tcPr>
            <w:tcW w:w="950" w:type="pct"/>
            <w:tcBorders>
              <w:top w:val="nil"/>
              <w:left w:val="nil"/>
              <w:bottom w:val="nil"/>
              <w:right w:val="nil"/>
            </w:tcBorders>
            <w:vAlign w:val="center"/>
          </w:tcPr>
          <w:p w14:paraId="1E0088A2" w14:textId="77777777" w:rsidR="009B57E2" w:rsidRPr="00494CA7" w:rsidRDefault="009B57E2" w:rsidP="00B64335">
            <w:pPr>
              <w:spacing w:after="0" w:line="240" w:lineRule="auto"/>
              <w:jc w:val="center"/>
              <w:rPr>
                <w:sz w:val="20"/>
                <w:szCs w:val="20"/>
                <w:lang w:val="en-GB"/>
              </w:rPr>
            </w:pPr>
            <w:r w:rsidRPr="00494CA7">
              <w:rPr>
                <w:sz w:val="20"/>
                <w:szCs w:val="20"/>
                <w:lang w:val="en-GB"/>
              </w:rPr>
              <w:t>32.7</w:t>
            </w:r>
          </w:p>
        </w:tc>
        <w:tc>
          <w:tcPr>
            <w:tcW w:w="950" w:type="pct"/>
            <w:tcBorders>
              <w:top w:val="nil"/>
              <w:left w:val="nil"/>
              <w:bottom w:val="nil"/>
              <w:right w:val="nil"/>
            </w:tcBorders>
            <w:vAlign w:val="center"/>
          </w:tcPr>
          <w:p w14:paraId="15867609" w14:textId="77777777" w:rsidR="009B57E2" w:rsidRPr="00494CA7" w:rsidRDefault="009B57E2" w:rsidP="00B64335">
            <w:pPr>
              <w:spacing w:after="0" w:line="240" w:lineRule="auto"/>
              <w:jc w:val="center"/>
              <w:rPr>
                <w:sz w:val="20"/>
                <w:szCs w:val="20"/>
                <w:lang w:val="en-GB"/>
              </w:rPr>
            </w:pPr>
            <w:r w:rsidRPr="00494CA7">
              <w:rPr>
                <w:sz w:val="20"/>
                <w:szCs w:val="20"/>
                <w:lang w:val="en-GB"/>
              </w:rPr>
              <w:t>73.8</w:t>
            </w:r>
          </w:p>
        </w:tc>
        <w:tc>
          <w:tcPr>
            <w:tcW w:w="950" w:type="pct"/>
            <w:tcBorders>
              <w:top w:val="nil"/>
              <w:left w:val="nil"/>
              <w:bottom w:val="nil"/>
              <w:right w:val="nil"/>
            </w:tcBorders>
            <w:vAlign w:val="center"/>
          </w:tcPr>
          <w:p w14:paraId="626B002C" w14:textId="77777777" w:rsidR="009B57E2" w:rsidRPr="00494CA7" w:rsidRDefault="009B57E2" w:rsidP="00B64335">
            <w:pPr>
              <w:spacing w:after="0" w:line="240" w:lineRule="auto"/>
              <w:jc w:val="center"/>
              <w:rPr>
                <w:sz w:val="20"/>
                <w:szCs w:val="20"/>
                <w:lang w:val="en-GB"/>
              </w:rPr>
            </w:pPr>
            <w:r w:rsidRPr="00494CA7">
              <w:rPr>
                <w:sz w:val="20"/>
                <w:szCs w:val="20"/>
                <w:lang w:val="en-GB"/>
              </w:rPr>
              <w:t>18.2</w:t>
            </w:r>
          </w:p>
        </w:tc>
        <w:tc>
          <w:tcPr>
            <w:tcW w:w="950" w:type="pct"/>
            <w:tcBorders>
              <w:top w:val="nil"/>
              <w:left w:val="nil"/>
              <w:bottom w:val="nil"/>
              <w:right w:val="nil"/>
            </w:tcBorders>
            <w:vAlign w:val="center"/>
          </w:tcPr>
          <w:p w14:paraId="3DF28E12" w14:textId="77777777" w:rsidR="009B57E2" w:rsidRPr="00494CA7" w:rsidRDefault="009B57E2" w:rsidP="00B64335">
            <w:pPr>
              <w:spacing w:after="0" w:line="240" w:lineRule="auto"/>
              <w:jc w:val="center"/>
              <w:rPr>
                <w:sz w:val="20"/>
                <w:szCs w:val="20"/>
                <w:lang w:val="en-GB"/>
              </w:rPr>
            </w:pPr>
            <w:r w:rsidRPr="00494CA7">
              <w:rPr>
                <w:sz w:val="20"/>
                <w:szCs w:val="20"/>
                <w:lang w:val="en-GB"/>
              </w:rPr>
              <w:t>8.1</w:t>
            </w:r>
          </w:p>
        </w:tc>
      </w:tr>
      <w:tr w:rsidR="009B57E2" w:rsidRPr="00494CA7" w14:paraId="7E8C2897" w14:textId="77777777" w:rsidTr="00B64335">
        <w:trPr>
          <w:trHeight w:val="284"/>
        </w:trPr>
        <w:tc>
          <w:tcPr>
            <w:tcW w:w="1199" w:type="pct"/>
            <w:tcBorders>
              <w:top w:val="nil"/>
              <w:left w:val="nil"/>
              <w:bottom w:val="nil"/>
              <w:right w:val="nil"/>
            </w:tcBorders>
            <w:vAlign w:val="center"/>
          </w:tcPr>
          <w:p w14:paraId="6857A352"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Spain</w:t>
            </w:r>
          </w:p>
        </w:tc>
        <w:tc>
          <w:tcPr>
            <w:tcW w:w="950" w:type="pct"/>
            <w:tcBorders>
              <w:top w:val="nil"/>
              <w:left w:val="nil"/>
              <w:bottom w:val="nil"/>
              <w:right w:val="nil"/>
            </w:tcBorders>
            <w:vAlign w:val="center"/>
          </w:tcPr>
          <w:p w14:paraId="0521692B" w14:textId="77777777" w:rsidR="009B57E2" w:rsidRPr="00494CA7" w:rsidRDefault="009B57E2" w:rsidP="00B64335">
            <w:pPr>
              <w:spacing w:after="0" w:line="240" w:lineRule="auto"/>
              <w:jc w:val="center"/>
              <w:rPr>
                <w:sz w:val="20"/>
                <w:szCs w:val="20"/>
                <w:lang w:val="en-GB"/>
              </w:rPr>
            </w:pPr>
            <w:r w:rsidRPr="00494CA7">
              <w:rPr>
                <w:sz w:val="20"/>
                <w:szCs w:val="20"/>
                <w:lang w:val="en-GB"/>
              </w:rPr>
              <w:t>26.2</w:t>
            </w:r>
          </w:p>
        </w:tc>
        <w:tc>
          <w:tcPr>
            <w:tcW w:w="950" w:type="pct"/>
            <w:tcBorders>
              <w:top w:val="nil"/>
              <w:left w:val="nil"/>
              <w:bottom w:val="nil"/>
              <w:right w:val="nil"/>
            </w:tcBorders>
            <w:vAlign w:val="center"/>
          </w:tcPr>
          <w:p w14:paraId="6DCC4B12" w14:textId="77777777" w:rsidR="009B57E2" w:rsidRPr="00494CA7" w:rsidRDefault="009B57E2" w:rsidP="00B64335">
            <w:pPr>
              <w:spacing w:after="0" w:line="240" w:lineRule="auto"/>
              <w:jc w:val="center"/>
              <w:rPr>
                <w:sz w:val="20"/>
                <w:szCs w:val="20"/>
                <w:lang w:val="en-GB"/>
              </w:rPr>
            </w:pPr>
            <w:r w:rsidRPr="00494CA7">
              <w:rPr>
                <w:sz w:val="20"/>
                <w:szCs w:val="20"/>
                <w:lang w:val="en-GB"/>
              </w:rPr>
              <w:t>86.7</w:t>
            </w:r>
          </w:p>
        </w:tc>
        <w:tc>
          <w:tcPr>
            <w:tcW w:w="950" w:type="pct"/>
            <w:tcBorders>
              <w:top w:val="nil"/>
              <w:left w:val="nil"/>
              <w:bottom w:val="nil"/>
              <w:right w:val="nil"/>
            </w:tcBorders>
            <w:vAlign w:val="center"/>
          </w:tcPr>
          <w:p w14:paraId="5168D112" w14:textId="77777777" w:rsidR="009B57E2" w:rsidRPr="00494CA7" w:rsidRDefault="009B57E2" w:rsidP="00B64335">
            <w:pPr>
              <w:spacing w:after="0" w:line="240" w:lineRule="auto"/>
              <w:jc w:val="center"/>
              <w:rPr>
                <w:sz w:val="20"/>
                <w:szCs w:val="20"/>
                <w:lang w:val="en-GB"/>
              </w:rPr>
            </w:pPr>
            <w:r w:rsidRPr="00494CA7">
              <w:rPr>
                <w:sz w:val="20"/>
                <w:szCs w:val="20"/>
                <w:lang w:val="en-GB"/>
              </w:rPr>
              <w:t>11.6</w:t>
            </w:r>
          </w:p>
        </w:tc>
        <w:tc>
          <w:tcPr>
            <w:tcW w:w="950" w:type="pct"/>
            <w:tcBorders>
              <w:top w:val="nil"/>
              <w:left w:val="nil"/>
              <w:bottom w:val="nil"/>
              <w:right w:val="nil"/>
            </w:tcBorders>
            <w:vAlign w:val="center"/>
          </w:tcPr>
          <w:p w14:paraId="3D299028" w14:textId="77777777" w:rsidR="009B57E2" w:rsidRPr="00494CA7" w:rsidRDefault="009B57E2" w:rsidP="00B64335">
            <w:pPr>
              <w:spacing w:after="0" w:line="240" w:lineRule="auto"/>
              <w:jc w:val="center"/>
              <w:rPr>
                <w:sz w:val="20"/>
                <w:szCs w:val="20"/>
                <w:lang w:val="en-GB"/>
              </w:rPr>
            </w:pPr>
            <w:r w:rsidRPr="00494CA7">
              <w:rPr>
                <w:sz w:val="20"/>
                <w:szCs w:val="20"/>
                <w:lang w:val="en-GB"/>
              </w:rPr>
              <w:t>1.7</w:t>
            </w:r>
          </w:p>
        </w:tc>
      </w:tr>
      <w:tr w:rsidR="009B57E2" w:rsidRPr="00494CA7" w14:paraId="0D8A4182" w14:textId="77777777" w:rsidTr="00B64335">
        <w:trPr>
          <w:trHeight w:val="284"/>
        </w:trPr>
        <w:tc>
          <w:tcPr>
            <w:tcW w:w="1199" w:type="pct"/>
            <w:tcBorders>
              <w:top w:val="nil"/>
              <w:left w:val="nil"/>
              <w:bottom w:val="nil"/>
              <w:right w:val="nil"/>
            </w:tcBorders>
            <w:vAlign w:val="center"/>
          </w:tcPr>
          <w:p w14:paraId="61FE35CB"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Sweden</w:t>
            </w:r>
          </w:p>
        </w:tc>
        <w:tc>
          <w:tcPr>
            <w:tcW w:w="950" w:type="pct"/>
            <w:tcBorders>
              <w:top w:val="nil"/>
              <w:left w:val="nil"/>
              <w:bottom w:val="nil"/>
              <w:right w:val="nil"/>
            </w:tcBorders>
            <w:vAlign w:val="center"/>
          </w:tcPr>
          <w:p w14:paraId="7062A035" w14:textId="77777777" w:rsidR="009B57E2" w:rsidRPr="00494CA7" w:rsidRDefault="009B57E2" w:rsidP="00B64335">
            <w:pPr>
              <w:spacing w:after="0" w:line="240" w:lineRule="auto"/>
              <w:jc w:val="center"/>
              <w:rPr>
                <w:sz w:val="20"/>
                <w:szCs w:val="20"/>
                <w:lang w:val="en-GB"/>
              </w:rPr>
            </w:pPr>
            <w:r w:rsidRPr="00494CA7">
              <w:rPr>
                <w:sz w:val="20"/>
                <w:szCs w:val="20"/>
                <w:lang w:val="en-GB"/>
              </w:rPr>
              <w:t>3.7</w:t>
            </w:r>
          </w:p>
        </w:tc>
        <w:tc>
          <w:tcPr>
            <w:tcW w:w="950" w:type="pct"/>
            <w:tcBorders>
              <w:top w:val="nil"/>
              <w:left w:val="nil"/>
              <w:bottom w:val="nil"/>
              <w:right w:val="nil"/>
            </w:tcBorders>
            <w:vAlign w:val="center"/>
          </w:tcPr>
          <w:p w14:paraId="12A90DF0" w14:textId="77777777" w:rsidR="009B57E2" w:rsidRPr="00494CA7" w:rsidRDefault="009B57E2" w:rsidP="00B64335">
            <w:pPr>
              <w:spacing w:after="0" w:line="240" w:lineRule="auto"/>
              <w:jc w:val="center"/>
              <w:rPr>
                <w:sz w:val="20"/>
                <w:szCs w:val="20"/>
                <w:lang w:val="en-GB"/>
              </w:rPr>
            </w:pPr>
            <w:r w:rsidRPr="00494CA7">
              <w:rPr>
                <w:sz w:val="20"/>
                <w:szCs w:val="20"/>
                <w:lang w:val="en-GB"/>
              </w:rPr>
              <w:t>72.2</w:t>
            </w:r>
          </w:p>
        </w:tc>
        <w:tc>
          <w:tcPr>
            <w:tcW w:w="950" w:type="pct"/>
            <w:tcBorders>
              <w:top w:val="nil"/>
              <w:left w:val="nil"/>
              <w:bottom w:val="nil"/>
              <w:right w:val="nil"/>
            </w:tcBorders>
            <w:vAlign w:val="center"/>
          </w:tcPr>
          <w:p w14:paraId="7A886D40" w14:textId="77777777" w:rsidR="009B57E2" w:rsidRPr="00494CA7" w:rsidRDefault="009B57E2" w:rsidP="00B64335">
            <w:pPr>
              <w:spacing w:after="0" w:line="240" w:lineRule="auto"/>
              <w:jc w:val="center"/>
              <w:rPr>
                <w:sz w:val="20"/>
                <w:szCs w:val="20"/>
                <w:lang w:val="en-GB"/>
              </w:rPr>
            </w:pPr>
            <w:r w:rsidRPr="00494CA7">
              <w:rPr>
                <w:sz w:val="20"/>
                <w:szCs w:val="20"/>
                <w:lang w:val="en-GB"/>
              </w:rPr>
              <w:t>17.3</w:t>
            </w:r>
          </w:p>
        </w:tc>
        <w:tc>
          <w:tcPr>
            <w:tcW w:w="950" w:type="pct"/>
            <w:tcBorders>
              <w:top w:val="nil"/>
              <w:left w:val="nil"/>
              <w:bottom w:val="nil"/>
              <w:right w:val="nil"/>
            </w:tcBorders>
            <w:vAlign w:val="center"/>
          </w:tcPr>
          <w:p w14:paraId="5ED431E0" w14:textId="77777777" w:rsidR="009B57E2" w:rsidRPr="00494CA7" w:rsidRDefault="009B57E2" w:rsidP="00B64335">
            <w:pPr>
              <w:spacing w:after="0" w:line="240" w:lineRule="auto"/>
              <w:jc w:val="center"/>
              <w:rPr>
                <w:sz w:val="20"/>
                <w:szCs w:val="20"/>
                <w:lang w:val="en-GB"/>
              </w:rPr>
            </w:pPr>
            <w:r w:rsidRPr="00494CA7">
              <w:rPr>
                <w:sz w:val="20"/>
                <w:szCs w:val="20"/>
                <w:lang w:val="en-GB"/>
              </w:rPr>
              <w:t>10.5</w:t>
            </w:r>
          </w:p>
        </w:tc>
      </w:tr>
      <w:tr w:rsidR="009B57E2" w:rsidRPr="00494CA7" w14:paraId="729F48C4" w14:textId="77777777" w:rsidTr="00B64335">
        <w:trPr>
          <w:trHeight w:val="284"/>
        </w:trPr>
        <w:tc>
          <w:tcPr>
            <w:tcW w:w="1199" w:type="pct"/>
            <w:tcBorders>
              <w:top w:val="nil"/>
              <w:left w:val="nil"/>
              <w:bottom w:val="nil"/>
              <w:right w:val="nil"/>
            </w:tcBorders>
            <w:vAlign w:val="center"/>
          </w:tcPr>
          <w:p w14:paraId="0BFFD79F"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Switzerland</w:t>
            </w:r>
          </w:p>
        </w:tc>
        <w:tc>
          <w:tcPr>
            <w:tcW w:w="950" w:type="pct"/>
            <w:tcBorders>
              <w:top w:val="nil"/>
              <w:left w:val="nil"/>
              <w:bottom w:val="nil"/>
              <w:right w:val="nil"/>
            </w:tcBorders>
            <w:vAlign w:val="center"/>
          </w:tcPr>
          <w:p w14:paraId="70FF957F" w14:textId="77777777" w:rsidR="009B57E2" w:rsidRPr="00494CA7" w:rsidRDefault="009B57E2" w:rsidP="00B64335">
            <w:pPr>
              <w:spacing w:after="0" w:line="240" w:lineRule="auto"/>
              <w:jc w:val="center"/>
              <w:rPr>
                <w:sz w:val="20"/>
                <w:szCs w:val="20"/>
                <w:lang w:val="en-GB"/>
              </w:rPr>
            </w:pPr>
            <w:r w:rsidRPr="00494CA7">
              <w:rPr>
                <w:sz w:val="20"/>
                <w:szCs w:val="20"/>
                <w:lang w:val="en-GB"/>
              </w:rPr>
              <w:t>11.7</w:t>
            </w:r>
          </w:p>
        </w:tc>
        <w:tc>
          <w:tcPr>
            <w:tcW w:w="950" w:type="pct"/>
            <w:tcBorders>
              <w:top w:val="nil"/>
              <w:left w:val="nil"/>
              <w:bottom w:val="nil"/>
              <w:right w:val="nil"/>
            </w:tcBorders>
            <w:vAlign w:val="center"/>
          </w:tcPr>
          <w:p w14:paraId="181725D2" w14:textId="77777777" w:rsidR="009B57E2" w:rsidRPr="00494CA7" w:rsidRDefault="009B57E2" w:rsidP="00B64335">
            <w:pPr>
              <w:spacing w:after="0" w:line="240" w:lineRule="auto"/>
              <w:jc w:val="center"/>
              <w:rPr>
                <w:sz w:val="20"/>
                <w:szCs w:val="20"/>
                <w:lang w:val="en-GB"/>
              </w:rPr>
            </w:pPr>
            <w:r w:rsidRPr="00494CA7">
              <w:rPr>
                <w:sz w:val="20"/>
                <w:szCs w:val="20"/>
                <w:lang w:val="en-GB"/>
              </w:rPr>
              <w:t>80.5</w:t>
            </w:r>
          </w:p>
        </w:tc>
        <w:tc>
          <w:tcPr>
            <w:tcW w:w="950" w:type="pct"/>
            <w:tcBorders>
              <w:top w:val="nil"/>
              <w:left w:val="nil"/>
              <w:bottom w:val="nil"/>
              <w:right w:val="nil"/>
            </w:tcBorders>
            <w:vAlign w:val="center"/>
          </w:tcPr>
          <w:p w14:paraId="4B12A65B" w14:textId="77777777" w:rsidR="009B57E2" w:rsidRPr="00494CA7" w:rsidRDefault="009B57E2" w:rsidP="00B64335">
            <w:pPr>
              <w:spacing w:after="0" w:line="240" w:lineRule="auto"/>
              <w:jc w:val="center"/>
              <w:rPr>
                <w:sz w:val="20"/>
                <w:szCs w:val="20"/>
                <w:lang w:val="en-GB"/>
              </w:rPr>
            </w:pPr>
            <w:r w:rsidRPr="00494CA7">
              <w:rPr>
                <w:sz w:val="20"/>
                <w:szCs w:val="20"/>
                <w:lang w:val="en-GB"/>
              </w:rPr>
              <w:t>13.1</w:t>
            </w:r>
          </w:p>
        </w:tc>
        <w:tc>
          <w:tcPr>
            <w:tcW w:w="950" w:type="pct"/>
            <w:tcBorders>
              <w:top w:val="nil"/>
              <w:left w:val="nil"/>
              <w:bottom w:val="nil"/>
              <w:right w:val="nil"/>
            </w:tcBorders>
            <w:vAlign w:val="center"/>
          </w:tcPr>
          <w:p w14:paraId="2584CC53" w14:textId="77777777" w:rsidR="009B57E2" w:rsidRPr="00494CA7" w:rsidRDefault="009B57E2" w:rsidP="00B64335">
            <w:pPr>
              <w:spacing w:after="0" w:line="240" w:lineRule="auto"/>
              <w:jc w:val="center"/>
              <w:rPr>
                <w:sz w:val="20"/>
                <w:szCs w:val="20"/>
                <w:lang w:val="en-GB"/>
              </w:rPr>
            </w:pPr>
            <w:r w:rsidRPr="00494CA7">
              <w:rPr>
                <w:sz w:val="20"/>
                <w:szCs w:val="20"/>
                <w:lang w:val="en-GB"/>
              </w:rPr>
              <w:t>6.4</w:t>
            </w:r>
          </w:p>
        </w:tc>
      </w:tr>
      <w:tr w:rsidR="009B57E2" w:rsidRPr="00494CA7" w14:paraId="439BA1D0" w14:textId="77777777" w:rsidTr="00B64335">
        <w:trPr>
          <w:trHeight w:val="284"/>
        </w:trPr>
        <w:tc>
          <w:tcPr>
            <w:tcW w:w="1199" w:type="pct"/>
            <w:tcBorders>
              <w:top w:val="nil"/>
              <w:left w:val="nil"/>
              <w:bottom w:val="nil"/>
              <w:right w:val="nil"/>
            </w:tcBorders>
            <w:vAlign w:val="center"/>
          </w:tcPr>
          <w:p w14:paraId="63B78561" w14:textId="77777777" w:rsidR="009B57E2" w:rsidRPr="00494CA7" w:rsidRDefault="009B57E2" w:rsidP="00B64335">
            <w:pPr>
              <w:spacing w:after="0" w:line="240" w:lineRule="auto"/>
              <w:rPr>
                <w:sz w:val="20"/>
                <w:szCs w:val="20"/>
                <w:lang w:val="en-GB"/>
              </w:rPr>
            </w:pPr>
            <w:r w:rsidRPr="00494CA7">
              <w:rPr>
                <w:color w:val="000000"/>
                <w:sz w:val="20"/>
                <w:szCs w:val="20"/>
                <w:lang w:val="en-GB"/>
              </w:rPr>
              <w:t>Thailand</w:t>
            </w:r>
          </w:p>
        </w:tc>
        <w:tc>
          <w:tcPr>
            <w:tcW w:w="950" w:type="pct"/>
            <w:tcBorders>
              <w:top w:val="nil"/>
              <w:left w:val="nil"/>
              <w:bottom w:val="nil"/>
              <w:right w:val="nil"/>
            </w:tcBorders>
            <w:vAlign w:val="center"/>
          </w:tcPr>
          <w:p w14:paraId="1284D5F3" w14:textId="77777777" w:rsidR="009B57E2" w:rsidRPr="00494CA7" w:rsidRDefault="009B57E2" w:rsidP="00B64335">
            <w:pPr>
              <w:spacing w:after="0" w:line="240" w:lineRule="auto"/>
              <w:jc w:val="center"/>
              <w:rPr>
                <w:sz w:val="20"/>
                <w:szCs w:val="20"/>
                <w:lang w:val="en-GB"/>
              </w:rPr>
            </w:pPr>
            <w:r w:rsidRPr="00494CA7">
              <w:rPr>
                <w:sz w:val="20"/>
                <w:szCs w:val="20"/>
                <w:lang w:val="en-GB"/>
              </w:rPr>
              <w:t>48.0</w:t>
            </w:r>
          </w:p>
        </w:tc>
        <w:tc>
          <w:tcPr>
            <w:tcW w:w="950" w:type="pct"/>
            <w:tcBorders>
              <w:top w:val="nil"/>
              <w:left w:val="nil"/>
              <w:bottom w:val="nil"/>
              <w:right w:val="nil"/>
            </w:tcBorders>
            <w:vAlign w:val="center"/>
          </w:tcPr>
          <w:p w14:paraId="0D107A7C" w14:textId="77777777" w:rsidR="009B57E2" w:rsidRPr="00494CA7" w:rsidRDefault="009B57E2" w:rsidP="00B64335">
            <w:pPr>
              <w:spacing w:after="0" w:line="240" w:lineRule="auto"/>
              <w:jc w:val="center"/>
              <w:rPr>
                <w:sz w:val="20"/>
                <w:szCs w:val="20"/>
                <w:lang w:val="en-GB"/>
              </w:rPr>
            </w:pPr>
            <w:r w:rsidRPr="00494CA7">
              <w:rPr>
                <w:sz w:val="20"/>
                <w:szCs w:val="20"/>
                <w:lang w:val="en-GB"/>
              </w:rPr>
              <w:t>85.7</w:t>
            </w:r>
          </w:p>
        </w:tc>
        <w:tc>
          <w:tcPr>
            <w:tcW w:w="950" w:type="pct"/>
            <w:tcBorders>
              <w:top w:val="nil"/>
              <w:left w:val="nil"/>
              <w:bottom w:val="nil"/>
              <w:right w:val="nil"/>
            </w:tcBorders>
            <w:vAlign w:val="center"/>
          </w:tcPr>
          <w:p w14:paraId="4C37AB28" w14:textId="77777777" w:rsidR="009B57E2" w:rsidRPr="00494CA7" w:rsidRDefault="009B57E2" w:rsidP="00B64335">
            <w:pPr>
              <w:spacing w:after="0" w:line="240" w:lineRule="auto"/>
              <w:jc w:val="center"/>
              <w:rPr>
                <w:sz w:val="20"/>
                <w:szCs w:val="20"/>
                <w:lang w:val="en-GB"/>
              </w:rPr>
            </w:pPr>
            <w:r w:rsidRPr="00494CA7">
              <w:rPr>
                <w:sz w:val="20"/>
                <w:szCs w:val="20"/>
                <w:lang w:val="en-GB"/>
              </w:rPr>
              <w:t>10.4</w:t>
            </w:r>
          </w:p>
        </w:tc>
        <w:tc>
          <w:tcPr>
            <w:tcW w:w="950" w:type="pct"/>
            <w:tcBorders>
              <w:top w:val="nil"/>
              <w:left w:val="nil"/>
              <w:bottom w:val="nil"/>
              <w:right w:val="nil"/>
            </w:tcBorders>
            <w:vAlign w:val="center"/>
          </w:tcPr>
          <w:p w14:paraId="0EADFBA5" w14:textId="77777777" w:rsidR="009B57E2" w:rsidRPr="00494CA7" w:rsidRDefault="009B57E2" w:rsidP="00B64335">
            <w:pPr>
              <w:spacing w:after="0" w:line="240" w:lineRule="auto"/>
              <w:jc w:val="center"/>
              <w:rPr>
                <w:sz w:val="20"/>
                <w:szCs w:val="20"/>
                <w:lang w:val="en-GB"/>
              </w:rPr>
            </w:pPr>
            <w:r w:rsidRPr="00494CA7">
              <w:rPr>
                <w:sz w:val="20"/>
                <w:szCs w:val="20"/>
                <w:lang w:val="en-GB"/>
              </w:rPr>
              <w:t>4.0</w:t>
            </w:r>
          </w:p>
        </w:tc>
      </w:tr>
      <w:tr w:rsidR="009B57E2" w:rsidRPr="00494CA7" w14:paraId="5A8949D0" w14:textId="77777777" w:rsidTr="00B64335">
        <w:trPr>
          <w:trHeight w:val="284"/>
        </w:trPr>
        <w:tc>
          <w:tcPr>
            <w:tcW w:w="1199" w:type="pct"/>
            <w:tcBorders>
              <w:top w:val="nil"/>
              <w:left w:val="nil"/>
              <w:bottom w:val="nil"/>
              <w:right w:val="nil"/>
            </w:tcBorders>
            <w:vAlign w:val="center"/>
          </w:tcPr>
          <w:p w14:paraId="449B7D3B"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UK</w:t>
            </w:r>
          </w:p>
        </w:tc>
        <w:tc>
          <w:tcPr>
            <w:tcW w:w="950" w:type="pct"/>
            <w:tcBorders>
              <w:top w:val="nil"/>
              <w:left w:val="nil"/>
              <w:bottom w:val="nil"/>
              <w:right w:val="nil"/>
            </w:tcBorders>
            <w:vAlign w:val="center"/>
          </w:tcPr>
          <w:p w14:paraId="1C202404" w14:textId="77777777" w:rsidR="009B57E2" w:rsidRPr="00494CA7" w:rsidRDefault="009B57E2" w:rsidP="00B64335">
            <w:pPr>
              <w:spacing w:after="0" w:line="240" w:lineRule="auto"/>
              <w:jc w:val="center"/>
              <w:rPr>
                <w:sz w:val="20"/>
                <w:szCs w:val="20"/>
                <w:lang w:val="en-GB"/>
              </w:rPr>
            </w:pPr>
            <w:r w:rsidRPr="00494CA7">
              <w:rPr>
                <w:sz w:val="20"/>
                <w:szCs w:val="20"/>
                <w:lang w:val="en-GB"/>
              </w:rPr>
              <w:t>6.9</w:t>
            </w:r>
          </w:p>
        </w:tc>
        <w:tc>
          <w:tcPr>
            <w:tcW w:w="950" w:type="pct"/>
            <w:tcBorders>
              <w:top w:val="nil"/>
              <w:left w:val="nil"/>
              <w:bottom w:val="nil"/>
              <w:right w:val="nil"/>
            </w:tcBorders>
            <w:vAlign w:val="center"/>
          </w:tcPr>
          <w:p w14:paraId="1812704B" w14:textId="77777777" w:rsidR="009B57E2" w:rsidRPr="00494CA7" w:rsidRDefault="009B57E2" w:rsidP="00B64335">
            <w:pPr>
              <w:spacing w:after="0" w:line="240" w:lineRule="auto"/>
              <w:jc w:val="center"/>
              <w:rPr>
                <w:sz w:val="20"/>
                <w:szCs w:val="20"/>
                <w:lang w:val="en-GB"/>
              </w:rPr>
            </w:pPr>
            <w:r w:rsidRPr="00494CA7">
              <w:rPr>
                <w:sz w:val="20"/>
                <w:szCs w:val="20"/>
                <w:lang w:val="en-GB"/>
              </w:rPr>
              <w:t>76.1</w:t>
            </w:r>
          </w:p>
        </w:tc>
        <w:tc>
          <w:tcPr>
            <w:tcW w:w="950" w:type="pct"/>
            <w:tcBorders>
              <w:top w:val="nil"/>
              <w:left w:val="nil"/>
              <w:bottom w:val="nil"/>
              <w:right w:val="nil"/>
            </w:tcBorders>
            <w:vAlign w:val="center"/>
          </w:tcPr>
          <w:p w14:paraId="166AA1A0" w14:textId="77777777" w:rsidR="009B57E2" w:rsidRPr="00494CA7" w:rsidRDefault="009B57E2" w:rsidP="00B64335">
            <w:pPr>
              <w:spacing w:after="0" w:line="240" w:lineRule="auto"/>
              <w:jc w:val="center"/>
              <w:rPr>
                <w:sz w:val="20"/>
                <w:szCs w:val="20"/>
                <w:lang w:val="en-GB"/>
              </w:rPr>
            </w:pPr>
            <w:r w:rsidRPr="00494CA7">
              <w:rPr>
                <w:sz w:val="20"/>
                <w:szCs w:val="20"/>
                <w:lang w:val="en-GB"/>
              </w:rPr>
              <w:t>14.3</w:t>
            </w:r>
          </w:p>
        </w:tc>
        <w:tc>
          <w:tcPr>
            <w:tcW w:w="950" w:type="pct"/>
            <w:tcBorders>
              <w:top w:val="nil"/>
              <w:left w:val="nil"/>
              <w:bottom w:val="nil"/>
              <w:right w:val="nil"/>
            </w:tcBorders>
            <w:vAlign w:val="center"/>
          </w:tcPr>
          <w:p w14:paraId="13C72954" w14:textId="77777777" w:rsidR="009B57E2" w:rsidRPr="00494CA7" w:rsidRDefault="009B57E2" w:rsidP="00B64335">
            <w:pPr>
              <w:spacing w:after="0" w:line="240" w:lineRule="auto"/>
              <w:jc w:val="center"/>
              <w:rPr>
                <w:sz w:val="20"/>
                <w:szCs w:val="20"/>
                <w:lang w:val="en-GB"/>
              </w:rPr>
            </w:pPr>
            <w:r w:rsidRPr="00494CA7">
              <w:rPr>
                <w:sz w:val="20"/>
                <w:szCs w:val="20"/>
                <w:lang w:val="en-GB"/>
              </w:rPr>
              <w:t>9.7</w:t>
            </w:r>
          </w:p>
        </w:tc>
      </w:tr>
      <w:tr w:rsidR="009B57E2" w:rsidRPr="00494CA7" w14:paraId="46EE8A21" w14:textId="77777777" w:rsidTr="00B64335">
        <w:trPr>
          <w:trHeight w:val="284"/>
        </w:trPr>
        <w:tc>
          <w:tcPr>
            <w:tcW w:w="1199" w:type="pct"/>
            <w:tcBorders>
              <w:top w:val="nil"/>
              <w:left w:val="nil"/>
              <w:bottom w:val="single" w:sz="12" w:space="0" w:color="auto"/>
              <w:right w:val="nil"/>
            </w:tcBorders>
            <w:vAlign w:val="center"/>
          </w:tcPr>
          <w:p w14:paraId="5FE1A9A5" w14:textId="77777777" w:rsidR="009B57E2" w:rsidRPr="00494CA7" w:rsidRDefault="009B57E2" w:rsidP="00B64335">
            <w:pPr>
              <w:spacing w:after="0" w:line="240" w:lineRule="auto"/>
              <w:rPr>
                <w:sz w:val="20"/>
                <w:szCs w:val="20"/>
                <w:lang w:val="en-GB"/>
              </w:rPr>
            </w:pPr>
            <w:r w:rsidRPr="00494CA7">
              <w:rPr>
                <w:color w:val="000000"/>
                <w:sz w:val="20"/>
                <w:szCs w:val="20"/>
                <w:lang w:val="en-GB"/>
              </w:rPr>
              <w:t>USA</w:t>
            </w:r>
          </w:p>
        </w:tc>
        <w:tc>
          <w:tcPr>
            <w:tcW w:w="950" w:type="pct"/>
            <w:tcBorders>
              <w:top w:val="nil"/>
              <w:left w:val="nil"/>
              <w:bottom w:val="single" w:sz="12" w:space="0" w:color="auto"/>
              <w:right w:val="nil"/>
            </w:tcBorders>
            <w:vAlign w:val="center"/>
          </w:tcPr>
          <w:p w14:paraId="6F360D29" w14:textId="77777777" w:rsidR="009B57E2" w:rsidRPr="00494CA7" w:rsidRDefault="009B57E2" w:rsidP="00B64335">
            <w:pPr>
              <w:spacing w:after="0" w:line="240" w:lineRule="auto"/>
              <w:jc w:val="center"/>
              <w:rPr>
                <w:sz w:val="20"/>
                <w:szCs w:val="20"/>
                <w:lang w:val="en-GB"/>
              </w:rPr>
            </w:pPr>
            <w:r w:rsidRPr="00494CA7">
              <w:rPr>
                <w:sz w:val="20"/>
                <w:szCs w:val="20"/>
                <w:lang w:val="en-GB"/>
              </w:rPr>
              <w:t>16.2</w:t>
            </w:r>
          </w:p>
        </w:tc>
        <w:tc>
          <w:tcPr>
            <w:tcW w:w="950" w:type="pct"/>
            <w:tcBorders>
              <w:top w:val="nil"/>
              <w:left w:val="nil"/>
              <w:bottom w:val="single" w:sz="12" w:space="0" w:color="auto"/>
              <w:right w:val="nil"/>
            </w:tcBorders>
            <w:vAlign w:val="center"/>
          </w:tcPr>
          <w:p w14:paraId="07A3BF28" w14:textId="77777777" w:rsidR="009B57E2" w:rsidRPr="00494CA7" w:rsidRDefault="009B57E2" w:rsidP="00B64335">
            <w:pPr>
              <w:spacing w:after="0" w:line="240" w:lineRule="auto"/>
              <w:jc w:val="center"/>
              <w:rPr>
                <w:sz w:val="20"/>
                <w:szCs w:val="20"/>
                <w:lang w:val="en-GB"/>
              </w:rPr>
            </w:pPr>
            <w:r w:rsidRPr="00494CA7">
              <w:rPr>
                <w:sz w:val="20"/>
                <w:szCs w:val="20"/>
                <w:lang w:val="en-GB"/>
              </w:rPr>
              <w:t>64.8</w:t>
            </w:r>
          </w:p>
        </w:tc>
        <w:tc>
          <w:tcPr>
            <w:tcW w:w="950" w:type="pct"/>
            <w:tcBorders>
              <w:top w:val="nil"/>
              <w:left w:val="nil"/>
              <w:bottom w:val="single" w:sz="12" w:space="0" w:color="auto"/>
              <w:right w:val="nil"/>
            </w:tcBorders>
            <w:vAlign w:val="center"/>
          </w:tcPr>
          <w:p w14:paraId="2FE90C51" w14:textId="77777777" w:rsidR="009B57E2" w:rsidRPr="00494CA7" w:rsidRDefault="009B57E2" w:rsidP="00B64335">
            <w:pPr>
              <w:spacing w:after="0" w:line="240" w:lineRule="auto"/>
              <w:jc w:val="center"/>
              <w:rPr>
                <w:sz w:val="20"/>
                <w:szCs w:val="20"/>
                <w:lang w:val="en-GB"/>
              </w:rPr>
            </w:pPr>
            <w:r w:rsidRPr="00494CA7">
              <w:rPr>
                <w:sz w:val="20"/>
                <w:szCs w:val="20"/>
                <w:lang w:val="en-GB"/>
              </w:rPr>
              <w:t>18.3</w:t>
            </w:r>
          </w:p>
        </w:tc>
        <w:tc>
          <w:tcPr>
            <w:tcW w:w="950" w:type="pct"/>
            <w:tcBorders>
              <w:top w:val="nil"/>
              <w:left w:val="nil"/>
              <w:bottom w:val="single" w:sz="12" w:space="0" w:color="auto"/>
              <w:right w:val="nil"/>
            </w:tcBorders>
            <w:vAlign w:val="center"/>
          </w:tcPr>
          <w:p w14:paraId="1A8A4E67" w14:textId="77777777" w:rsidR="009B57E2" w:rsidRPr="00494CA7" w:rsidRDefault="009B57E2" w:rsidP="00B64335">
            <w:pPr>
              <w:spacing w:after="0" w:line="240" w:lineRule="auto"/>
              <w:jc w:val="center"/>
              <w:rPr>
                <w:sz w:val="20"/>
                <w:szCs w:val="20"/>
                <w:lang w:val="en-GB"/>
              </w:rPr>
            </w:pPr>
            <w:r w:rsidRPr="00494CA7">
              <w:rPr>
                <w:sz w:val="20"/>
                <w:szCs w:val="20"/>
                <w:lang w:val="en-GB"/>
              </w:rPr>
              <w:t>16.9</w:t>
            </w:r>
          </w:p>
        </w:tc>
      </w:tr>
    </w:tbl>
    <w:p w14:paraId="4835DD1E" w14:textId="77777777" w:rsidR="009B57E2" w:rsidRPr="00DD5C4E" w:rsidRDefault="009B57E2" w:rsidP="009B57E2">
      <w:pPr>
        <w:spacing w:after="0" w:line="240" w:lineRule="auto"/>
        <w:rPr>
          <w:b/>
          <w:szCs w:val="24"/>
          <w:lang w:val="en-GB"/>
        </w:rPr>
      </w:pPr>
      <w:r w:rsidRPr="00494CA7">
        <w:rPr>
          <w:b/>
          <w:szCs w:val="24"/>
          <w:lang w:val="en-GB"/>
        </w:rPr>
        <w:br w:type="page"/>
      </w:r>
      <w:r w:rsidRPr="00DD5C4E">
        <w:rPr>
          <w:b/>
          <w:szCs w:val="24"/>
          <w:lang w:val="en-GB"/>
        </w:rPr>
        <w:lastRenderedPageBreak/>
        <w:t>Table A.3: Per cent co-residing with grandparents by family type and by country. 15-year-old students in 2000. Number of level-1 observations (students) = 151377.</w:t>
      </w:r>
    </w:p>
    <w:tbl>
      <w:tblPr>
        <w:tblW w:w="0" w:type="auto"/>
        <w:tblBorders>
          <w:top w:val="single" w:sz="12" w:space="0" w:color="auto"/>
          <w:bottom w:val="single" w:sz="12" w:space="0" w:color="auto"/>
        </w:tblBorders>
        <w:tblLayout w:type="fixed"/>
        <w:tblLook w:val="04A0" w:firstRow="1" w:lastRow="0" w:firstColumn="1" w:lastColumn="0" w:noHBand="0" w:noVBand="1"/>
      </w:tblPr>
      <w:tblGrid>
        <w:gridCol w:w="2381"/>
        <w:gridCol w:w="2381"/>
        <w:gridCol w:w="2381"/>
        <w:gridCol w:w="2381"/>
      </w:tblGrid>
      <w:tr w:rsidR="009B57E2" w:rsidRPr="00494CA7" w14:paraId="3AF48A22" w14:textId="77777777" w:rsidTr="00B64335">
        <w:trPr>
          <w:trHeight w:val="283"/>
        </w:trPr>
        <w:tc>
          <w:tcPr>
            <w:tcW w:w="2381" w:type="dxa"/>
            <w:tcBorders>
              <w:top w:val="single" w:sz="12" w:space="0" w:color="auto"/>
              <w:bottom w:val="single" w:sz="2" w:space="0" w:color="auto"/>
              <w:right w:val="nil"/>
            </w:tcBorders>
            <w:vAlign w:val="center"/>
          </w:tcPr>
          <w:p w14:paraId="5570AC87" w14:textId="77777777" w:rsidR="009B57E2" w:rsidRPr="00494CA7" w:rsidRDefault="009B57E2" w:rsidP="00B64335">
            <w:pPr>
              <w:spacing w:after="0" w:line="240" w:lineRule="auto"/>
              <w:rPr>
                <w:sz w:val="20"/>
                <w:szCs w:val="20"/>
                <w:lang w:val="en-GB"/>
              </w:rPr>
            </w:pPr>
            <w:r w:rsidRPr="00494CA7">
              <w:rPr>
                <w:sz w:val="20"/>
                <w:szCs w:val="20"/>
                <w:lang w:val="en-GB"/>
              </w:rPr>
              <w:t>Country</w:t>
            </w:r>
          </w:p>
        </w:tc>
        <w:tc>
          <w:tcPr>
            <w:tcW w:w="2381" w:type="dxa"/>
            <w:tcBorders>
              <w:top w:val="single" w:sz="12" w:space="0" w:color="auto"/>
              <w:left w:val="nil"/>
              <w:bottom w:val="single" w:sz="2" w:space="0" w:color="auto"/>
              <w:right w:val="nil"/>
            </w:tcBorders>
            <w:vAlign w:val="center"/>
          </w:tcPr>
          <w:p w14:paraId="5E978EB5" w14:textId="77777777" w:rsidR="009B57E2" w:rsidRPr="00494CA7" w:rsidRDefault="009B57E2" w:rsidP="00B64335">
            <w:pPr>
              <w:spacing w:after="0" w:line="240" w:lineRule="auto"/>
              <w:jc w:val="center"/>
              <w:rPr>
                <w:sz w:val="20"/>
                <w:szCs w:val="20"/>
                <w:lang w:val="en-GB"/>
              </w:rPr>
            </w:pPr>
            <w:r w:rsidRPr="00494CA7">
              <w:rPr>
                <w:sz w:val="20"/>
                <w:szCs w:val="20"/>
                <w:lang w:val="en-GB"/>
              </w:rPr>
              <w:t>Two biological parents</w:t>
            </w:r>
          </w:p>
        </w:tc>
        <w:tc>
          <w:tcPr>
            <w:tcW w:w="2381" w:type="dxa"/>
            <w:tcBorders>
              <w:top w:val="single" w:sz="12" w:space="0" w:color="auto"/>
              <w:left w:val="nil"/>
              <w:bottom w:val="single" w:sz="2" w:space="0" w:color="auto"/>
              <w:right w:val="nil"/>
            </w:tcBorders>
            <w:vAlign w:val="center"/>
          </w:tcPr>
          <w:p w14:paraId="774AA385" w14:textId="77777777" w:rsidR="009B57E2" w:rsidRPr="00494CA7" w:rsidRDefault="009B57E2" w:rsidP="00B64335">
            <w:pPr>
              <w:spacing w:after="0" w:line="240" w:lineRule="auto"/>
              <w:jc w:val="center"/>
              <w:rPr>
                <w:sz w:val="20"/>
                <w:szCs w:val="20"/>
                <w:lang w:val="en-GB"/>
              </w:rPr>
            </w:pPr>
            <w:r w:rsidRPr="00494CA7">
              <w:rPr>
                <w:sz w:val="20"/>
                <w:szCs w:val="20"/>
                <w:lang w:val="en-GB"/>
              </w:rPr>
              <w:t>Single parent</w:t>
            </w:r>
          </w:p>
        </w:tc>
        <w:tc>
          <w:tcPr>
            <w:tcW w:w="2381" w:type="dxa"/>
            <w:tcBorders>
              <w:top w:val="single" w:sz="12" w:space="0" w:color="auto"/>
              <w:left w:val="nil"/>
              <w:bottom w:val="single" w:sz="2" w:space="0" w:color="auto"/>
              <w:right w:val="nil"/>
            </w:tcBorders>
            <w:vAlign w:val="center"/>
          </w:tcPr>
          <w:p w14:paraId="0570297E" w14:textId="77777777" w:rsidR="009B57E2" w:rsidRPr="00494CA7" w:rsidRDefault="009B57E2" w:rsidP="00B64335">
            <w:pPr>
              <w:spacing w:after="0" w:line="240" w:lineRule="auto"/>
              <w:jc w:val="center"/>
              <w:rPr>
                <w:sz w:val="20"/>
                <w:szCs w:val="20"/>
                <w:lang w:val="en-GB"/>
              </w:rPr>
            </w:pPr>
            <w:r w:rsidRPr="00494CA7">
              <w:rPr>
                <w:sz w:val="20"/>
                <w:szCs w:val="20"/>
                <w:lang w:val="en-GB"/>
              </w:rPr>
              <w:t>One biological parent, one step-parent</w:t>
            </w:r>
          </w:p>
        </w:tc>
      </w:tr>
      <w:tr w:rsidR="009B57E2" w:rsidRPr="00494CA7" w14:paraId="47A78A7F" w14:textId="77777777" w:rsidTr="00B64335">
        <w:trPr>
          <w:trHeight w:val="283"/>
        </w:trPr>
        <w:tc>
          <w:tcPr>
            <w:tcW w:w="2381" w:type="dxa"/>
            <w:tcBorders>
              <w:top w:val="single" w:sz="2" w:space="0" w:color="auto"/>
            </w:tcBorders>
            <w:vAlign w:val="center"/>
          </w:tcPr>
          <w:p w14:paraId="52641F81"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Albania</w:t>
            </w:r>
          </w:p>
        </w:tc>
        <w:tc>
          <w:tcPr>
            <w:tcW w:w="2381" w:type="dxa"/>
            <w:tcBorders>
              <w:top w:val="single" w:sz="2" w:space="0" w:color="auto"/>
            </w:tcBorders>
            <w:vAlign w:val="center"/>
          </w:tcPr>
          <w:p w14:paraId="661979F1" w14:textId="77777777" w:rsidR="009B57E2" w:rsidRPr="00494CA7" w:rsidRDefault="009B57E2" w:rsidP="00B64335">
            <w:pPr>
              <w:spacing w:after="0" w:line="240" w:lineRule="auto"/>
              <w:jc w:val="center"/>
              <w:rPr>
                <w:sz w:val="20"/>
                <w:szCs w:val="20"/>
                <w:lang w:val="en-GB"/>
              </w:rPr>
            </w:pPr>
            <w:r w:rsidRPr="00494CA7">
              <w:rPr>
                <w:sz w:val="20"/>
                <w:szCs w:val="20"/>
                <w:lang w:val="en-GB"/>
              </w:rPr>
              <w:t>32.5</w:t>
            </w:r>
          </w:p>
        </w:tc>
        <w:tc>
          <w:tcPr>
            <w:tcW w:w="2381" w:type="dxa"/>
            <w:tcBorders>
              <w:top w:val="single" w:sz="2" w:space="0" w:color="auto"/>
            </w:tcBorders>
            <w:vAlign w:val="center"/>
          </w:tcPr>
          <w:p w14:paraId="7A6809D5" w14:textId="77777777" w:rsidR="009B57E2" w:rsidRPr="00494CA7" w:rsidRDefault="009B57E2" w:rsidP="00B64335">
            <w:pPr>
              <w:spacing w:after="0" w:line="240" w:lineRule="auto"/>
              <w:jc w:val="center"/>
              <w:rPr>
                <w:sz w:val="20"/>
                <w:szCs w:val="20"/>
                <w:lang w:val="en-GB"/>
              </w:rPr>
            </w:pPr>
            <w:r w:rsidRPr="00494CA7">
              <w:rPr>
                <w:sz w:val="20"/>
                <w:szCs w:val="20"/>
                <w:lang w:val="en-GB"/>
              </w:rPr>
              <w:t>29.0</w:t>
            </w:r>
          </w:p>
        </w:tc>
        <w:tc>
          <w:tcPr>
            <w:tcW w:w="2381" w:type="dxa"/>
            <w:tcBorders>
              <w:top w:val="single" w:sz="2" w:space="0" w:color="auto"/>
            </w:tcBorders>
            <w:vAlign w:val="center"/>
          </w:tcPr>
          <w:p w14:paraId="044E372E" w14:textId="77777777" w:rsidR="009B57E2" w:rsidRPr="00494CA7" w:rsidRDefault="009B57E2" w:rsidP="00B64335">
            <w:pPr>
              <w:spacing w:after="0" w:line="240" w:lineRule="auto"/>
              <w:jc w:val="center"/>
              <w:rPr>
                <w:sz w:val="20"/>
                <w:szCs w:val="20"/>
                <w:lang w:val="en-GB"/>
              </w:rPr>
            </w:pPr>
            <w:r w:rsidRPr="00494CA7">
              <w:rPr>
                <w:sz w:val="20"/>
                <w:szCs w:val="20"/>
                <w:lang w:val="en-GB"/>
              </w:rPr>
              <w:t>30.6</w:t>
            </w:r>
          </w:p>
        </w:tc>
      </w:tr>
      <w:tr w:rsidR="009B57E2" w:rsidRPr="00494CA7" w14:paraId="3199637B" w14:textId="77777777" w:rsidTr="00B64335">
        <w:trPr>
          <w:trHeight w:val="283"/>
        </w:trPr>
        <w:tc>
          <w:tcPr>
            <w:tcW w:w="2381" w:type="dxa"/>
            <w:vAlign w:val="center"/>
          </w:tcPr>
          <w:p w14:paraId="0178F91E"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Argentina</w:t>
            </w:r>
          </w:p>
        </w:tc>
        <w:tc>
          <w:tcPr>
            <w:tcW w:w="2381" w:type="dxa"/>
            <w:vAlign w:val="center"/>
          </w:tcPr>
          <w:p w14:paraId="18F9923F" w14:textId="77777777" w:rsidR="009B57E2" w:rsidRPr="00494CA7" w:rsidRDefault="009B57E2" w:rsidP="00B64335">
            <w:pPr>
              <w:spacing w:after="0" w:line="240" w:lineRule="auto"/>
              <w:jc w:val="center"/>
              <w:rPr>
                <w:sz w:val="20"/>
                <w:szCs w:val="20"/>
                <w:lang w:val="en-GB"/>
              </w:rPr>
            </w:pPr>
            <w:r w:rsidRPr="00494CA7">
              <w:rPr>
                <w:sz w:val="20"/>
                <w:szCs w:val="20"/>
                <w:lang w:val="en-GB"/>
              </w:rPr>
              <w:t>28.4</w:t>
            </w:r>
          </w:p>
        </w:tc>
        <w:tc>
          <w:tcPr>
            <w:tcW w:w="2381" w:type="dxa"/>
            <w:vAlign w:val="center"/>
          </w:tcPr>
          <w:p w14:paraId="396C4405" w14:textId="77777777" w:rsidR="009B57E2" w:rsidRPr="00494CA7" w:rsidRDefault="009B57E2" w:rsidP="00B64335">
            <w:pPr>
              <w:spacing w:after="0" w:line="240" w:lineRule="auto"/>
              <w:jc w:val="center"/>
              <w:rPr>
                <w:sz w:val="20"/>
                <w:szCs w:val="20"/>
                <w:lang w:val="en-GB"/>
              </w:rPr>
            </w:pPr>
            <w:r w:rsidRPr="00494CA7">
              <w:rPr>
                <w:sz w:val="20"/>
                <w:szCs w:val="20"/>
                <w:lang w:val="en-GB"/>
              </w:rPr>
              <w:t>33.7</w:t>
            </w:r>
          </w:p>
        </w:tc>
        <w:tc>
          <w:tcPr>
            <w:tcW w:w="2381" w:type="dxa"/>
            <w:vAlign w:val="center"/>
          </w:tcPr>
          <w:p w14:paraId="097A3D96" w14:textId="77777777" w:rsidR="009B57E2" w:rsidRPr="00494CA7" w:rsidRDefault="009B57E2" w:rsidP="00B64335">
            <w:pPr>
              <w:spacing w:after="0" w:line="240" w:lineRule="auto"/>
              <w:jc w:val="center"/>
              <w:rPr>
                <w:sz w:val="20"/>
                <w:szCs w:val="20"/>
                <w:lang w:val="en-GB"/>
              </w:rPr>
            </w:pPr>
            <w:r w:rsidRPr="00494CA7">
              <w:rPr>
                <w:sz w:val="20"/>
                <w:szCs w:val="20"/>
                <w:lang w:val="en-GB"/>
              </w:rPr>
              <w:t>22.3</w:t>
            </w:r>
          </w:p>
        </w:tc>
      </w:tr>
      <w:tr w:rsidR="009B57E2" w:rsidRPr="00494CA7" w14:paraId="33753DFA" w14:textId="77777777" w:rsidTr="00B64335">
        <w:trPr>
          <w:trHeight w:val="283"/>
        </w:trPr>
        <w:tc>
          <w:tcPr>
            <w:tcW w:w="2381" w:type="dxa"/>
            <w:vAlign w:val="center"/>
          </w:tcPr>
          <w:p w14:paraId="648A442B"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Australia</w:t>
            </w:r>
          </w:p>
        </w:tc>
        <w:tc>
          <w:tcPr>
            <w:tcW w:w="2381" w:type="dxa"/>
            <w:vAlign w:val="center"/>
          </w:tcPr>
          <w:p w14:paraId="27660156" w14:textId="77777777" w:rsidR="009B57E2" w:rsidRPr="00494CA7" w:rsidRDefault="009B57E2" w:rsidP="00B64335">
            <w:pPr>
              <w:spacing w:after="0" w:line="240" w:lineRule="auto"/>
              <w:jc w:val="center"/>
              <w:rPr>
                <w:sz w:val="20"/>
                <w:szCs w:val="20"/>
                <w:lang w:val="en-GB"/>
              </w:rPr>
            </w:pPr>
            <w:r w:rsidRPr="00494CA7">
              <w:rPr>
                <w:sz w:val="20"/>
                <w:szCs w:val="20"/>
                <w:lang w:val="en-GB"/>
              </w:rPr>
              <w:t>5.3</w:t>
            </w:r>
          </w:p>
        </w:tc>
        <w:tc>
          <w:tcPr>
            <w:tcW w:w="2381" w:type="dxa"/>
            <w:vAlign w:val="center"/>
          </w:tcPr>
          <w:p w14:paraId="0F4E004F" w14:textId="77777777" w:rsidR="009B57E2" w:rsidRPr="00494CA7" w:rsidRDefault="009B57E2" w:rsidP="00B64335">
            <w:pPr>
              <w:spacing w:after="0" w:line="240" w:lineRule="auto"/>
              <w:jc w:val="center"/>
              <w:rPr>
                <w:sz w:val="20"/>
                <w:szCs w:val="20"/>
                <w:lang w:val="en-GB"/>
              </w:rPr>
            </w:pPr>
            <w:r w:rsidRPr="00494CA7">
              <w:rPr>
                <w:sz w:val="20"/>
                <w:szCs w:val="20"/>
                <w:lang w:val="en-GB"/>
              </w:rPr>
              <w:t>5.9</w:t>
            </w:r>
          </w:p>
        </w:tc>
        <w:tc>
          <w:tcPr>
            <w:tcW w:w="2381" w:type="dxa"/>
            <w:vAlign w:val="center"/>
          </w:tcPr>
          <w:p w14:paraId="3E6E95CA" w14:textId="77777777" w:rsidR="009B57E2" w:rsidRPr="00494CA7" w:rsidRDefault="009B57E2" w:rsidP="00B64335">
            <w:pPr>
              <w:spacing w:after="0" w:line="240" w:lineRule="auto"/>
              <w:jc w:val="center"/>
              <w:rPr>
                <w:sz w:val="20"/>
                <w:szCs w:val="20"/>
                <w:lang w:val="en-GB"/>
              </w:rPr>
            </w:pPr>
            <w:r w:rsidRPr="00494CA7">
              <w:rPr>
                <w:sz w:val="20"/>
                <w:szCs w:val="20"/>
                <w:lang w:val="en-GB"/>
              </w:rPr>
              <w:t>4.3</w:t>
            </w:r>
          </w:p>
        </w:tc>
      </w:tr>
      <w:tr w:rsidR="009B57E2" w:rsidRPr="00494CA7" w14:paraId="3FD46E95" w14:textId="77777777" w:rsidTr="00B64335">
        <w:trPr>
          <w:trHeight w:val="283"/>
        </w:trPr>
        <w:tc>
          <w:tcPr>
            <w:tcW w:w="2381" w:type="dxa"/>
            <w:vAlign w:val="center"/>
          </w:tcPr>
          <w:p w14:paraId="33D76042"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Austria</w:t>
            </w:r>
          </w:p>
        </w:tc>
        <w:tc>
          <w:tcPr>
            <w:tcW w:w="2381" w:type="dxa"/>
            <w:vAlign w:val="center"/>
          </w:tcPr>
          <w:p w14:paraId="6894A5E8" w14:textId="77777777" w:rsidR="009B57E2" w:rsidRPr="00494CA7" w:rsidRDefault="009B57E2" w:rsidP="00B64335">
            <w:pPr>
              <w:spacing w:after="0" w:line="240" w:lineRule="auto"/>
              <w:jc w:val="center"/>
              <w:rPr>
                <w:sz w:val="20"/>
                <w:szCs w:val="20"/>
                <w:lang w:val="en-GB"/>
              </w:rPr>
            </w:pPr>
            <w:r w:rsidRPr="00494CA7">
              <w:rPr>
                <w:sz w:val="20"/>
                <w:szCs w:val="20"/>
                <w:lang w:val="en-GB"/>
              </w:rPr>
              <w:t>26.8</w:t>
            </w:r>
          </w:p>
        </w:tc>
        <w:tc>
          <w:tcPr>
            <w:tcW w:w="2381" w:type="dxa"/>
            <w:vAlign w:val="center"/>
          </w:tcPr>
          <w:p w14:paraId="29AD9EA2" w14:textId="77777777" w:rsidR="009B57E2" w:rsidRPr="00494CA7" w:rsidRDefault="009B57E2" w:rsidP="00B64335">
            <w:pPr>
              <w:spacing w:after="0" w:line="240" w:lineRule="auto"/>
              <w:jc w:val="center"/>
              <w:rPr>
                <w:sz w:val="20"/>
                <w:szCs w:val="20"/>
                <w:lang w:val="en-GB"/>
              </w:rPr>
            </w:pPr>
            <w:r w:rsidRPr="00494CA7">
              <w:rPr>
                <w:sz w:val="20"/>
                <w:szCs w:val="20"/>
                <w:lang w:val="en-GB"/>
              </w:rPr>
              <w:t>17.6</w:t>
            </w:r>
          </w:p>
        </w:tc>
        <w:tc>
          <w:tcPr>
            <w:tcW w:w="2381" w:type="dxa"/>
            <w:vAlign w:val="center"/>
          </w:tcPr>
          <w:p w14:paraId="04AB6F2B" w14:textId="77777777" w:rsidR="009B57E2" w:rsidRPr="00494CA7" w:rsidRDefault="009B57E2" w:rsidP="00B64335">
            <w:pPr>
              <w:spacing w:after="0" w:line="240" w:lineRule="auto"/>
              <w:jc w:val="center"/>
              <w:rPr>
                <w:sz w:val="20"/>
                <w:szCs w:val="20"/>
                <w:lang w:val="en-GB"/>
              </w:rPr>
            </w:pPr>
            <w:r w:rsidRPr="00494CA7">
              <w:rPr>
                <w:sz w:val="20"/>
                <w:szCs w:val="20"/>
                <w:lang w:val="en-GB"/>
              </w:rPr>
              <w:t>17.1</w:t>
            </w:r>
          </w:p>
        </w:tc>
      </w:tr>
      <w:tr w:rsidR="009B57E2" w:rsidRPr="00494CA7" w14:paraId="0C844F09" w14:textId="77777777" w:rsidTr="00B64335">
        <w:trPr>
          <w:trHeight w:val="283"/>
        </w:trPr>
        <w:tc>
          <w:tcPr>
            <w:tcW w:w="2381" w:type="dxa"/>
            <w:vAlign w:val="center"/>
          </w:tcPr>
          <w:p w14:paraId="53A3192D"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Belgium</w:t>
            </w:r>
          </w:p>
        </w:tc>
        <w:tc>
          <w:tcPr>
            <w:tcW w:w="2381" w:type="dxa"/>
            <w:vAlign w:val="center"/>
          </w:tcPr>
          <w:p w14:paraId="3309C564" w14:textId="77777777" w:rsidR="009B57E2" w:rsidRPr="00494CA7" w:rsidRDefault="009B57E2" w:rsidP="00B64335">
            <w:pPr>
              <w:spacing w:after="0" w:line="240" w:lineRule="auto"/>
              <w:jc w:val="center"/>
              <w:rPr>
                <w:sz w:val="20"/>
                <w:szCs w:val="20"/>
                <w:lang w:val="en-GB"/>
              </w:rPr>
            </w:pPr>
            <w:r w:rsidRPr="00494CA7">
              <w:rPr>
                <w:sz w:val="20"/>
                <w:szCs w:val="20"/>
                <w:lang w:val="en-GB"/>
              </w:rPr>
              <w:t>6.5</w:t>
            </w:r>
          </w:p>
        </w:tc>
        <w:tc>
          <w:tcPr>
            <w:tcW w:w="2381" w:type="dxa"/>
            <w:vAlign w:val="center"/>
          </w:tcPr>
          <w:p w14:paraId="18E65257" w14:textId="77777777" w:rsidR="009B57E2" w:rsidRPr="00494CA7" w:rsidRDefault="009B57E2" w:rsidP="00B64335">
            <w:pPr>
              <w:spacing w:after="0" w:line="240" w:lineRule="auto"/>
              <w:jc w:val="center"/>
              <w:rPr>
                <w:sz w:val="20"/>
                <w:szCs w:val="20"/>
                <w:lang w:val="en-GB"/>
              </w:rPr>
            </w:pPr>
            <w:r w:rsidRPr="00494CA7">
              <w:rPr>
                <w:sz w:val="20"/>
                <w:szCs w:val="20"/>
                <w:lang w:val="en-GB"/>
              </w:rPr>
              <w:t>7.8</w:t>
            </w:r>
          </w:p>
        </w:tc>
        <w:tc>
          <w:tcPr>
            <w:tcW w:w="2381" w:type="dxa"/>
            <w:vAlign w:val="center"/>
          </w:tcPr>
          <w:p w14:paraId="56F1923F" w14:textId="77777777" w:rsidR="009B57E2" w:rsidRPr="00494CA7" w:rsidRDefault="009B57E2" w:rsidP="00B64335">
            <w:pPr>
              <w:spacing w:after="0" w:line="240" w:lineRule="auto"/>
              <w:jc w:val="center"/>
              <w:rPr>
                <w:sz w:val="20"/>
                <w:szCs w:val="20"/>
                <w:lang w:val="en-GB"/>
              </w:rPr>
            </w:pPr>
            <w:r w:rsidRPr="00494CA7">
              <w:rPr>
                <w:sz w:val="20"/>
                <w:szCs w:val="20"/>
                <w:lang w:val="en-GB"/>
              </w:rPr>
              <w:t>7.0</w:t>
            </w:r>
          </w:p>
        </w:tc>
      </w:tr>
      <w:tr w:rsidR="009B57E2" w:rsidRPr="00494CA7" w14:paraId="7427204F" w14:textId="77777777" w:rsidTr="00B64335">
        <w:trPr>
          <w:trHeight w:val="283"/>
        </w:trPr>
        <w:tc>
          <w:tcPr>
            <w:tcW w:w="2381" w:type="dxa"/>
            <w:vAlign w:val="center"/>
          </w:tcPr>
          <w:p w14:paraId="4AD8BF12"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Brazil</w:t>
            </w:r>
          </w:p>
        </w:tc>
        <w:tc>
          <w:tcPr>
            <w:tcW w:w="2381" w:type="dxa"/>
            <w:vAlign w:val="center"/>
          </w:tcPr>
          <w:p w14:paraId="7826F538" w14:textId="77777777" w:rsidR="009B57E2" w:rsidRPr="00494CA7" w:rsidRDefault="009B57E2" w:rsidP="00B64335">
            <w:pPr>
              <w:spacing w:after="0" w:line="240" w:lineRule="auto"/>
              <w:jc w:val="center"/>
              <w:rPr>
                <w:sz w:val="20"/>
                <w:szCs w:val="20"/>
                <w:lang w:val="en-GB"/>
              </w:rPr>
            </w:pPr>
            <w:r w:rsidRPr="00494CA7">
              <w:rPr>
                <w:sz w:val="20"/>
                <w:szCs w:val="20"/>
                <w:lang w:val="en-GB"/>
              </w:rPr>
              <w:t>25.4</w:t>
            </w:r>
          </w:p>
        </w:tc>
        <w:tc>
          <w:tcPr>
            <w:tcW w:w="2381" w:type="dxa"/>
            <w:vAlign w:val="center"/>
          </w:tcPr>
          <w:p w14:paraId="099A63D4" w14:textId="77777777" w:rsidR="009B57E2" w:rsidRPr="00494CA7" w:rsidRDefault="009B57E2" w:rsidP="00B64335">
            <w:pPr>
              <w:spacing w:after="0" w:line="240" w:lineRule="auto"/>
              <w:jc w:val="center"/>
              <w:rPr>
                <w:sz w:val="20"/>
                <w:szCs w:val="20"/>
                <w:lang w:val="en-GB"/>
              </w:rPr>
            </w:pPr>
            <w:r w:rsidRPr="00494CA7">
              <w:rPr>
                <w:sz w:val="20"/>
                <w:szCs w:val="20"/>
                <w:lang w:val="en-GB"/>
              </w:rPr>
              <w:t>30.1</w:t>
            </w:r>
          </w:p>
        </w:tc>
        <w:tc>
          <w:tcPr>
            <w:tcW w:w="2381" w:type="dxa"/>
            <w:vAlign w:val="center"/>
          </w:tcPr>
          <w:p w14:paraId="02F46082" w14:textId="77777777" w:rsidR="009B57E2" w:rsidRPr="00494CA7" w:rsidRDefault="009B57E2" w:rsidP="00B64335">
            <w:pPr>
              <w:spacing w:after="0" w:line="240" w:lineRule="auto"/>
              <w:jc w:val="center"/>
              <w:rPr>
                <w:sz w:val="20"/>
                <w:szCs w:val="20"/>
                <w:lang w:val="en-GB"/>
              </w:rPr>
            </w:pPr>
            <w:r w:rsidRPr="00494CA7">
              <w:rPr>
                <w:sz w:val="20"/>
                <w:szCs w:val="20"/>
                <w:lang w:val="en-GB"/>
              </w:rPr>
              <w:t>24.6</w:t>
            </w:r>
          </w:p>
        </w:tc>
      </w:tr>
      <w:tr w:rsidR="009B57E2" w:rsidRPr="00494CA7" w14:paraId="310C5AE9" w14:textId="77777777" w:rsidTr="00B64335">
        <w:trPr>
          <w:trHeight w:val="283"/>
        </w:trPr>
        <w:tc>
          <w:tcPr>
            <w:tcW w:w="2381" w:type="dxa"/>
            <w:vAlign w:val="center"/>
          </w:tcPr>
          <w:p w14:paraId="1C0F62AD"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Bulgaria</w:t>
            </w:r>
          </w:p>
        </w:tc>
        <w:tc>
          <w:tcPr>
            <w:tcW w:w="2381" w:type="dxa"/>
            <w:vAlign w:val="center"/>
          </w:tcPr>
          <w:p w14:paraId="15494784" w14:textId="77777777" w:rsidR="009B57E2" w:rsidRPr="00494CA7" w:rsidRDefault="009B57E2" w:rsidP="00B64335">
            <w:pPr>
              <w:spacing w:after="0" w:line="240" w:lineRule="auto"/>
              <w:jc w:val="center"/>
              <w:rPr>
                <w:sz w:val="20"/>
                <w:szCs w:val="20"/>
                <w:lang w:val="en-GB"/>
              </w:rPr>
            </w:pPr>
            <w:r w:rsidRPr="00494CA7">
              <w:rPr>
                <w:sz w:val="20"/>
                <w:szCs w:val="20"/>
                <w:lang w:val="en-GB"/>
              </w:rPr>
              <w:t>50.0</w:t>
            </w:r>
          </w:p>
        </w:tc>
        <w:tc>
          <w:tcPr>
            <w:tcW w:w="2381" w:type="dxa"/>
            <w:vAlign w:val="center"/>
          </w:tcPr>
          <w:p w14:paraId="37493D10" w14:textId="77777777" w:rsidR="009B57E2" w:rsidRPr="00494CA7" w:rsidRDefault="009B57E2" w:rsidP="00B64335">
            <w:pPr>
              <w:spacing w:after="0" w:line="240" w:lineRule="auto"/>
              <w:jc w:val="center"/>
              <w:rPr>
                <w:sz w:val="20"/>
                <w:szCs w:val="20"/>
                <w:lang w:val="en-GB"/>
              </w:rPr>
            </w:pPr>
            <w:r w:rsidRPr="00494CA7">
              <w:rPr>
                <w:sz w:val="20"/>
                <w:szCs w:val="20"/>
                <w:lang w:val="en-GB"/>
              </w:rPr>
              <w:t>53.8</w:t>
            </w:r>
          </w:p>
        </w:tc>
        <w:tc>
          <w:tcPr>
            <w:tcW w:w="2381" w:type="dxa"/>
            <w:vAlign w:val="center"/>
          </w:tcPr>
          <w:p w14:paraId="0FB86BCD" w14:textId="77777777" w:rsidR="009B57E2" w:rsidRPr="00494CA7" w:rsidRDefault="009B57E2" w:rsidP="00B64335">
            <w:pPr>
              <w:spacing w:after="0" w:line="240" w:lineRule="auto"/>
              <w:jc w:val="center"/>
              <w:rPr>
                <w:sz w:val="20"/>
                <w:szCs w:val="20"/>
                <w:lang w:val="en-GB"/>
              </w:rPr>
            </w:pPr>
            <w:r w:rsidRPr="00494CA7">
              <w:rPr>
                <w:sz w:val="20"/>
                <w:szCs w:val="20"/>
                <w:lang w:val="en-GB"/>
              </w:rPr>
              <w:t>41.4</w:t>
            </w:r>
          </w:p>
        </w:tc>
      </w:tr>
      <w:tr w:rsidR="009B57E2" w:rsidRPr="00494CA7" w14:paraId="2E07770B" w14:textId="77777777" w:rsidTr="00B64335">
        <w:trPr>
          <w:trHeight w:val="283"/>
        </w:trPr>
        <w:tc>
          <w:tcPr>
            <w:tcW w:w="2381" w:type="dxa"/>
            <w:vAlign w:val="center"/>
          </w:tcPr>
          <w:p w14:paraId="42086267"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Canada</w:t>
            </w:r>
          </w:p>
        </w:tc>
        <w:tc>
          <w:tcPr>
            <w:tcW w:w="2381" w:type="dxa"/>
            <w:vAlign w:val="center"/>
          </w:tcPr>
          <w:p w14:paraId="56B3E761" w14:textId="77777777" w:rsidR="009B57E2" w:rsidRPr="00494CA7" w:rsidRDefault="009B57E2" w:rsidP="00B64335">
            <w:pPr>
              <w:spacing w:after="0" w:line="240" w:lineRule="auto"/>
              <w:jc w:val="center"/>
              <w:rPr>
                <w:sz w:val="20"/>
                <w:szCs w:val="20"/>
                <w:lang w:val="en-GB"/>
              </w:rPr>
            </w:pPr>
            <w:r w:rsidRPr="00494CA7">
              <w:rPr>
                <w:sz w:val="20"/>
                <w:szCs w:val="20"/>
                <w:lang w:val="en-GB"/>
              </w:rPr>
              <w:t>9.5</w:t>
            </w:r>
          </w:p>
        </w:tc>
        <w:tc>
          <w:tcPr>
            <w:tcW w:w="2381" w:type="dxa"/>
            <w:vAlign w:val="center"/>
          </w:tcPr>
          <w:p w14:paraId="4EC04589" w14:textId="77777777" w:rsidR="009B57E2" w:rsidRPr="00494CA7" w:rsidRDefault="009B57E2" w:rsidP="00B64335">
            <w:pPr>
              <w:spacing w:after="0" w:line="240" w:lineRule="auto"/>
              <w:jc w:val="center"/>
              <w:rPr>
                <w:sz w:val="20"/>
                <w:szCs w:val="20"/>
                <w:lang w:val="en-GB"/>
              </w:rPr>
            </w:pPr>
            <w:r w:rsidRPr="00494CA7">
              <w:rPr>
                <w:sz w:val="20"/>
                <w:szCs w:val="20"/>
                <w:lang w:val="en-GB"/>
              </w:rPr>
              <w:t>10.1</w:t>
            </w:r>
          </w:p>
        </w:tc>
        <w:tc>
          <w:tcPr>
            <w:tcW w:w="2381" w:type="dxa"/>
            <w:vAlign w:val="center"/>
          </w:tcPr>
          <w:p w14:paraId="413875AE" w14:textId="77777777" w:rsidR="009B57E2" w:rsidRPr="00494CA7" w:rsidRDefault="009B57E2" w:rsidP="00B64335">
            <w:pPr>
              <w:spacing w:after="0" w:line="240" w:lineRule="auto"/>
              <w:jc w:val="center"/>
              <w:rPr>
                <w:sz w:val="20"/>
                <w:szCs w:val="20"/>
                <w:lang w:val="en-GB"/>
              </w:rPr>
            </w:pPr>
            <w:r w:rsidRPr="00494CA7">
              <w:rPr>
                <w:sz w:val="20"/>
                <w:szCs w:val="20"/>
                <w:lang w:val="en-GB"/>
              </w:rPr>
              <w:t>8.3</w:t>
            </w:r>
          </w:p>
        </w:tc>
      </w:tr>
      <w:tr w:rsidR="009B57E2" w:rsidRPr="00494CA7" w14:paraId="671A29B4" w14:textId="77777777" w:rsidTr="00B64335">
        <w:trPr>
          <w:trHeight w:val="283"/>
        </w:trPr>
        <w:tc>
          <w:tcPr>
            <w:tcW w:w="2381" w:type="dxa"/>
            <w:vAlign w:val="center"/>
          </w:tcPr>
          <w:p w14:paraId="6F6EAADF"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Chile</w:t>
            </w:r>
          </w:p>
        </w:tc>
        <w:tc>
          <w:tcPr>
            <w:tcW w:w="2381" w:type="dxa"/>
            <w:vAlign w:val="center"/>
          </w:tcPr>
          <w:p w14:paraId="039E30F7" w14:textId="77777777" w:rsidR="009B57E2" w:rsidRPr="00494CA7" w:rsidRDefault="009B57E2" w:rsidP="00B64335">
            <w:pPr>
              <w:spacing w:after="0" w:line="240" w:lineRule="auto"/>
              <w:jc w:val="center"/>
              <w:rPr>
                <w:sz w:val="20"/>
                <w:szCs w:val="20"/>
                <w:lang w:val="en-GB"/>
              </w:rPr>
            </w:pPr>
            <w:r w:rsidRPr="00494CA7">
              <w:rPr>
                <w:sz w:val="20"/>
                <w:szCs w:val="20"/>
                <w:lang w:val="en-GB"/>
              </w:rPr>
              <w:t>17.9</w:t>
            </w:r>
          </w:p>
        </w:tc>
        <w:tc>
          <w:tcPr>
            <w:tcW w:w="2381" w:type="dxa"/>
            <w:vAlign w:val="center"/>
          </w:tcPr>
          <w:p w14:paraId="66C92242" w14:textId="77777777" w:rsidR="009B57E2" w:rsidRPr="00494CA7" w:rsidRDefault="009B57E2" w:rsidP="00B64335">
            <w:pPr>
              <w:spacing w:after="0" w:line="240" w:lineRule="auto"/>
              <w:jc w:val="center"/>
              <w:rPr>
                <w:sz w:val="20"/>
                <w:szCs w:val="20"/>
                <w:lang w:val="en-GB"/>
              </w:rPr>
            </w:pPr>
            <w:r w:rsidRPr="00494CA7">
              <w:rPr>
                <w:sz w:val="20"/>
                <w:szCs w:val="20"/>
                <w:lang w:val="en-GB"/>
              </w:rPr>
              <w:t>37.0</w:t>
            </w:r>
          </w:p>
        </w:tc>
        <w:tc>
          <w:tcPr>
            <w:tcW w:w="2381" w:type="dxa"/>
            <w:vAlign w:val="center"/>
          </w:tcPr>
          <w:p w14:paraId="4D343676" w14:textId="77777777" w:rsidR="009B57E2" w:rsidRPr="00494CA7" w:rsidRDefault="009B57E2" w:rsidP="00B64335">
            <w:pPr>
              <w:spacing w:after="0" w:line="240" w:lineRule="auto"/>
              <w:jc w:val="center"/>
              <w:rPr>
                <w:sz w:val="20"/>
                <w:szCs w:val="20"/>
                <w:lang w:val="en-GB"/>
              </w:rPr>
            </w:pPr>
            <w:r w:rsidRPr="00494CA7">
              <w:rPr>
                <w:sz w:val="20"/>
                <w:szCs w:val="20"/>
                <w:lang w:val="en-GB"/>
              </w:rPr>
              <w:t>22.8</w:t>
            </w:r>
          </w:p>
        </w:tc>
      </w:tr>
      <w:tr w:rsidR="009B57E2" w:rsidRPr="00494CA7" w14:paraId="074594B9" w14:textId="77777777" w:rsidTr="00B64335">
        <w:trPr>
          <w:trHeight w:val="283"/>
        </w:trPr>
        <w:tc>
          <w:tcPr>
            <w:tcW w:w="2381" w:type="dxa"/>
            <w:vAlign w:val="center"/>
          </w:tcPr>
          <w:p w14:paraId="71BEBA40"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Czech Republic</w:t>
            </w:r>
          </w:p>
        </w:tc>
        <w:tc>
          <w:tcPr>
            <w:tcW w:w="2381" w:type="dxa"/>
            <w:vAlign w:val="center"/>
          </w:tcPr>
          <w:p w14:paraId="3CFC1D9D" w14:textId="77777777" w:rsidR="009B57E2" w:rsidRPr="00494CA7" w:rsidRDefault="009B57E2" w:rsidP="00B64335">
            <w:pPr>
              <w:spacing w:after="0" w:line="240" w:lineRule="auto"/>
              <w:jc w:val="center"/>
              <w:rPr>
                <w:sz w:val="20"/>
                <w:szCs w:val="20"/>
                <w:lang w:val="en-GB"/>
              </w:rPr>
            </w:pPr>
            <w:r w:rsidRPr="00494CA7">
              <w:rPr>
                <w:sz w:val="20"/>
                <w:szCs w:val="20"/>
                <w:lang w:val="en-GB"/>
              </w:rPr>
              <w:t>20.1</w:t>
            </w:r>
          </w:p>
        </w:tc>
        <w:tc>
          <w:tcPr>
            <w:tcW w:w="2381" w:type="dxa"/>
            <w:vAlign w:val="center"/>
          </w:tcPr>
          <w:p w14:paraId="2F08ED52" w14:textId="77777777" w:rsidR="009B57E2" w:rsidRPr="00494CA7" w:rsidRDefault="009B57E2" w:rsidP="00B64335">
            <w:pPr>
              <w:spacing w:after="0" w:line="240" w:lineRule="auto"/>
              <w:jc w:val="center"/>
              <w:rPr>
                <w:sz w:val="20"/>
                <w:szCs w:val="20"/>
                <w:lang w:val="en-GB"/>
              </w:rPr>
            </w:pPr>
            <w:r w:rsidRPr="00494CA7">
              <w:rPr>
                <w:sz w:val="20"/>
                <w:szCs w:val="20"/>
                <w:lang w:val="en-GB"/>
              </w:rPr>
              <w:t>17.0</w:t>
            </w:r>
          </w:p>
        </w:tc>
        <w:tc>
          <w:tcPr>
            <w:tcW w:w="2381" w:type="dxa"/>
            <w:vAlign w:val="center"/>
          </w:tcPr>
          <w:p w14:paraId="0485421A" w14:textId="77777777" w:rsidR="009B57E2" w:rsidRPr="00494CA7" w:rsidRDefault="009B57E2" w:rsidP="00B64335">
            <w:pPr>
              <w:spacing w:after="0" w:line="240" w:lineRule="auto"/>
              <w:jc w:val="center"/>
              <w:rPr>
                <w:sz w:val="20"/>
                <w:szCs w:val="20"/>
                <w:lang w:val="en-GB"/>
              </w:rPr>
            </w:pPr>
            <w:r w:rsidRPr="00494CA7">
              <w:rPr>
                <w:sz w:val="20"/>
                <w:szCs w:val="20"/>
                <w:lang w:val="en-GB"/>
              </w:rPr>
              <w:t>12.4</w:t>
            </w:r>
          </w:p>
        </w:tc>
      </w:tr>
      <w:tr w:rsidR="009B57E2" w:rsidRPr="00494CA7" w14:paraId="42A88F3E" w14:textId="77777777" w:rsidTr="00B64335">
        <w:trPr>
          <w:trHeight w:val="283"/>
        </w:trPr>
        <w:tc>
          <w:tcPr>
            <w:tcW w:w="2381" w:type="dxa"/>
            <w:vAlign w:val="center"/>
          </w:tcPr>
          <w:p w14:paraId="1367364E"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Denmark</w:t>
            </w:r>
          </w:p>
        </w:tc>
        <w:tc>
          <w:tcPr>
            <w:tcW w:w="2381" w:type="dxa"/>
            <w:vAlign w:val="center"/>
          </w:tcPr>
          <w:p w14:paraId="799B118B" w14:textId="77777777" w:rsidR="009B57E2" w:rsidRPr="00494CA7" w:rsidRDefault="009B57E2" w:rsidP="00B64335">
            <w:pPr>
              <w:spacing w:after="0" w:line="240" w:lineRule="auto"/>
              <w:jc w:val="center"/>
              <w:rPr>
                <w:sz w:val="20"/>
                <w:szCs w:val="20"/>
                <w:lang w:val="en-GB"/>
              </w:rPr>
            </w:pPr>
            <w:r w:rsidRPr="00494CA7">
              <w:rPr>
                <w:sz w:val="20"/>
                <w:szCs w:val="20"/>
                <w:lang w:val="en-GB"/>
              </w:rPr>
              <w:t>4.8</w:t>
            </w:r>
          </w:p>
        </w:tc>
        <w:tc>
          <w:tcPr>
            <w:tcW w:w="2381" w:type="dxa"/>
            <w:vAlign w:val="center"/>
          </w:tcPr>
          <w:p w14:paraId="4CFCFF13" w14:textId="77777777" w:rsidR="009B57E2" w:rsidRPr="00494CA7" w:rsidRDefault="009B57E2" w:rsidP="00B64335">
            <w:pPr>
              <w:spacing w:after="0" w:line="240" w:lineRule="auto"/>
              <w:jc w:val="center"/>
              <w:rPr>
                <w:sz w:val="20"/>
                <w:szCs w:val="20"/>
                <w:lang w:val="en-GB"/>
              </w:rPr>
            </w:pPr>
            <w:r w:rsidRPr="00494CA7">
              <w:rPr>
                <w:sz w:val="20"/>
                <w:szCs w:val="20"/>
                <w:lang w:val="en-GB"/>
              </w:rPr>
              <w:t>3.9</w:t>
            </w:r>
          </w:p>
        </w:tc>
        <w:tc>
          <w:tcPr>
            <w:tcW w:w="2381" w:type="dxa"/>
            <w:vAlign w:val="center"/>
          </w:tcPr>
          <w:p w14:paraId="20D2663A" w14:textId="77777777" w:rsidR="009B57E2" w:rsidRPr="00494CA7" w:rsidRDefault="009B57E2" w:rsidP="00B64335">
            <w:pPr>
              <w:spacing w:after="0" w:line="240" w:lineRule="auto"/>
              <w:jc w:val="center"/>
              <w:rPr>
                <w:sz w:val="20"/>
                <w:szCs w:val="20"/>
                <w:lang w:val="en-GB"/>
              </w:rPr>
            </w:pPr>
            <w:r w:rsidRPr="00494CA7">
              <w:rPr>
                <w:sz w:val="20"/>
                <w:szCs w:val="20"/>
                <w:lang w:val="en-GB"/>
              </w:rPr>
              <w:t>3.4</w:t>
            </w:r>
          </w:p>
        </w:tc>
      </w:tr>
      <w:tr w:rsidR="009B57E2" w:rsidRPr="00494CA7" w14:paraId="7F92E9C7" w14:textId="77777777" w:rsidTr="00B64335">
        <w:trPr>
          <w:trHeight w:val="283"/>
        </w:trPr>
        <w:tc>
          <w:tcPr>
            <w:tcW w:w="2381" w:type="dxa"/>
            <w:vAlign w:val="center"/>
          </w:tcPr>
          <w:p w14:paraId="578C2500"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Finland</w:t>
            </w:r>
          </w:p>
        </w:tc>
        <w:tc>
          <w:tcPr>
            <w:tcW w:w="2381" w:type="dxa"/>
            <w:vAlign w:val="center"/>
          </w:tcPr>
          <w:p w14:paraId="367444EC" w14:textId="77777777" w:rsidR="009B57E2" w:rsidRPr="00494CA7" w:rsidRDefault="009B57E2" w:rsidP="00B64335">
            <w:pPr>
              <w:spacing w:after="0" w:line="240" w:lineRule="auto"/>
              <w:jc w:val="center"/>
              <w:rPr>
                <w:sz w:val="20"/>
                <w:szCs w:val="20"/>
                <w:lang w:val="en-GB"/>
              </w:rPr>
            </w:pPr>
            <w:r w:rsidRPr="00494CA7">
              <w:rPr>
                <w:sz w:val="20"/>
                <w:szCs w:val="20"/>
                <w:lang w:val="en-GB"/>
              </w:rPr>
              <w:t>2.7</w:t>
            </w:r>
          </w:p>
        </w:tc>
        <w:tc>
          <w:tcPr>
            <w:tcW w:w="2381" w:type="dxa"/>
            <w:vAlign w:val="center"/>
          </w:tcPr>
          <w:p w14:paraId="2584D5FF" w14:textId="77777777" w:rsidR="009B57E2" w:rsidRPr="00494CA7" w:rsidRDefault="009B57E2" w:rsidP="00B64335">
            <w:pPr>
              <w:spacing w:after="0" w:line="240" w:lineRule="auto"/>
              <w:jc w:val="center"/>
              <w:rPr>
                <w:sz w:val="20"/>
                <w:szCs w:val="20"/>
                <w:lang w:val="en-GB"/>
              </w:rPr>
            </w:pPr>
            <w:r w:rsidRPr="00494CA7">
              <w:rPr>
                <w:sz w:val="20"/>
                <w:szCs w:val="20"/>
                <w:lang w:val="en-GB"/>
              </w:rPr>
              <w:t>1.7</w:t>
            </w:r>
          </w:p>
        </w:tc>
        <w:tc>
          <w:tcPr>
            <w:tcW w:w="2381" w:type="dxa"/>
            <w:vAlign w:val="center"/>
          </w:tcPr>
          <w:p w14:paraId="74125D51" w14:textId="77777777" w:rsidR="009B57E2" w:rsidRPr="00494CA7" w:rsidRDefault="009B57E2" w:rsidP="00B64335">
            <w:pPr>
              <w:spacing w:after="0" w:line="240" w:lineRule="auto"/>
              <w:jc w:val="center"/>
              <w:rPr>
                <w:sz w:val="20"/>
                <w:szCs w:val="20"/>
                <w:lang w:val="en-GB"/>
              </w:rPr>
            </w:pPr>
            <w:r w:rsidRPr="00494CA7">
              <w:rPr>
                <w:sz w:val="20"/>
                <w:szCs w:val="20"/>
                <w:lang w:val="en-GB"/>
              </w:rPr>
              <w:t>0.7</w:t>
            </w:r>
          </w:p>
        </w:tc>
      </w:tr>
      <w:tr w:rsidR="009B57E2" w:rsidRPr="00494CA7" w14:paraId="5F547B2E" w14:textId="77777777" w:rsidTr="00B64335">
        <w:trPr>
          <w:trHeight w:val="283"/>
        </w:trPr>
        <w:tc>
          <w:tcPr>
            <w:tcW w:w="2381" w:type="dxa"/>
            <w:vAlign w:val="center"/>
          </w:tcPr>
          <w:p w14:paraId="421F7326"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France</w:t>
            </w:r>
          </w:p>
        </w:tc>
        <w:tc>
          <w:tcPr>
            <w:tcW w:w="2381" w:type="dxa"/>
            <w:vAlign w:val="center"/>
          </w:tcPr>
          <w:p w14:paraId="4B915C62" w14:textId="77777777" w:rsidR="009B57E2" w:rsidRPr="00494CA7" w:rsidRDefault="009B57E2" w:rsidP="00B64335">
            <w:pPr>
              <w:spacing w:after="0" w:line="240" w:lineRule="auto"/>
              <w:jc w:val="center"/>
              <w:rPr>
                <w:sz w:val="20"/>
                <w:szCs w:val="20"/>
                <w:lang w:val="en-GB"/>
              </w:rPr>
            </w:pPr>
            <w:r w:rsidRPr="00494CA7">
              <w:rPr>
                <w:sz w:val="20"/>
                <w:szCs w:val="20"/>
                <w:lang w:val="en-GB"/>
              </w:rPr>
              <w:t>6.8</w:t>
            </w:r>
          </w:p>
        </w:tc>
        <w:tc>
          <w:tcPr>
            <w:tcW w:w="2381" w:type="dxa"/>
            <w:vAlign w:val="center"/>
          </w:tcPr>
          <w:p w14:paraId="229204CE" w14:textId="77777777" w:rsidR="009B57E2" w:rsidRPr="00494CA7" w:rsidRDefault="009B57E2" w:rsidP="00B64335">
            <w:pPr>
              <w:spacing w:after="0" w:line="240" w:lineRule="auto"/>
              <w:jc w:val="center"/>
              <w:rPr>
                <w:sz w:val="20"/>
                <w:szCs w:val="20"/>
                <w:lang w:val="en-GB"/>
              </w:rPr>
            </w:pPr>
            <w:r w:rsidRPr="00494CA7">
              <w:rPr>
                <w:sz w:val="20"/>
                <w:szCs w:val="20"/>
                <w:lang w:val="en-GB"/>
              </w:rPr>
              <w:t>10.5</w:t>
            </w:r>
          </w:p>
        </w:tc>
        <w:tc>
          <w:tcPr>
            <w:tcW w:w="2381" w:type="dxa"/>
            <w:vAlign w:val="center"/>
          </w:tcPr>
          <w:p w14:paraId="56CF0736" w14:textId="77777777" w:rsidR="009B57E2" w:rsidRPr="00494CA7" w:rsidRDefault="009B57E2" w:rsidP="00B64335">
            <w:pPr>
              <w:spacing w:after="0" w:line="240" w:lineRule="auto"/>
              <w:jc w:val="center"/>
              <w:rPr>
                <w:sz w:val="20"/>
                <w:szCs w:val="20"/>
                <w:lang w:val="en-GB"/>
              </w:rPr>
            </w:pPr>
            <w:r w:rsidRPr="00494CA7">
              <w:rPr>
                <w:sz w:val="20"/>
                <w:szCs w:val="20"/>
                <w:lang w:val="en-GB"/>
              </w:rPr>
              <w:t>7.4</w:t>
            </w:r>
          </w:p>
        </w:tc>
      </w:tr>
      <w:tr w:rsidR="009B57E2" w:rsidRPr="00494CA7" w14:paraId="27B4A7EA" w14:textId="77777777" w:rsidTr="00B64335">
        <w:trPr>
          <w:trHeight w:val="283"/>
        </w:trPr>
        <w:tc>
          <w:tcPr>
            <w:tcW w:w="2381" w:type="dxa"/>
            <w:vAlign w:val="center"/>
          </w:tcPr>
          <w:p w14:paraId="47068860"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Germany</w:t>
            </w:r>
          </w:p>
        </w:tc>
        <w:tc>
          <w:tcPr>
            <w:tcW w:w="2381" w:type="dxa"/>
            <w:vAlign w:val="center"/>
          </w:tcPr>
          <w:p w14:paraId="60AA9D98" w14:textId="77777777" w:rsidR="009B57E2" w:rsidRPr="00494CA7" w:rsidRDefault="009B57E2" w:rsidP="00B64335">
            <w:pPr>
              <w:spacing w:after="0" w:line="240" w:lineRule="auto"/>
              <w:jc w:val="center"/>
              <w:rPr>
                <w:sz w:val="20"/>
                <w:szCs w:val="20"/>
                <w:lang w:val="en-GB"/>
              </w:rPr>
            </w:pPr>
            <w:r w:rsidRPr="00494CA7">
              <w:rPr>
                <w:sz w:val="20"/>
                <w:szCs w:val="20"/>
                <w:lang w:val="en-GB"/>
              </w:rPr>
              <w:t>21.4</w:t>
            </w:r>
          </w:p>
        </w:tc>
        <w:tc>
          <w:tcPr>
            <w:tcW w:w="2381" w:type="dxa"/>
            <w:vAlign w:val="center"/>
          </w:tcPr>
          <w:p w14:paraId="0C6CBE71" w14:textId="77777777" w:rsidR="009B57E2" w:rsidRPr="00494CA7" w:rsidRDefault="009B57E2" w:rsidP="00B64335">
            <w:pPr>
              <w:spacing w:after="0" w:line="240" w:lineRule="auto"/>
              <w:jc w:val="center"/>
              <w:rPr>
                <w:sz w:val="20"/>
                <w:szCs w:val="20"/>
                <w:lang w:val="en-GB"/>
              </w:rPr>
            </w:pPr>
            <w:r w:rsidRPr="00494CA7">
              <w:rPr>
                <w:sz w:val="20"/>
                <w:szCs w:val="20"/>
                <w:lang w:val="en-GB"/>
              </w:rPr>
              <w:t>15.6</w:t>
            </w:r>
          </w:p>
        </w:tc>
        <w:tc>
          <w:tcPr>
            <w:tcW w:w="2381" w:type="dxa"/>
            <w:vAlign w:val="center"/>
          </w:tcPr>
          <w:p w14:paraId="42D2AFF2" w14:textId="77777777" w:rsidR="009B57E2" w:rsidRPr="00494CA7" w:rsidRDefault="009B57E2" w:rsidP="00B64335">
            <w:pPr>
              <w:spacing w:after="0" w:line="240" w:lineRule="auto"/>
              <w:jc w:val="center"/>
              <w:rPr>
                <w:sz w:val="20"/>
                <w:szCs w:val="20"/>
                <w:lang w:val="en-GB"/>
              </w:rPr>
            </w:pPr>
            <w:r w:rsidRPr="00494CA7">
              <w:rPr>
                <w:sz w:val="20"/>
                <w:szCs w:val="20"/>
                <w:lang w:val="en-GB"/>
              </w:rPr>
              <w:t>10.8</w:t>
            </w:r>
          </w:p>
        </w:tc>
      </w:tr>
      <w:tr w:rsidR="009B57E2" w:rsidRPr="00494CA7" w14:paraId="167C7CCC" w14:textId="77777777" w:rsidTr="00B64335">
        <w:trPr>
          <w:trHeight w:val="283"/>
        </w:trPr>
        <w:tc>
          <w:tcPr>
            <w:tcW w:w="2381" w:type="dxa"/>
            <w:vAlign w:val="center"/>
          </w:tcPr>
          <w:p w14:paraId="589A7D0B"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Greece</w:t>
            </w:r>
          </w:p>
        </w:tc>
        <w:tc>
          <w:tcPr>
            <w:tcW w:w="2381" w:type="dxa"/>
            <w:vAlign w:val="center"/>
          </w:tcPr>
          <w:p w14:paraId="39BC0250" w14:textId="77777777" w:rsidR="009B57E2" w:rsidRPr="00494CA7" w:rsidRDefault="009B57E2" w:rsidP="00B64335">
            <w:pPr>
              <w:spacing w:after="0" w:line="240" w:lineRule="auto"/>
              <w:jc w:val="center"/>
              <w:rPr>
                <w:sz w:val="20"/>
                <w:szCs w:val="20"/>
                <w:lang w:val="en-GB"/>
              </w:rPr>
            </w:pPr>
            <w:r w:rsidRPr="00494CA7">
              <w:rPr>
                <w:sz w:val="20"/>
                <w:szCs w:val="20"/>
                <w:lang w:val="en-GB"/>
              </w:rPr>
              <w:t>23.7</w:t>
            </w:r>
          </w:p>
        </w:tc>
        <w:tc>
          <w:tcPr>
            <w:tcW w:w="2381" w:type="dxa"/>
            <w:vAlign w:val="center"/>
          </w:tcPr>
          <w:p w14:paraId="7CB17F71" w14:textId="77777777" w:rsidR="009B57E2" w:rsidRPr="00494CA7" w:rsidRDefault="009B57E2" w:rsidP="00B64335">
            <w:pPr>
              <w:spacing w:after="0" w:line="240" w:lineRule="auto"/>
              <w:jc w:val="center"/>
              <w:rPr>
                <w:sz w:val="20"/>
                <w:szCs w:val="20"/>
                <w:lang w:val="en-GB"/>
              </w:rPr>
            </w:pPr>
            <w:r w:rsidRPr="00494CA7">
              <w:rPr>
                <w:sz w:val="20"/>
                <w:szCs w:val="20"/>
                <w:lang w:val="en-GB"/>
              </w:rPr>
              <w:t>35.1</w:t>
            </w:r>
          </w:p>
        </w:tc>
        <w:tc>
          <w:tcPr>
            <w:tcW w:w="2381" w:type="dxa"/>
            <w:vAlign w:val="center"/>
          </w:tcPr>
          <w:p w14:paraId="4072FDB9" w14:textId="77777777" w:rsidR="009B57E2" w:rsidRPr="00494CA7" w:rsidRDefault="009B57E2" w:rsidP="00B64335">
            <w:pPr>
              <w:spacing w:after="0" w:line="240" w:lineRule="auto"/>
              <w:jc w:val="center"/>
              <w:rPr>
                <w:sz w:val="20"/>
                <w:szCs w:val="20"/>
                <w:lang w:val="en-GB"/>
              </w:rPr>
            </w:pPr>
            <w:r w:rsidRPr="00494CA7">
              <w:rPr>
                <w:sz w:val="20"/>
                <w:szCs w:val="20"/>
                <w:lang w:val="en-GB"/>
              </w:rPr>
              <w:t>23.8</w:t>
            </w:r>
          </w:p>
        </w:tc>
      </w:tr>
      <w:tr w:rsidR="009B57E2" w:rsidRPr="00494CA7" w14:paraId="49DFF8FF" w14:textId="77777777" w:rsidTr="00B64335">
        <w:trPr>
          <w:trHeight w:val="283"/>
        </w:trPr>
        <w:tc>
          <w:tcPr>
            <w:tcW w:w="2381" w:type="dxa"/>
            <w:vAlign w:val="center"/>
          </w:tcPr>
          <w:p w14:paraId="40CC68BD"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Hong Kong</w:t>
            </w:r>
          </w:p>
        </w:tc>
        <w:tc>
          <w:tcPr>
            <w:tcW w:w="2381" w:type="dxa"/>
            <w:vAlign w:val="center"/>
          </w:tcPr>
          <w:p w14:paraId="7CDAF133" w14:textId="77777777" w:rsidR="009B57E2" w:rsidRPr="00494CA7" w:rsidRDefault="009B57E2" w:rsidP="00B64335">
            <w:pPr>
              <w:spacing w:after="0" w:line="240" w:lineRule="auto"/>
              <w:jc w:val="center"/>
              <w:rPr>
                <w:sz w:val="20"/>
                <w:szCs w:val="20"/>
                <w:lang w:val="en-GB"/>
              </w:rPr>
            </w:pPr>
            <w:r w:rsidRPr="00494CA7">
              <w:rPr>
                <w:sz w:val="20"/>
                <w:szCs w:val="20"/>
                <w:lang w:val="en-GB"/>
              </w:rPr>
              <w:t>12.1</w:t>
            </w:r>
          </w:p>
        </w:tc>
        <w:tc>
          <w:tcPr>
            <w:tcW w:w="2381" w:type="dxa"/>
            <w:vAlign w:val="center"/>
          </w:tcPr>
          <w:p w14:paraId="766429DC" w14:textId="77777777" w:rsidR="009B57E2" w:rsidRPr="00494CA7" w:rsidRDefault="009B57E2" w:rsidP="00B64335">
            <w:pPr>
              <w:spacing w:after="0" w:line="240" w:lineRule="auto"/>
              <w:jc w:val="center"/>
              <w:rPr>
                <w:sz w:val="20"/>
                <w:szCs w:val="20"/>
                <w:lang w:val="en-GB"/>
              </w:rPr>
            </w:pPr>
            <w:r w:rsidRPr="00494CA7">
              <w:rPr>
                <w:sz w:val="20"/>
                <w:szCs w:val="20"/>
                <w:lang w:val="en-GB"/>
              </w:rPr>
              <w:t>15.8</w:t>
            </w:r>
          </w:p>
        </w:tc>
        <w:tc>
          <w:tcPr>
            <w:tcW w:w="2381" w:type="dxa"/>
            <w:vAlign w:val="center"/>
          </w:tcPr>
          <w:p w14:paraId="7BA6D255" w14:textId="77777777" w:rsidR="009B57E2" w:rsidRPr="00494CA7" w:rsidRDefault="009B57E2" w:rsidP="00B64335">
            <w:pPr>
              <w:spacing w:after="0" w:line="240" w:lineRule="auto"/>
              <w:jc w:val="center"/>
              <w:rPr>
                <w:sz w:val="20"/>
                <w:szCs w:val="20"/>
                <w:lang w:val="en-GB"/>
              </w:rPr>
            </w:pPr>
            <w:r w:rsidRPr="00494CA7">
              <w:rPr>
                <w:sz w:val="20"/>
                <w:szCs w:val="20"/>
                <w:lang w:val="en-GB"/>
              </w:rPr>
              <w:t>28.9</w:t>
            </w:r>
          </w:p>
        </w:tc>
      </w:tr>
      <w:tr w:rsidR="009B57E2" w:rsidRPr="00494CA7" w14:paraId="47C68446" w14:textId="77777777" w:rsidTr="00B64335">
        <w:trPr>
          <w:trHeight w:val="283"/>
        </w:trPr>
        <w:tc>
          <w:tcPr>
            <w:tcW w:w="2381" w:type="dxa"/>
            <w:vAlign w:val="center"/>
          </w:tcPr>
          <w:p w14:paraId="30601AB1"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Hungary</w:t>
            </w:r>
          </w:p>
        </w:tc>
        <w:tc>
          <w:tcPr>
            <w:tcW w:w="2381" w:type="dxa"/>
            <w:vAlign w:val="center"/>
          </w:tcPr>
          <w:p w14:paraId="71ECB9C9" w14:textId="77777777" w:rsidR="009B57E2" w:rsidRPr="00494CA7" w:rsidRDefault="009B57E2" w:rsidP="00B64335">
            <w:pPr>
              <w:spacing w:after="0" w:line="240" w:lineRule="auto"/>
              <w:jc w:val="center"/>
              <w:rPr>
                <w:sz w:val="20"/>
                <w:szCs w:val="20"/>
                <w:lang w:val="en-GB"/>
              </w:rPr>
            </w:pPr>
            <w:r w:rsidRPr="00494CA7">
              <w:rPr>
                <w:sz w:val="20"/>
                <w:szCs w:val="20"/>
                <w:lang w:val="en-GB"/>
              </w:rPr>
              <w:t>13.2</w:t>
            </w:r>
          </w:p>
        </w:tc>
        <w:tc>
          <w:tcPr>
            <w:tcW w:w="2381" w:type="dxa"/>
            <w:vAlign w:val="center"/>
          </w:tcPr>
          <w:p w14:paraId="21A04AC8" w14:textId="77777777" w:rsidR="009B57E2" w:rsidRPr="00494CA7" w:rsidRDefault="009B57E2" w:rsidP="00B64335">
            <w:pPr>
              <w:spacing w:after="0" w:line="240" w:lineRule="auto"/>
              <w:jc w:val="center"/>
              <w:rPr>
                <w:sz w:val="20"/>
                <w:szCs w:val="20"/>
                <w:lang w:val="en-GB"/>
              </w:rPr>
            </w:pPr>
            <w:r w:rsidRPr="00494CA7">
              <w:rPr>
                <w:sz w:val="20"/>
                <w:szCs w:val="20"/>
                <w:lang w:val="en-GB"/>
              </w:rPr>
              <w:t>16.6</w:t>
            </w:r>
          </w:p>
        </w:tc>
        <w:tc>
          <w:tcPr>
            <w:tcW w:w="2381" w:type="dxa"/>
            <w:vAlign w:val="center"/>
          </w:tcPr>
          <w:p w14:paraId="1D61B0C0" w14:textId="77777777" w:rsidR="009B57E2" w:rsidRPr="00494CA7" w:rsidRDefault="009B57E2" w:rsidP="00B64335">
            <w:pPr>
              <w:spacing w:after="0" w:line="240" w:lineRule="auto"/>
              <w:jc w:val="center"/>
              <w:rPr>
                <w:sz w:val="20"/>
                <w:szCs w:val="20"/>
                <w:lang w:val="en-GB"/>
              </w:rPr>
            </w:pPr>
            <w:r w:rsidRPr="00494CA7">
              <w:rPr>
                <w:sz w:val="20"/>
                <w:szCs w:val="20"/>
                <w:lang w:val="en-GB"/>
              </w:rPr>
              <w:t>9.0</w:t>
            </w:r>
          </w:p>
        </w:tc>
      </w:tr>
      <w:tr w:rsidR="009B57E2" w:rsidRPr="00494CA7" w14:paraId="5CF250EC" w14:textId="77777777" w:rsidTr="00B64335">
        <w:trPr>
          <w:trHeight w:val="283"/>
        </w:trPr>
        <w:tc>
          <w:tcPr>
            <w:tcW w:w="2381" w:type="dxa"/>
            <w:vAlign w:val="center"/>
          </w:tcPr>
          <w:p w14:paraId="25CD590F"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Iceland</w:t>
            </w:r>
          </w:p>
        </w:tc>
        <w:tc>
          <w:tcPr>
            <w:tcW w:w="2381" w:type="dxa"/>
            <w:vAlign w:val="center"/>
          </w:tcPr>
          <w:p w14:paraId="51DE4FF1" w14:textId="77777777" w:rsidR="009B57E2" w:rsidRPr="00494CA7" w:rsidRDefault="009B57E2" w:rsidP="00B64335">
            <w:pPr>
              <w:spacing w:after="0" w:line="240" w:lineRule="auto"/>
              <w:jc w:val="center"/>
              <w:rPr>
                <w:sz w:val="20"/>
                <w:szCs w:val="20"/>
                <w:lang w:val="en-GB"/>
              </w:rPr>
            </w:pPr>
            <w:r w:rsidRPr="00494CA7">
              <w:rPr>
                <w:sz w:val="20"/>
                <w:szCs w:val="20"/>
                <w:lang w:val="en-GB"/>
              </w:rPr>
              <w:t>3.4</w:t>
            </w:r>
          </w:p>
        </w:tc>
        <w:tc>
          <w:tcPr>
            <w:tcW w:w="2381" w:type="dxa"/>
            <w:vAlign w:val="center"/>
          </w:tcPr>
          <w:p w14:paraId="58ADB2EE" w14:textId="77777777" w:rsidR="009B57E2" w:rsidRPr="00494CA7" w:rsidRDefault="009B57E2" w:rsidP="00B64335">
            <w:pPr>
              <w:spacing w:after="0" w:line="240" w:lineRule="auto"/>
              <w:jc w:val="center"/>
              <w:rPr>
                <w:sz w:val="20"/>
                <w:szCs w:val="20"/>
                <w:lang w:val="en-GB"/>
              </w:rPr>
            </w:pPr>
            <w:r w:rsidRPr="00494CA7">
              <w:rPr>
                <w:sz w:val="20"/>
                <w:szCs w:val="20"/>
                <w:lang w:val="en-GB"/>
              </w:rPr>
              <w:t>6.1</w:t>
            </w:r>
          </w:p>
        </w:tc>
        <w:tc>
          <w:tcPr>
            <w:tcW w:w="2381" w:type="dxa"/>
            <w:vAlign w:val="center"/>
          </w:tcPr>
          <w:p w14:paraId="1AB64142" w14:textId="77777777" w:rsidR="009B57E2" w:rsidRPr="00494CA7" w:rsidRDefault="009B57E2" w:rsidP="00B64335">
            <w:pPr>
              <w:spacing w:after="0" w:line="240" w:lineRule="auto"/>
              <w:jc w:val="center"/>
              <w:rPr>
                <w:sz w:val="20"/>
                <w:szCs w:val="20"/>
                <w:lang w:val="en-GB"/>
              </w:rPr>
            </w:pPr>
            <w:r w:rsidRPr="00494CA7">
              <w:rPr>
                <w:sz w:val="20"/>
                <w:szCs w:val="20"/>
                <w:lang w:val="en-GB"/>
              </w:rPr>
              <w:t>3.3</w:t>
            </w:r>
          </w:p>
        </w:tc>
      </w:tr>
      <w:tr w:rsidR="009B57E2" w:rsidRPr="00494CA7" w14:paraId="5ABF04EB" w14:textId="77777777" w:rsidTr="00B64335">
        <w:trPr>
          <w:trHeight w:val="283"/>
        </w:trPr>
        <w:tc>
          <w:tcPr>
            <w:tcW w:w="2381" w:type="dxa"/>
            <w:vAlign w:val="center"/>
          </w:tcPr>
          <w:p w14:paraId="571766AB"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Indonesia</w:t>
            </w:r>
          </w:p>
        </w:tc>
        <w:tc>
          <w:tcPr>
            <w:tcW w:w="2381" w:type="dxa"/>
            <w:vAlign w:val="center"/>
          </w:tcPr>
          <w:p w14:paraId="37CA8E68" w14:textId="77777777" w:rsidR="009B57E2" w:rsidRPr="00494CA7" w:rsidRDefault="009B57E2" w:rsidP="00B64335">
            <w:pPr>
              <w:spacing w:after="0" w:line="240" w:lineRule="auto"/>
              <w:jc w:val="center"/>
              <w:rPr>
                <w:sz w:val="20"/>
                <w:szCs w:val="20"/>
                <w:lang w:val="en-GB"/>
              </w:rPr>
            </w:pPr>
            <w:r w:rsidRPr="00494CA7">
              <w:rPr>
                <w:sz w:val="20"/>
                <w:szCs w:val="20"/>
                <w:lang w:val="en-GB"/>
              </w:rPr>
              <w:t>48.1</w:t>
            </w:r>
          </w:p>
        </w:tc>
        <w:tc>
          <w:tcPr>
            <w:tcW w:w="2381" w:type="dxa"/>
            <w:vAlign w:val="center"/>
          </w:tcPr>
          <w:p w14:paraId="70C5EEEA" w14:textId="77777777" w:rsidR="009B57E2" w:rsidRPr="00494CA7" w:rsidRDefault="009B57E2" w:rsidP="00B64335">
            <w:pPr>
              <w:spacing w:after="0" w:line="240" w:lineRule="auto"/>
              <w:jc w:val="center"/>
              <w:rPr>
                <w:sz w:val="20"/>
                <w:szCs w:val="20"/>
                <w:lang w:val="en-GB"/>
              </w:rPr>
            </w:pPr>
            <w:r w:rsidRPr="00494CA7">
              <w:rPr>
                <w:sz w:val="20"/>
                <w:szCs w:val="20"/>
                <w:lang w:val="en-GB"/>
              </w:rPr>
              <w:t>45.0</w:t>
            </w:r>
          </w:p>
        </w:tc>
        <w:tc>
          <w:tcPr>
            <w:tcW w:w="2381" w:type="dxa"/>
            <w:vAlign w:val="center"/>
          </w:tcPr>
          <w:p w14:paraId="746B7D9E" w14:textId="77777777" w:rsidR="009B57E2" w:rsidRPr="00494CA7" w:rsidRDefault="009B57E2" w:rsidP="00B64335">
            <w:pPr>
              <w:spacing w:after="0" w:line="240" w:lineRule="auto"/>
              <w:jc w:val="center"/>
              <w:rPr>
                <w:sz w:val="20"/>
                <w:szCs w:val="20"/>
                <w:lang w:val="en-GB"/>
              </w:rPr>
            </w:pPr>
            <w:r w:rsidRPr="00494CA7">
              <w:rPr>
                <w:sz w:val="20"/>
                <w:szCs w:val="20"/>
                <w:lang w:val="en-GB"/>
              </w:rPr>
              <w:t>56.6</w:t>
            </w:r>
          </w:p>
        </w:tc>
      </w:tr>
      <w:tr w:rsidR="009B57E2" w:rsidRPr="00494CA7" w14:paraId="5070F6CE" w14:textId="77777777" w:rsidTr="00B64335">
        <w:trPr>
          <w:trHeight w:val="283"/>
        </w:trPr>
        <w:tc>
          <w:tcPr>
            <w:tcW w:w="2381" w:type="dxa"/>
            <w:vAlign w:val="center"/>
          </w:tcPr>
          <w:p w14:paraId="6D2C8236"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Ireland</w:t>
            </w:r>
          </w:p>
        </w:tc>
        <w:tc>
          <w:tcPr>
            <w:tcW w:w="2381" w:type="dxa"/>
            <w:vAlign w:val="center"/>
          </w:tcPr>
          <w:p w14:paraId="5F8C3F76" w14:textId="77777777" w:rsidR="009B57E2" w:rsidRPr="00494CA7" w:rsidRDefault="009B57E2" w:rsidP="00B64335">
            <w:pPr>
              <w:spacing w:after="0" w:line="240" w:lineRule="auto"/>
              <w:jc w:val="center"/>
              <w:rPr>
                <w:sz w:val="20"/>
                <w:szCs w:val="20"/>
                <w:lang w:val="en-GB"/>
              </w:rPr>
            </w:pPr>
            <w:r w:rsidRPr="00494CA7">
              <w:rPr>
                <w:sz w:val="20"/>
                <w:szCs w:val="20"/>
                <w:lang w:val="en-GB"/>
              </w:rPr>
              <w:t>10.9</w:t>
            </w:r>
          </w:p>
        </w:tc>
        <w:tc>
          <w:tcPr>
            <w:tcW w:w="2381" w:type="dxa"/>
            <w:vAlign w:val="center"/>
          </w:tcPr>
          <w:p w14:paraId="226B76CC" w14:textId="77777777" w:rsidR="009B57E2" w:rsidRPr="00494CA7" w:rsidRDefault="009B57E2" w:rsidP="00B64335">
            <w:pPr>
              <w:spacing w:after="0" w:line="240" w:lineRule="auto"/>
              <w:jc w:val="center"/>
              <w:rPr>
                <w:sz w:val="20"/>
                <w:szCs w:val="20"/>
                <w:lang w:val="en-GB"/>
              </w:rPr>
            </w:pPr>
            <w:r w:rsidRPr="00494CA7">
              <w:rPr>
                <w:sz w:val="20"/>
                <w:szCs w:val="20"/>
                <w:lang w:val="en-GB"/>
              </w:rPr>
              <w:t>11.5</w:t>
            </w:r>
          </w:p>
        </w:tc>
        <w:tc>
          <w:tcPr>
            <w:tcW w:w="2381" w:type="dxa"/>
            <w:vAlign w:val="center"/>
          </w:tcPr>
          <w:p w14:paraId="0FB93D4A" w14:textId="77777777" w:rsidR="009B57E2" w:rsidRPr="00494CA7" w:rsidRDefault="009B57E2" w:rsidP="00B64335">
            <w:pPr>
              <w:spacing w:after="0" w:line="240" w:lineRule="auto"/>
              <w:jc w:val="center"/>
              <w:rPr>
                <w:sz w:val="20"/>
                <w:szCs w:val="20"/>
                <w:lang w:val="en-GB"/>
              </w:rPr>
            </w:pPr>
            <w:r w:rsidRPr="00494CA7">
              <w:rPr>
                <w:sz w:val="20"/>
                <w:szCs w:val="20"/>
                <w:lang w:val="en-GB"/>
              </w:rPr>
              <w:t>9.1</w:t>
            </w:r>
          </w:p>
        </w:tc>
      </w:tr>
      <w:tr w:rsidR="009B57E2" w:rsidRPr="00494CA7" w14:paraId="0F8CD6E0" w14:textId="77777777" w:rsidTr="00B64335">
        <w:trPr>
          <w:trHeight w:val="283"/>
        </w:trPr>
        <w:tc>
          <w:tcPr>
            <w:tcW w:w="2381" w:type="dxa"/>
            <w:vAlign w:val="center"/>
          </w:tcPr>
          <w:p w14:paraId="18B91C26"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Israel</w:t>
            </w:r>
          </w:p>
        </w:tc>
        <w:tc>
          <w:tcPr>
            <w:tcW w:w="2381" w:type="dxa"/>
            <w:vAlign w:val="center"/>
          </w:tcPr>
          <w:p w14:paraId="10799315" w14:textId="77777777" w:rsidR="009B57E2" w:rsidRPr="00494CA7" w:rsidRDefault="009B57E2" w:rsidP="00B64335">
            <w:pPr>
              <w:spacing w:after="0" w:line="240" w:lineRule="auto"/>
              <w:jc w:val="center"/>
              <w:rPr>
                <w:sz w:val="20"/>
                <w:szCs w:val="20"/>
                <w:lang w:val="en-GB"/>
              </w:rPr>
            </w:pPr>
            <w:r w:rsidRPr="00494CA7">
              <w:rPr>
                <w:sz w:val="20"/>
                <w:szCs w:val="20"/>
                <w:lang w:val="en-GB"/>
              </w:rPr>
              <w:t>14.1</w:t>
            </w:r>
          </w:p>
        </w:tc>
        <w:tc>
          <w:tcPr>
            <w:tcW w:w="2381" w:type="dxa"/>
            <w:vAlign w:val="center"/>
          </w:tcPr>
          <w:p w14:paraId="230C45BA" w14:textId="77777777" w:rsidR="009B57E2" w:rsidRPr="00494CA7" w:rsidRDefault="009B57E2" w:rsidP="00B64335">
            <w:pPr>
              <w:spacing w:after="0" w:line="240" w:lineRule="auto"/>
              <w:jc w:val="center"/>
              <w:rPr>
                <w:sz w:val="20"/>
                <w:szCs w:val="20"/>
                <w:lang w:val="en-GB"/>
              </w:rPr>
            </w:pPr>
            <w:r w:rsidRPr="00494CA7">
              <w:rPr>
                <w:sz w:val="20"/>
                <w:szCs w:val="20"/>
                <w:lang w:val="en-GB"/>
              </w:rPr>
              <w:t>18.4</w:t>
            </w:r>
          </w:p>
        </w:tc>
        <w:tc>
          <w:tcPr>
            <w:tcW w:w="2381" w:type="dxa"/>
            <w:vAlign w:val="center"/>
          </w:tcPr>
          <w:p w14:paraId="28DBB3C8" w14:textId="77777777" w:rsidR="009B57E2" w:rsidRPr="00494CA7" w:rsidRDefault="009B57E2" w:rsidP="00B64335">
            <w:pPr>
              <w:spacing w:after="0" w:line="240" w:lineRule="auto"/>
              <w:jc w:val="center"/>
              <w:rPr>
                <w:sz w:val="20"/>
                <w:szCs w:val="20"/>
                <w:lang w:val="en-GB"/>
              </w:rPr>
            </w:pPr>
            <w:r w:rsidRPr="00494CA7">
              <w:rPr>
                <w:sz w:val="20"/>
                <w:szCs w:val="20"/>
                <w:lang w:val="en-GB"/>
              </w:rPr>
              <w:t>9.1</w:t>
            </w:r>
          </w:p>
        </w:tc>
      </w:tr>
      <w:tr w:rsidR="009B57E2" w:rsidRPr="00494CA7" w14:paraId="5FD16DDA" w14:textId="77777777" w:rsidTr="00B64335">
        <w:trPr>
          <w:trHeight w:val="283"/>
        </w:trPr>
        <w:tc>
          <w:tcPr>
            <w:tcW w:w="2381" w:type="dxa"/>
            <w:vAlign w:val="center"/>
          </w:tcPr>
          <w:p w14:paraId="291C1356"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Italy</w:t>
            </w:r>
          </w:p>
        </w:tc>
        <w:tc>
          <w:tcPr>
            <w:tcW w:w="2381" w:type="dxa"/>
            <w:vAlign w:val="center"/>
          </w:tcPr>
          <w:p w14:paraId="351E9A6B" w14:textId="77777777" w:rsidR="009B57E2" w:rsidRPr="00494CA7" w:rsidRDefault="009B57E2" w:rsidP="00B64335">
            <w:pPr>
              <w:spacing w:after="0" w:line="240" w:lineRule="auto"/>
              <w:jc w:val="center"/>
              <w:rPr>
                <w:sz w:val="20"/>
                <w:szCs w:val="20"/>
                <w:lang w:val="en-GB"/>
              </w:rPr>
            </w:pPr>
            <w:r w:rsidRPr="00494CA7">
              <w:rPr>
                <w:sz w:val="20"/>
                <w:szCs w:val="20"/>
                <w:lang w:val="en-GB"/>
              </w:rPr>
              <w:t>33.3</w:t>
            </w:r>
          </w:p>
        </w:tc>
        <w:tc>
          <w:tcPr>
            <w:tcW w:w="2381" w:type="dxa"/>
            <w:vAlign w:val="center"/>
          </w:tcPr>
          <w:p w14:paraId="7216BBFB" w14:textId="77777777" w:rsidR="009B57E2" w:rsidRPr="00494CA7" w:rsidRDefault="009B57E2" w:rsidP="00B64335">
            <w:pPr>
              <w:spacing w:after="0" w:line="240" w:lineRule="auto"/>
              <w:jc w:val="center"/>
              <w:rPr>
                <w:sz w:val="20"/>
                <w:szCs w:val="20"/>
                <w:lang w:val="en-GB"/>
              </w:rPr>
            </w:pPr>
            <w:r w:rsidRPr="00494CA7">
              <w:rPr>
                <w:sz w:val="20"/>
                <w:szCs w:val="20"/>
                <w:lang w:val="en-GB"/>
              </w:rPr>
              <w:t>26.3</w:t>
            </w:r>
          </w:p>
        </w:tc>
        <w:tc>
          <w:tcPr>
            <w:tcW w:w="2381" w:type="dxa"/>
            <w:vAlign w:val="center"/>
          </w:tcPr>
          <w:p w14:paraId="6D368677" w14:textId="77777777" w:rsidR="009B57E2" w:rsidRPr="00494CA7" w:rsidRDefault="009B57E2" w:rsidP="00B64335">
            <w:pPr>
              <w:spacing w:after="0" w:line="240" w:lineRule="auto"/>
              <w:jc w:val="center"/>
              <w:rPr>
                <w:sz w:val="20"/>
                <w:szCs w:val="20"/>
                <w:lang w:val="en-GB"/>
              </w:rPr>
            </w:pPr>
            <w:r w:rsidRPr="00494CA7">
              <w:rPr>
                <w:sz w:val="20"/>
                <w:szCs w:val="20"/>
                <w:lang w:val="en-GB"/>
              </w:rPr>
              <w:t>19.2</w:t>
            </w:r>
          </w:p>
        </w:tc>
      </w:tr>
      <w:tr w:rsidR="009B57E2" w:rsidRPr="00494CA7" w14:paraId="089D450A" w14:textId="77777777" w:rsidTr="00B64335">
        <w:trPr>
          <w:trHeight w:val="283"/>
        </w:trPr>
        <w:tc>
          <w:tcPr>
            <w:tcW w:w="2381" w:type="dxa"/>
            <w:vAlign w:val="center"/>
          </w:tcPr>
          <w:p w14:paraId="00703052"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Korea</w:t>
            </w:r>
          </w:p>
        </w:tc>
        <w:tc>
          <w:tcPr>
            <w:tcW w:w="2381" w:type="dxa"/>
            <w:vAlign w:val="center"/>
          </w:tcPr>
          <w:p w14:paraId="6AFA7162" w14:textId="77777777" w:rsidR="009B57E2" w:rsidRPr="00494CA7" w:rsidRDefault="009B57E2" w:rsidP="00B64335">
            <w:pPr>
              <w:spacing w:after="0" w:line="240" w:lineRule="auto"/>
              <w:jc w:val="center"/>
              <w:rPr>
                <w:sz w:val="20"/>
                <w:szCs w:val="20"/>
                <w:lang w:val="en-GB"/>
              </w:rPr>
            </w:pPr>
            <w:r w:rsidRPr="00494CA7">
              <w:rPr>
                <w:sz w:val="20"/>
                <w:szCs w:val="20"/>
                <w:lang w:val="en-GB"/>
              </w:rPr>
              <w:t>27.8</w:t>
            </w:r>
          </w:p>
        </w:tc>
        <w:tc>
          <w:tcPr>
            <w:tcW w:w="2381" w:type="dxa"/>
            <w:vAlign w:val="center"/>
          </w:tcPr>
          <w:p w14:paraId="24DCB444" w14:textId="77777777" w:rsidR="009B57E2" w:rsidRPr="00494CA7" w:rsidRDefault="009B57E2" w:rsidP="00B64335">
            <w:pPr>
              <w:spacing w:after="0" w:line="240" w:lineRule="auto"/>
              <w:jc w:val="center"/>
              <w:rPr>
                <w:sz w:val="20"/>
                <w:szCs w:val="20"/>
                <w:lang w:val="en-GB"/>
              </w:rPr>
            </w:pPr>
            <w:r w:rsidRPr="00494CA7">
              <w:rPr>
                <w:sz w:val="20"/>
                <w:szCs w:val="20"/>
                <w:lang w:val="en-GB"/>
              </w:rPr>
              <w:t>30.5</w:t>
            </w:r>
          </w:p>
        </w:tc>
        <w:tc>
          <w:tcPr>
            <w:tcW w:w="2381" w:type="dxa"/>
            <w:vAlign w:val="center"/>
          </w:tcPr>
          <w:p w14:paraId="41FC56DD" w14:textId="77777777" w:rsidR="009B57E2" w:rsidRPr="00494CA7" w:rsidRDefault="009B57E2" w:rsidP="00B64335">
            <w:pPr>
              <w:spacing w:after="0" w:line="240" w:lineRule="auto"/>
              <w:jc w:val="center"/>
              <w:rPr>
                <w:sz w:val="20"/>
                <w:szCs w:val="20"/>
                <w:lang w:val="en-GB"/>
              </w:rPr>
            </w:pPr>
            <w:r w:rsidRPr="00494CA7">
              <w:rPr>
                <w:sz w:val="20"/>
                <w:szCs w:val="20"/>
                <w:lang w:val="en-GB"/>
              </w:rPr>
              <w:t>21.1</w:t>
            </w:r>
          </w:p>
        </w:tc>
      </w:tr>
      <w:tr w:rsidR="009B57E2" w:rsidRPr="00494CA7" w14:paraId="7BE49302" w14:textId="77777777" w:rsidTr="00B64335">
        <w:trPr>
          <w:trHeight w:val="283"/>
        </w:trPr>
        <w:tc>
          <w:tcPr>
            <w:tcW w:w="2381" w:type="dxa"/>
            <w:vAlign w:val="center"/>
          </w:tcPr>
          <w:p w14:paraId="146E4190"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Latvia</w:t>
            </w:r>
          </w:p>
        </w:tc>
        <w:tc>
          <w:tcPr>
            <w:tcW w:w="2381" w:type="dxa"/>
            <w:vAlign w:val="center"/>
          </w:tcPr>
          <w:p w14:paraId="64D5FC3D" w14:textId="77777777" w:rsidR="009B57E2" w:rsidRPr="00494CA7" w:rsidRDefault="009B57E2" w:rsidP="00B64335">
            <w:pPr>
              <w:spacing w:after="0" w:line="240" w:lineRule="auto"/>
              <w:jc w:val="center"/>
              <w:rPr>
                <w:sz w:val="20"/>
                <w:szCs w:val="20"/>
                <w:lang w:val="en-GB"/>
              </w:rPr>
            </w:pPr>
            <w:r w:rsidRPr="00494CA7">
              <w:rPr>
                <w:sz w:val="20"/>
                <w:szCs w:val="20"/>
                <w:lang w:val="en-GB"/>
              </w:rPr>
              <w:t>29.8</w:t>
            </w:r>
          </w:p>
        </w:tc>
        <w:tc>
          <w:tcPr>
            <w:tcW w:w="2381" w:type="dxa"/>
            <w:vAlign w:val="center"/>
          </w:tcPr>
          <w:p w14:paraId="003AA294" w14:textId="77777777" w:rsidR="009B57E2" w:rsidRPr="00494CA7" w:rsidRDefault="009B57E2" w:rsidP="00B64335">
            <w:pPr>
              <w:spacing w:after="0" w:line="240" w:lineRule="auto"/>
              <w:jc w:val="center"/>
              <w:rPr>
                <w:sz w:val="20"/>
                <w:szCs w:val="20"/>
                <w:lang w:val="en-GB"/>
              </w:rPr>
            </w:pPr>
            <w:r w:rsidRPr="00494CA7">
              <w:rPr>
                <w:sz w:val="20"/>
                <w:szCs w:val="20"/>
                <w:lang w:val="en-GB"/>
              </w:rPr>
              <w:t>34.6</w:t>
            </w:r>
          </w:p>
        </w:tc>
        <w:tc>
          <w:tcPr>
            <w:tcW w:w="2381" w:type="dxa"/>
            <w:vAlign w:val="center"/>
          </w:tcPr>
          <w:p w14:paraId="647BC940" w14:textId="77777777" w:rsidR="009B57E2" w:rsidRPr="00494CA7" w:rsidRDefault="009B57E2" w:rsidP="00B64335">
            <w:pPr>
              <w:spacing w:after="0" w:line="240" w:lineRule="auto"/>
              <w:jc w:val="center"/>
              <w:rPr>
                <w:sz w:val="20"/>
                <w:szCs w:val="20"/>
                <w:lang w:val="en-GB"/>
              </w:rPr>
            </w:pPr>
            <w:r w:rsidRPr="00494CA7">
              <w:rPr>
                <w:sz w:val="20"/>
                <w:szCs w:val="20"/>
                <w:lang w:val="en-GB"/>
              </w:rPr>
              <w:t>29.7</w:t>
            </w:r>
          </w:p>
        </w:tc>
      </w:tr>
      <w:tr w:rsidR="009B57E2" w:rsidRPr="00494CA7" w14:paraId="140A9509" w14:textId="77777777" w:rsidTr="00B64335">
        <w:trPr>
          <w:trHeight w:val="283"/>
        </w:trPr>
        <w:tc>
          <w:tcPr>
            <w:tcW w:w="2381" w:type="dxa"/>
            <w:vAlign w:val="center"/>
          </w:tcPr>
          <w:p w14:paraId="0AE8BE7F"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Luxembourg</w:t>
            </w:r>
          </w:p>
        </w:tc>
        <w:tc>
          <w:tcPr>
            <w:tcW w:w="2381" w:type="dxa"/>
            <w:vAlign w:val="center"/>
          </w:tcPr>
          <w:p w14:paraId="1DE0D0E6" w14:textId="77777777" w:rsidR="009B57E2" w:rsidRPr="00494CA7" w:rsidRDefault="009B57E2" w:rsidP="00B64335">
            <w:pPr>
              <w:spacing w:after="0" w:line="240" w:lineRule="auto"/>
              <w:jc w:val="center"/>
              <w:rPr>
                <w:sz w:val="20"/>
                <w:szCs w:val="20"/>
                <w:lang w:val="en-GB"/>
              </w:rPr>
            </w:pPr>
            <w:r w:rsidRPr="00494CA7">
              <w:rPr>
                <w:sz w:val="20"/>
                <w:szCs w:val="20"/>
                <w:lang w:val="en-GB"/>
              </w:rPr>
              <w:t>16.8</w:t>
            </w:r>
          </w:p>
        </w:tc>
        <w:tc>
          <w:tcPr>
            <w:tcW w:w="2381" w:type="dxa"/>
            <w:vAlign w:val="center"/>
          </w:tcPr>
          <w:p w14:paraId="54BADB53" w14:textId="77777777" w:rsidR="009B57E2" w:rsidRPr="00494CA7" w:rsidRDefault="009B57E2" w:rsidP="00B64335">
            <w:pPr>
              <w:spacing w:after="0" w:line="240" w:lineRule="auto"/>
              <w:jc w:val="center"/>
              <w:rPr>
                <w:sz w:val="20"/>
                <w:szCs w:val="20"/>
                <w:lang w:val="en-GB"/>
              </w:rPr>
            </w:pPr>
            <w:r w:rsidRPr="00494CA7">
              <w:rPr>
                <w:sz w:val="20"/>
                <w:szCs w:val="20"/>
                <w:lang w:val="en-GB"/>
              </w:rPr>
              <w:t>13.4</w:t>
            </w:r>
          </w:p>
        </w:tc>
        <w:tc>
          <w:tcPr>
            <w:tcW w:w="2381" w:type="dxa"/>
            <w:vAlign w:val="center"/>
          </w:tcPr>
          <w:p w14:paraId="1F7CDBD7" w14:textId="77777777" w:rsidR="009B57E2" w:rsidRPr="00494CA7" w:rsidRDefault="009B57E2" w:rsidP="00B64335">
            <w:pPr>
              <w:spacing w:after="0" w:line="240" w:lineRule="auto"/>
              <w:jc w:val="center"/>
              <w:rPr>
                <w:sz w:val="20"/>
                <w:szCs w:val="20"/>
                <w:lang w:val="en-GB"/>
              </w:rPr>
            </w:pPr>
            <w:r w:rsidRPr="00494CA7">
              <w:rPr>
                <w:sz w:val="20"/>
                <w:szCs w:val="20"/>
                <w:lang w:val="en-GB"/>
              </w:rPr>
              <w:t>14.1</w:t>
            </w:r>
          </w:p>
        </w:tc>
      </w:tr>
      <w:tr w:rsidR="009B57E2" w:rsidRPr="00494CA7" w14:paraId="74E9F2D9" w14:textId="77777777" w:rsidTr="00B64335">
        <w:trPr>
          <w:trHeight w:val="283"/>
        </w:trPr>
        <w:tc>
          <w:tcPr>
            <w:tcW w:w="2381" w:type="dxa"/>
            <w:vAlign w:val="center"/>
          </w:tcPr>
          <w:p w14:paraId="75042A25"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Macedonia</w:t>
            </w:r>
          </w:p>
        </w:tc>
        <w:tc>
          <w:tcPr>
            <w:tcW w:w="2381" w:type="dxa"/>
            <w:vAlign w:val="center"/>
          </w:tcPr>
          <w:p w14:paraId="3BD1D044" w14:textId="77777777" w:rsidR="009B57E2" w:rsidRPr="00494CA7" w:rsidRDefault="009B57E2" w:rsidP="00B64335">
            <w:pPr>
              <w:spacing w:after="0" w:line="240" w:lineRule="auto"/>
              <w:jc w:val="center"/>
              <w:rPr>
                <w:sz w:val="20"/>
                <w:szCs w:val="20"/>
                <w:lang w:val="en-GB"/>
              </w:rPr>
            </w:pPr>
            <w:r w:rsidRPr="00494CA7">
              <w:rPr>
                <w:sz w:val="20"/>
                <w:szCs w:val="20"/>
                <w:lang w:val="en-GB"/>
              </w:rPr>
              <w:t>46.6</w:t>
            </w:r>
          </w:p>
        </w:tc>
        <w:tc>
          <w:tcPr>
            <w:tcW w:w="2381" w:type="dxa"/>
            <w:vAlign w:val="center"/>
          </w:tcPr>
          <w:p w14:paraId="7B2FA03C" w14:textId="77777777" w:rsidR="009B57E2" w:rsidRPr="00494CA7" w:rsidRDefault="009B57E2" w:rsidP="00B64335">
            <w:pPr>
              <w:spacing w:after="0" w:line="240" w:lineRule="auto"/>
              <w:jc w:val="center"/>
              <w:rPr>
                <w:sz w:val="20"/>
                <w:szCs w:val="20"/>
                <w:lang w:val="en-GB"/>
              </w:rPr>
            </w:pPr>
            <w:r w:rsidRPr="00494CA7">
              <w:rPr>
                <w:sz w:val="20"/>
                <w:szCs w:val="20"/>
                <w:lang w:val="en-GB"/>
              </w:rPr>
              <w:t>47.6</w:t>
            </w:r>
          </w:p>
        </w:tc>
        <w:tc>
          <w:tcPr>
            <w:tcW w:w="2381" w:type="dxa"/>
            <w:vAlign w:val="center"/>
          </w:tcPr>
          <w:p w14:paraId="6D230E56" w14:textId="77777777" w:rsidR="009B57E2" w:rsidRPr="00494CA7" w:rsidRDefault="009B57E2" w:rsidP="00B64335">
            <w:pPr>
              <w:spacing w:after="0" w:line="240" w:lineRule="auto"/>
              <w:jc w:val="center"/>
              <w:rPr>
                <w:sz w:val="20"/>
                <w:szCs w:val="20"/>
                <w:lang w:val="en-GB"/>
              </w:rPr>
            </w:pPr>
            <w:r w:rsidRPr="00494CA7">
              <w:rPr>
                <w:sz w:val="20"/>
                <w:szCs w:val="20"/>
                <w:lang w:val="en-GB"/>
              </w:rPr>
              <w:t>34.6</w:t>
            </w:r>
          </w:p>
        </w:tc>
      </w:tr>
      <w:tr w:rsidR="009B57E2" w:rsidRPr="00494CA7" w14:paraId="1169C35A" w14:textId="77777777" w:rsidTr="00B64335">
        <w:trPr>
          <w:trHeight w:val="283"/>
        </w:trPr>
        <w:tc>
          <w:tcPr>
            <w:tcW w:w="2381" w:type="dxa"/>
            <w:vAlign w:val="center"/>
          </w:tcPr>
          <w:p w14:paraId="4E16678A"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Mexico</w:t>
            </w:r>
          </w:p>
        </w:tc>
        <w:tc>
          <w:tcPr>
            <w:tcW w:w="2381" w:type="dxa"/>
            <w:vAlign w:val="center"/>
          </w:tcPr>
          <w:p w14:paraId="4C8F0AF3" w14:textId="77777777" w:rsidR="009B57E2" w:rsidRPr="00494CA7" w:rsidRDefault="009B57E2" w:rsidP="00B64335">
            <w:pPr>
              <w:spacing w:after="0" w:line="240" w:lineRule="auto"/>
              <w:jc w:val="center"/>
              <w:rPr>
                <w:sz w:val="20"/>
                <w:szCs w:val="20"/>
                <w:lang w:val="en-GB"/>
              </w:rPr>
            </w:pPr>
            <w:r w:rsidRPr="00494CA7">
              <w:rPr>
                <w:sz w:val="20"/>
                <w:szCs w:val="20"/>
                <w:lang w:val="en-GB"/>
              </w:rPr>
              <w:t>27.5</w:t>
            </w:r>
          </w:p>
        </w:tc>
        <w:tc>
          <w:tcPr>
            <w:tcW w:w="2381" w:type="dxa"/>
            <w:vAlign w:val="center"/>
          </w:tcPr>
          <w:p w14:paraId="26A3E2BF" w14:textId="77777777" w:rsidR="009B57E2" w:rsidRPr="00494CA7" w:rsidRDefault="009B57E2" w:rsidP="00B64335">
            <w:pPr>
              <w:spacing w:after="0" w:line="240" w:lineRule="auto"/>
              <w:jc w:val="center"/>
              <w:rPr>
                <w:sz w:val="20"/>
                <w:szCs w:val="20"/>
                <w:lang w:val="en-GB"/>
              </w:rPr>
            </w:pPr>
            <w:r w:rsidRPr="00494CA7">
              <w:rPr>
                <w:sz w:val="20"/>
                <w:szCs w:val="20"/>
                <w:lang w:val="en-GB"/>
              </w:rPr>
              <w:t>34.7</w:t>
            </w:r>
          </w:p>
        </w:tc>
        <w:tc>
          <w:tcPr>
            <w:tcW w:w="2381" w:type="dxa"/>
            <w:vAlign w:val="center"/>
          </w:tcPr>
          <w:p w14:paraId="783E8463" w14:textId="77777777" w:rsidR="009B57E2" w:rsidRPr="00494CA7" w:rsidRDefault="009B57E2" w:rsidP="00B64335">
            <w:pPr>
              <w:spacing w:after="0" w:line="240" w:lineRule="auto"/>
              <w:jc w:val="center"/>
              <w:rPr>
                <w:sz w:val="20"/>
                <w:szCs w:val="20"/>
                <w:lang w:val="en-GB"/>
              </w:rPr>
            </w:pPr>
            <w:r w:rsidRPr="00494CA7">
              <w:rPr>
                <w:sz w:val="20"/>
                <w:szCs w:val="20"/>
                <w:lang w:val="en-GB"/>
              </w:rPr>
              <w:t>31.9</w:t>
            </w:r>
          </w:p>
        </w:tc>
      </w:tr>
      <w:tr w:rsidR="009B57E2" w:rsidRPr="00494CA7" w14:paraId="44A3EA54" w14:textId="77777777" w:rsidTr="00B64335">
        <w:trPr>
          <w:trHeight w:val="283"/>
        </w:trPr>
        <w:tc>
          <w:tcPr>
            <w:tcW w:w="2381" w:type="dxa"/>
            <w:vAlign w:val="center"/>
          </w:tcPr>
          <w:p w14:paraId="21781110"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 xml:space="preserve">New Zealand </w:t>
            </w:r>
          </w:p>
        </w:tc>
        <w:tc>
          <w:tcPr>
            <w:tcW w:w="2381" w:type="dxa"/>
            <w:vAlign w:val="center"/>
          </w:tcPr>
          <w:p w14:paraId="16336397" w14:textId="77777777" w:rsidR="009B57E2" w:rsidRPr="00494CA7" w:rsidRDefault="009B57E2" w:rsidP="00B64335">
            <w:pPr>
              <w:spacing w:after="0" w:line="240" w:lineRule="auto"/>
              <w:jc w:val="center"/>
              <w:rPr>
                <w:sz w:val="20"/>
                <w:szCs w:val="20"/>
                <w:lang w:val="en-GB"/>
              </w:rPr>
            </w:pPr>
            <w:r w:rsidRPr="00494CA7">
              <w:rPr>
                <w:sz w:val="20"/>
                <w:szCs w:val="20"/>
                <w:lang w:val="en-GB"/>
              </w:rPr>
              <w:t>6.3</w:t>
            </w:r>
          </w:p>
        </w:tc>
        <w:tc>
          <w:tcPr>
            <w:tcW w:w="2381" w:type="dxa"/>
            <w:vAlign w:val="center"/>
          </w:tcPr>
          <w:p w14:paraId="4C8043FD" w14:textId="77777777" w:rsidR="009B57E2" w:rsidRPr="00494CA7" w:rsidRDefault="009B57E2" w:rsidP="00B64335">
            <w:pPr>
              <w:spacing w:after="0" w:line="240" w:lineRule="auto"/>
              <w:jc w:val="center"/>
              <w:rPr>
                <w:sz w:val="20"/>
                <w:szCs w:val="20"/>
                <w:lang w:val="en-GB"/>
              </w:rPr>
            </w:pPr>
            <w:r w:rsidRPr="00494CA7">
              <w:rPr>
                <w:sz w:val="20"/>
                <w:szCs w:val="20"/>
                <w:lang w:val="en-GB"/>
              </w:rPr>
              <w:t>7.2</w:t>
            </w:r>
          </w:p>
        </w:tc>
        <w:tc>
          <w:tcPr>
            <w:tcW w:w="2381" w:type="dxa"/>
            <w:vAlign w:val="center"/>
          </w:tcPr>
          <w:p w14:paraId="6FBD1A39" w14:textId="77777777" w:rsidR="009B57E2" w:rsidRPr="00494CA7" w:rsidRDefault="009B57E2" w:rsidP="00B64335">
            <w:pPr>
              <w:spacing w:after="0" w:line="240" w:lineRule="auto"/>
              <w:jc w:val="center"/>
              <w:rPr>
                <w:sz w:val="20"/>
                <w:szCs w:val="20"/>
                <w:lang w:val="en-GB"/>
              </w:rPr>
            </w:pPr>
            <w:r w:rsidRPr="00494CA7">
              <w:rPr>
                <w:sz w:val="20"/>
                <w:szCs w:val="20"/>
                <w:lang w:val="en-GB"/>
              </w:rPr>
              <w:t>5.4</w:t>
            </w:r>
          </w:p>
        </w:tc>
      </w:tr>
      <w:tr w:rsidR="009B57E2" w:rsidRPr="00494CA7" w14:paraId="49D63B48" w14:textId="77777777" w:rsidTr="00B64335">
        <w:trPr>
          <w:trHeight w:val="283"/>
        </w:trPr>
        <w:tc>
          <w:tcPr>
            <w:tcW w:w="2381" w:type="dxa"/>
            <w:vAlign w:val="center"/>
          </w:tcPr>
          <w:p w14:paraId="5F616876"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Norway</w:t>
            </w:r>
          </w:p>
        </w:tc>
        <w:tc>
          <w:tcPr>
            <w:tcW w:w="2381" w:type="dxa"/>
            <w:vAlign w:val="center"/>
          </w:tcPr>
          <w:p w14:paraId="36F16FCD" w14:textId="77777777" w:rsidR="009B57E2" w:rsidRPr="00494CA7" w:rsidRDefault="009B57E2" w:rsidP="00B64335">
            <w:pPr>
              <w:spacing w:after="0" w:line="240" w:lineRule="auto"/>
              <w:jc w:val="center"/>
              <w:rPr>
                <w:sz w:val="20"/>
                <w:szCs w:val="20"/>
                <w:lang w:val="en-GB"/>
              </w:rPr>
            </w:pPr>
            <w:r w:rsidRPr="00494CA7">
              <w:rPr>
                <w:sz w:val="20"/>
                <w:szCs w:val="20"/>
                <w:lang w:val="en-GB"/>
              </w:rPr>
              <w:t>9.3</w:t>
            </w:r>
          </w:p>
        </w:tc>
        <w:tc>
          <w:tcPr>
            <w:tcW w:w="2381" w:type="dxa"/>
            <w:vAlign w:val="center"/>
          </w:tcPr>
          <w:p w14:paraId="675AEBC1" w14:textId="77777777" w:rsidR="009B57E2" w:rsidRPr="00494CA7" w:rsidRDefault="009B57E2" w:rsidP="00B64335">
            <w:pPr>
              <w:spacing w:after="0" w:line="240" w:lineRule="auto"/>
              <w:jc w:val="center"/>
              <w:rPr>
                <w:sz w:val="20"/>
                <w:szCs w:val="20"/>
                <w:lang w:val="en-GB"/>
              </w:rPr>
            </w:pPr>
            <w:r w:rsidRPr="00494CA7">
              <w:rPr>
                <w:sz w:val="20"/>
                <w:szCs w:val="20"/>
                <w:lang w:val="en-GB"/>
              </w:rPr>
              <w:t>10.0</w:t>
            </w:r>
          </w:p>
        </w:tc>
        <w:tc>
          <w:tcPr>
            <w:tcW w:w="2381" w:type="dxa"/>
            <w:vAlign w:val="center"/>
          </w:tcPr>
          <w:p w14:paraId="2613349D" w14:textId="77777777" w:rsidR="009B57E2" w:rsidRPr="00494CA7" w:rsidRDefault="009B57E2" w:rsidP="00B64335">
            <w:pPr>
              <w:spacing w:after="0" w:line="240" w:lineRule="auto"/>
              <w:jc w:val="center"/>
              <w:rPr>
                <w:sz w:val="20"/>
                <w:szCs w:val="20"/>
                <w:lang w:val="en-GB"/>
              </w:rPr>
            </w:pPr>
            <w:r w:rsidRPr="00494CA7">
              <w:rPr>
                <w:sz w:val="20"/>
                <w:szCs w:val="20"/>
                <w:lang w:val="en-GB"/>
              </w:rPr>
              <w:t>8.3</w:t>
            </w:r>
          </w:p>
        </w:tc>
      </w:tr>
      <w:tr w:rsidR="009B57E2" w:rsidRPr="00494CA7" w14:paraId="106CC45C" w14:textId="77777777" w:rsidTr="00B64335">
        <w:trPr>
          <w:trHeight w:val="283"/>
        </w:trPr>
        <w:tc>
          <w:tcPr>
            <w:tcW w:w="2381" w:type="dxa"/>
            <w:vAlign w:val="center"/>
          </w:tcPr>
          <w:p w14:paraId="3AAD279A"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Peru</w:t>
            </w:r>
          </w:p>
        </w:tc>
        <w:tc>
          <w:tcPr>
            <w:tcW w:w="2381" w:type="dxa"/>
            <w:vAlign w:val="center"/>
          </w:tcPr>
          <w:p w14:paraId="1FD50EBF" w14:textId="77777777" w:rsidR="009B57E2" w:rsidRPr="00494CA7" w:rsidRDefault="009B57E2" w:rsidP="00B64335">
            <w:pPr>
              <w:spacing w:after="0" w:line="240" w:lineRule="auto"/>
              <w:jc w:val="center"/>
              <w:rPr>
                <w:sz w:val="20"/>
                <w:szCs w:val="20"/>
                <w:lang w:val="en-GB"/>
              </w:rPr>
            </w:pPr>
            <w:r w:rsidRPr="00494CA7">
              <w:rPr>
                <w:sz w:val="20"/>
                <w:szCs w:val="20"/>
                <w:lang w:val="en-GB"/>
              </w:rPr>
              <w:t>20.6</w:t>
            </w:r>
          </w:p>
        </w:tc>
        <w:tc>
          <w:tcPr>
            <w:tcW w:w="2381" w:type="dxa"/>
            <w:vAlign w:val="center"/>
          </w:tcPr>
          <w:p w14:paraId="4BA37A05" w14:textId="77777777" w:rsidR="009B57E2" w:rsidRPr="00494CA7" w:rsidRDefault="009B57E2" w:rsidP="00B64335">
            <w:pPr>
              <w:spacing w:after="0" w:line="240" w:lineRule="auto"/>
              <w:jc w:val="center"/>
              <w:rPr>
                <w:sz w:val="20"/>
                <w:szCs w:val="20"/>
                <w:lang w:val="en-GB"/>
              </w:rPr>
            </w:pPr>
            <w:r w:rsidRPr="00494CA7">
              <w:rPr>
                <w:sz w:val="20"/>
                <w:szCs w:val="20"/>
                <w:lang w:val="en-GB"/>
              </w:rPr>
              <w:t>25.2</w:t>
            </w:r>
          </w:p>
        </w:tc>
        <w:tc>
          <w:tcPr>
            <w:tcW w:w="2381" w:type="dxa"/>
            <w:vAlign w:val="center"/>
          </w:tcPr>
          <w:p w14:paraId="598CFA57" w14:textId="77777777" w:rsidR="009B57E2" w:rsidRPr="00494CA7" w:rsidRDefault="009B57E2" w:rsidP="00B64335">
            <w:pPr>
              <w:spacing w:after="0" w:line="240" w:lineRule="auto"/>
              <w:jc w:val="center"/>
              <w:rPr>
                <w:sz w:val="20"/>
                <w:szCs w:val="20"/>
                <w:lang w:val="en-GB"/>
              </w:rPr>
            </w:pPr>
            <w:r w:rsidRPr="00494CA7">
              <w:rPr>
                <w:sz w:val="20"/>
                <w:szCs w:val="20"/>
                <w:lang w:val="en-GB"/>
              </w:rPr>
              <w:t>32.0</w:t>
            </w:r>
          </w:p>
        </w:tc>
      </w:tr>
      <w:tr w:rsidR="009B57E2" w:rsidRPr="00494CA7" w14:paraId="7439A9EC" w14:textId="77777777" w:rsidTr="00B64335">
        <w:trPr>
          <w:trHeight w:val="283"/>
        </w:trPr>
        <w:tc>
          <w:tcPr>
            <w:tcW w:w="2381" w:type="dxa"/>
            <w:vAlign w:val="center"/>
          </w:tcPr>
          <w:p w14:paraId="37B5AE5A"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Poland</w:t>
            </w:r>
          </w:p>
        </w:tc>
        <w:tc>
          <w:tcPr>
            <w:tcW w:w="2381" w:type="dxa"/>
            <w:vAlign w:val="center"/>
          </w:tcPr>
          <w:p w14:paraId="4FEE7D9F" w14:textId="77777777" w:rsidR="009B57E2" w:rsidRPr="00494CA7" w:rsidRDefault="009B57E2" w:rsidP="00B64335">
            <w:pPr>
              <w:spacing w:after="0" w:line="240" w:lineRule="auto"/>
              <w:jc w:val="center"/>
              <w:rPr>
                <w:sz w:val="20"/>
                <w:szCs w:val="20"/>
                <w:lang w:val="en-GB"/>
              </w:rPr>
            </w:pPr>
            <w:r w:rsidRPr="00494CA7">
              <w:rPr>
                <w:sz w:val="20"/>
                <w:szCs w:val="20"/>
                <w:lang w:val="en-GB"/>
              </w:rPr>
              <w:t>18.8</w:t>
            </w:r>
          </w:p>
        </w:tc>
        <w:tc>
          <w:tcPr>
            <w:tcW w:w="2381" w:type="dxa"/>
            <w:vAlign w:val="center"/>
          </w:tcPr>
          <w:p w14:paraId="0B562F2E" w14:textId="77777777" w:rsidR="009B57E2" w:rsidRPr="00494CA7" w:rsidRDefault="009B57E2" w:rsidP="00B64335">
            <w:pPr>
              <w:spacing w:after="0" w:line="240" w:lineRule="auto"/>
              <w:jc w:val="center"/>
              <w:rPr>
                <w:sz w:val="20"/>
                <w:szCs w:val="20"/>
                <w:lang w:val="en-GB"/>
              </w:rPr>
            </w:pPr>
            <w:r w:rsidRPr="00494CA7">
              <w:rPr>
                <w:sz w:val="20"/>
                <w:szCs w:val="20"/>
                <w:lang w:val="en-GB"/>
              </w:rPr>
              <w:t>21.8</w:t>
            </w:r>
          </w:p>
        </w:tc>
        <w:tc>
          <w:tcPr>
            <w:tcW w:w="2381" w:type="dxa"/>
            <w:vAlign w:val="center"/>
          </w:tcPr>
          <w:p w14:paraId="045CB934" w14:textId="77777777" w:rsidR="009B57E2" w:rsidRPr="00494CA7" w:rsidRDefault="009B57E2" w:rsidP="00B64335">
            <w:pPr>
              <w:spacing w:after="0" w:line="240" w:lineRule="auto"/>
              <w:jc w:val="center"/>
              <w:rPr>
                <w:sz w:val="20"/>
                <w:szCs w:val="20"/>
                <w:lang w:val="en-GB"/>
              </w:rPr>
            </w:pPr>
            <w:r w:rsidRPr="00494CA7">
              <w:rPr>
                <w:sz w:val="20"/>
                <w:szCs w:val="20"/>
                <w:lang w:val="en-GB"/>
              </w:rPr>
              <w:t>13.6</w:t>
            </w:r>
          </w:p>
        </w:tc>
      </w:tr>
      <w:tr w:rsidR="009B57E2" w:rsidRPr="00494CA7" w14:paraId="7C0F1CD0" w14:textId="77777777" w:rsidTr="00B64335">
        <w:trPr>
          <w:trHeight w:val="283"/>
        </w:trPr>
        <w:tc>
          <w:tcPr>
            <w:tcW w:w="2381" w:type="dxa"/>
            <w:vAlign w:val="center"/>
          </w:tcPr>
          <w:p w14:paraId="6338BF1D"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Portugal</w:t>
            </w:r>
          </w:p>
        </w:tc>
        <w:tc>
          <w:tcPr>
            <w:tcW w:w="2381" w:type="dxa"/>
            <w:vAlign w:val="center"/>
          </w:tcPr>
          <w:p w14:paraId="1308A975" w14:textId="77777777" w:rsidR="009B57E2" w:rsidRPr="00494CA7" w:rsidRDefault="009B57E2" w:rsidP="00B64335">
            <w:pPr>
              <w:spacing w:after="0" w:line="240" w:lineRule="auto"/>
              <w:jc w:val="center"/>
              <w:rPr>
                <w:sz w:val="20"/>
                <w:szCs w:val="20"/>
                <w:lang w:val="en-GB"/>
              </w:rPr>
            </w:pPr>
            <w:r w:rsidRPr="00494CA7">
              <w:rPr>
                <w:sz w:val="20"/>
                <w:szCs w:val="20"/>
                <w:lang w:val="en-GB"/>
              </w:rPr>
              <w:t>24.8</w:t>
            </w:r>
          </w:p>
        </w:tc>
        <w:tc>
          <w:tcPr>
            <w:tcW w:w="2381" w:type="dxa"/>
            <w:vAlign w:val="center"/>
          </w:tcPr>
          <w:p w14:paraId="4E59B2E3" w14:textId="77777777" w:rsidR="009B57E2" w:rsidRPr="00494CA7" w:rsidRDefault="009B57E2" w:rsidP="00B64335">
            <w:pPr>
              <w:spacing w:after="0" w:line="240" w:lineRule="auto"/>
              <w:jc w:val="center"/>
              <w:rPr>
                <w:sz w:val="20"/>
                <w:szCs w:val="20"/>
                <w:lang w:val="en-GB"/>
              </w:rPr>
            </w:pPr>
            <w:r w:rsidRPr="00494CA7">
              <w:rPr>
                <w:sz w:val="20"/>
                <w:szCs w:val="20"/>
                <w:lang w:val="en-GB"/>
              </w:rPr>
              <w:t>30.7</w:t>
            </w:r>
          </w:p>
        </w:tc>
        <w:tc>
          <w:tcPr>
            <w:tcW w:w="2381" w:type="dxa"/>
            <w:vAlign w:val="center"/>
          </w:tcPr>
          <w:p w14:paraId="62308FF2" w14:textId="77777777" w:rsidR="009B57E2" w:rsidRPr="00494CA7" w:rsidRDefault="009B57E2" w:rsidP="00B64335">
            <w:pPr>
              <w:spacing w:after="0" w:line="240" w:lineRule="auto"/>
              <w:jc w:val="center"/>
              <w:rPr>
                <w:sz w:val="20"/>
                <w:szCs w:val="20"/>
                <w:lang w:val="en-GB"/>
              </w:rPr>
            </w:pPr>
            <w:r w:rsidRPr="00494CA7">
              <w:rPr>
                <w:sz w:val="20"/>
                <w:szCs w:val="20"/>
                <w:lang w:val="en-GB"/>
              </w:rPr>
              <w:t>22.2</w:t>
            </w:r>
          </w:p>
        </w:tc>
      </w:tr>
      <w:tr w:rsidR="009B57E2" w:rsidRPr="00494CA7" w14:paraId="25AFE1A9" w14:textId="77777777" w:rsidTr="00B64335">
        <w:trPr>
          <w:trHeight w:val="283"/>
        </w:trPr>
        <w:tc>
          <w:tcPr>
            <w:tcW w:w="2381" w:type="dxa"/>
            <w:vAlign w:val="center"/>
          </w:tcPr>
          <w:p w14:paraId="6AD158F6"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Romania</w:t>
            </w:r>
          </w:p>
        </w:tc>
        <w:tc>
          <w:tcPr>
            <w:tcW w:w="2381" w:type="dxa"/>
            <w:vAlign w:val="center"/>
          </w:tcPr>
          <w:p w14:paraId="7C4EC9E1" w14:textId="77777777" w:rsidR="009B57E2" w:rsidRPr="00494CA7" w:rsidRDefault="009B57E2" w:rsidP="00B64335">
            <w:pPr>
              <w:spacing w:after="0" w:line="240" w:lineRule="auto"/>
              <w:jc w:val="center"/>
              <w:rPr>
                <w:sz w:val="20"/>
                <w:szCs w:val="20"/>
                <w:lang w:val="en-GB"/>
              </w:rPr>
            </w:pPr>
            <w:r w:rsidRPr="00494CA7">
              <w:rPr>
                <w:sz w:val="20"/>
                <w:szCs w:val="20"/>
                <w:lang w:val="en-GB"/>
              </w:rPr>
              <w:t>31.1</w:t>
            </w:r>
          </w:p>
        </w:tc>
        <w:tc>
          <w:tcPr>
            <w:tcW w:w="2381" w:type="dxa"/>
            <w:vAlign w:val="center"/>
          </w:tcPr>
          <w:p w14:paraId="75A3A7F5" w14:textId="77777777" w:rsidR="009B57E2" w:rsidRPr="00494CA7" w:rsidRDefault="009B57E2" w:rsidP="00B64335">
            <w:pPr>
              <w:spacing w:after="0" w:line="240" w:lineRule="auto"/>
              <w:jc w:val="center"/>
              <w:rPr>
                <w:sz w:val="20"/>
                <w:szCs w:val="20"/>
                <w:lang w:val="en-GB"/>
              </w:rPr>
            </w:pPr>
            <w:r w:rsidRPr="00494CA7">
              <w:rPr>
                <w:sz w:val="20"/>
                <w:szCs w:val="20"/>
                <w:lang w:val="en-GB"/>
              </w:rPr>
              <w:t>32.9</w:t>
            </w:r>
          </w:p>
        </w:tc>
        <w:tc>
          <w:tcPr>
            <w:tcW w:w="2381" w:type="dxa"/>
            <w:vAlign w:val="center"/>
          </w:tcPr>
          <w:p w14:paraId="226F5F83" w14:textId="77777777" w:rsidR="009B57E2" w:rsidRPr="00494CA7" w:rsidRDefault="009B57E2" w:rsidP="00B64335">
            <w:pPr>
              <w:spacing w:after="0" w:line="240" w:lineRule="auto"/>
              <w:jc w:val="center"/>
              <w:rPr>
                <w:sz w:val="20"/>
                <w:szCs w:val="20"/>
                <w:lang w:val="en-GB"/>
              </w:rPr>
            </w:pPr>
            <w:r w:rsidRPr="00494CA7">
              <w:rPr>
                <w:sz w:val="20"/>
                <w:szCs w:val="20"/>
                <w:lang w:val="en-GB"/>
              </w:rPr>
              <w:t>33.9</w:t>
            </w:r>
          </w:p>
        </w:tc>
      </w:tr>
      <w:tr w:rsidR="009B57E2" w:rsidRPr="00494CA7" w14:paraId="4382ECD8" w14:textId="77777777" w:rsidTr="00B64335">
        <w:trPr>
          <w:trHeight w:val="283"/>
        </w:trPr>
        <w:tc>
          <w:tcPr>
            <w:tcW w:w="2381" w:type="dxa"/>
            <w:vAlign w:val="center"/>
          </w:tcPr>
          <w:p w14:paraId="6770C54B"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Russia</w:t>
            </w:r>
          </w:p>
        </w:tc>
        <w:tc>
          <w:tcPr>
            <w:tcW w:w="2381" w:type="dxa"/>
            <w:vAlign w:val="center"/>
          </w:tcPr>
          <w:p w14:paraId="6C4DB139" w14:textId="77777777" w:rsidR="009B57E2" w:rsidRPr="00494CA7" w:rsidRDefault="009B57E2" w:rsidP="00B64335">
            <w:pPr>
              <w:spacing w:after="0" w:line="240" w:lineRule="auto"/>
              <w:jc w:val="center"/>
              <w:rPr>
                <w:sz w:val="20"/>
                <w:szCs w:val="20"/>
                <w:lang w:val="en-GB"/>
              </w:rPr>
            </w:pPr>
            <w:r w:rsidRPr="00494CA7">
              <w:rPr>
                <w:sz w:val="20"/>
                <w:szCs w:val="20"/>
                <w:lang w:val="en-GB"/>
              </w:rPr>
              <w:t>31.7</w:t>
            </w:r>
          </w:p>
        </w:tc>
        <w:tc>
          <w:tcPr>
            <w:tcW w:w="2381" w:type="dxa"/>
            <w:vAlign w:val="center"/>
          </w:tcPr>
          <w:p w14:paraId="7B94D5E2" w14:textId="77777777" w:rsidR="009B57E2" w:rsidRPr="00494CA7" w:rsidRDefault="009B57E2" w:rsidP="00B64335">
            <w:pPr>
              <w:spacing w:after="0" w:line="240" w:lineRule="auto"/>
              <w:jc w:val="center"/>
              <w:rPr>
                <w:sz w:val="20"/>
                <w:szCs w:val="20"/>
                <w:lang w:val="en-GB"/>
              </w:rPr>
            </w:pPr>
            <w:r w:rsidRPr="00494CA7">
              <w:rPr>
                <w:sz w:val="20"/>
                <w:szCs w:val="20"/>
                <w:lang w:val="en-GB"/>
              </w:rPr>
              <w:t>39.4</w:t>
            </w:r>
          </w:p>
        </w:tc>
        <w:tc>
          <w:tcPr>
            <w:tcW w:w="2381" w:type="dxa"/>
            <w:vAlign w:val="center"/>
          </w:tcPr>
          <w:p w14:paraId="17DE3AD0" w14:textId="77777777" w:rsidR="009B57E2" w:rsidRPr="00494CA7" w:rsidRDefault="009B57E2" w:rsidP="00B64335">
            <w:pPr>
              <w:spacing w:after="0" w:line="240" w:lineRule="auto"/>
              <w:jc w:val="center"/>
              <w:rPr>
                <w:sz w:val="20"/>
                <w:szCs w:val="20"/>
                <w:lang w:val="en-GB"/>
              </w:rPr>
            </w:pPr>
            <w:r w:rsidRPr="00494CA7">
              <w:rPr>
                <w:sz w:val="20"/>
                <w:szCs w:val="20"/>
                <w:lang w:val="en-GB"/>
              </w:rPr>
              <w:t>27.1</w:t>
            </w:r>
          </w:p>
        </w:tc>
      </w:tr>
      <w:tr w:rsidR="009B57E2" w:rsidRPr="00494CA7" w14:paraId="0F05D081" w14:textId="77777777" w:rsidTr="00B64335">
        <w:trPr>
          <w:trHeight w:val="283"/>
        </w:trPr>
        <w:tc>
          <w:tcPr>
            <w:tcW w:w="2381" w:type="dxa"/>
            <w:vAlign w:val="center"/>
          </w:tcPr>
          <w:p w14:paraId="10C4E58D"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Spain</w:t>
            </w:r>
          </w:p>
        </w:tc>
        <w:tc>
          <w:tcPr>
            <w:tcW w:w="2381" w:type="dxa"/>
            <w:vAlign w:val="center"/>
          </w:tcPr>
          <w:p w14:paraId="6CA705D9" w14:textId="77777777" w:rsidR="009B57E2" w:rsidRPr="00494CA7" w:rsidRDefault="009B57E2" w:rsidP="00B64335">
            <w:pPr>
              <w:spacing w:after="0" w:line="240" w:lineRule="auto"/>
              <w:jc w:val="center"/>
              <w:rPr>
                <w:sz w:val="20"/>
                <w:szCs w:val="20"/>
                <w:lang w:val="en-GB"/>
              </w:rPr>
            </w:pPr>
            <w:r w:rsidRPr="00494CA7">
              <w:rPr>
                <w:sz w:val="20"/>
                <w:szCs w:val="20"/>
                <w:lang w:val="en-GB"/>
              </w:rPr>
              <w:t>26.5</w:t>
            </w:r>
          </w:p>
        </w:tc>
        <w:tc>
          <w:tcPr>
            <w:tcW w:w="2381" w:type="dxa"/>
            <w:vAlign w:val="center"/>
          </w:tcPr>
          <w:p w14:paraId="5E983570" w14:textId="77777777" w:rsidR="009B57E2" w:rsidRPr="00494CA7" w:rsidRDefault="009B57E2" w:rsidP="00B64335">
            <w:pPr>
              <w:spacing w:after="0" w:line="240" w:lineRule="auto"/>
              <w:jc w:val="center"/>
              <w:rPr>
                <w:sz w:val="20"/>
                <w:szCs w:val="20"/>
                <w:lang w:val="en-GB"/>
              </w:rPr>
            </w:pPr>
            <w:r w:rsidRPr="00494CA7">
              <w:rPr>
                <w:sz w:val="20"/>
                <w:szCs w:val="20"/>
                <w:lang w:val="en-GB"/>
              </w:rPr>
              <w:t>25.4</w:t>
            </w:r>
          </w:p>
        </w:tc>
        <w:tc>
          <w:tcPr>
            <w:tcW w:w="2381" w:type="dxa"/>
            <w:vAlign w:val="center"/>
          </w:tcPr>
          <w:p w14:paraId="10470134" w14:textId="77777777" w:rsidR="009B57E2" w:rsidRPr="00494CA7" w:rsidRDefault="009B57E2" w:rsidP="00B64335">
            <w:pPr>
              <w:spacing w:after="0" w:line="240" w:lineRule="auto"/>
              <w:jc w:val="center"/>
              <w:rPr>
                <w:sz w:val="20"/>
                <w:szCs w:val="20"/>
                <w:lang w:val="en-GB"/>
              </w:rPr>
            </w:pPr>
            <w:r w:rsidRPr="00494CA7">
              <w:rPr>
                <w:sz w:val="20"/>
                <w:szCs w:val="20"/>
                <w:lang w:val="en-GB"/>
              </w:rPr>
              <w:t>20.6</w:t>
            </w:r>
          </w:p>
        </w:tc>
      </w:tr>
      <w:tr w:rsidR="009B57E2" w:rsidRPr="00494CA7" w14:paraId="08DC0D78" w14:textId="77777777" w:rsidTr="00B64335">
        <w:trPr>
          <w:trHeight w:val="283"/>
        </w:trPr>
        <w:tc>
          <w:tcPr>
            <w:tcW w:w="2381" w:type="dxa"/>
            <w:vAlign w:val="center"/>
          </w:tcPr>
          <w:p w14:paraId="6D1CA992"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Sweden</w:t>
            </w:r>
          </w:p>
        </w:tc>
        <w:tc>
          <w:tcPr>
            <w:tcW w:w="2381" w:type="dxa"/>
            <w:vAlign w:val="center"/>
          </w:tcPr>
          <w:p w14:paraId="7FA23587" w14:textId="77777777" w:rsidR="009B57E2" w:rsidRPr="00494CA7" w:rsidRDefault="009B57E2" w:rsidP="00B64335">
            <w:pPr>
              <w:spacing w:after="0" w:line="240" w:lineRule="auto"/>
              <w:jc w:val="center"/>
              <w:rPr>
                <w:sz w:val="20"/>
                <w:szCs w:val="20"/>
                <w:lang w:val="en-GB"/>
              </w:rPr>
            </w:pPr>
            <w:r w:rsidRPr="00494CA7">
              <w:rPr>
                <w:sz w:val="20"/>
                <w:szCs w:val="20"/>
                <w:lang w:val="en-GB"/>
              </w:rPr>
              <w:t>3.6</w:t>
            </w:r>
          </w:p>
        </w:tc>
        <w:tc>
          <w:tcPr>
            <w:tcW w:w="2381" w:type="dxa"/>
            <w:vAlign w:val="center"/>
          </w:tcPr>
          <w:p w14:paraId="0CEC870A" w14:textId="77777777" w:rsidR="009B57E2" w:rsidRPr="00494CA7" w:rsidRDefault="009B57E2" w:rsidP="00B64335">
            <w:pPr>
              <w:spacing w:after="0" w:line="240" w:lineRule="auto"/>
              <w:jc w:val="center"/>
              <w:rPr>
                <w:sz w:val="20"/>
                <w:szCs w:val="20"/>
                <w:lang w:val="en-GB"/>
              </w:rPr>
            </w:pPr>
            <w:r w:rsidRPr="00494CA7">
              <w:rPr>
                <w:sz w:val="20"/>
                <w:szCs w:val="20"/>
                <w:lang w:val="en-GB"/>
              </w:rPr>
              <w:t>4.0</w:t>
            </w:r>
          </w:p>
        </w:tc>
        <w:tc>
          <w:tcPr>
            <w:tcW w:w="2381" w:type="dxa"/>
            <w:vAlign w:val="center"/>
          </w:tcPr>
          <w:p w14:paraId="69053C02" w14:textId="77777777" w:rsidR="009B57E2" w:rsidRPr="00494CA7" w:rsidRDefault="009B57E2" w:rsidP="00B64335">
            <w:pPr>
              <w:spacing w:after="0" w:line="240" w:lineRule="auto"/>
              <w:jc w:val="center"/>
              <w:rPr>
                <w:sz w:val="20"/>
                <w:szCs w:val="20"/>
                <w:lang w:val="en-GB"/>
              </w:rPr>
            </w:pPr>
            <w:r w:rsidRPr="00494CA7">
              <w:rPr>
                <w:sz w:val="20"/>
                <w:szCs w:val="20"/>
                <w:lang w:val="en-GB"/>
              </w:rPr>
              <w:t>4.0</w:t>
            </w:r>
          </w:p>
        </w:tc>
      </w:tr>
      <w:tr w:rsidR="009B57E2" w:rsidRPr="00494CA7" w14:paraId="4E13D4A8" w14:textId="77777777" w:rsidTr="00B64335">
        <w:trPr>
          <w:trHeight w:val="283"/>
        </w:trPr>
        <w:tc>
          <w:tcPr>
            <w:tcW w:w="2381" w:type="dxa"/>
            <w:vAlign w:val="center"/>
          </w:tcPr>
          <w:p w14:paraId="7CFD67EB"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Switzerland</w:t>
            </w:r>
          </w:p>
        </w:tc>
        <w:tc>
          <w:tcPr>
            <w:tcW w:w="2381" w:type="dxa"/>
            <w:vAlign w:val="center"/>
          </w:tcPr>
          <w:p w14:paraId="20888C79" w14:textId="77777777" w:rsidR="009B57E2" w:rsidRPr="00494CA7" w:rsidRDefault="009B57E2" w:rsidP="00B64335">
            <w:pPr>
              <w:spacing w:after="0" w:line="240" w:lineRule="auto"/>
              <w:jc w:val="center"/>
              <w:rPr>
                <w:sz w:val="20"/>
                <w:szCs w:val="20"/>
                <w:lang w:val="en-GB"/>
              </w:rPr>
            </w:pPr>
            <w:r w:rsidRPr="00494CA7">
              <w:rPr>
                <w:sz w:val="20"/>
                <w:szCs w:val="20"/>
                <w:lang w:val="en-GB"/>
              </w:rPr>
              <w:t>12.7</w:t>
            </w:r>
          </w:p>
        </w:tc>
        <w:tc>
          <w:tcPr>
            <w:tcW w:w="2381" w:type="dxa"/>
            <w:vAlign w:val="center"/>
          </w:tcPr>
          <w:p w14:paraId="3181B93A" w14:textId="77777777" w:rsidR="009B57E2" w:rsidRPr="00494CA7" w:rsidRDefault="009B57E2" w:rsidP="00B64335">
            <w:pPr>
              <w:spacing w:after="0" w:line="240" w:lineRule="auto"/>
              <w:jc w:val="center"/>
              <w:rPr>
                <w:sz w:val="20"/>
                <w:szCs w:val="20"/>
                <w:lang w:val="en-GB"/>
              </w:rPr>
            </w:pPr>
            <w:r w:rsidRPr="00494CA7">
              <w:rPr>
                <w:sz w:val="20"/>
                <w:szCs w:val="20"/>
                <w:lang w:val="en-GB"/>
              </w:rPr>
              <w:t>7.0</w:t>
            </w:r>
          </w:p>
        </w:tc>
        <w:tc>
          <w:tcPr>
            <w:tcW w:w="2381" w:type="dxa"/>
            <w:vAlign w:val="center"/>
          </w:tcPr>
          <w:p w14:paraId="58ABB38C" w14:textId="77777777" w:rsidR="009B57E2" w:rsidRPr="00494CA7" w:rsidRDefault="009B57E2" w:rsidP="00B64335">
            <w:pPr>
              <w:spacing w:after="0" w:line="240" w:lineRule="auto"/>
              <w:jc w:val="center"/>
              <w:rPr>
                <w:sz w:val="20"/>
                <w:szCs w:val="20"/>
                <w:lang w:val="en-GB"/>
              </w:rPr>
            </w:pPr>
            <w:r w:rsidRPr="00494CA7">
              <w:rPr>
                <w:sz w:val="20"/>
                <w:szCs w:val="20"/>
                <w:lang w:val="en-GB"/>
              </w:rPr>
              <w:t>8.5</w:t>
            </w:r>
          </w:p>
        </w:tc>
      </w:tr>
      <w:tr w:rsidR="009B57E2" w:rsidRPr="00494CA7" w14:paraId="6C333C83" w14:textId="77777777" w:rsidTr="00B64335">
        <w:trPr>
          <w:trHeight w:val="283"/>
        </w:trPr>
        <w:tc>
          <w:tcPr>
            <w:tcW w:w="2381" w:type="dxa"/>
            <w:vAlign w:val="center"/>
          </w:tcPr>
          <w:p w14:paraId="69D1FFDB"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Thailand</w:t>
            </w:r>
          </w:p>
        </w:tc>
        <w:tc>
          <w:tcPr>
            <w:tcW w:w="2381" w:type="dxa"/>
            <w:vAlign w:val="center"/>
          </w:tcPr>
          <w:p w14:paraId="385151B2" w14:textId="77777777" w:rsidR="009B57E2" w:rsidRPr="00494CA7" w:rsidRDefault="009B57E2" w:rsidP="00B64335">
            <w:pPr>
              <w:spacing w:after="0" w:line="240" w:lineRule="auto"/>
              <w:jc w:val="center"/>
              <w:rPr>
                <w:sz w:val="20"/>
                <w:szCs w:val="20"/>
                <w:lang w:val="en-GB"/>
              </w:rPr>
            </w:pPr>
            <w:r w:rsidRPr="00494CA7">
              <w:rPr>
                <w:sz w:val="20"/>
                <w:szCs w:val="20"/>
                <w:lang w:val="en-GB"/>
              </w:rPr>
              <w:t>48.0</w:t>
            </w:r>
          </w:p>
        </w:tc>
        <w:tc>
          <w:tcPr>
            <w:tcW w:w="2381" w:type="dxa"/>
            <w:vAlign w:val="center"/>
          </w:tcPr>
          <w:p w14:paraId="22B7EB0A" w14:textId="77777777" w:rsidR="009B57E2" w:rsidRPr="00494CA7" w:rsidRDefault="009B57E2" w:rsidP="00B64335">
            <w:pPr>
              <w:spacing w:after="0" w:line="240" w:lineRule="auto"/>
              <w:jc w:val="center"/>
              <w:rPr>
                <w:sz w:val="20"/>
                <w:szCs w:val="20"/>
                <w:lang w:val="en-GB"/>
              </w:rPr>
            </w:pPr>
            <w:r w:rsidRPr="00494CA7">
              <w:rPr>
                <w:sz w:val="20"/>
                <w:szCs w:val="20"/>
                <w:lang w:val="en-GB"/>
              </w:rPr>
              <w:t>46.5</w:t>
            </w:r>
          </w:p>
        </w:tc>
        <w:tc>
          <w:tcPr>
            <w:tcW w:w="2381" w:type="dxa"/>
            <w:vAlign w:val="center"/>
          </w:tcPr>
          <w:p w14:paraId="04C09C27" w14:textId="77777777" w:rsidR="009B57E2" w:rsidRPr="00494CA7" w:rsidRDefault="009B57E2" w:rsidP="00B64335">
            <w:pPr>
              <w:spacing w:after="0" w:line="240" w:lineRule="auto"/>
              <w:jc w:val="center"/>
              <w:rPr>
                <w:sz w:val="20"/>
                <w:szCs w:val="20"/>
                <w:lang w:val="en-GB"/>
              </w:rPr>
            </w:pPr>
            <w:r w:rsidRPr="00494CA7">
              <w:rPr>
                <w:sz w:val="20"/>
                <w:szCs w:val="20"/>
                <w:lang w:val="en-GB"/>
              </w:rPr>
              <w:t>52.7</w:t>
            </w:r>
          </w:p>
        </w:tc>
      </w:tr>
      <w:tr w:rsidR="009B57E2" w:rsidRPr="00494CA7" w14:paraId="420CF1E1" w14:textId="77777777" w:rsidTr="00B64335">
        <w:trPr>
          <w:trHeight w:val="283"/>
        </w:trPr>
        <w:tc>
          <w:tcPr>
            <w:tcW w:w="2381" w:type="dxa"/>
            <w:tcBorders>
              <w:bottom w:val="nil"/>
            </w:tcBorders>
            <w:vAlign w:val="center"/>
          </w:tcPr>
          <w:p w14:paraId="04A55E36"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UK</w:t>
            </w:r>
          </w:p>
        </w:tc>
        <w:tc>
          <w:tcPr>
            <w:tcW w:w="2381" w:type="dxa"/>
            <w:tcBorders>
              <w:bottom w:val="nil"/>
            </w:tcBorders>
            <w:vAlign w:val="center"/>
          </w:tcPr>
          <w:p w14:paraId="571BF164" w14:textId="77777777" w:rsidR="009B57E2" w:rsidRPr="00494CA7" w:rsidRDefault="009B57E2" w:rsidP="00B64335">
            <w:pPr>
              <w:spacing w:after="0" w:line="240" w:lineRule="auto"/>
              <w:jc w:val="center"/>
              <w:rPr>
                <w:sz w:val="20"/>
                <w:szCs w:val="20"/>
                <w:lang w:val="en-GB"/>
              </w:rPr>
            </w:pPr>
            <w:r w:rsidRPr="00494CA7">
              <w:rPr>
                <w:sz w:val="20"/>
                <w:szCs w:val="20"/>
                <w:lang w:val="en-GB"/>
              </w:rPr>
              <w:t>7.1</w:t>
            </w:r>
          </w:p>
        </w:tc>
        <w:tc>
          <w:tcPr>
            <w:tcW w:w="2381" w:type="dxa"/>
            <w:tcBorders>
              <w:bottom w:val="nil"/>
            </w:tcBorders>
            <w:vAlign w:val="center"/>
          </w:tcPr>
          <w:p w14:paraId="660876DF" w14:textId="77777777" w:rsidR="009B57E2" w:rsidRPr="00494CA7" w:rsidRDefault="009B57E2" w:rsidP="00B64335">
            <w:pPr>
              <w:spacing w:after="0" w:line="240" w:lineRule="auto"/>
              <w:jc w:val="center"/>
              <w:rPr>
                <w:sz w:val="20"/>
                <w:szCs w:val="20"/>
                <w:lang w:val="en-GB"/>
              </w:rPr>
            </w:pPr>
            <w:r w:rsidRPr="00494CA7">
              <w:rPr>
                <w:sz w:val="20"/>
                <w:szCs w:val="20"/>
                <w:lang w:val="en-GB"/>
              </w:rPr>
              <w:t>6.9</w:t>
            </w:r>
          </w:p>
        </w:tc>
        <w:tc>
          <w:tcPr>
            <w:tcW w:w="2381" w:type="dxa"/>
            <w:tcBorders>
              <w:bottom w:val="nil"/>
            </w:tcBorders>
            <w:vAlign w:val="center"/>
          </w:tcPr>
          <w:p w14:paraId="6DC53847" w14:textId="77777777" w:rsidR="009B57E2" w:rsidRPr="00494CA7" w:rsidRDefault="009B57E2" w:rsidP="00B64335">
            <w:pPr>
              <w:spacing w:after="0" w:line="240" w:lineRule="auto"/>
              <w:jc w:val="center"/>
              <w:rPr>
                <w:sz w:val="20"/>
                <w:szCs w:val="20"/>
                <w:lang w:val="en-GB"/>
              </w:rPr>
            </w:pPr>
            <w:r w:rsidRPr="00494CA7">
              <w:rPr>
                <w:sz w:val="20"/>
                <w:szCs w:val="20"/>
                <w:lang w:val="en-GB"/>
              </w:rPr>
              <w:t>4.9</w:t>
            </w:r>
          </w:p>
        </w:tc>
      </w:tr>
      <w:tr w:rsidR="009B57E2" w:rsidRPr="00494CA7" w14:paraId="64D53BB5" w14:textId="77777777" w:rsidTr="00B64335">
        <w:trPr>
          <w:trHeight w:val="283"/>
        </w:trPr>
        <w:tc>
          <w:tcPr>
            <w:tcW w:w="2381" w:type="dxa"/>
            <w:tcBorders>
              <w:top w:val="nil"/>
              <w:bottom w:val="single" w:sz="12" w:space="0" w:color="auto"/>
            </w:tcBorders>
            <w:vAlign w:val="center"/>
          </w:tcPr>
          <w:p w14:paraId="05A828C5" w14:textId="77777777" w:rsidR="009B57E2" w:rsidRPr="00494CA7" w:rsidRDefault="009B57E2" w:rsidP="00B64335">
            <w:pPr>
              <w:spacing w:after="0" w:line="240" w:lineRule="auto"/>
              <w:rPr>
                <w:color w:val="000000"/>
                <w:sz w:val="20"/>
                <w:szCs w:val="20"/>
                <w:lang w:val="en-GB"/>
              </w:rPr>
            </w:pPr>
            <w:r w:rsidRPr="00494CA7">
              <w:rPr>
                <w:color w:val="000000"/>
                <w:sz w:val="20"/>
                <w:szCs w:val="20"/>
                <w:lang w:val="en-GB"/>
              </w:rPr>
              <w:t>USA</w:t>
            </w:r>
          </w:p>
        </w:tc>
        <w:tc>
          <w:tcPr>
            <w:tcW w:w="2381" w:type="dxa"/>
            <w:tcBorders>
              <w:top w:val="nil"/>
              <w:bottom w:val="single" w:sz="12" w:space="0" w:color="auto"/>
            </w:tcBorders>
            <w:vAlign w:val="center"/>
          </w:tcPr>
          <w:p w14:paraId="1F30D3DA" w14:textId="77777777" w:rsidR="009B57E2" w:rsidRPr="00494CA7" w:rsidRDefault="009B57E2" w:rsidP="00B64335">
            <w:pPr>
              <w:spacing w:after="0" w:line="240" w:lineRule="auto"/>
              <w:jc w:val="center"/>
              <w:rPr>
                <w:sz w:val="20"/>
                <w:szCs w:val="20"/>
                <w:lang w:val="en-GB"/>
              </w:rPr>
            </w:pPr>
            <w:r w:rsidRPr="00494CA7">
              <w:rPr>
                <w:sz w:val="20"/>
                <w:szCs w:val="20"/>
                <w:lang w:val="en-GB"/>
              </w:rPr>
              <w:t>17.2</w:t>
            </w:r>
          </w:p>
        </w:tc>
        <w:tc>
          <w:tcPr>
            <w:tcW w:w="2381" w:type="dxa"/>
            <w:tcBorders>
              <w:top w:val="nil"/>
              <w:bottom w:val="single" w:sz="12" w:space="0" w:color="auto"/>
            </w:tcBorders>
            <w:vAlign w:val="center"/>
          </w:tcPr>
          <w:p w14:paraId="2F3C1435" w14:textId="77777777" w:rsidR="009B57E2" w:rsidRPr="00494CA7" w:rsidRDefault="009B57E2" w:rsidP="00B64335">
            <w:pPr>
              <w:spacing w:after="0" w:line="240" w:lineRule="auto"/>
              <w:jc w:val="center"/>
              <w:rPr>
                <w:sz w:val="20"/>
                <w:szCs w:val="20"/>
                <w:lang w:val="en-GB"/>
              </w:rPr>
            </w:pPr>
            <w:r w:rsidRPr="00494CA7">
              <w:rPr>
                <w:sz w:val="20"/>
                <w:szCs w:val="20"/>
                <w:lang w:val="en-GB"/>
              </w:rPr>
              <w:t>15.4</w:t>
            </w:r>
          </w:p>
        </w:tc>
        <w:tc>
          <w:tcPr>
            <w:tcW w:w="2381" w:type="dxa"/>
            <w:tcBorders>
              <w:top w:val="nil"/>
              <w:bottom w:val="single" w:sz="12" w:space="0" w:color="auto"/>
            </w:tcBorders>
            <w:vAlign w:val="center"/>
          </w:tcPr>
          <w:p w14:paraId="2EE01012" w14:textId="77777777" w:rsidR="009B57E2" w:rsidRPr="00494CA7" w:rsidRDefault="009B57E2" w:rsidP="00B64335">
            <w:pPr>
              <w:spacing w:after="0" w:line="240" w:lineRule="auto"/>
              <w:jc w:val="center"/>
              <w:rPr>
                <w:sz w:val="20"/>
                <w:szCs w:val="20"/>
                <w:lang w:val="en-GB"/>
              </w:rPr>
            </w:pPr>
            <w:r w:rsidRPr="00494CA7">
              <w:rPr>
                <w:sz w:val="20"/>
                <w:szCs w:val="20"/>
                <w:lang w:val="en-GB"/>
              </w:rPr>
              <w:t>13.2</w:t>
            </w:r>
          </w:p>
        </w:tc>
      </w:tr>
    </w:tbl>
    <w:p w14:paraId="63607F4B" w14:textId="77777777" w:rsidR="009B57E2" w:rsidRDefault="009B57E2" w:rsidP="009B57E2">
      <w:pPr>
        <w:rPr>
          <w:sz w:val="22"/>
        </w:rPr>
      </w:pPr>
    </w:p>
    <w:p w14:paraId="080059B5" w14:textId="77777777" w:rsidR="009B57E2" w:rsidRPr="00415377" w:rsidRDefault="009B57E2" w:rsidP="009B57E2">
      <w:pPr>
        <w:spacing w:line="240" w:lineRule="auto"/>
        <w:jc w:val="both"/>
        <w:rPr>
          <w:b/>
          <w:szCs w:val="24"/>
          <w:lang w:val="en-GB"/>
        </w:rPr>
      </w:pPr>
      <w:r>
        <w:rPr>
          <w:sz w:val="22"/>
        </w:rPr>
        <w:br w:type="page"/>
      </w:r>
      <w:r w:rsidRPr="00415377">
        <w:rPr>
          <w:b/>
          <w:szCs w:val="24"/>
          <w:lang w:val="en-GB"/>
        </w:rPr>
        <w:lastRenderedPageBreak/>
        <w:t>Figure 1:</w:t>
      </w:r>
      <w:r>
        <w:rPr>
          <w:b/>
          <w:szCs w:val="24"/>
          <w:lang w:val="en-GB"/>
        </w:rPr>
        <w:t xml:space="preserve"> Estimated total effects </w:t>
      </w:r>
      <w:r>
        <w:rPr>
          <w:b/>
          <w:szCs w:val="24"/>
          <w:lang w:val="en-US"/>
        </w:rPr>
        <w:t>(</w:t>
      </w:r>
      <w:r>
        <w:rPr>
          <w:b/>
          <w:szCs w:val="24"/>
          <w:lang w:val="en-GB"/>
        </w:rPr>
        <w:t>from Model 1) of the number of siblings on reading test scores by quartiles of the Human Development Index and co-residence with grandparents from a three-level linear regression model. PISA 2000, number of level-1 observations (students) = 151377, number of level-2 observations (schools) = 8218, number of level-3 observations (countries) = 40.</w:t>
      </w:r>
    </w:p>
    <w:p w14:paraId="107E3917" w14:textId="5C5D02CD" w:rsidR="009B57E2" w:rsidRDefault="009B57E2" w:rsidP="009B57E2">
      <w:pPr>
        <w:spacing w:line="480" w:lineRule="auto"/>
        <w:jc w:val="both"/>
        <w:rPr>
          <w:szCs w:val="24"/>
          <w:lang w:val="en-GB"/>
        </w:rPr>
      </w:pPr>
      <w:r w:rsidRPr="0081421C">
        <w:rPr>
          <w:noProof/>
          <w:lang w:eastAsia="cs-CZ"/>
        </w:rPr>
        <w:drawing>
          <wp:inline distT="0" distB="0" distL="0" distR="0" wp14:anchorId="3CE2E6B0" wp14:editId="61F3ADBC">
            <wp:extent cx="5975350" cy="3902075"/>
            <wp:effectExtent l="0" t="0" r="6350" b="3175"/>
            <wp:docPr id="2"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560F402" w14:textId="77777777" w:rsidR="009B57E2" w:rsidRDefault="009B57E2" w:rsidP="009B57E2">
      <w:pPr>
        <w:spacing w:line="480" w:lineRule="auto"/>
        <w:jc w:val="both"/>
        <w:rPr>
          <w:szCs w:val="24"/>
          <w:lang w:val="en-GB"/>
        </w:rPr>
      </w:pPr>
    </w:p>
    <w:p w14:paraId="037DC39A" w14:textId="77777777" w:rsidR="009B57E2" w:rsidRPr="00415377" w:rsidRDefault="009B57E2" w:rsidP="009B57E2">
      <w:pPr>
        <w:spacing w:line="240" w:lineRule="auto"/>
        <w:jc w:val="both"/>
        <w:rPr>
          <w:b/>
          <w:szCs w:val="24"/>
          <w:lang w:val="en-GB"/>
        </w:rPr>
      </w:pPr>
      <w:r>
        <w:rPr>
          <w:b/>
          <w:szCs w:val="24"/>
          <w:lang w:val="en-GB"/>
        </w:rPr>
        <w:br w:type="page"/>
      </w:r>
      <w:r w:rsidRPr="00415377">
        <w:rPr>
          <w:b/>
          <w:szCs w:val="24"/>
          <w:lang w:val="en-GB"/>
        </w:rPr>
        <w:lastRenderedPageBreak/>
        <w:t xml:space="preserve">Figure </w:t>
      </w:r>
      <w:r>
        <w:rPr>
          <w:b/>
          <w:szCs w:val="24"/>
          <w:lang w:val="en-GB"/>
        </w:rPr>
        <w:t>2</w:t>
      </w:r>
      <w:r w:rsidRPr="00415377">
        <w:rPr>
          <w:b/>
          <w:szCs w:val="24"/>
          <w:lang w:val="en-GB"/>
        </w:rPr>
        <w:t>:</w:t>
      </w:r>
      <w:r>
        <w:rPr>
          <w:b/>
          <w:szCs w:val="24"/>
          <w:lang w:val="en-GB"/>
        </w:rPr>
        <w:t xml:space="preserve"> Estimated net effects (from Model 2) of the number of siblings on reading test scores by quartiles of the Human Development Index and co-residence with grandparents</w:t>
      </w:r>
      <w:r w:rsidRPr="00E13DA4">
        <w:rPr>
          <w:b/>
          <w:szCs w:val="24"/>
          <w:lang w:val="en-GB"/>
        </w:rPr>
        <w:t xml:space="preserve"> </w:t>
      </w:r>
      <w:r>
        <w:rPr>
          <w:b/>
          <w:szCs w:val="24"/>
          <w:lang w:val="en-GB"/>
        </w:rPr>
        <w:t>from a three-level linear regression model. PISA 2000, number of level-1 observations (students) = 151377, number of level-2 observations (schools) = 8218, number of level-3 observations (countries) = 40.</w:t>
      </w:r>
    </w:p>
    <w:p w14:paraId="0AC59A61" w14:textId="4A7CD20A" w:rsidR="009B57E2" w:rsidRPr="00494CA7" w:rsidRDefault="009B57E2" w:rsidP="009B57E2">
      <w:pPr>
        <w:rPr>
          <w:sz w:val="22"/>
        </w:rPr>
      </w:pPr>
      <w:r w:rsidRPr="0081421C">
        <w:rPr>
          <w:noProof/>
          <w:lang w:eastAsia="cs-CZ"/>
        </w:rPr>
        <w:drawing>
          <wp:inline distT="0" distB="0" distL="0" distR="0" wp14:anchorId="67B8C873" wp14:editId="2BFAAAF2">
            <wp:extent cx="5975350" cy="3902075"/>
            <wp:effectExtent l="0" t="0" r="6350" b="317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0FF9799" w14:textId="53AD578A" w:rsidR="00805FA9" w:rsidRPr="004443C5" w:rsidRDefault="00805FA9" w:rsidP="00C43686">
      <w:pPr>
        <w:spacing w:line="480" w:lineRule="auto"/>
        <w:rPr>
          <w:lang w:val="en-US"/>
        </w:rPr>
      </w:pPr>
    </w:p>
    <w:sectPr w:rsidR="00805FA9" w:rsidRPr="004443C5" w:rsidSect="00525F5B">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785E9" w14:textId="77777777" w:rsidR="00F13CD4" w:rsidRDefault="00F13CD4" w:rsidP="00B33322">
      <w:pPr>
        <w:spacing w:after="0" w:line="240" w:lineRule="auto"/>
      </w:pPr>
      <w:r>
        <w:separator/>
      </w:r>
    </w:p>
  </w:endnote>
  <w:endnote w:type="continuationSeparator" w:id="0">
    <w:p w14:paraId="28D9556E" w14:textId="77777777" w:rsidR="00F13CD4" w:rsidRDefault="00F13CD4" w:rsidP="00B33322">
      <w:pPr>
        <w:spacing w:after="0" w:line="240" w:lineRule="auto"/>
      </w:pPr>
      <w:r>
        <w:continuationSeparator/>
      </w:r>
    </w:p>
  </w:endnote>
  <w:endnote w:type="continuationNotice" w:id="1">
    <w:p w14:paraId="3D3E5187" w14:textId="77777777" w:rsidR="00F13CD4" w:rsidRDefault="00F13C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EBD25" w14:textId="6C4D1C55" w:rsidR="008B61B7" w:rsidRPr="00FC5FD4" w:rsidRDefault="008B61B7">
    <w:pPr>
      <w:pStyle w:val="Zpat"/>
      <w:jc w:val="center"/>
      <w:rPr>
        <w:sz w:val="20"/>
      </w:rPr>
    </w:pPr>
    <w:r w:rsidRPr="00FC5FD4">
      <w:rPr>
        <w:sz w:val="20"/>
      </w:rPr>
      <w:fldChar w:fldCharType="begin"/>
    </w:r>
    <w:r w:rsidRPr="00FC5FD4">
      <w:rPr>
        <w:sz w:val="20"/>
      </w:rPr>
      <w:instrText xml:space="preserve"> PAGE   \* MERGEFORMAT </w:instrText>
    </w:r>
    <w:r w:rsidRPr="00FC5FD4">
      <w:rPr>
        <w:sz w:val="20"/>
      </w:rPr>
      <w:fldChar w:fldCharType="separate"/>
    </w:r>
    <w:r w:rsidR="00423ECC">
      <w:rPr>
        <w:noProof/>
        <w:sz w:val="20"/>
      </w:rPr>
      <w:t>1</w:t>
    </w:r>
    <w:r w:rsidRPr="00FC5FD4">
      <w:rPr>
        <w:noProof/>
        <w:sz w:val="20"/>
      </w:rPr>
      <w:fldChar w:fldCharType="end"/>
    </w:r>
  </w:p>
  <w:p w14:paraId="4E9B0656" w14:textId="77777777" w:rsidR="008B61B7" w:rsidRDefault="008B61B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3B8A5" w14:textId="77777777" w:rsidR="00F13CD4" w:rsidRDefault="00F13CD4" w:rsidP="00B33322">
      <w:pPr>
        <w:spacing w:after="0" w:line="240" w:lineRule="auto"/>
      </w:pPr>
      <w:r>
        <w:separator/>
      </w:r>
    </w:p>
  </w:footnote>
  <w:footnote w:type="continuationSeparator" w:id="0">
    <w:p w14:paraId="1D6FAA5D" w14:textId="77777777" w:rsidR="00F13CD4" w:rsidRDefault="00F13CD4" w:rsidP="00B33322">
      <w:pPr>
        <w:spacing w:after="0" w:line="240" w:lineRule="auto"/>
      </w:pPr>
      <w:r>
        <w:continuationSeparator/>
      </w:r>
    </w:p>
  </w:footnote>
  <w:footnote w:type="continuationNotice" w:id="1">
    <w:p w14:paraId="500414E2" w14:textId="77777777" w:rsidR="00F13CD4" w:rsidRDefault="00F13CD4">
      <w:pPr>
        <w:spacing w:after="0" w:line="240" w:lineRule="auto"/>
      </w:pPr>
    </w:p>
  </w:footnote>
  <w:footnote w:id="2">
    <w:p w14:paraId="6867765D" w14:textId="6E624DF1" w:rsidR="00084F7B" w:rsidRPr="00084F7B" w:rsidRDefault="00084F7B" w:rsidP="00506240">
      <w:pPr>
        <w:pStyle w:val="Textpoznpodarou"/>
        <w:spacing w:line="480" w:lineRule="auto"/>
        <w:rPr>
          <w:lang w:val="en-US"/>
        </w:rPr>
      </w:pPr>
      <w:r>
        <w:rPr>
          <w:rStyle w:val="Znakapoznpodarou"/>
        </w:rPr>
        <w:footnoteRef/>
      </w:r>
      <w:r>
        <w:t xml:space="preserve"> </w:t>
      </w:r>
      <w:r w:rsidR="005C2454">
        <w:rPr>
          <w:lang w:val="en-US"/>
        </w:rPr>
        <w:t xml:space="preserve">Our </w:t>
      </w:r>
      <w:r>
        <w:rPr>
          <w:lang w:val="en-US"/>
        </w:rPr>
        <w:t>model specification may inspire the conclusion tha</w:t>
      </w:r>
      <w:r w:rsidR="00DF0662">
        <w:rPr>
          <w:lang w:val="en-US"/>
        </w:rPr>
        <w:t>t the second level (schools) is</w:t>
      </w:r>
      <w:r>
        <w:rPr>
          <w:lang w:val="en-US"/>
        </w:rPr>
        <w:t xml:space="preserve"> r</w:t>
      </w:r>
      <w:r w:rsidR="00E8147B">
        <w:rPr>
          <w:lang w:val="en-US"/>
        </w:rPr>
        <w:t>edundant in our analysis, since</w:t>
      </w:r>
      <w:r>
        <w:rPr>
          <w:lang w:val="en-US"/>
        </w:rPr>
        <w:t xml:space="preserve"> there are no explanatory variables measured at the </w:t>
      </w:r>
      <w:r w:rsidR="005C2454">
        <w:rPr>
          <w:lang w:val="en-US"/>
        </w:rPr>
        <w:t xml:space="preserve">school level. The reason why the second level is nevertheless kept in the </w:t>
      </w:r>
      <w:r w:rsidR="009C68F1">
        <w:rPr>
          <w:lang w:val="en-US"/>
        </w:rPr>
        <w:t>model</w:t>
      </w:r>
      <w:r w:rsidR="005C2454">
        <w:rPr>
          <w:lang w:val="en-US"/>
        </w:rPr>
        <w:t xml:space="preserve"> relates to the use of schools </w:t>
      </w:r>
      <w:r w:rsidR="007238AF">
        <w:rPr>
          <w:lang w:val="en-US"/>
        </w:rPr>
        <w:t xml:space="preserve">as sampling units </w:t>
      </w:r>
      <w:r w:rsidR="005C2454">
        <w:rPr>
          <w:lang w:val="en-US"/>
        </w:rPr>
        <w:t>in the complex sample designs that were implemented in all countries. If the complex</w:t>
      </w:r>
      <w:r w:rsidR="007238AF">
        <w:rPr>
          <w:lang w:val="en-US"/>
        </w:rPr>
        <w:t>ities of the sampling</w:t>
      </w:r>
      <w:r w:rsidR="005C2454">
        <w:rPr>
          <w:lang w:val="en-US"/>
        </w:rPr>
        <w:t xml:space="preserve"> design were ignored, we would face the risk of obtaining biased point estimates of model parameters as well as underestimated standard errors (Kreuter &amp; Valliant, 2007). While PISA is distributed with a set of replicate </w:t>
      </w:r>
      <w:r w:rsidR="007238AF">
        <w:rPr>
          <w:lang w:val="en-US"/>
        </w:rPr>
        <w:t xml:space="preserve">weights that reflect the sampling structure and </w:t>
      </w:r>
      <w:r w:rsidR="00F744B8">
        <w:rPr>
          <w:lang w:val="en-US"/>
        </w:rPr>
        <w:t>many</w:t>
      </w:r>
      <w:r w:rsidR="007238AF">
        <w:rPr>
          <w:lang w:val="en-US"/>
        </w:rPr>
        <w:t xml:space="preserve"> PISA users seem to prefer the use of replicate weights in their own work, replication is not generally considered to outperform direct incorporation of design information into the analysis (Kreuter &amp; Valliant, 2007). Indeed some scholars recommend that incorporating elements of </w:t>
      </w:r>
      <w:r w:rsidR="009C68F1">
        <w:rPr>
          <w:lang w:val="en-US"/>
        </w:rPr>
        <w:t xml:space="preserve">multi-stage </w:t>
      </w:r>
      <w:r w:rsidR="007238AF">
        <w:rPr>
          <w:lang w:val="en-US"/>
        </w:rPr>
        <w:t xml:space="preserve">sampling directly into a multi-level analysis design is </w:t>
      </w:r>
      <w:r w:rsidR="004F261A">
        <w:rPr>
          <w:lang w:val="en-US"/>
        </w:rPr>
        <w:t xml:space="preserve">the obvious choice as it adequately reflects the uncertainty due to sampling in the analysis </w:t>
      </w:r>
      <w:r w:rsidR="00F744B8">
        <w:rPr>
          <w:lang w:val="en-US"/>
        </w:rPr>
        <w:t xml:space="preserve">and has also other favorable properties </w:t>
      </w:r>
      <w:r w:rsidR="004F261A">
        <w:rPr>
          <w:lang w:val="en-US"/>
        </w:rPr>
        <w:t>(</w:t>
      </w:r>
      <w:r w:rsidR="00EF60BE">
        <w:rPr>
          <w:lang w:val="en-US"/>
        </w:rPr>
        <w:t xml:space="preserve">see e.g. </w:t>
      </w:r>
      <w:r w:rsidR="004F261A">
        <w:rPr>
          <w:lang w:val="en-US"/>
        </w:rPr>
        <w:t xml:space="preserve">Treiman 2009: </w:t>
      </w:r>
      <w:r w:rsidR="00F744B8">
        <w:rPr>
          <w:lang w:val="en-US"/>
        </w:rPr>
        <w:t>ch. 9</w:t>
      </w:r>
      <w:r w:rsidR="004F261A">
        <w:rPr>
          <w:lang w:val="en-US"/>
        </w:rPr>
        <w:t>).</w:t>
      </w:r>
    </w:p>
  </w:footnote>
  <w:footnote w:id="3">
    <w:p w14:paraId="6434B272" w14:textId="729F722D" w:rsidR="00426836" w:rsidRPr="00426836" w:rsidRDefault="00426836" w:rsidP="00426836">
      <w:pPr>
        <w:pStyle w:val="Textpoznpodarou"/>
        <w:spacing w:line="480" w:lineRule="auto"/>
        <w:rPr>
          <w:lang w:val="en-US"/>
        </w:rPr>
      </w:pPr>
      <w:r>
        <w:rPr>
          <w:rStyle w:val="Znakapoznpodarou"/>
        </w:rPr>
        <w:footnoteRef/>
      </w:r>
      <w:r>
        <w:t xml:space="preserve"> </w:t>
      </w:r>
      <w:r>
        <w:rPr>
          <w:lang w:val="en-US"/>
        </w:rPr>
        <w:t xml:space="preserve">Countries at the lower two levels of development </w:t>
      </w:r>
      <w:r w:rsidR="00241F31">
        <w:rPr>
          <w:lang w:val="en-US"/>
        </w:rPr>
        <w:t>(</w:t>
      </w:r>
      <w:r>
        <w:rPr>
          <w:lang w:val="en-US"/>
        </w:rPr>
        <w:t>as measured by HDI</w:t>
      </w:r>
      <w:r w:rsidR="00241F31">
        <w:rPr>
          <w:lang w:val="en-US"/>
        </w:rPr>
        <w:t>)</w:t>
      </w:r>
      <w:r>
        <w:rPr>
          <w:lang w:val="en-US"/>
        </w:rPr>
        <w:t xml:space="preserve"> appear to be </w:t>
      </w:r>
      <w:r w:rsidR="00F744B8">
        <w:rPr>
          <w:lang w:val="en-US"/>
        </w:rPr>
        <w:t>particularly</w:t>
      </w:r>
      <w:r>
        <w:rPr>
          <w:lang w:val="en-US"/>
        </w:rPr>
        <w:t xml:space="preserve"> diverse with respect to culture and history; most notably post-communist societies stand out as a distinct group. Therefore, we also experimented with other control variables to capture this apparent diversity and included a dichotomous indicator of post-communism into our models. This additional covariate does not change other effects in </w:t>
      </w:r>
      <w:r w:rsidR="00FA0C2F">
        <w:rPr>
          <w:lang w:val="en-US"/>
        </w:rPr>
        <w:t xml:space="preserve">Models 1-5 </w:t>
      </w:r>
      <w:r>
        <w:rPr>
          <w:lang w:val="en-US"/>
        </w:rPr>
        <w:t>to any significant degree</w:t>
      </w:r>
      <w:r w:rsidR="00F744B8">
        <w:rPr>
          <w:lang w:val="en-US"/>
        </w:rPr>
        <w:t xml:space="preserve"> (practically not at all)</w:t>
      </w:r>
      <w:r>
        <w:rPr>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598B"/>
    <w:multiLevelType w:val="hybridMultilevel"/>
    <w:tmpl w:val="80968CA0"/>
    <w:lvl w:ilvl="0" w:tplc="343AFAA0">
      <w:start w:val="151"/>
      <w:numFmt w:val="bullet"/>
      <w:lvlText w:val=""/>
      <w:lvlJc w:val="left"/>
      <w:pPr>
        <w:ind w:left="1410" w:hanging="360"/>
      </w:pPr>
      <w:rPr>
        <w:rFonts w:ascii="Symbol" w:eastAsia="Calibri" w:hAnsi="Symbol" w:cs="Times New Roman" w:hint="default"/>
      </w:rPr>
    </w:lvl>
    <w:lvl w:ilvl="1" w:tplc="04050003" w:tentative="1">
      <w:start w:val="1"/>
      <w:numFmt w:val="bullet"/>
      <w:lvlText w:val="o"/>
      <w:lvlJc w:val="left"/>
      <w:pPr>
        <w:ind w:left="2130" w:hanging="360"/>
      </w:pPr>
      <w:rPr>
        <w:rFonts w:ascii="Courier New" w:hAnsi="Courier New" w:cs="Courier New" w:hint="default"/>
      </w:rPr>
    </w:lvl>
    <w:lvl w:ilvl="2" w:tplc="04050005" w:tentative="1">
      <w:start w:val="1"/>
      <w:numFmt w:val="bullet"/>
      <w:lvlText w:val=""/>
      <w:lvlJc w:val="left"/>
      <w:pPr>
        <w:ind w:left="2850" w:hanging="360"/>
      </w:pPr>
      <w:rPr>
        <w:rFonts w:ascii="Wingdings" w:hAnsi="Wingdings" w:hint="default"/>
      </w:rPr>
    </w:lvl>
    <w:lvl w:ilvl="3" w:tplc="04050001" w:tentative="1">
      <w:start w:val="1"/>
      <w:numFmt w:val="bullet"/>
      <w:lvlText w:val=""/>
      <w:lvlJc w:val="left"/>
      <w:pPr>
        <w:ind w:left="3570" w:hanging="360"/>
      </w:pPr>
      <w:rPr>
        <w:rFonts w:ascii="Symbol" w:hAnsi="Symbol" w:hint="default"/>
      </w:rPr>
    </w:lvl>
    <w:lvl w:ilvl="4" w:tplc="04050003" w:tentative="1">
      <w:start w:val="1"/>
      <w:numFmt w:val="bullet"/>
      <w:lvlText w:val="o"/>
      <w:lvlJc w:val="left"/>
      <w:pPr>
        <w:ind w:left="4290" w:hanging="360"/>
      </w:pPr>
      <w:rPr>
        <w:rFonts w:ascii="Courier New" w:hAnsi="Courier New" w:cs="Courier New" w:hint="default"/>
      </w:rPr>
    </w:lvl>
    <w:lvl w:ilvl="5" w:tplc="04050005" w:tentative="1">
      <w:start w:val="1"/>
      <w:numFmt w:val="bullet"/>
      <w:lvlText w:val=""/>
      <w:lvlJc w:val="left"/>
      <w:pPr>
        <w:ind w:left="5010" w:hanging="360"/>
      </w:pPr>
      <w:rPr>
        <w:rFonts w:ascii="Wingdings" w:hAnsi="Wingdings" w:hint="default"/>
      </w:rPr>
    </w:lvl>
    <w:lvl w:ilvl="6" w:tplc="04050001" w:tentative="1">
      <w:start w:val="1"/>
      <w:numFmt w:val="bullet"/>
      <w:lvlText w:val=""/>
      <w:lvlJc w:val="left"/>
      <w:pPr>
        <w:ind w:left="5730" w:hanging="360"/>
      </w:pPr>
      <w:rPr>
        <w:rFonts w:ascii="Symbol" w:hAnsi="Symbol" w:hint="default"/>
      </w:rPr>
    </w:lvl>
    <w:lvl w:ilvl="7" w:tplc="04050003" w:tentative="1">
      <w:start w:val="1"/>
      <w:numFmt w:val="bullet"/>
      <w:lvlText w:val="o"/>
      <w:lvlJc w:val="left"/>
      <w:pPr>
        <w:ind w:left="6450" w:hanging="360"/>
      </w:pPr>
      <w:rPr>
        <w:rFonts w:ascii="Courier New" w:hAnsi="Courier New" w:cs="Courier New" w:hint="default"/>
      </w:rPr>
    </w:lvl>
    <w:lvl w:ilvl="8" w:tplc="04050005" w:tentative="1">
      <w:start w:val="1"/>
      <w:numFmt w:val="bullet"/>
      <w:lvlText w:val=""/>
      <w:lvlJc w:val="left"/>
      <w:pPr>
        <w:ind w:left="7170" w:hanging="360"/>
      </w:pPr>
      <w:rPr>
        <w:rFonts w:ascii="Wingdings" w:hAnsi="Wingdings" w:hint="default"/>
      </w:rPr>
    </w:lvl>
  </w:abstractNum>
  <w:abstractNum w:abstractNumId="1" w15:restartNumberingAfterBreak="0">
    <w:nsid w:val="1CA356F9"/>
    <w:multiLevelType w:val="hybridMultilevel"/>
    <w:tmpl w:val="8B50F11C"/>
    <w:lvl w:ilvl="0" w:tplc="CB6A5C40">
      <w:start w:val="1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3B5809"/>
    <w:multiLevelType w:val="hybridMultilevel"/>
    <w:tmpl w:val="DB5629A0"/>
    <w:lvl w:ilvl="0" w:tplc="2C563476">
      <w:start w:val="151"/>
      <w:numFmt w:val="bullet"/>
      <w:lvlText w:val=""/>
      <w:lvlJc w:val="left"/>
      <w:pPr>
        <w:ind w:left="1665" w:hanging="360"/>
      </w:pPr>
      <w:rPr>
        <w:rFonts w:ascii="Symbol" w:eastAsia="Calibri" w:hAnsi="Symbol" w:cs="Times New Roman" w:hint="default"/>
      </w:rPr>
    </w:lvl>
    <w:lvl w:ilvl="1" w:tplc="04050003" w:tentative="1">
      <w:start w:val="1"/>
      <w:numFmt w:val="bullet"/>
      <w:lvlText w:val="o"/>
      <w:lvlJc w:val="left"/>
      <w:pPr>
        <w:ind w:left="2385" w:hanging="360"/>
      </w:pPr>
      <w:rPr>
        <w:rFonts w:ascii="Courier New" w:hAnsi="Courier New" w:cs="Courier New" w:hint="default"/>
      </w:rPr>
    </w:lvl>
    <w:lvl w:ilvl="2" w:tplc="04050005" w:tentative="1">
      <w:start w:val="1"/>
      <w:numFmt w:val="bullet"/>
      <w:lvlText w:val=""/>
      <w:lvlJc w:val="left"/>
      <w:pPr>
        <w:ind w:left="3105" w:hanging="360"/>
      </w:pPr>
      <w:rPr>
        <w:rFonts w:ascii="Wingdings" w:hAnsi="Wingdings" w:hint="default"/>
      </w:rPr>
    </w:lvl>
    <w:lvl w:ilvl="3" w:tplc="04050001" w:tentative="1">
      <w:start w:val="1"/>
      <w:numFmt w:val="bullet"/>
      <w:lvlText w:val=""/>
      <w:lvlJc w:val="left"/>
      <w:pPr>
        <w:ind w:left="3825" w:hanging="360"/>
      </w:pPr>
      <w:rPr>
        <w:rFonts w:ascii="Symbol" w:hAnsi="Symbol" w:hint="default"/>
      </w:rPr>
    </w:lvl>
    <w:lvl w:ilvl="4" w:tplc="04050003" w:tentative="1">
      <w:start w:val="1"/>
      <w:numFmt w:val="bullet"/>
      <w:lvlText w:val="o"/>
      <w:lvlJc w:val="left"/>
      <w:pPr>
        <w:ind w:left="4545" w:hanging="360"/>
      </w:pPr>
      <w:rPr>
        <w:rFonts w:ascii="Courier New" w:hAnsi="Courier New" w:cs="Courier New" w:hint="default"/>
      </w:rPr>
    </w:lvl>
    <w:lvl w:ilvl="5" w:tplc="04050005" w:tentative="1">
      <w:start w:val="1"/>
      <w:numFmt w:val="bullet"/>
      <w:lvlText w:val=""/>
      <w:lvlJc w:val="left"/>
      <w:pPr>
        <w:ind w:left="5265" w:hanging="360"/>
      </w:pPr>
      <w:rPr>
        <w:rFonts w:ascii="Wingdings" w:hAnsi="Wingdings" w:hint="default"/>
      </w:rPr>
    </w:lvl>
    <w:lvl w:ilvl="6" w:tplc="04050001" w:tentative="1">
      <w:start w:val="1"/>
      <w:numFmt w:val="bullet"/>
      <w:lvlText w:val=""/>
      <w:lvlJc w:val="left"/>
      <w:pPr>
        <w:ind w:left="5985" w:hanging="360"/>
      </w:pPr>
      <w:rPr>
        <w:rFonts w:ascii="Symbol" w:hAnsi="Symbol" w:hint="default"/>
      </w:rPr>
    </w:lvl>
    <w:lvl w:ilvl="7" w:tplc="04050003" w:tentative="1">
      <w:start w:val="1"/>
      <w:numFmt w:val="bullet"/>
      <w:lvlText w:val="o"/>
      <w:lvlJc w:val="left"/>
      <w:pPr>
        <w:ind w:left="6705" w:hanging="360"/>
      </w:pPr>
      <w:rPr>
        <w:rFonts w:ascii="Courier New" w:hAnsi="Courier New" w:cs="Courier New" w:hint="default"/>
      </w:rPr>
    </w:lvl>
    <w:lvl w:ilvl="8" w:tplc="04050005" w:tentative="1">
      <w:start w:val="1"/>
      <w:numFmt w:val="bullet"/>
      <w:lvlText w:val=""/>
      <w:lvlJc w:val="left"/>
      <w:pPr>
        <w:ind w:left="7425" w:hanging="360"/>
      </w:pPr>
      <w:rPr>
        <w:rFonts w:ascii="Wingdings" w:hAnsi="Wingdings" w:hint="default"/>
      </w:rPr>
    </w:lvl>
  </w:abstractNum>
  <w:abstractNum w:abstractNumId="3" w15:restartNumberingAfterBreak="0">
    <w:nsid w:val="203D7F2E"/>
    <w:multiLevelType w:val="hybridMultilevel"/>
    <w:tmpl w:val="D97E5186"/>
    <w:lvl w:ilvl="0" w:tplc="F5EABDFA">
      <w:start w:val="151"/>
      <w:numFmt w:val="bullet"/>
      <w:lvlText w:val=""/>
      <w:lvlJc w:val="left"/>
      <w:pPr>
        <w:ind w:left="1305" w:hanging="360"/>
      </w:pPr>
      <w:rPr>
        <w:rFonts w:ascii="Symbol" w:eastAsia="Calibri" w:hAnsi="Symbol" w:cs="Times New Roman" w:hint="default"/>
      </w:rPr>
    </w:lvl>
    <w:lvl w:ilvl="1" w:tplc="04050003" w:tentative="1">
      <w:start w:val="1"/>
      <w:numFmt w:val="bullet"/>
      <w:lvlText w:val="o"/>
      <w:lvlJc w:val="left"/>
      <w:pPr>
        <w:ind w:left="2025" w:hanging="360"/>
      </w:pPr>
      <w:rPr>
        <w:rFonts w:ascii="Courier New" w:hAnsi="Courier New" w:cs="Courier New" w:hint="default"/>
      </w:rPr>
    </w:lvl>
    <w:lvl w:ilvl="2" w:tplc="04050005" w:tentative="1">
      <w:start w:val="1"/>
      <w:numFmt w:val="bullet"/>
      <w:lvlText w:val=""/>
      <w:lvlJc w:val="left"/>
      <w:pPr>
        <w:ind w:left="2745" w:hanging="360"/>
      </w:pPr>
      <w:rPr>
        <w:rFonts w:ascii="Wingdings" w:hAnsi="Wingdings" w:hint="default"/>
      </w:rPr>
    </w:lvl>
    <w:lvl w:ilvl="3" w:tplc="04050001" w:tentative="1">
      <w:start w:val="1"/>
      <w:numFmt w:val="bullet"/>
      <w:lvlText w:val=""/>
      <w:lvlJc w:val="left"/>
      <w:pPr>
        <w:ind w:left="3465" w:hanging="360"/>
      </w:pPr>
      <w:rPr>
        <w:rFonts w:ascii="Symbol" w:hAnsi="Symbol" w:hint="default"/>
      </w:rPr>
    </w:lvl>
    <w:lvl w:ilvl="4" w:tplc="04050003" w:tentative="1">
      <w:start w:val="1"/>
      <w:numFmt w:val="bullet"/>
      <w:lvlText w:val="o"/>
      <w:lvlJc w:val="left"/>
      <w:pPr>
        <w:ind w:left="4185" w:hanging="360"/>
      </w:pPr>
      <w:rPr>
        <w:rFonts w:ascii="Courier New" w:hAnsi="Courier New" w:cs="Courier New" w:hint="default"/>
      </w:rPr>
    </w:lvl>
    <w:lvl w:ilvl="5" w:tplc="04050005" w:tentative="1">
      <w:start w:val="1"/>
      <w:numFmt w:val="bullet"/>
      <w:lvlText w:val=""/>
      <w:lvlJc w:val="left"/>
      <w:pPr>
        <w:ind w:left="4905" w:hanging="360"/>
      </w:pPr>
      <w:rPr>
        <w:rFonts w:ascii="Wingdings" w:hAnsi="Wingdings" w:hint="default"/>
      </w:rPr>
    </w:lvl>
    <w:lvl w:ilvl="6" w:tplc="04050001" w:tentative="1">
      <w:start w:val="1"/>
      <w:numFmt w:val="bullet"/>
      <w:lvlText w:val=""/>
      <w:lvlJc w:val="left"/>
      <w:pPr>
        <w:ind w:left="5625" w:hanging="360"/>
      </w:pPr>
      <w:rPr>
        <w:rFonts w:ascii="Symbol" w:hAnsi="Symbol" w:hint="default"/>
      </w:rPr>
    </w:lvl>
    <w:lvl w:ilvl="7" w:tplc="04050003" w:tentative="1">
      <w:start w:val="1"/>
      <w:numFmt w:val="bullet"/>
      <w:lvlText w:val="o"/>
      <w:lvlJc w:val="left"/>
      <w:pPr>
        <w:ind w:left="6345" w:hanging="360"/>
      </w:pPr>
      <w:rPr>
        <w:rFonts w:ascii="Courier New" w:hAnsi="Courier New" w:cs="Courier New" w:hint="default"/>
      </w:rPr>
    </w:lvl>
    <w:lvl w:ilvl="8" w:tplc="04050005" w:tentative="1">
      <w:start w:val="1"/>
      <w:numFmt w:val="bullet"/>
      <w:lvlText w:val=""/>
      <w:lvlJc w:val="left"/>
      <w:pPr>
        <w:ind w:left="7065" w:hanging="360"/>
      </w:pPr>
      <w:rPr>
        <w:rFonts w:ascii="Wingdings" w:hAnsi="Wingdings" w:hint="default"/>
      </w:rPr>
    </w:lvl>
  </w:abstractNum>
  <w:abstractNum w:abstractNumId="4" w15:restartNumberingAfterBreak="0">
    <w:nsid w:val="27C90B39"/>
    <w:multiLevelType w:val="hybridMultilevel"/>
    <w:tmpl w:val="F066249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E66B78"/>
    <w:multiLevelType w:val="hybridMultilevel"/>
    <w:tmpl w:val="4D0AFEA8"/>
    <w:lvl w:ilvl="0" w:tplc="CD62A130">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7761F0D"/>
    <w:multiLevelType w:val="multilevel"/>
    <w:tmpl w:val="01DC9686"/>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9F"/>
    <w:rsid w:val="00000113"/>
    <w:rsid w:val="00001788"/>
    <w:rsid w:val="000024C1"/>
    <w:rsid w:val="00005AE4"/>
    <w:rsid w:val="00007ECC"/>
    <w:rsid w:val="0001505B"/>
    <w:rsid w:val="00017BC8"/>
    <w:rsid w:val="000234D9"/>
    <w:rsid w:val="00025D6B"/>
    <w:rsid w:val="000260A8"/>
    <w:rsid w:val="00027DF6"/>
    <w:rsid w:val="000412B2"/>
    <w:rsid w:val="00047FC4"/>
    <w:rsid w:val="00050398"/>
    <w:rsid w:val="000655E7"/>
    <w:rsid w:val="00065E5C"/>
    <w:rsid w:val="000814DA"/>
    <w:rsid w:val="00081B6C"/>
    <w:rsid w:val="000837B3"/>
    <w:rsid w:val="000849D8"/>
    <w:rsid w:val="00084F7B"/>
    <w:rsid w:val="00091A9B"/>
    <w:rsid w:val="00094477"/>
    <w:rsid w:val="00095947"/>
    <w:rsid w:val="000A3C33"/>
    <w:rsid w:val="000B451F"/>
    <w:rsid w:val="000B73F5"/>
    <w:rsid w:val="000C0C4C"/>
    <w:rsid w:val="000C15E4"/>
    <w:rsid w:val="000C2872"/>
    <w:rsid w:val="000C6C0B"/>
    <w:rsid w:val="000C7CBE"/>
    <w:rsid w:val="000D02B2"/>
    <w:rsid w:val="000D6ED7"/>
    <w:rsid w:val="000E19E2"/>
    <w:rsid w:val="000E634B"/>
    <w:rsid w:val="000F635C"/>
    <w:rsid w:val="000F6F60"/>
    <w:rsid w:val="00105DD8"/>
    <w:rsid w:val="00111C75"/>
    <w:rsid w:val="0011650F"/>
    <w:rsid w:val="00120AD2"/>
    <w:rsid w:val="0012166F"/>
    <w:rsid w:val="00122013"/>
    <w:rsid w:val="0012212C"/>
    <w:rsid w:val="0012382F"/>
    <w:rsid w:val="00134532"/>
    <w:rsid w:val="00136CF7"/>
    <w:rsid w:val="00140727"/>
    <w:rsid w:val="00140B47"/>
    <w:rsid w:val="00142710"/>
    <w:rsid w:val="00144292"/>
    <w:rsid w:val="001546E9"/>
    <w:rsid w:val="001657C6"/>
    <w:rsid w:val="001756ED"/>
    <w:rsid w:val="00175AA9"/>
    <w:rsid w:val="0017717D"/>
    <w:rsid w:val="0018138D"/>
    <w:rsid w:val="00186A29"/>
    <w:rsid w:val="00193749"/>
    <w:rsid w:val="001B5660"/>
    <w:rsid w:val="001B66F5"/>
    <w:rsid w:val="001B7B7B"/>
    <w:rsid w:val="001C0467"/>
    <w:rsid w:val="001C0D0A"/>
    <w:rsid w:val="001C2090"/>
    <w:rsid w:val="001C4825"/>
    <w:rsid w:val="001D20EB"/>
    <w:rsid w:val="001D3D8E"/>
    <w:rsid w:val="001E0D65"/>
    <w:rsid w:val="001E5F6E"/>
    <w:rsid w:val="001F33F1"/>
    <w:rsid w:val="001F7211"/>
    <w:rsid w:val="002070F4"/>
    <w:rsid w:val="00211079"/>
    <w:rsid w:val="002215E3"/>
    <w:rsid w:val="00222F7C"/>
    <w:rsid w:val="00224086"/>
    <w:rsid w:val="00237A19"/>
    <w:rsid w:val="00241F31"/>
    <w:rsid w:val="00244C2F"/>
    <w:rsid w:val="00251BAD"/>
    <w:rsid w:val="002531D8"/>
    <w:rsid w:val="00256119"/>
    <w:rsid w:val="00261A92"/>
    <w:rsid w:val="00263D60"/>
    <w:rsid w:val="00264259"/>
    <w:rsid w:val="002657A7"/>
    <w:rsid w:val="002668A2"/>
    <w:rsid w:val="00272913"/>
    <w:rsid w:val="00281AF0"/>
    <w:rsid w:val="00287B55"/>
    <w:rsid w:val="00296AC3"/>
    <w:rsid w:val="00297B82"/>
    <w:rsid w:val="002A6DFA"/>
    <w:rsid w:val="002C56BF"/>
    <w:rsid w:val="002C6484"/>
    <w:rsid w:val="002E5036"/>
    <w:rsid w:val="002E551A"/>
    <w:rsid w:val="002F32BB"/>
    <w:rsid w:val="003007A0"/>
    <w:rsid w:val="003159F7"/>
    <w:rsid w:val="003352BA"/>
    <w:rsid w:val="00335DB4"/>
    <w:rsid w:val="003470C2"/>
    <w:rsid w:val="00353FAD"/>
    <w:rsid w:val="00357484"/>
    <w:rsid w:val="00366D32"/>
    <w:rsid w:val="0036795F"/>
    <w:rsid w:val="00367B9F"/>
    <w:rsid w:val="003772EF"/>
    <w:rsid w:val="00385234"/>
    <w:rsid w:val="00390FBD"/>
    <w:rsid w:val="003926A4"/>
    <w:rsid w:val="00392F4B"/>
    <w:rsid w:val="003A2727"/>
    <w:rsid w:val="003A28E8"/>
    <w:rsid w:val="003A5020"/>
    <w:rsid w:val="003B5D44"/>
    <w:rsid w:val="003C1BBC"/>
    <w:rsid w:val="003C22B8"/>
    <w:rsid w:val="003D0B5C"/>
    <w:rsid w:val="003D33ED"/>
    <w:rsid w:val="003D3F29"/>
    <w:rsid w:val="003E466D"/>
    <w:rsid w:val="003E7DCC"/>
    <w:rsid w:val="003F0F40"/>
    <w:rsid w:val="003F5ADC"/>
    <w:rsid w:val="003F6E0B"/>
    <w:rsid w:val="00400FDD"/>
    <w:rsid w:val="00414A70"/>
    <w:rsid w:val="00415377"/>
    <w:rsid w:val="00420322"/>
    <w:rsid w:val="004235AF"/>
    <w:rsid w:val="00423ECC"/>
    <w:rsid w:val="00426836"/>
    <w:rsid w:val="004268EA"/>
    <w:rsid w:val="004322DF"/>
    <w:rsid w:val="0043473B"/>
    <w:rsid w:val="004373D4"/>
    <w:rsid w:val="004379B2"/>
    <w:rsid w:val="004443C5"/>
    <w:rsid w:val="00450BA7"/>
    <w:rsid w:val="00457C55"/>
    <w:rsid w:val="00463116"/>
    <w:rsid w:val="0049378A"/>
    <w:rsid w:val="004A2A99"/>
    <w:rsid w:val="004A5A6D"/>
    <w:rsid w:val="004A6622"/>
    <w:rsid w:val="004B2B22"/>
    <w:rsid w:val="004D0932"/>
    <w:rsid w:val="004D4FEB"/>
    <w:rsid w:val="004D6629"/>
    <w:rsid w:val="004E03B0"/>
    <w:rsid w:val="004E2006"/>
    <w:rsid w:val="004E3930"/>
    <w:rsid w:val="004F261A"/>
    <w:rsid w:val="004F62FF"/>
    <w:rsid w:val="00500FDB"/>
    <w:rsid w:val="0050240D"/>
    <w:rsid w:val="00502D66"/>
    <w:rsid w:val="00503FE0"/>
    <w:rsid w:val="00506240"/>
    <w:rsid w:val="0051259F"/>
    <w:rsid w:val="00512A61"/>
    <w:rsid w:val="00514BA9"/>
    <w:rsid w:val="005157D2"/>
    <w:rsid w:val="00521B8C"/>
    <w:rsid w:val="00523E98"/>
    <w:rsid w:val="00525F5B"/>
    <w:rsid w:val="0052617A"/>
    <w:rsid w:val="00536502"/>
    <w:rsid w:val="00537AA5"/>
    <w:rsid w:val="00541F61"/>
    <w:rsid w:val="00556E02"/>
    <w:rsid w:val="0055704F"/>
    <w:rsid w:val="005605C7"/>
    <w:rsid w:val="00560F21"/>
    <w:rsid w:val="00565B81"/>
    <w:rsid w:val="00565BFC"/>
    <w:rsid w:val="005703D2"/>
    <w:rsid w:val="00574C15"/>
    <w:rsid w:val="00576991"/>
    <w:rsid w:val="00580E16"/>
    <w:rsid w:val="00594ABC"/>
    <w:rsid w:val="005A5720"/>
    <w:rsid w:val="005A6732"/>
    <w:rsid w:val="005B4B56"/>
    <w:rsid w:val="005B5AEF"/>
    <w:rsid w:val="005C2454"/>
    <w:rsid w:val="005C3F2E"/>
    <w:rsid w:val="005C7DD0"/>
    <w:rsid w:val="005D0E5F"/>
    <w:rsid w:val="005D4774"/>
    <w:rsid w:val="005D7CC1"/>
    <w:rsid w:val="005E51DB"/>
    <w:rsid w:val="005E5C0B"/>
    <w:rsid w:val="005F2674"/>
    <w:rsid w:val="005F32BB"/>
    <w:rsid w:val="00616048"/>
    <w:rsid w:val="00621DD0"/>
    <w:rsid w:val="006221E5"/>
    <w:rsid w:val="00622377"/>
    <w:rsid w:val="00624568"/>
    <w:rsid w:val="00625419"/>
    <w:rsid w:val="00626C73"/>
    <w:rsid w:val="00631806"/>
    <w:rsid w:val="00646512"/>
    <w:rsid w:val="006529FF"/>
    <w:rsid w:val="00653134"/>
    <w:rsid w:val="00654DF1"/>
    <w:rsid w:val="0066173C"/>
    <w:rsid w:val="0066611C"/>
    <w:rsid w:val="0067365D"/>
    <w:rsid w:val="00681DB9"/>
    <w:rsid w:val="00687027"/>
    <w:rsid w:val="00687BB9"/>
    <w:rsid w:val="00690A08"/>
    <w:rsid w:val="0069189C"/>
    <w:rsid w:val="006938A5"/>
    <w:rsid w:val="00696755"/>
    <w:rsid w:val="006A53FF"/>
    <w:rsid w:val="006B6432"/>
    <w:rsid w:val="006C019C"/>
    <w:rsid w:val="006C12B3"/>
    <w:rsid w:val="006D3495"/>
    <w:rsid w:val="006E00A3"/>
    <w:rsid w:val="006E2DCD"/>
    <w:rsid w:val="006E4B75"/>
    <w:rsid w:val="006E6FB5"/>
    <w:rsid w:val="006F30EE"/>
    <w:rsid w:val="006F42A3"/>
    <w:rsid w:val="006F42CE"/>
    <w:rsid w:val="006F60D4"/>
    <w:rsid w:val="006F7A0A"/>
    <w:rsid w:val="0070186A"/>
    <w:rsid w:val="007123A3"/>
    <w:rsid w:val="00712DF3"/>
    <w:rsid w:val="0071320F"/>
    <w:rsid w:val="007132D4"/>
    <w:rsid w:val="00720ACF"/>
    <w:rsid w:val="007215C0"/>
    <w:rsid w:val="00721C2C"/>
    <w:rsid w:val="00723825"/>
    <w:rsid w:val="007238AF"/>
    <w:rsid w:val="00726D82"/>
    <w:rsid w:val="0072770C"/>
    <w:rsid w:val="0073005D"/>
    <w:rsid w:val="00731759"/>
    <w:rsid w:val="007332E1"/>
    <w:rsid w:val="00741E0A"/>
    <w:rsid w:val="00745CC5"/>
    <w:rsid w:val="00746BC9"/>
    <w:rsid w:val="00756A0E"/>
    <w:rsid w:val="00761474"/>
    <w:rsid w:val="007634E9"/>
    <w:rsid w:val="00766130"/>
    <w:rsid w:val="00767647"/>
    <w:rsid w:val="00767B10"/>
    <w:rsid w:val="007703B0"/>
    <w:rsid w:val="00771CF7"/>
    <w:rsid w:val="00777020"/>
    <w:rsid w:val="007826FD"/>
    <w:rsid w:val="00790C92"/>
    <w:rsid w:val="00790FFD"/>
    <w:rsid w:val="007A657A"/>
    <w:rsid w:val="007B0CBA"/>
    <w:rsid w:val="007B14FB"/>
    <w:rsid w:val="007B3EE6"/>
    <w:rsid w:val="007B6884"/>
    <w:rsid w:val="007C134E"/>
    <w:rsid w:val="007C4271"/>
    <w:rsid w:val="007E165A"/>
    <w:rsid w:val="007E46ED"/>
    <w:rsid w:val="007F0174"/>
    <w:rsid w:val="007F13D4"/>
    <w:rsid w:val="007F790B"/>
    <w:rsid w:val="00804745"/>
    <w:rsid w:val="0080581D"/>
    <w:rsid w:val="00805FA9"/>
    <w:rsid w:val="00811C4B"/>
    <w:rsid w:val="00825C40"/>
    <w:rsid w:val="00832C43"/>
    <w:rsid w:val="0084363D"/>
    <w:rsid w:val="008473BA"/>
    <w:rsid w:val="008562D6"/>
    <w:rsid w:val="0085685A"/>
    <w:rsid w:val="008574F9"/>
    <w:rsid w:val="00861549"/>
    <w:rsid w:val="00861CC4"/>
    <w:rsid w:val="00862968"/>
    <w:rsid w:val="00866ED0"/>
    <w:rsid w:val="0087252C"/>
    <w:rsid w:val="00872DB6"/>
    <w:rsid w:val="008903FF"/>
    <w:rsid w:val="008A0CD7"/>
    <w:rsid w:val="008A0FA0"/>
    <w:rsid w:val="008B27E7"/>
    <w:rsid w:val="008B61B7"/>
    <w:rsid w:val="008B766D"/>
    <w:rsid w:val="008C10A5"/>
    <w:rsid w:val="008C51BC"/>
    <w:rsid w:val="008C7F7A"/>
    <w:rsid w:val="008D0112"/>
    <w:rsid w:val="008E0C75"/>
    <w:rsid w:val="008E6ACD"/>
    <w:rsid w:val="008F0088"/>
    <w:rsid w:val="008F2B0B"/>
    <w:rsid w:val="008F2BB4"/>
    <w:rsid w:val="00901CAC"/>
    <w:rsid w:val="00907E21"/>
    <w:rsid w:val="009109C5"/>
    <w:rsid w:val="00915D44"/>
    <w:rsid w:val="009213CB"/>
    <w:rsid w:val="00925D2D"/>
    <w:rsid w:val="00931210"/>
    <w:rsid w:val="00934667"/>
    <w:rsid w:val="00942940"/>
    <w:rsid w:val="00943B25"/>
    <w:rsid w:val="009476BB"/>
    <w:rsid w:val="0095540D"/>
    <w:rsid w:val="00961484"/>
    <w:rsid w:val="00962D0F"/>
    <w:rsid w:val="009638C9"/>
    <w:rsid w:val="00972832"/>
    <w:rsid w:val="00975C68"/>
    <w:rsid w:val="0097637C"/>
    <w:rsid w:val="00983F05"/>
    <w:rsid w:val="00986BF2"/>
    <w:rsid w:val="00992394"/>
    <w:rsid w:val="00992F40"/>
    <w:rsid w:val="009A127A"/>
    <w:rsid w:val="009A15B8"/>
    <w:rsid w:val="009A178E"/>
    <w:rsid w:val="009B1C08"/>
    <w:rsid w:val="009B57E2"/>
    <w:rsid w:val="009C68F1"/>
    <w:rsid w:val="009E1925"/>
    <w:rsid w:val="009F00FD"/>
    <w:rsid w:val="009F52B3"/>
    <w:rsid w:val="009F758B"/>
    <w:rsid w:val="00A00C08"/>
    <w:rsid w:val="00A07959"/>
    <w:rsid w:val="00A10F51"/>
    <w:rsid w:val="00A1467F"/>
    <w:rsid w:val="00A1688E"/>
    <w:rsid w:val="00A20D85"/>
    <w:rsid w:val="00A2578B"/>
    <w:rsid w:val="00A3011E"/>
    <w:rsid w:val="00A31059"/>
    <w:rsid w:val="00A32353"/>
    <w:rsid w:val="00A32DE6"/>
    <w:rsid w:val="00A374F2"/>
    <w:rsid w:val="00A46EAD"/>
    <w:rsid w:val="00A536FE"/>
    <w:rsid w:val="00A540B4"/>
    <w:rsid w:val="00A5744D"/>
    <w:rsid w:val="00A745D1"/>
    <w:rsid w:val="00A8038D"/>
    <w:rsid w:val="00A81397"/>
    <w:rsid w:val="00A90EE8"/>
    <w:rsid w:val="00A969CF"/>
    <w:rsid w:val="00AA5BD2"/>
    <w:rsid w:val="00AB37E7"/>
    <w:rsid w:val="00AB38CE"/>
    <w:rsid w:val="00AB4E26"/>
    <w:rsid w:val="00AB6083"/>
    <w:rsid w:val="00AC1D3E"/>
    <w:rsid w:val="00AD3629"/>
    <w:rsid w:val="00AD3A14"/>
    <w:rsid w:val="00AE3C7B"/>
    <w:rsid w:val="00AF0540"/>
    <w:rsid w:val="00B00E5F"/>
    <w:rsid w:val="00B045B3"/>
    <w:rsid w:val="00B17768"/>
    <w:rsid w:val="00B2675B"/>
    <w:rsid w:val="00B300F0"/>
    <w:rsid w:val="00B33322"/>
    <w:rsid w:val="00B432C4"/>
    <w:rsid w:val="00B434BB"/>
    <w:rsid w:val="00B54927"/>
    <w:rsid w:val="00B602C5"/>
    <w:rsid w:val="00B6116E"/>
    <w:rsid w:val="00B630E7"/>
    <w:rsid w:val="00B641A1"/>
    <w:rsid w:val="00B65E98"/>
    <w:rsid w:val="00B66E95"/>
    <w:rsid w:val="00B70868"/>
    <w:rsid w:val="00B7517F"/>
    <w:rsid w:val="00B7736C"/>
    <w:rsid w:val="00B83A37"/>
    <w:rsid w:val="00B95D34"/>
    <w:rsid w:val="00B97D09"/>
    <w:rsid w:val="00BA25FB"/>
    <w:rsid w:val="00BB6D53"/>
    <w:rsid w:val="00BB7CFA"/>
    <w:rsid w:val="00BC1566"/>
    <w:rsid w:val="00BD20A4"/>
    <w:rsid w:val="00BE326C"/>
    <w:rsid w:val="00BE78E7"/>
    <w:rsid w:val="00C022FC"/>
    <w:rsid w:val="00C02812"/>
    <w:rsid w:val="00C15974"/>
    <w:rsid w:val="00C16F49"/>
    <w:rsid w:val="00C23FB5"/>
    <w:rsid w:val="00C331A8"/>
    <w:rsid w:val="00C40A21"/>
    <w:rsid w:val="00C43686"/>
    <w:rsid w:val="00C6757E"/>
    <w:rsid w:val="00C73FF1"/>
    <w:rsid w:val="00C80DFC"/>
    <w:rsid w:val="00C936E6"/>
    <w:rsid w:val="00CA28CB"/>
    <w:rsid w:val="00CB62C8"/>
    <w:rsid w:val="00CB6E54"/>
    <w:rsid w:val="00CC0B24"/>
    <w:rsid w:val="00CC3CD8"/>
    <w:rsid w:val="00CD1989"/>
    <w:rsid w:val="00CD6B1A"/>
    <w:rsid w:val="00CD7985"/>
    <w:rsid w:val="00CE0619"/>
    <w:rsid w:val="00CE0E43"/>
    <w:rsid w:val="00CE7B65"/>
    <w:rsid w:val="00CF4843"/>
    <w:rsid w:val="00CF6934"/>
    <w:rsid w:val="00D06E80"/>
    <w:rsid w:val="00D1358C"/>
    <w:rsid w:val="00D14189"/>
    <w:rsid w:val="00D205C7"/>
    <w:rsid w:val="00D20938"/>
    <w:rsid w:val="00D214F3"/>
    <w:rsid w:val="00D26BC9"/>
    <w:rsid w:val="00D31CE3"/>
    <w:rsid w:val="00D34066"/>
    <w:rsid w:val="00D4001D"/>
    <w:rsid w:val="00D40D07"/>
    <w:rsid w:val="00D518D7"/>
    <w:rsid w:val="00D61615"/>
    <w:rsid w:val="00D6490E"/>
    <w:rsid w:val="00D664E8"/>
    <w:rsid w:val="00D71B6C"/>
    <w:rsid w:val="00D81796"/>
    <w:rsid w:val="00D81AEB"/>
    <w:rsid w:val="00D9544F"/>
    <w:rsid w:val="00DA373C"/>
    <w:rsid w:val="00DA5E81"/>
    <w:rsid w:val="00DB08A5"/>
    <w:rsid w:val="00DB4F09"/>
    <w:rsid w:val="00DC3B4A"/>
    <w:rsid w:val="00DD5C02"/>
    <w:rsid w:val="00DD5CF4"/>
    <w:rsid w:val="00DD7611"/>
    <w:rsid w:val="00DE4055"/>
    <w:rsid w:val="00DE7C4B"/>
    <w:rsid w:val="00DF0662"/>
    <w:rsid w:val="00DF4975"/>
    <w:rsid w:val="00DF6D3D"/>
    <w:rsid w:val="00DF7F12"/>
    <w:rsid w:val="00E037CD"/>
    <w:rsid w:val="00E03C2C"/>
    <w:rsid w:val="00E05E66"/>
    <w:rsid w:val="00E0623B"/>
    <w:rsid w:val="00E1102E"/>
    <w:rsid w:val="00E14DA1"/>
    <w:rsid w:val="00E1603F"/>
    <w:rsid w:val="00E169A1"/>
    <w:rsid w:val="00E20DFA"/>
    <w:rsid w:val="00E24EAB"/>
    <w:rsid w:val="00E30542"/>
    <w:rsid w:val="00E33A3A"/>
    <w:rsid w:val="00E36074"/>
    <w:rsid w:val="00E40B3A"/>
    <w:rsid w:val="00E4245F"/>
    <w:rsid w:val="00E44A74"/>
    <w:rsid w:val="00E4654B"/>
    <w:rsid w:val="00E472A5"/>
    <w:rsid w:val="00E47524"/>
    <w:rsid w:val="00E5351E"/>
    <w:rsid w:val="00E54B2B"/>
    <w:rsid w:val="00E5514B"/>
    <w:rsid w:val="00E57073"/>
    <w:rsid w:val="00E651C2"/>
    <w:rsid w:val="00E677FE"/>
    <w:rsid w:val="00E7165B"/>
    <w:rsid w:val="00E75160"/>
    <w:rsid w:val="00E7714C"/>
    <w:rsid w:val="00E8147B"/>
    <w:rsid w:val="00E82965"/>
    <w:rsid w:val="00E83C78"/>
    <w:rsid w:val="00E87383"/>
    <w:rsid w:val="00E92A3A"/>
    <w:rsid w:val="00EA12F3"/>
    <w:rsid w:val="00EA35F3"/>
    <w:rsid w:val="00EB04D1"/>
    <w:rsid w:val="00EB0CFC"/>
    <w:rsid w:val="00EB3A10"/>
    <w:rsid w:val="00EC67CE"/>
    <w:rsid w:val="00ED0FF6"/>
    <w:rsid w:val="00ED2A1B"/>
    <w:rsid w:val="00ED350E"/>
    <w:rsid w:val="00EE0100"/>
    <w:rsid w:val="00EE1528"/>
    <w:rsid w:val="00EE3E92"/>
    <w:rsid w:val="00EE43AF"/>
    <w:rsid w:val="00EE60DB"/>
    <w:rsid w:val="00EE78DF"/>
    <w:rsid w:val="00EF442B"/>
    <w:rsid w:val="00EF44E1"/>
    <w:rsid w:val="00EF60BE"/>
    <w:rsid w:val="00EF6A07"/>
    <w:rsid w:val="00F03310"/>
    <w:rsid w:val="00F04D64"/>
    <w:rsid w:val="00F0640D"/>
    <w:rsid w:val="00F0756D"/>
    <w:rsid w:val="00F07DD5"/>
    <w:rsid w:val="00F13CD4"/>
    <w:rsid w:val="00F16E83"/>
    <w:rsid w:val="00F26412"/>
    <w:rsid w:val="00F4350E"/>
    <w:rsid w:val="00F45457"/>
    <w:rsid w:val="00F5125A"/>
    <w:rsid w:val="00F54FD1"/>
    <w:rsid w:val="00F56EE9"/>
    <w:rsid w:val="00F60932"/>
    <w:rsid w:val="00F6699D"/>
    <w:rsid w:val="00F7262B"/>
    <w:rsid w:val="00F74112"/>
    <w:rsid w:val="00F744B8"/>
    <w:rsid w:val="00F81A7C"/>
    <w:rsid w:val="00F8327D"/>
    <w:rsid w:val="00F842AC"/>
    <w:rsid w:val="00FA0C2F"/>
    <w:rsid w:val="00FC09C2"/>
    <w:rsid w:val="00FC13E1"/>
    <w:rsid w:val="00FC1E13"/>
    <w:rsid w:val="00FC5FD4"/>
    <w:rsid w:val="00FC796F"/>
    <w:rsid w:val="00FC7EDE"/>
    <w:rsid w:val="00FD151D"/>
    <w:rsid w:val="00FD4157"/>
    <w:rsid w:val="00FD46CB"/>
    <w:rsid w:val="00FD5D30"/>
    <w:rsid w:val="00FE6017"/>
    <w:rsid w:val="00FE7957"/>
    <w:rsid w:val="00FE79EA"/>
    <w:rsid w:val="00FF52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8953B-C738-46FE-9F0B-D4BD64A4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03B0"/>
    <w:pPr>
      <w:spacing w:after="200" w:line="276" w:lineRule="auto"/>
    </w:pPr>
    <w:rPr>
      <w:rFonts w:ascii="Times New Roman" w:hAnsi="Times New Roman"/>
      <w:sz w:val="24"/>
      <w:szCs w:val="22"/>
      <w:lang w:eastAsia="en-US"/>
    </w:rPr>
  </w:style>
  <w:style w:type="paragraph" w:styleId="Nadpis1">
    <w:name w:val="heading 1"/>
    <w:basedOn w:val="Normln"/>
    <w:next w:val="Normln"/>
    <w:link w:val="Nadpis1Char"/>
    <w:autoRedefine/>
    <w:uiPriority w:val="9"/>
    <w:qFormat/>
    <w:rsid w:val="00654DF1"/>
    <w:pPr>
      <w:keepNext/>
      <w:numPr>
        <w:numId w:val="7"/>
      </w:numPr>
      <w:spacing w:before="480" w:after="360" w:line="480" w:lineRule="auto"/>
      <w:outlineLvl w:val="0"/>
    </w:pPr>
    <w:rPr>
      <w:rFonts w:eastAsia="Times New Roman"/>
      <w:b/>
      <w:bCs/>
      <w:kern w:val="32"/>
      <w:szCs w:val="24"/>
      <w:lang w:val="en-US"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33322"/>
    <w:pPr>
      <w:tabs>
        <w:tab w:val="center" w:pos="4536"/>
        <w:tab w:val="right" w:pos="9072"/>
      </w:tabs>
      <w:spacing w:after="0" w:line="240" w:lineRule="auto"/>
    </w:pPr>
    <w:rPr>
      <w:szCs w:val="20"/>
      <w:lang w:val="x-none" w:eastAsia="x-none"/>
    </w:rPr>
  </w:style>
  <w:style w:type="character" w:customStyle="1" w:styleId="ZhlavChar">
    <w:name w:val="Záhlaví Char"/>
    <w:link w:val="Zhlav"/>
    <w:uiPriority w:val="99"/>
    <w:rsid w:val="00B33322"/>
    <w:rPr>
      <w:rFonts w:ascii="Times New Roman" w:hAnsi="Times New Roman" w:cs="Times New Roman"/>
      <w:sz w:val="24"/>
    </w:rPr>
  </w:style>
  <w:style w:type="paragraph" w:styleId="Zpat">
    <w:name w:val="footer"/>
    <w:basedOn w:val="Normln"/>
    <w:link w:val="ZpatChar"/>
    <w:uiPriority w:val="99"/>
    <w:unhideWhenUsed/>
    <w:rsid w:val="00B33322"/>
    <w:pPr>
      <w:tabs>
        <w:tab w:val="center" w:pos="4536"/>
        <w:tab w:val="right" w:pos="9072"/>
      </w:tabs>
      <w:spacing w:after="0" w:line="240" w:lineRule="auto"/>
    </w:pPr>
    <w:rPr>
      <w:szCs w:val="20"/>
      <w:lang w:val="x-none" w:eastAsia="x-none"/>
    </w:rPr>
  </w:style>
  <w:style w:type="character" w:customStyle="1" w:styleId="ZpatChar">
    <w:name w:val="Zápatí Char"/>
    <w:link w:val="Zpat"/>
    <w:uiPriority w:val="99"/>
    <w:rsid w:val="00B33322"/>
    <w:rPr>
      <w:rFonts w:ascii="Times New Roman" w:hAnsi="Times New Roman" w:cs="Times New Roman"/>
      <w:sz w:val="24"/>
    </w:rPr>
  </w:style>
  <w:style w:type="paragraph" w:styleId="Textpoznpodarou">
    <w:name w:val="footnote text"/>
    <w:basedOn w:val="Normln"/>
    <w:link w:val="TextpoznpodarouChar"/>
    <w:uiPriority w:val="99"/>
    <w:semiHidden/>
    <w:unhideWhenUsed/>
    <w:rsid w:val="00094477"/>
    <w:pPr>
      <w:spacing w:after="0" w:line="240" w:lineRule="auto"/>
    </w:pPr>
    <w:rPr>
      <w:sz w:val="20"/>
      <w:szCs w:val="20"/>
      <w:lang w:val="x-none" w:eastAsia="x-none"/>
    </w:rPr>
  </w:style>
  <w:style w:type="character" w:customStyle="1" w:styleId="TextpoznpodarouChar">
    <w:name w:val="Text pozn. pod čarou Char"/>
    <w:link w:val="Textpoznpodarou"/>
    <w:uiPriority w:val="99"/>
    <w:semiHidden/>
    <w:rsid w:val="00094477"/>
    <w:rPr>
      <w:rFonts w:ascii="Times New Roman" w:eastAsia="Calibri" w:hAnsi="Times New Roman" w:cs="Times New Roman"/>
      <w:sz w:val="20"/>
      <w:szCs w:val="20"/>
    </w:rPr>
  </w:style>
  <w:style w:type="character" w:styleId="Znakapoznpodarou">
    <w:name w:val="footnote reference"/>
    <w:uiPriority w:val="99"/>
    <w:semiHidden/>
    <w:unhideWhenUsed/>
    <w:rsid w:val="00094477"/>
    <w:rPr>
      <w:vertAlign w:val="superscript"/>
    </w:rPr>
  </w:style>
  <w:style w:type="paragraph" w:styleId="Odstavecseseznamem">
    <w:name w:val="List Paragraph"/>
    <w:basedOn w:val="Normln"/>
    <w:uiPriority w:val="34"/>
    <w:qFormat/>
    <w:rsid w:val="00111C75"/>
    <w:pPr>
      <w:ind w:left="720"/>
      <w:contextualSpacing/>
    </w:pPr>
    <w:rPr>
      <w:szCs w:val="24"/>
    </w:rPr>
  </w:style>
  <w:style w:type="character" w:styleId="Hypertextovodkaz">
    <w:name w:val="Hyperlink"/>
    <w:uiPriority w:val="99"/>
    <w:unhideWhenUsed/>
    <w:rsid w:val="00091A9B"/>
    <w:rPr>
      <w:color w:val="0000FF"/>
      <w:u w:val="single"/>
    </w:rPr>
  </w:style>
  <w:style w:type="table" w:styleId="Mkatabulky">
    <w:name w:val="Table Grid"/>
    <w:basedOn w:val="Normlntabulka"/>
    <w:uiPriority w:val="59"/>
    <w:rsid w:val="00CD6B1A"/>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ED0"/>
    <w:pPr>
      <w:autoSpaceDE w:val="0"/>
      <w:autoSpaceDN w:val="0"/>
      <w:adjustRightInd w:val="0"/>
    </w:pPr>
    <w:rPr>
      <w:rFonts w:ascii="Times New Roman" w:hAnsi="Times New Roman"/>
      <w:color w:val="000000"/>
      <w:sz w:val="24"/>
      <w:szCs w:val="24"/>
      <w:lang w:eastAsia="en-US"/>
    </w:rPr>
  </w:style>
  <w:style w:type="character" w:customStyle="1" w:styleId="Nadpis1Char">
    <w:name w:val="Nadpis 1 Char"/>
    <w:link w:val="Nadpis1"/>
    <w:uiPriority w:val="9"/>
    <w:rsid w:val="00654DF1"/>
    <w:rPr>
      <w:rFonts w:ascii="Times New Roman" w:eastAsia="Times New Roman" w:hAnsi="Times New Roman"/>
      <w:b/>
      <w:bCs/>
      <w:kern w:val="32"/>
      <w:sz w:val="24"/>
      <w:szCs w:val="24"/>
      <w:lang w:val="en-US" w:eastAsia="x-none"/>
    </w:rPr>
  </w:style>
  <w:style w:type="character" w:styleId="Odkaznakoment">
    <w:name w:val="annotation reference"/>
    <w:uiPriority w:val="99"/>
    <w:semiHidden/>
    <w:unhideWhenUsed/>
    <w:rsid w:val="00296AC3"/>
    <w:rPr>
      <w:sz w:val="16"/>
      <w:szCs w:val="16"/>
    </w:rPr>
  </w:style>
  <w:style w:type="paragraph" w:styleId="Textkomente">
    <w:name w:val="annotation text"/>
    <w:basedOn w:val="Normln"/>
    <w:link w:val="TextkomenteChar"/>
    <w:uiPriority w:val="99"/>
    <w:semiHidden/>
    <w:unhideWhenUsed/>
    <w:rsid w:val="00296AC3"/>
    <w:rPr>
      <w:sz w:val="20"/>
      <w:szCs w:val="20"/>
      <w:lang w:eastAsia="x-none"/>
    </w:rPr>
  </w:style>
  <w:style w:type="character" w:customStyle="1" w:styleId="TextkomenteChar">
    <w:name w:val="Text komentáře Char"/>
    <w:link w:val="Textkomente"/>
    <w:uiPriority w:val="99"/>
    <w:semiHidden/>
    <w:rsid w:val="00296AC3"/>
    <w:rPr>
      <w:rFonts w:ascii="Times New Roman" w:hAnsi="Times New Roman"/>
      <w:lang w:val="cs-CZ"/>
    </w:rPr>
  </w:style>
  <w:style w:type="paragraph" w:styleId="Pedmtkomente">
    <w:name w:val="annotation subject"/>
    <w:basedOn w:val="Textkomente"/>
    <w:next w:val="Textkomente"/>
    <w:link w:val="PedmtkomenteChar"/>
    <w:uiPriority w:val="99"/>
    <w:semiHidden/>
    <w:unhideWhenUsed/>
    <w:rsid w:val="00296AC3"/>
    <w:rPr>
      <w:b/>
      <w:bCs/>
    </w:rPr>
  </w:style>
  <w:style w:type="character" w:customStyle="1" w:styleId="PedmtkomenteChar">
    <w:name w:val="Předmět komentáře Char"/>
    <w:link w:val="Pedmtkomente"/>
    <w:uiPriority w:val="99"/>
    <w:semiHidden/>
    <w:rsid w:val="00296AC3"/>
    <w:rPr>
      <w:rFonts w:ascii="Times New Roman" w:hAnsi="Times New Roman"/>
      <w:b/>
      <w:bCs/>
      <w:lang w:val="cs-CZ"/>
    </w:rPr>
  </w:style>
  <w:style w:type="paragraph" w:styleId="Textbubliny">
    <w:name w:val="Balloon Text"/>
    <w:basedOn w:val="Normln"/>
    <w:link w:val="TextbublinyChar"/>
    <w:uiPriority w:val="99"/>
    <w:semiHidden/>
    <w:unhideWhenUsed/>
    <w:rsid w:val="00296AC3"/>
    <w:pPr>
      <w:spacing w:after="0" w:line="240" w:lineRule="auto"/>
    </w:pPr>
    <w:rPr>
      <w:rFonts w:ascii="Tahoma" w:hAnsi="Tahoma"/>
      <w:sz w:val="16"/>
      <w:szCs w:val="16"/>
      <w:lang w:eastAsia="x-none"/>
    </w:rPr>
  </w:style>
  <w:style w:type="character" w:customStyle="1" w:styleId="TextbublinyChar">
    <w:name w:val="Text bubliny Char"/>
    <w:link w:val="Textbubliny"/>
    <w:uiPriority w:val="99"/>
    <w:semiHidden/>
    <w:rsid w:val="00296AC3"/>
    <w:rPr>
      <w:rFonts w:ascii="Tahoma" w:hAnsi="Tahoma" w:cs="Tahoma"/>
      <w:sz w:val="16"/>
      <w:szCs w:val="16"/>
      <w:lang w:val="cs-CZ"/>
    </w:rPr>
  </w:style>
  <w:style w:type="character" w:styleId="Sledovanodkaz">
    <w:name w:val="FollowedHyperlink"/>
    <w:uiPriority w:val="99"/>
    <w:semiHidden/>
    <w:unhideWhenUsed/>
    <w:rsid w:val="003772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453298">
      <w:bodyDiv w:val="1"/>
      <w:marLeft w:val="0"/>
      <w:marRight w:val="0"/>
      <w:marTop w:val="0"/>
      <w:marBottom w:val="0"/>
      <w:divBdr>
        <w:top w:val="none" w:sz="0" w:space="0" w:color="auto"/>
        <w:left w:val="none" w:sz="0" w:space="0" w:color="auto"/>
        <w:bottom w:val="none" w:sz="0" w:space="0" w:color="auto"/>
        <w:right w:val="none" w:sz="0" w:space="0" w:color="auto"/>
      </w:divBdr>
    </w:div>
    <w:div w:id="1096633204">
      <w:bodyDiv w:val="1"/>
      <w:marLeft w:val="0"/>
      <w:marRight w:val="0"/>
      <w:marTop w:val="0"/>
      <w:marBottom w:val="0"/>
      <w:divBdr>
        <w:top w:val="none" w:sz="0" w:space="0" w:color="auto"/>
        <w:left w:val="none" w:sz="0" w:space="0" w:color="auto"/>
        <w:bottom w:val="none" w:sz="0" w:space="0" w:color="auto"/>
        <w:right w:val="none" w:sz="0" w:space="0" w:color="auto"/>
      </w:divBdr>
      <w:divsChild>
        <w:div w:id="108666100">
          <w:marLeft w:val="0"/>
          <w:marRight w:val="0"/>
          <w:marTop w:val="0"/>
          <w:marBottom w:val="0"/>
          <w:divBdr>
            <w:top w:val="none" w:sz="0" w:space="0" w:color="auto"/>
            <w:left w:val="none" w:sz="0" w:space="0" w:color="auto"/>
            <w:bottom w:val="none" w:sz="0" w:space="0" w:color="auto"/>
            <w:right w:val="none" w:sz="0" w:space="0" w:color="auto"/>
          </w:divBdr>
        </w:div>
        <w:div w:id="484973376">
          <w:marLeft w:val="0"/>
          <w:marRight w:val="0"/>
          <w:marTop w:val="0"/>
          <w:marBottom w:val="0"/>
          <w:divBdr>
            <w:top w:val="none" w:sz="0" w:space="0" w:color="auto"/>
            <w:left w:val="none" w:sz="0" w:space="0" w:color="auto"/>
            <w:bottom w:val="none" w:sz="0" w:space="0" w:color="auto"/>
            <w:right w:val="none" w:sz="0" w:space="0" w:color="auto"/>
          </w:divBdr>
        </w:div>
        <w:div w:id="506402279">
          <w:marLeft w:val="0"/>
          <w:marRight w:val="0"/>
          <w:marTop w:val="0"/>
          <w:marBottom w:val="0"/>
          <w:divBdr>
            <w:top w:val="none" w:sz="0" w:space="0" w:color="auto"/>
            <w:left w:val="none" w:sz="0" w:space="0" w:color="auto"/>
            <w:bottom w:val="none" w:sz="0" w:space="0" w:color="auto"/>
            <w:right w:val="none" w:sz="0" w:space="0" w:color="auto"/>
          </w:divBdr>
        </w:div>
        <w:div w:id="549614882">
          <w:marLeft w:val="0"/>
          <w:marRight w:val="0"/>
          <w:marTop w:val="0"/>
          <w:marBottom w:val="0"/>
          <w:divBdr>
            <w:top w:val="none" w:sz="0" w:space="0" w:color="auto"/>
            <w:left w:val="none" w:sz="0" w:space="0" w:color="auto"/>
            <w:bottom w:val="none" w:sz="0" w:space="0" w:color="auto"/>
            <w:right w:val="none" w:sz="0" w:space="0" w:color="auto"/>
          </w:divBdr>
        </w:div>
        <w:div w:id="550461089">
          <w:marLeft w:val="0"/>
          <w:marRight w:val="0"/>
          <w:marTop w:val="0"/>
          <w:marBottom w:val="0"/>
          <w:divBdr>
            <w:top w:val="none" w:sz="0" w:space="0" w:color="auto"/>
            <w:left w:val="none" w:sz="0" w:space="0" w:color="auto"/>
            <w:bottom w:val="none" w:sz="0" w:space="0" w:color="auto"/>
            <w:right w:val="none" w:sz="0" w:space="0" w:color="auto"/>
          </w:divBdr>
        </w:div>
        <w:div w:id="777136954">
          <w:marLeft w:val="0"/>
          <w:marRight w:val="0"/>
          <w:marTop w:val="0"/>
          <w:marBottom w:val="0"/>
          <w:divBdr>
            <w:top w:val="none" w:sz="0" w:space="0" w:color="auto"/>
            <w:left w:val="none" w:sz="0" w:space="0" w:color="auto"/>
            <w:bottom w:val="none" w:sz="0" w:space="0" w:color="auto"/>
            <w:right w:val="none" w:sz="0" w:space="0" w:color="auto"/>
          </w:divBdr>
        </w:div>
        <w:div w:id="953025954">
          <w:marLeft w:val="0"/>
          <w:marRight w:val="0"/>
          <w:marTop w:val="0"/>
          <w:marBottom w:val="0"/>
          <w:divBdr>
            <w:top w:val="none" w:sz="0" w:space="0" w:color="auto"/>
            <w:left w:val="none" w:sz="0" w:space="0" w:color="auto"/>
            <w:bottom w:val="none" w:sz="0" w:space="0" w:color="auto"/>
            <w:right w:val="none" w:sz="0" w:space="0" w:color="auto"/>
          </w:divBdr>
        </w:div>
        <w:div w:id="976839248">
          <w:marLeft w:val="0"/>
          <w:marRight w:val="0"/>
          <w:marTop w:val="0"/>
          <w:marBottom w:val="0"/>
          <w:divBdr>
            <w:top w:val="none" w:sz="0" w:space="0" w:color="auto"/>
            <w:left w:val="none" w:sz="0" w:space="0" w:color="auto"/>
            <w:bottom w:val="none" w:sz="0" w:space="0" w:color="auto"/>
            <w:right w:val="none" w:sz="0" w:space="0" w:color="auto"/>
          </w:divBdr>
        </w:div>
        <w:div w:id="1052655837">
          <w:marLeft w:val="0"/>
          <w:marRight w:val="0"/>
          <w:marTop w:val="0"/>
          <w:marBottom w:val="0"/>
          <w:divBdr>
            <w:top w:val="none" w:sz="0" w:space="0" w:color="auto"/>
            <w:left w:val="none" w:sz="0" w:space="0" w:color="auto"/>
            <w:bottom w:val="none" w:sz="0" w:space="0" w:color="auto"/>
            <w:right w:val="none" w:sz="0" w:space="0" w:color="auto"/>
          </w:divBdr>
        </w:div>
        <w:div w:id="1286307528">
          <w:marLeft w:val="0"/>
          <w:marRight w:val="0"/>
          <w:marTop w:val="0"/>
          <w:marBottom w:val="0"/>
          <w:divBdr>
            <w:top w:val="none" w:sz="0" w:space="0" w:color="auto"/>
            <w:left w:val="none" w:sz="0" w:space="0" w:color="auto"/>
            <w:bottom w:val="none" w:sz="0" w:space="0" w:color="auto"/>
            <w:right w:val="none" w:sz="0" w:space="0" w:color="auto"/>
          </w:divBdr>
        </w:div>
        <w:div w:id="1301224029">
          <w:marLeft w:val="0"/>
          <w:marRight w:val="0"/>
          <w:marTop w:val="0"/>
          <w:marBottom w:val="0"/>
          <w:divBdr>
            <w:top w:val="none" w:sz="0" w:space="0" w:color="auto"/>
            <w:left w:val="none" w:sz="0" w:space="0" w:color="auto"/>
            <w:bottom w:val="none" w:sz="0" w:space="0" w:color="auto"/>
            <w:right w:val="none" w:sz="0" w:space="0" w:color="auto"/>
          </w:divBdr>
        </w:div>
        <w:div w:id="1428231747">
          <w:marLeft w:val="0"/>
          <w:marRight w:val="0"/>
          <w:marTop w:val="0"/>
          <w:marBottom w:val="0"/>
          <w:divBdr>
            <w:top w:val="none" w:sz="0" w:space="0" w:color="auto"/>
            <w:left w:val="none" w:sz="0" w:space="0" w:color="auto"/>
            <w:bottom w:val="none" w:sz="0" w:space="0" w:color="auto"/>
            <w:right w:val="none" w:sz="0" w:space="0" w:color="auto"/>
          </w:divBdr>
        </w:div>
        <w:div w:id="1440564978">
          <w:marLeft w:val="0"/>
          <w:marRight w:val="0"/>
          <w:marTop w:val="0"/>
          <w:marBottom w:val="0"/>
          <w:divBdr>
            <w:top w:val="none" w:sz="0" w:space="0" w:color="auto"/>
            <w:left w:val="none" w:sz="0" w:space="0" w:color="auto"/>
            <w:bottom w:val="none" w:sz="0" w:space="0" w:color="auto"/>
            <w:right w:val="none" w:sz="0" w:space="0" w:color="auto"/>
          </w:divBdr>
        </w:div>
        <w:div w:id="1511796588">
          <w:marLeft w:val="0"/>
          <w:marRight w:val="0"/>
          <w:marTop w:val="0"/>
          <w:marBottom w:val="0"/>
          <w:divBdr>
            <w:top w:val="none" w:sz="0" w:space="0" w:color="auto"/>
            <w:left w:val="none" w:sz="0" w:space="0" w:color="auto"/>
            <w:bottom w:val="none" w:sz="0" w:space="0" w:color="auto"/>
            <w:right w:val="none" w:sz="0" w:space="0" w:color="auto"/>
          </w:divBdr>
        </w:div>
        <w:div w:id="1559626765">
          <w:marLeft w:val="0"/>
          <w:marRight w:val="0"/>
          <w:marTop w:val="0"/>
          <w:marBottom w:val="0"/>
          <w:divBdr>
            <w:top w:val="none" w:sz="0" w:space="0" w:color="auto"/>
            <w:left w:val="none" w:sz="0" w:space="0" w:color="auto"/>
            <w:bottom w:val="none" w:sz="0" w:space="0" w:color="auto"/>
            <w:right w:val="none" w:sz="0" w:space="0" w:color="auto"/>
          </w:divBdr>
        </w:div>
        <w:div w:id="1644843925">
          <w:marLeft w:val="0"/>
          <w:marRight w:val="0"/>
          <w:marTop w:val="0"/>
          <w:marBottom w:val="0"/>
          <w:divBdr>
            <w:top w:val="none" w:sz="0" w:space="0" w:color="auto"/>
            <w:left w:val="none" w:sz="0" w:space="0" w:color="auto"/>
            <w:bottom w:val="none" w:sz="0" w:space="0" w:color="auto"/>
            <w:right w:val="none" w:sz="0" w:space="0" w:color="auto"/>
          </w:divBdr>
        </w:div>
        <w:div w:id="1689408248">
          <w:marLeft w:val="0"/>
          <w:marRight w:val="0"/>
          <w:marTop w:val="0"/>
          <w:marBottom w:val="0"/>
          <w:divBdr>
            <w:top w:val="none" w:sz="0" w:space="0" w:color="auto"/>
            <w:left w:val="none" w:sz="0" w:space="0" w:color="auto"/>
            <w:bottom w:val="none" w:sz="0" w:space="0" w:color="auto"/>
            <w:right w:val="none" w:sz="0" w:space="0" w:color="auto"/>
          </w:divBdr>
        </w:div>
        <w:div w:id="1803885697">
          <w:marLeft w:val="0"/>
          <w:marRight w:val="0"/>
          <w:marTop w:val="0"/>
          <w:marBottom w:val="0"/>
          <w:divBdr>
            <w:top w:val="none" w:sz="0" w:space="0" w:color="auto"/>
            <w:left w:val="none" w:sz="0" w:space="0" w:color="auto"/>
            <w:bottom w:val="none" w:sz="0" w:space="0" w:color="auto"/>
            <w:right w:val="none" w:sz="0" w:space="0" w:color="auto"/>
          </w:divBdr>
        </w:div>
        <w:div w:id="1964842080">
          <w:marLeft w:val="0"/>
          <w:marRight w:val="0"/>
          <w:marTop w:val="0"/>
          <w:marBottom w:val="0"/>
          <w:divBdr>
            <w:top w:val="none" w:sz="0" w:space="0" w:color="auto"/>
            <w:left w:val="none" w:sz="0" w:space="0" w:color="auto"/>
            <w:bottom w:val="none" w:sz="0" w:space="0" w:color="auto"/>
            <w:right w:val="none" w:sz="0" w:space="0" w:color="auto"/>
          </w:divBdr>
        </w:div>
        <w:div w:id="2014146334">
          <w:marLeft w:val="0"/>
          <w:marRight w:val="0"/>
          <w:marTop w:val="0"/>
          <w:marBottom w:val="0"/>
          <w:divBdr>
            <w:top w:val="none" w:sz="0" w:space="0" w:color="auto"/>
            <w:left w:val="none" w:sz="0" w:space="0" w:color="auto"/>
            <w:bottom w:val="none" w:sz="0" w:space="0" w:color="auto"/>
            <w:right w:val="none" w:sz="0" w:space="0" w:color="auto"/>
          </w:divBdr>
        </w:div>
        <w:div w:id="2119836693">
          <w:marLeft w:val="0"/>
          <w:marRight w:val="0"/>
          <w:marTop w:val="0"/>
          <w:marBottom w:val="0"/>
          <w:divBdr>
            <w:top w:val="none" w:sz="0" w:space="0" w:color="auto"/>
            <w:left w:val="none" w:sz="0" w:space="0" w:color="auto"/>
            <w:bottom w:val="none" w:sz="0" w:space="0" w:color="auto"/>
            <w:right w:val="none" w:sz="0" w:space="0" w:color="auto"/>
          </w:divBdr>
        </w:div>
        <w:div w:id="2146851187">
          <w:marLeft w:val="0"/>
          <w:marRight w:val="0"/>
          <w:marTop w:val="0"/>
          <w:marBottom w:val="0"/>
          <w:divBdr>
            <w:top w:val="none" w:sz="0" w:space="0" w:color="auto"/>
            <w:left w:val="none" w:sz="0" w:space="0" w:color="auto"/>
            <w:bottom w:val="none" w:sz="0" w:space="0" w:color="auto"/>
            <w:right w:val="none" w:sz="0" w:space="0" w:color="auto"/>
          </w:divBdr>
        </w:div>
      </w:divsChild>
    </w:div>
    <w:div w:id="1385374135">
      <w:bodyDiv w:val="1"/>
      <w:marLeft w:val="0"/>
      <w:marRight w:val="0"/>
      <w:marTop w:val="0"/>
      <w:marBottom w:val="0"/>
      <w:divBdr>
        <w:top w:val="none" w:sz="0" w:space="0" w:color="auto"/>
        <w:left w:val="none" w:sz="0" w:space="0" w:color="auto"/>
        <w:bottom w:val="none" w:sz="0" w:space="0" w:color="auto"/>
        <w:right w:val="none" w:sz="0" w:space="0" w:color="auto"/>
      </w:divBdr>
    </w:div>
    <w:div w:id="140132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ecd.org/dataoecd/13/38/36165332.pdf" TargetMode="External"/><Relationship Id="rId18" Type="http://schemas.openxmlformats.org/officeDocument/2006/relationships/hyperlink" Target="http://www.grandparentsplus.org.uk/wp-content/uploads/2011/03/Grandparenting-in-Europe-Report.pdf" TargetMode="External"/><Relationship Id="rId26" Type="http://schemas.openxmlformats.org/officeDocument/2006/relationships/hyperlink" Target="http://dx.doi.org/10.1016/j.rssm.2014.01.001" TargetMode="External"/><Relationship Id="rId3" Type="http://schemas.openxmlformats.org/officeDocument/2006/relationships/customXml" Target="../customXml/item3.xml"/><Relationship Id="rId21" Type="http://schemas.openxmlformats.org/officeDocument/2006/relationships/hyperlink" Target="http://www.ilo.org/public/english/protection/secsoc/downloads/policy/wssr.pdf" TargetMode="External"/><Relationship Id="rId34" Type="http://schemas.openxmlformats.org/officeDocument/2006/relationships/chart" Target="charts/chart1.xml"/><Relationship Id="rId7" Type="http://schemas.openxmlformats.org/officeDocument/2006/relationships/webSettings" Target="webSettings.xml"/><Relationship Id="rId12" Type="http://schemas.openxmlformats.org/officeDocument/2006/relationships/hyperlink" Target="http://www.repository.utl.pt/bitstream/10400.5/2479/1/wp462008.pdf" TargetMode="External"/><Relationship Id="rId17" Type="http://schemas.openxmlformats.org/officeDocument/2006/relationships/hyperlink" Target="http://epp.eurostat.ec.europa.eu/statistics_explained/index.php/Measuring_more_than_'just'_economic_development" TargetMode="External"/><Relationship Id="rId25" Type="http://schemas.openxmlformats.org/officeDocument/2006/relationships/hyperlink" Target="http://www.irp.wisc.edu/publications/focus/pdfs/foc241d.pdf" TargetMode="External"/><Relationship Id="rId33" Type="http://schemas.openxmlformats.org/officeDocument/2006/relationships/hyperlink" Target="http://www.ssc.wisc.edu/cde/cdewp/2011-11.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esa/population/pubsarchive/untech/pdf/untech5b.pdf" TargetMode="External"/><Relationship Id="rId20" Type="http://schemas.openxmlformats.org/officeDocument/2006/relationships/hyperlink" Target="http://dx.doi.org/10.1016/j.rssm.2013.09.007" TargetMode="External"/><Relationship Id="rId29" Type="http://schemas.openxmlformats.org/officeDocument/2006/relationships/hyperlink" Target="http://hdr.undp.org/en/media/HDR_2011_EN_Complet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iglitz-sen-fitoussi.fr/documents/Survey_of_Existing_Approaches_to_Measuring_Socio-Economic_Progress.pdf" TargetMode="External"/><Relationship Id="rId24" Type="http://schemas.openxmlformats.org/officeDocument/2006/relationships/hyperlink" Target="http://www.oecd.org/edu/preschoolandschool/programmeforinternationalstudentassessmentpisa/33688135.pdf" TargetMode="External"/><Relationship Id="rId32" Type="http://schemas.openxmlformats.org/officeDocument/2006/relationships/hyperlink" Target="http://data.worldbank.org/indicator/SE.XPD.TOTL.GD.ZS?page=2"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ensus.gov/prod/99pubs/p23-198.pdf" TargetMode="External"/><Relationship Id="rId23" Type="http://schemas.openxmlformats.org/officeDocument/2006/relationships/hyperlink" Target="http://www.allacademic.com/meta/p411276_index.html" TargetMode="External"/><Relationship Id="rId28" Type="http://schemas.openxmlformats.org/officeDocument/2006/relationships/hyperlink" Target="http://citation.allacademic.com/meta/p_mla_apa_research_citation/1/0/9/1/8/pages109182/p109182-1.php" TargetMode="External"/><Relationship Id="rId36" Type="http://schemas.openxmlformats.org/officeDocument/2006/relationships/footer" Target="footer1.xml"/><Relationship Id="rId10" Type="http://schemas.openxmlformats.org/officeDocument/2006/relationships/hyperlink" Target="http://hdrstats.undp.org/en/indicators/103106.html///" TargetMode="External"/><Relationship Id="rId19" Type="http://schemas.openxmlformats.org/officeDocument/2006/relationships/hyperlink" Target="http://dx.doi.org/10.1016/j.rssm.2013.09.002" TargetMode="External"/><Relationship Id="rId31" Type="http://schemas.openxmlformats.org/officeDocument/2006/relationships/hyperlink" Target="ftp://repec.iza.org/dps/dp73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tp.iza.org/dp1713.pdf" TargetMode="External"/><Relationship Id="rId22" Type="http://schemas.openxmlformats.org/officeDocument/2006/relationships/hyperlink" Target="http://dx.doi.org/10.1016/j.rssm.2014.01.004" TargetMode="External"/><Relationship Id="rId27" Type="http://schemas.openxmlformats.org/officeDocument/2006/relationships/hyperlink" Target="http://paa2007.princeton.edu/download.aspx?submissionId=72063" TargetMode="External"/><Relationship Id="rId30" Type="http://schemas.openxmlformats.org/officeDocument/2006/relationships/hyperlink" Target="http://unstats.un.org/unsd/demographic/products/dyb/dybsets/2003%20DYB.pdf" TargetMode="External"/><Relationship Id="rId35"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D:\work\coresidence\paper_RSSM\2nd_resubmission\Figure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work\coresidence\paper_RSSM\2nd_resubmission\Figure2.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2443466073184999E-2"/>
          <c:y val="5.0557022526411435E-2"/>
          <c:w val="0.94144385729866187"/>
          <c:h val="0.84614508185506687"/>
        </c:manualLayout>
      </c:layout>
      <c:barChart>
        <c:barDir val="col"/>
        <c:grouping val="clustered"/>
        <c:varyColors val="0"/>
        <c:ser>
          <c:idx val="0"/>
          <c:order val="0"/>
          <c:tx>
            <c:strRef>
              <c:f>'Source data'!$B$2</c:f>
              <c:strCache>
                <c:ptCount val="1"/>
                <c:pt idx="0">
                  <c:v>No Coresidence</c:v>
                </c:pt>
              </c:strCache>
            </c:strRef>
          </c:tx>
          <c:invertIfNegative val="0"/>
          <c:cat>
            <c:strRef>
              <c:f>'Source data'!$A$3:$A$6</c:f>
              <c:strCache>
                <c:ptCount val="4"/>
                <c:pt idx="0">
                  <c:v>1st quartile</c:v>
                </c:pt>
                <c:pt idx="1">
                  <c:v>2nd quartile</c:v>
                </c:pt>
                <c:pt idx="2">
                  <c:v>3rd quartile</c:v>
                </c:pt>
                <c:pt idx="3">
                  <c:v>4th quartile</c:v>
                </c:pt>
              </c:strCache>
            </c:strRef>
          </c:cat>
          <c:val>
            <c:numRef>
              <c:f>'Source data'!$B$3:$B$6</c:f>
              <c:numCache>
                <c:formatCode>General</c:formatCode>
                <c:ptCount val="4"/>
                <c:pt idx="0">
                  <c:v>-3.5550000000000002</c:v>
                </c:pt>
                <c:pt idx="1">
                  <c:v>-3.4990000000000001</c:v>
                </c:pt>
                <c:pt idx="2">
                  <c:v>-4.2889999999999997</c:v>
                </c:pt>
                <c:pt idx="3">
                  <c:v>-4.6840000000000002</c:v>
                </c:pt>
              </c:numCache>
            </c:numRef>
          </c:val>
          <c:extLst>
            <c:ext xmlns:c16="http://schemas.microsoft.com/office/drawing/2014/chart" uri="{C3380CC4-5D6E-409C-BE32-E72D297353CC}">
              <c16:uniqueId val="{00000000-0453-402D-B3DC-4D0E6293CD30}"/>
            </c:ext>
          </c:extLst>
        </c:ser>
        <c:ser>
          <c:idx val="1"/>
          <c:order val="1"/>
          <c:tx>
            <c:strRef>
              <c:f>'Source data'!$C$2</c:f>
              <c:strCache>
                <c:ptCount val="1"/>
                <c:pt idx="0">
                  <c:v>Coresidence</c:v>
                </c:pt>
              </c:strCache>
            </c:strRef>
          </c:tx>
          <c:invertIfNegative val="0"/>
          <c:cat>
            <c:strRef>
              <c:f>'Source data'!$A$3:$A$6</c:f>
              <c:strCache>
                <c:ptCount val="4"/>
                <c:pt idx="0">
                  <c:v>1st quartile</c:v>
                </c:pt>
                <c:pt idx="1">
                  <c:v>2nd quartile</c:v>
                </c:pt>
                <c:pt idx="2">
                  <c:v>3rd quartile</c:v>
                </c:pt>
                <c:pt idx="3">
                  <c:v>4th quartile</c:v>
                </c:pt>
              </c:strCache>
            </c:strRef>
          </c:cat>
          <c:val>
            <c:numRef>
              <c:f>'Source data'!$C$3:$C$6</c:f>
              <c:numCache>
                <c:formatCode>General</c:formatCode>
                <c:ptCount val="4"/>
                <c:pt idx="0">
                  <c:v>-3.3050000000000002</c:v>
                </c:pt>
                <c:pt idx="1">
                  <c:v>-6.1109999999999998</c:v>
                </c:pt>
                <c:pt idx="2">
                  <c:v>-7.883</c:v>
                </c:pt>
                <c:pt idx="3">
                  <c:v>-8.468</c:v>
                </c:pt>
              </c:numCache>
            </c:numRef>
          </c:val>
          <c:extLst>
            <c:ext xmlns:c16="http://schemas.microsoft.com/office/drawing/2014/chart" uri="{C3380CC4-5D6E-409C-BE32-E72D297353CC}">
              <c16:uniqueId val="{00000001-0453-402D-B3DC-4D0E6293CD30}"/>
            </c:ext>
          </c:extLst>
        </c:ser>
        <c:dLbls>
          <c:showLegendKey val="0"/>
          <c:showVal val="0"/>
          <c:showCatName val="0"/>
          <c:showSerName val="0"/>
          <c:showPercent val="0"/>
          <c:showBubbleSize val="0"/>
        </c:dLbls>
        <c:gapWidth val="150"/>
        <c:axId val="135258112"/>
        <c:axId val="135261568"/>
      </c:barChart>
      <c:catAx>
        <c:axId val="135258112"/>
        <c:scaling>
          <c:orientation val="minMax"/>
        </c:scaling>
        <c:delete val="0"/>
        <c:axPos val="b"/>
        <c:numFmt formatCode="General" sourceLinked="1"/>
        <c:majorTickMark val="out"/>
        <c:minorTickMark val="none"/>
        <c:tickLblPos val="high"/>
        <c:crossAx val="135261568"/>
        <c:crosses val="autoZero"/>
        <c:auto val="1"/>
        <c:lblAlgn val="ctr"/>
        <c:lblOffset val="100"/>
        <c:noMultiLvlLbl val="0"/>
      </c:catAx>
      <c:valAx>
        <c:axId val="135261568"/>
        <c:scaling>
          <c:orientation val="minMax"/>
        </c:scaling>
        <c:delete val="0"/>
        <c:axPos val="l"/>
        <c:majorGridlines/>
        <c:numFmt formatCode="General" sourceLinked="1"/>
        <c:majorTickMark val="out"/>
        <c:minorTickMark val="none"/>
        <c:tickLblPos val="nextTo"/>
        <c:crossAx val="135258112"/>
        <c:crosses val="autoZero"/>
        <c:crossBetween val="between"/>
      </c:valAx>
    </c:plotArea>
    <c:legend>
      <c:legendPos val="r"/>
      <c:layout>
        <c:manualLayout>
          <c:xMode val="edge"/>
          <c:yMode val="edge"/>
          <c:x val="0.16813509544787078"/>
          <c:y val="0.89864158829676066"/>
          <c:w val="0.64023494860499264"/>
          <c:h val="8.0459770114942528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'D:\Users\Kreidl\Documents\work\coresidence\paper_RSSM\[coresidence_figures_M2_2.xlsx]List1'!$B$1</c:f>
              <c:strCache>
                <c:ptCount val="1"/>
                <c:pt idx="0">
                  <c:v>No Coresidence</c:v>
                </c:pt>
              </c:strCache>
            </c:strRef>
          </c:tx>
          <c:invertIfNegative val="0"/>
          <c:cat>
            <c:strRef>
              <c:f>'D:\Users\Kreidl\Documents\work\coresidence\paper_RSSM\[coresidence_figures_M2_2.xlsx]List1'!$A$2:$A$5</c:f>
              <c:strCache>
                <c:ptCount val="4"/>
                <c:pt idx="0">
                  <c:v>1st quartile</c:v>
                </c:pt>
                <c:pt idx="1">
                  <c:v>2nd quartile</c:v>
                </c:pt>
                <c:pt idx="2">
                  <c:v>3rd quartile</c:v>
                </c:pt>
                <c:pt idx="3">
                  <c:v>4th quartile</c:v>
                </c:pt>
              </c:strCache>
            </c:strRef>
          </c:cat>
          <c:val>
            <c:numRef>
              <c:f>'D:\Users\Kreidl\Documents\work\coresidence\paper_RSSM\[coresidence_figures_M2_2.xlsx]List1'!$B$2:$B$5</c:f>
              <c:numCache>
                <c:formatCode>General</c:formatCode>
                <c:ptCount val="4"/>
                <c:pt idx="0">
                  <c:v>-2.6219999999999999</c:v>
                </c:pt>
                <c:pt idx="1">
                  <c:v>-2.7949999999999999</c:v>
                </c:pt>
                <c:pt idx="2">
                  <c:v>-3.5590000000000002</c:v>
                </c:pt>
                <c:pt idx="3">
                  <c:v>-4.077</c:v>
                </c:pt>
              </c:numCache>
            </c:numRef>
          </c:val>
          <c:extLst>
            <c:ext xmlns:c16="http://schemas.microsoft.com/office/drawing/2014/chart" uri="{C3380CC4-5D6E-409C-BE32-E72D297353CC}">
              <c16:uniqueId val="{00000000-1E7A-48F4-92EE-9172408211C5}"/>
            </c:ext>
          </c:extLst>
        </c:ser>
        <c:ser>
          <c:idx val="1"/>
          <c:order val="1"/>
          <c:tx>
            <c:strRef>
              <c:f>'D:\Users\Kreidl\Documents\work\coresidence\paper_RSSM\[coresidence_figures_M2_2.xlsx]List1'!$C$1</c:f>
              <c:strCache>
                <c:ptCount val="1"/>
                <c:pt idx="0">
                  <c:v>Coresidence</c:v>
                </c:pt>
              </c:strCache>
            </c:strRef>
          </c:tx>
          <c:invertIfNegative val="0"/>
          <c:cat>
            <c:strRef>
              <c:f>'D:\Users\Kreidl\Documents\work\coresidence\paper_RSSM\[coresidence_figures_M2_2.xlsx]List1'!$A$2:$A$5</c:f>
              <c:strCache>
                <c:ptCount val="4"/>
                <c:pt idx="0">
                  <c:v>1st quartile</c:v>
                </c:pt>
                <c:pt idx="1">
                  <c:v>2nd quartile</c:v>
                </c:pt>
                <c:pt idx="2">
                  <c:v>3rd quartile</c:v>
                </c:pt>
                <c:pt idx="3">
                  <c:v>4th quartile</c:v>
                </c:pt>
              </c:strCache>
            </c:strRef>
          </c:cat>
          <c:val>
            <c:numRef>
              <c:f>'D:\Users\Kreidl\Documents\work\coresidence\paper_RSSM\[coresidence_figures_M2_2.xlsx]List1'!$C$2:$C$5</c:f>
              <c:numCache>
                <c:formatCode>General</c:formatCode>
                <c:ptCount val="4"/>
                <c:pt idx="0">
                  <c:v>-2.91</c:v>
                </c:pt>
                <c:pt idx="1">
                  <c:v>-5.1269999999999998</c:v>
                </c:pt>
                <c:pt idx="2">
                  <c:v>-6.6459999999999999</c:v>
                </c:pt>
                <c:pt idx="3">
                  <c:v>-7.2220000000000004</c:v>
                </c:pt>
              </c:numCache>
            </c:numRef>
          </c:val>
          <c:extLst>
            <c:ext xmlns:c16="http://schemas.microsoft.com/office/drawing/2014/chart" uri="{C3380CC4-5D6E-409C-BE32-E72D297353CC}">
              <c16:uniqueId val="{00000001-1E7A-48F4-92EE-9172408211C5}"/>
            </c:ext>
          </c:extLst>
        </c:ser>
        <c:dLbls>
          <c:showLegendKey val="0"/>
          <c:showVal val="0"/>
          <c:showCatName val="0"/>
          <c:showSerName val="0"/>
          <c:showPercent val="0"/>
          <c:showBubbleSize val="0"/>
        </c:dLbls>
        <c:gapWidth val="150"/>
        <c:axId val="131304448"/>
        <c:axId val="131331200"/>
      </c:barChart>
      <c:catAx>
        <c:axId val="131304448"/>
        <c:scaling>
          <c:orientation val="minMax"/>
        </c:scaling>
        <c:delete val="0"/>
        <c:axPos val="b"/>
        <c:numFmt formatCode="General" sourceLinked="1"/>
        <c:majorTickMark val="out"/>
        <c:minorTickMark val="none"/>
        <c:tickLblPos val="high"/>
        <c:crossAx val="131331200"/>
        <c:crosses val="autoZero"/>
        <c:auto val="1"/>
        <c:lblAlgn val="ctr"/>
        <c:lblOffset val="100"/>
        <c:noMultiLvlLbl val="0"/>
      </c:catAx>
      <c:valAx>
        <c:axId val="131331200"/>
        <c:scaling>
          <c:orientation val="minMax"/>
          <c:min val="-9"/>
        </c:scaling>
        <c:delete val="0"/>
        <c:axPos val="l"/>
        <c:majorGridlines/>
        <c:numFmt formatCode="General" sourceLinked="1"/>
        <c:majorTickMark val="out"/>
        <c:minorTickMark val="none"/>
        <c:tickLblPos val="nextTo"/>
        <c:crossAx val="131304448"/>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B4408-A2EB-4654-955B-6CFFCA399814}">
  <ds:schemaRefs>
    <ds:schemaRef ds:uri="http://schemas.openxmlformats.org/officeDocument/2006/bibliography"/>
  </ds:schemaRefs>
</ds:datastoreItem>
</file>

<file path=customXml/itemProps2.xml><?xml version="1.0" encoding="utf-8"?>
<ds:datastoreItem xmlns:ds="http://schemas.openxmlformats.org/officeDocument/2006/customXml" ds:itemID="{776D10FC-81D4-4CFA-B89D-691A30DC10A3}">
  <ds:schemaRefs>
    <ds:schemaRef ds:uri="http://schemas.openxmlformats.org/officeDocument/2006/bibliography"/>
  </ds:schemaRefs>
</ds:datastoreItem>
</file>

<file path=customXml/itemProps3.xml><?xml version="1.0" encoding="utf-8"?>
<ds:datastoreItem xmlns:ds="http://schemas.openxmlformats.org/officeDocument/2006/customXml" ds:itemID="{59709249-DBAB-4CAE-A7F2-66F1B78B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13616</Words>
  <Characters>80336</Characters>
  <Application>Microsoft Office Word</Application>
  <DocSecurity>0</DocSecurity>
  <Lines>669</Lines>
  <Paragraphs>187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93765</CharactersWithSpaces>
  <SharedDoc>false</SharedDoc>
  <HLinks>
    <vt:vector size="120" baseType="variant">
      <vt:variant>
        <vt:i4>5701640</vt:i4>
      </vt:variant>
      <vt:variant>
        <vt:i4>57</vt:i4>
      </vt:variant>
      <vt:variant>
        <vt:i4>0</vt:i4>
      </vt:variant>
      <vt:variant>
        <vt:i4>5</vt:i4>
      </vt:variant>
      <vt:variant>
        <vt:lpwstr>http://www.ssc.wisc.edu/cde/cdewp/2011-11.pdf</vt:lpwstr>
      </vt:variant>
      <vt:variant>
        <vt:lpwstr/>
      </vt:variant>
      <vt:variant>
        <vt:i4>983058</vt:i4>
      </vt:variant>
      <vt:variant>
        <vt:i4>54</vt:i4>
      </vt:variant>
      <vt:variant>
        <vt:i4>0</vt:i4>
      </vt:variant>
      <vt:variant>
        <vt:i4>5</vt:i4>
      </vt:variant>
      <vt:variant>
        <vt:lpwstr>http://data.worldbank.org/indicator/SE.XPD.TOTL.GD.ZS?page=2</vt:lpwstr>
      </vt:variant>
      <vt:variant>
        <vt:lpwstr/>
      </vt:variant>
      <vt:variant>
        <vt:i4>1048664</vt:i4>
      </vt:variant>
      <vt:variant>
        <vt:i4>51</vt:i4>
      </vt:variant>
      <vt:variant>
        <vt:i4>0</vt:i4>
      </vt:variant>
      <vt:variant>
        <vt:i4>5</vt:i4>
      </vt:variant>
      <vt:variant>
        <vt:lpwstr>ftp://repec.iza.org/dps/dp734.pdf</vt:lpwstr>
      </vt:variant>
      <vt:variant>
        <vt:lpwstr/>
      </vt:variant>
      <vt:variant>
        <vt:i4>1179721</vt:i4>
      </vt:variant>
      <vt:variant>
        <vt:i4>48</vt:i4>
      </vt:variant>
      <vt:variant>
        <vt:i4>0</vt:i4>
      </vt:variant>
      <vt:variant>
        <vt:i4>5</vt:i4>
      </vt:variant>
      <vt:variant>
        <vt:lpwstr>http://unstats.un.org/unsd/demographic/products/dyb/dybsets/2003 DYB.pdf</vt:lpwstr>
      </vt:variant>
      <vt:variant>
        <vt:lpwstr/>
      </vt:variant>
      <vt:variant>
        <vt:i4>2162771</vt:i4>
      </vt:variant>
      <vt:variant>
        <vt:i4>45</vt:i4>
      </vt:variant>
      <vt:variant>
        <vt:i4>0</vt:i4>
      </vt:variant>
      <vt:variant>
        <vt:i4>5</vt:i4>
      </vt:variant>
      <vt:variant>
        <vt:lpwstr>http://hdr.undp.org/en/media/HDR_2011_EN_Complete.pdf</vt:lpwstr>
      </vt:variant>
      <vt:variant>
        <vt:lpwstr/>
      </vt:variant>
      <vt:variant>
        <vt:i4>3670063</vt:i4>
      </vt:variant>
      <vt:variant>
        <vt:i4>42</vt:i4>
      </vt:variant>
      <vt:variant>
        <vt:i4>0</vt:i4>
      </vt:variant>
      <vt:variant>
        <vt:i4>5</vt:i4>
      </vt:variant>
      <vt:variant>
        <vt:lpwstr>http://citation.allacademic.com/meta/p_mla_apa_research_citation/1/0/9/1/8/pages109182/p109182-1.php</vt:lpwstr>
      </vt:variant>
      <vt:variant>
        <vt:lpwstr/>
      </vt:variant>
      <vt:variant>
        <vt:i4>4325404</vt:i4>
      </vt:variant>
      <vt:variant>
        <vt:i4>39</vt:i4>
      </vt:variant>
      <vt:variant>
        <vt:i4>0</vt:i4>
      </vt:variant>
      <vt:variant>
        <vt:i4>5</vt:i4>
      </vt:variant>
      <vt:variant>
        <vt:lpwstr>http://paa2007.princeton.edu/download.aspx?submissionId=72063</vt:lpwstr>
      </vt:variant>
      <vt:variant>
        <vt:lpwstr/>
      </vt:variant>
      <vt:variant>
        <vt:i4>2621475</vt:i4>
      </vt:variant>
      <vt:variant>
        <vt:i4>36</vt:i4>
      </vt:variant>
      <vt:variant>
        <vt:i4>0</vt:i4>
      </vt:variant>
      <vt:variant>
        <vt:i4>5</vt:i4>
      </vt:variant>
      <vt:variant>
        <vt:lpwstr>http://www.irp.wisc.edu/publications/focus/pdfs/foc241d.pdf</vt:lpwstr>
      </vt:variant>
      <vt:variant>
        <vt:lpwstr/>
      </vt:variant>
      <vt:variant>
        <vt:i4>3801140</vt:i4>
      </vt:variant>
      <vt:variant>
        <vt:i4>33</vt:i4>
      </vt:variant>
      <vt:variant>
        <vt:i4>0</vt:i4>
      </vt:variant>
      <vt:variant>
        <vt:i4>5</vt:i4>
      </vt:variant>
      <vt:variant>
        <vt:lpwstr>http://www.oecd.org/edu/preschoolandschool/programmeforinternationalstudentassessmentpisa/33688135.pdf</vt:lpwstr>
      </vt:variant>
      <vt:variant>
        <vt:lpwstr/>
      </vt:variant>
      <vt:variant>
        <vt:i4>4653167</vt:i4>
      </vt:variant>
      <vt:variant>
        <vt:i4>30</vt:i4>
      </vt:variant>
      <vt:variant>
        <vt:i4>0</vt:i4>
      </vt:variant>
      <vt:variant>
        <vt:i4>5</vt:i4>
      </vt:variant>
      <vt:variant>
        <vt:lpwstr>http://www.allacademic.com/meta/p411276_index.html</vt:lpwstr>
      </vt:variant>
      <vt:variant>
        <vt:lpwstr/>
      </vt:variant>
      <vt:variant>
        <vt:i4>589889</vt:i4>
      </vt:variant>
      <vt:variant>
        <vt:i4>27</vt:i4>
      </vt:variant>
      <vt:variant>
        <vt:i4>0</vt:i4>
      </vt:variant>
      <vt:variant>
        <vt:i4>5</vt:i4>
      </vt:variant>
      <vt:variant>
        <vt:lpwstr>http://www.ilo.org/public/english/protection/secsoc/downloads/policy/wssr.pdf</vt:lpwstr>
      </vt:variant>
      <vt:variant>
        <vt:lpwstr/>
      </vt:variant>
      <vt:variant>
        <vt:i4>1048605</vt:i4>
      </vt:variant>
      <vt:variant>
        <vt:i4>24</vt:i4>
      </vt:variant>
      <vt:variant>
        <vt:i4>0</vt:i4>
      </vt:variant>
      <vt:variant>
        <vt:i4>5</vt:i4>
      </vt:variant>
      <vt:variant>
        <vt:lpwstr>http://www.grandparentsplus.org.uk/wp-content/uploads/2011/03/Grandparenting-in-Europe-Report.pdf</vt:lpwstr>
      </vt:variant>
      <vt:variant>
        <vt:lpwstr/>
      </vt:variant>
      <vt:variant>
        <vt:i4>3670133</vt:i4>
      </vt:variant>
      <vt:variant>
        <vt:i4>21</vt:i4>
      </vt:variant>
      <vt:variant>
        <vt:i4>0</vt:i4>
      </vt:variant>
      <vt:variant>
        <vt:i4>5</vt:i4>
      </vt:variant>
      <vt:variant>
        <vt:lpwstr>http://epp.eurostat.ec.europa.eu/statistics_explained/index.php/Measuring_more_than_'just'_economic_development</vt:lpwstr>
      </vt:variant>
      <vt:variant>
        <vt:lpwstr/>
      </vt:variant>
      <vt:variant>
        <vt:i4>71</vt:i4>
      </vt:variant>
      <vt:variant>
        <vt:i4>18</vt:i4>
      </vt:variant>
      <vt:variant>
        <vt:i4>0</vt:i4>
      </vt:variant>
      <vt:variant>
        <vt:i4>5</vt:i4>
      </vt:variant>
      <vt:variant>
        <vt:lpwstr>http://www.un.org/esa/population/pubsarchive/untech/pdf/untech5b.pdf</vt:lpwstr>
      </vt:variant>
      <vt:variant>
        <vt:lpwstr/>
      </vt:variant>
      <vt:variant>
        <vt:i4>4390929</vt:i4>
      </vt:variant>
      <vt:variant>
        <vt:i4>15</vt:i4>
      </vt:variant>
      <vt:variant>
        <vt:i4>0</vt:i4>
      </vt:variant>
      <vt:variant>
        <vt:i4>5</vt:i4>
      </vt:variant>
      <vt:variant>
        <vt:lpwstr>http://www.census.gov/prod/99pubs/p23-198.pdf</vt:lpwstr>
      </vt:variant>
      <vt:variant>
        <vt:lpwstr/>
      </vt:variant>
      <vt:variant>
        <vt:i4>1245278</vt:i4>
      </vt:variant>
      <vt:variant>
        <vt:i4>12</vt:i4>
      </vt:variant>
      <vt:variant>
        <vt:i4>0</vt:i4>
      </vt:variant>
      <vt:variant>
        <vt:i4>5</vt:i4>
      </vt:variant>
      <vt:variant>
        <vt:lpwstr>http://ftp.iza.org/dp1713.pdf</vt:lpwstr>
      </vt:variant>
      <vt:variant>
        <vt:lpwstr/>
      </vt:variant>
      <vt:variant>
        <vt:i4>3997748</vt:i4>
      </vt:variant>
      <vt:variant>
        <vt:i4>9</vt:i4>
      </vt:variant>
      <vt:variant>
        <vt:i4>0</vt:i4>
      </vt:variant>
      <vt:variant>
        <vt:i4>5</vt:i4>
      </vt:variant>
      <vt:variant>
        <vt:lpwstr>http://www.oecd.org/dataoecd/13/38/36165332.pdf</vt:lpwstr>
      </vt:variant>
      <vt:variant>
        <vt:lpwstr/>
      </vt:variant>
      <vt:variant>
        <vt:i4>7012467</vt:i4>
      </vt:variant>
      <vt:variant>
        <vt:i4>6</vt:i4>
      </vt:variant>
      <vt:variant>
        <vt:i4>0</vt:i4>
      </vt:variant>
      <vt:variant>
        <vt:i4>5</vt:i4>
      </vt:variant>
      <vt:variant>
        <vt:lpwstr>http://www.repository.utl.pt/bitstream/10400.5/2479/1/wp462008.pdf</vt:lpwstr>
      </vt:variant>
      <vt:variant>
        <vt:lpwstr/>
      </vt:variant>
      <vt:variant>
        <vt:i4>7602204</vt:i4>
      </vt:variant>
      <vt:variant>
        <vt:i4>3</vt:i4>
      </vt:variant>
      <vt:variant>
        <vt:i4>0</vt:i4>
      </vt:variant>
      <vt:variant>
        <vt:i4>5</vt:i4>
      </vt:variant>
      <vt:variant>
        <vt:lpwstr>http://www.stiglitz-sen-fitoussi.fr/documents/Survey_of_Existing_Approaches_to_Measuring_Socio-Economic_Progress.pdf</vt:lpwstr>
      </vt:variant>
      <vt:variant>
        <vt:lpwstr/>
      </vt:variant>
      <vt:variant>
        <vt:i4>1179738</vt:i4>
      </vt:variant>
      <vt:variant>
        <vt:i4>0</vt:i4>
      </vt:variant>
      <vt:variant>
        <vt:i4>0</vt:i4>
      </vt:variant>
      <vt:variant>
        <vt:i4>5</vt:i4>
      </vt:variant>
      <vt:variant>
        <vt:lpwstr>http://hdrstats.undp.org/en/indicators/103106.html///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KSS</dc:creator>
  <cp:lastModifiedBy>Hrubá</cp:lastModifiedBy>
  <cp:revision>3</cp:revision>
  <cp:lastPrinted>2012-11-13T09:36:00Z</cp:lastPrinted>
  <dcterms:created xsi:type="dcterms:W3CDTF">2019-08-22T15:55:00Z</dcterms:created>
  <dcterms:modified xsi:type="dcterms:W3CDTF">2019-08-22T15:55:00Z</dcterms:modified>
</cp:coreProperties>
</file>