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9A" w:rsidRPr="00DF22F5" w:rsidRDefault="006C1B17" w:rsidP="003D01DD">
      <w:pPr>
        <w:pStyle w:val="Nzev"/>
        <w:rPr>
          <w:lang w:val="en-GB"/>
        </w:rPr>
      </w:pPr>
      <w:r w:rsidRPr="00DF22F5">
        <w:rPr>
          <w:lang w:val="en-GB"/>
        </w:rPr>
        <w:t>The role of exchange rate dynamics in Bulgaria and Romania in the process of economic transition</w:t>
      </w:r>
    </w:p>
    <w:p w:rsidR="003D01DD" w:rsidRPr="00DF22F5" w:rsidRDefault="006C1B17" w:rsidP="0093439A">
      <w:pPr>
        <w:pStyle w:val="Author"/>
        <w:rPr>
          <w:lang w:val="en-GB"/>
        </w:rPr>
      </w:pPr>
      <w:r w:rsidRPr="00DF22F5">
        <w:rPr>
          <w:lang w:val="en-GB"/>
        </w:rPr>
        <w:t>Daniel Němec</w:t>
      </w:r>
      <w:r w:rsidR="00363B76" w:rsidRPr="00DF22F5">
        <w:rPr>
          <w:rStyle w:val="Znakapoznpodarou"/>
          <w:lang w:val="en-GB"/>
        </w:rPr>
        <w:footnoteReference w:id="1"/>
      </w:r>
      <w:r w:rsidR="00B547D9">
        <w:rPr>
          <w:lang w:val="en-GB"/>
        </w:rPr>
        <w:t xml:space="preserve">, </w:t>
      </w:r>
      <w:r w:rsidR="00B547D9" w:rsidRPr="00B547D9">
        <w:rPr>
          <w:lang w:val="en-GB"/>
        </w:rPr>
        <w:t>Libor Žídek</w:t>
      </w:r>
      <w:r w:rsidR="00B547D9" w:rsidRPr="00B547D9">
        <w:rPr>
          <w:vertAlign w:val="superscript"/>
          <w:lang w:val="en-GB"/>
        </w:rPr>
        <w:footnoteReference w:id="2"/>
      </w:r>
    </w:p>
    <w:p w:rsidR="00E01DCB" w:rsidRPr="00DF22F5" w:rsidRDefault="00216FD2" w:rsidP="00DF22F5">
      <w:pPr>
        <w:pStyle w:val="Abstract"/>
        <w:rPr>
          <w:lang w:val="en-GB"/>
        </w:rPr>
      </w:pPr>
      <w:r w:rsidRPr="00DF22F5">
        <w:rPr>
          <w:rStyle w:val="AbstractHeader"/>
          <w:lang w:val="en-GB"/>
        </w:rPr>
        <w:t>Abstract.</w:t>
      </w:r>
      <w:r w:rsidRPr="00DF22F5">
        <w:rPr>
          <w:lang w:val="en-GB"/>
        </w:rPr>
        <w:t xml:space="preserve"> </w:t>
      </w:r>
      <w:r w:rsidR="00DF22F5" w:rsidRPr="00DF22F5">
        <w:rPr>
          <w:lang w:val="en-GB"/>
        </w:rPr>
        <w:t>Our contribution focuses on the role of the exchange rate changes in Bu</w:t>
      </w:r>
      <w:r w:rsidR="00DF22F5" w:rsidRPr="00DF22F5">
        <w:rPr>
          <w:lang w:val="en-GB"/>
        </w:rPr>
        <w:t>l</w:t>
      </w:r>
      <w:r w:rsidR="00DF22F5" w:rsidRPr="00DF22F5">
        <w:rPr>
          <w:lang w:val="en-GB"/>
        </w:rPr>
        <w:t xml:space="preserve">garia and Romania during the transition process toward a market economy. We are interested in the degree of exchange rate pass-through to the domestic inflation in these countries. Both of the countries suffered from </w:t>
      </w:r>
      <w:r w:rsidR="00E01FF4">
        <w:rPr>
          <w:lang w:val="en-GB"/>
        </w:rPr>
        <w:t xml:space="preserve">a </w:t>
      </w:r>
      <w:r w:rsidR="00DF22F5" w:rsidRPr="00DF22F5">
        <w:rPr>
          <w:lang w:val="en-GB"/>
        </w:rPr>
        <w:t>high level of inflation and tried to fix their exchange rates in some of the periods. But they were forced to abandon it consequently and it was often followed by sharp depreciation. The goal of our co</w:t>
      </w:r>
      <w:r w:rsidR="00DF22F5" w:rsidRPr="00DF22F5">
        <w:rPr>
          <w:lang w:val="en-GB"/>
        </w:rPr>
        <w:t>n</w:t>
      </w:r>
      <w:r w:rsidR="00DF22F5" w:rsidRPr="00DF22F5">
        <w:rPr>
          <w:lang w:val="en-GB"/>
        </w:rPr>
        <w:t>tribution is to evaluate shock absorbing role of the exchange rate changes. We try to verify a traditional hypothesis that exchange rate adjustments are able to accomm</w:t>
      </w:r>
      <w:r w:rsidR="00DF22F5" w:rsidRPr="00DF22F5">
        <w:rPr>
          <w:lang w:val="en-GB"/>
        </w:rPr>
        <w:t>o</w:t>
      </w:r>
      <w:r w:rsidR="00DF22F5" w:rsidRPr="00DF22F5">
        <w:rPr>
          <w:lang w:val="en-GB"/>
        </w:rPr>
        <w:t>date the shocks hitting the economy and to dampen their influence on the other ma</w:t>
      </w:r>
      <w:r w:rsidR="00DF22F5" w:rsidRPr="00DF22F5">
        <w:rPr>
          <w:lang w:val="en-GB"/>
        </w:rPr>
        <w:t>c</w:t>
      </w:r>
      <w:r w:rsidR="00DF22F5" w:rsidRPr="00DF22F5">
        <w:rPr>
          <w:lang w:val="en-GB"/>
        </w:rPr>
        <w:t>roeconomic variables. On the other hand, exogenous shocks in the foreign countries may affect exchange rate and lead to additional volatility of the main economic ind</w:t>
      </w:r>
      <w:r w:rsidR="00DF22F5" w:rsidRPr="00DF22F5">
        <w:rPr>
          <w:lang w:val="en-GB"/>
        </w:rPr>
        <w:t>i</w:t>
      </w:r>
      <w:r w:rsidR="00DF22F5" w:rsidRPr="00DF22F5">
        <w:rPr>
          <w:lang w:val="en-GB"/>
        </w:rPr>
        <w:t xml:space="preserve">cators in the domestic economy. This shock generating role of the exchange rate will be evaluated as well. </w:t>
      </w:r>
      <w:r w:rsidR="00DF22F5" w:rsidRPr="005E76C0">
        <w:rPr>
          <w:lang w:val="en-GB"/>
        </w:rPr>
        <w:t xml:space="preserve">We will use structural vector </w:t>
      </w:r>
      <w:proofErr w:type="spellStart"/>
      <w:r w:rsidR="00DF22F5" w:rsidRPr="005E76C0">
        <w:rPr>
          <w:lang w:val="en-GB"/>
        </w:rPr>
        <w:t>autoregression</w:t>
      </w:r>
      <w:proofErr w:type="spellEnd"/>
      <w:r w:rsidR="00DF22F5" w:rsidRPr="005E76C0">
        <w:rPr>
          <w:lang w:val="en-GB"/>
        </w:rPr>
        <w:t xml:space="preserve"> model</w:t>
      </w:r>
      <w:r w:rsidR="00F404B6">
        <w:rPr>
          <w:lang w:val="en-GB"/>
        </w:rPr>
        <w:t>s</w:t>
      </w:r>
      <w:r w:rsidR="005E76C0" w:rsidRPr="005E76C0">
        <w:rPr>
          <w:lang w:val="en-GB"/>
        </w:rPr>
        <w:t xml:space="preserve"> </w:t>
      </w:r>
      <w:r w:rsidR="00DF22F5" w:rsidRPr="005E76C0">
        <w:rPr>
          <w:lang w:val="en-GB"/>
        </w:rPr>
        <w:t xml:space="preserve">identified by </w:t>
      </w:r>
      <w:proofErr w:type="spellStart"/>
      <w:r w:rsidR="00DF22F5" w:rsidRPr="005E76C0">
        <w:rPr>
          <w:lang w:val="en-GB"/>
        </w:rPr>
        <w:t>Cholesk</w:t>
      </w:r>
      <w:r w:rsidR="00792EAE">
        <w:rPr>
          <w:lang w:val="en-GB"/>
        </w:rPr>
        <w:t>y</w:t>
      </w:r>
      <w:proofErr w:type="spellEnd"/>
      <w:r w:rsidR="00DF22F5" w:rsidRPr="005E76C0">
        <w:rPr>
          <w:lang w:val="en-GB"/>
        </w:rPr>
        <w:t xml:space="preserve"> decomposition.</w:t>
      </w:r>
    </w:p>
    <w:p w:rsidR="00E01DCB" w:rsidRPr="00DF22F5" w:rsidRDefault="00E01DCB" w:rsidP="00E01DCB">
      <w:pPr>
        <w:pStyle w:val="Keywords"/>
        <w:rPr>
          <w:lang w:val="en-GB"/>
        </w:rPr>
      </w:pPr>
      <w:r w:rsidRPr="00DF22F5">
        <w:rPr>
          <w:rStyle w:val="KeywordsHeader"/>
          <w:lang w:val="en-GB"/>
        </w:rPr>
        <w:t>Keywords:</w:t>
      </w:r>
      <w:r w:rsidRPr="00DF22F5">
        <w:rPr>
          <w:lang w:val="en-GB"/>
        </w:rPr>
        <w:t xml:space="preserve"> </w:t>
      </w:r>
      <w:r w:rsidR="006C1B17" w:rsidRPr="00DF22F5">
        <w:rPr>
          <w:lang w:val="en-GB"/>
        </w:rPr>
        <w:t xml:space="preserve">Bulgaria, Rumania, exchange rate pass-through, structural vector </w:t>
      </w:r>
      <w:proofErr w:type="spellStart"/>
      <w:r w:rsidR="006C1B17" w:rsidRPr="00DF22F5">
        <w:rPr>
          <w:lang w:val="en-GB"/>
        </w:rPr>
        <w:t>aut</w:t>
      </w:r>
      <w:r w:rsidR="006C1B17" w:rsidRPr="00DF22F5">
        <w:rPr>
          <w:lang w:val="en-GB"/>
        </w:rPr>
        <w:t>o</w:t>
      </w:r>
      <w:r w:rsidR="006C1B17" w:rsidRPr="00DF22F5">
        <w:rPr>
          <w:lang w:val="en-GB"/>
        </w:rPr>
        <w:t>regression</w:t>
      </w:r>
      <w:proofErr w:type="spellEnd"/>
      <w:r w:rsidR="006C1B17" w:rsidRPr="00DF22F5">
        <w:rPr>
          <w:lang w:val="en-GB"/>
        </w:rPr>
        <w:t xml:space="preserve">, </w:t>
      </w:r>
      <w:proofErr w:type="spellStart"/>
      <w:r w:rsidR="006C1B17" w:rsidRPr="00DF22F5">
        <w:rPr>
          <w:lang w:val="en-GB"/>
        </w:rPr>
        <w:t>Cholesk</w:t>
      </w:r>
      <w:r w:rsidR="00792EAE">
        <w:rPr>
          <w:lang w:val="en-GB"/>
        </w:rPr>
        <w:t>y</w:t>
      </w:r>
      <w:proofErr w:type="spellEnd"/>
      <w:r w:rsidR="006C1B17" w:rsidRPr="00DF22F5">
        <w:rPr>
          <w:lang w:val="en-GB"/>
        </w:rPr>
        <w:t xml:space="preserve"> decomposition</w:t>
      </w:r>
      <w:r w:rsidRPr="00DF22F5">
        <w:rPr>
          <w:lang w:val="en-GB"/>
        </w:rPr>
        <w:t>.</w:t>
      </w:r>
    </w:p>
    <w:p w:rsidR="00E01DCB" w:rsidRPr="00DF22F5" w:rsidRDefault="00E01DCB" w:rsidP="00363B76">
      <w:pPr>
        <w:pStyle w:val="Classifications"/>
        <w:rPr>
          <w:lang w:val="en-GB"/>
        </w:rPr>
      </w:pPr>
      <w:r w:rsidRPr="00DF22F5">
        <w:rPr>
          <w:rStyle w:val="KeywordsHeader"/>
          <w:lang w:val="en-GB"/>
        </w:rPr>
        <w:t xml:space="preserve">JEL Classification: </w:t>
      </w:r>
      <w:r w:rsidR="006C1B17" w:rsidRPr="00DF22F5">
        <w:rPr>
          <w:lang w:val="en-GB"/>
        </w:rPr>
        <w:t>C22, F31</w:t>
      </w:r>
    </w:p>
    <w:p w:rsidR="00E01DCB" w:rsidRPr="00DF22F5" w:rsidRDefault="00E01DCB" w:rsidP="00363B76">
      <w:pPr>
        <w:pStyle w:val="Classifications"/>
        <w:rPr>
          <w:lang w:val="en-GB"/>
        </w:rPr>
      </w:pPr>
      <w:r w:rsidRPr="00DF22F5">
        <w:rPr>
          <w:rStyle w:val="KeywordsHeader"/>
          <w:lang w:val="en-GB"/>
        </w:rPr>
        <w:t>AMS Classification:</w:t>
      </w:r>
      <w:r w:rsidR="008D70B3" w:rsidRPr="00DF22F5">
        <w:rPr>
          <w:rStyle w:val="KeywordsHeader"/>
          <w:lang w:val="en-GB"/>
        </w:rPr>
        <w:t xml:space="preserve"> </w:t>
      </w:r>
      <w:r w:rsidR="008D70B3" w:rsidRPr="00DF22F5">
        <w:rPr>
          <w:lang w:val="en-GB"/>
        </w:rPr>
        <w:t>9</w:t>
      </w:r>
      <w:r w:rsidR="006C1B17" w:rsidRPr="00DF22F5">
        <w:rPr>
          <w:lang w:val="en-GB"/>
        </w:rPr>
        <w:t>1B84</w:t>
      </w:r>
    </w:p>
    <w:p w:rsidR="006C1B17" w:rsidRPr="00491474" w:rsidRDefault="006C1B17" w:rsidP="00491474">
      <w:pPr>
        <w:pStyle w:val="Nadpis1"/>
        <w:numPr>
          <w:ilvl w:val="0"/>
          <w:numId w:val="15"/>
        </w:numPr>
        <w:tabs>
          <w:tab w:val="clear" w:pos="3409"/>
          <w:tab w:val="num" w:pos="432"/>
        </w:tabs>
        <w:ind w:left="432"/>
        <w:rPr>
          <w:szCs w:val="28"/>
        </w:rPr>
      </w:pPr>
      <w:r w:rsidRPr="00491474">
        <w:rPr>
          <w:szCs w:val="28"/>
        </w:rPr>
        <w:t>Introduction</w:t>
      </w:r>
    </w:p>
    <w:p w:rsidR="00DF22F5" w:rsidRPr="00DF22F5" w:rsidRDefault="00DF22F5" w:rsidP="00DF22F5">
      <w:pPr>
        <w:pStyle w:val="Zkladntext"/>
        <w:rPr>
          <w:lang w:val="en-GB"/>
        </w:rPr>
      </w:pPr>
      <w:r w:rsidRPr="00DF22F5">
        <w:rPr>
          <w:lang w:val="en-GB"/>
        </w:rPr>
        <w:t>The ex-centrally planned countries decided to follow different exchange rate strategies during their transfo</w:t>
      </w:r>
      <w:r w:rsidRPr="00DF22F5">
        <w:rPr>
          <w:lang w:val="en-GB"/>
        </w:rPr>
        <w:t>r</w:t>
      </w:r>
      <w:r w:rsidRPr="00DF22F5">
        <w:rPr>
          <w:lang w:val="en-GB"/>
        </w:rPr>
        <w:t>mation process. Our goal is to detect the impact of the exchange development on inflation in Bulgaria and R</w:t>
      </w:r>
      <w:r w:rsidRPr="00DF22F5">
        <w:rPr>
          <w:lang w:val="en-GB"/>
        </w:rPr>
        <w:t>o</w:t>
      </w:r>
      <w:r w:rsidRPr="00DF22F5">
        <w:rPr>
          <w:lang w:val="en-GB"/>
        </w:rPr>
        <w:t xml:space="preserve">mania in the period between the beginning </w:t>
      </w:r>
      <w:r w:rsidRPr="005E76C0">
        <w:rPr>
          <w:lang w:val="en-GB"/>
        </w:rPr>
        <w:t>of 1992 and the end of 200</w:t>
      </w:r>
      <w:r w:rsidR="005E76C0" w:rsidRPr="005E76C0">
        <w:rPr>
          <w:lang w:val="en-GB"/>
        </w:rPr>
        <w:t>8</w:t>
      </w:r>
      <w:r w:rsidRPr="005E76C0">
        <w:rPr>
          <w:lang w:val="en-GB"/>
        </w:rPr>
        <w:t>.</w:t>
      </w:r>
      <w:r w:rsidRPr="00DF22F5">
        <w:rPr>
          <w:lang w:val="en-GB"/>
        </w:rPr>
        <w:t xml:space="preserve"> The first date was selected due to avai</w:t>
      </w:r>
      <w:r w:rsidRPr="00DF22F5">
        <w:rPr>
          <w:lang w:val="en-GB"/>
        </w:rPr>
        <w:t>l</w:t>
      </w:r>
      <w:r w:rsidRPr="00DF22F5">
        <w:rPr>
          <w:lang w:val="en-GB"/>
        </w:rPr>
        <w:t>ability of data and the second due to the start of the financial crisis that would affect the overall results. We ge</w:t>
      </w:r>
      <w:r w:rsidRPr="00DF22F5">
        <w:rPr>
          <w:lang w:val="en-GB"/>
        </w:rPr>
        <w:t>n</w:t>
      </w:r>
      <w:r w:rsidRPr="00DF22F5">
        <w:rPr>
          <w:lang w:val="en-GB"/>
        </w:rPr>
        <w:t>erally pick up the threads of our previous work (</w:t>
      </w:r>
      <w:proofErr w:type="spellStart"/>
      <w:r w:rsidRPr="00DF22F5">
        <w:rPr>
          <w:lang w:val="en-GB"/>
        </w:rPr>
        <w:t>Němec</w:t>
      </w:r>
      <w:proofErr w:type="spellEnd"/>
      <w:r w:rsidRPr="00DF22F5">
        <w:rPr>
          <w:lang w:val="en-GB"/>
        </w:rPr>
        <w:t xml:space="preserve"> and </w:t>
      </w:r>
      <w:proofErr w:type="spellStart"/>
      <w:r w:rsidRPr="00DF22F5">
        <w:rPr>
          <w:lang w:val="en-GB"/>
        </w:rPr>
        <w:t>Žídek</w:t>
      </w:r>
      <w:proofErr w:type="spellEnd"/>
      <w:r w:rsidRPr="00DF22F5">
        <w:rPr>
          <w:lang w:val="en-GB"/>
        </w:rPr>
        <w:t xml:space="preserve"> </w:t>
      </w:r>
      <w:r w:rsidR="005670A2" w:rsidRPr="00DF22F5">
        <w:rPr>
          <w:lang w:val="en-GB"/>
        </w:rPr>
        <w:fldChar w:fldCharType="begin"/>
      </w:r>
      <w:r w:rsidRPr="00DF22F5">
        <w:rPr>
          <w:lang w:val="en-GB"/>
        </w:rPr>
        <w:instrText xml:space="preserve"> REF _Ref387269738 \r \h </w:instrText>
      </w:r>
      <w:r w:rsidR="005670A2" w:rsidRPr="00DF22F5">
        <w:rPr>
          <w:lang w:val="en-GB"/>
        </w:rPr>
      </w:r>
      <w:r w:rsidR="005670A2" w:rsidRPr="00DF22F5">
        <w:rPr>
          <w:lang w:val="en-GB"/>
        </w:rPr>
        <w:fldChar w:fldCharType="separate"/>
      </w:r>
      <w:r w:rsidR="00711EE6">
        <w:rPr>
          <w:lang w:val="en-GB"/>
        </w:rPr>
        <w:t>[8]</w:t>
      </w:r>
      <w:r w:rsidR="005670A2" w:rsidRPr="00DF22F5">
        <w:rPr>
          <w:lang w:val="en-GB"/>
        </w:rPr>
        <w:fldChar w:fldCharType="end"/>
      </w:r>
      <w:r w:rsidRPr="00DF22F5">
        <w:rPr>
          <w:lang w:val="en-GB"/>
        </w:rPr>
        <w:t>) where we analysed the impact of e</w:t>
      </w:r>
      <w:r w:rsidRPr="00DF22F5">
        <w:rPr>
          <w:lang w:val="en-GB"/>
        </w:rPr>
        <w:t>x</w:t>
      </w:r>
      <w:r w:rsidRPr="00DF22F5">
        <w:rPr>
          <w:lang w:val="en-GB"/>
        </w:rPr>
        <w:t xml:space="preserve">change rate regime on inflation among the Central European countries. </w:t>
      </w:r>
    </w:p>
    <w:p w:rsidR="006C1B17" w:rsidRPr="00DF22F5" w:rsidRDefault="00DF22F5" w:rsidP="00AE00F4">
      <w:pPr>
        <w:pStyle w:val="Zkladntext"/>
        <w:ind w:firstLine="301"/>
        <w:rPr>
          <w:lang w:val="en-GB"/>
        </w:rPr>
      </w:pPr>
      <w:r w:rsidRPr="00DF22F5">
        <w:rPr>
          <w:lang w:val="en-GB"/>
        </w:rPr>
        <w:t>We suppose that the different exchange rate strategies had different impacts on inflation development. For</w:t>
      </w:r>
      <w:r w:rsidRPr="00DF22F5">
        <w:rPr>
          <w:lang w:val="en-GB"/>
        </w:rPr>
        <w:t>e</w:t>
      </w:r>
      <w:r w:rsidRPr="00DF22F5">
        <w:rPr>
          <w:lang w:val="en-GB"/>
        </w:rPr>
        <w:t>most we expect that currency board (applied in Bulgaria after 1997) should stabilize it. The same should be true about managed floating that has been used in Romania after 1997. And we expect that the impact of the floating regime will be ambiguous because there are usually periods of both appreciation and depre</w:t>
      </w:r>
      <w:r w:rsidRPr="008E404C">
        <w:rPr>
          <w:lang w:val="en-GB"/>
        </w:rPr>
        <w:t>ciation. We split the overall analysed period into sub periods according to the applied exchange rate regime.</w:t>
      </w:r>
      <w:r w:rsidRPr="00DF22F5">
        <w:rPr>
          <w:lang w:val="en-GB"/>
        </w:rPr>
        <w:t xml:space="preserve"> And we use the country specific Structural Vector </w:t>
      </w:r>
      <w:proofErr w:type="spellStart"/>
      <w:r w:rsidRPr="00DF22F5">
        <w:rPr>
          <w:lang w:val="en-GB"/>
        </w:rPr>
        <w:t>Autoregression</w:t>
      </w:r>
      <w:proofErr w:type="spellEnd"/>
      <w:r w:rsidRPr="00DF22F5">
        <w:rPr>
          <w:lang w:val="en-GB"/>
        </w:rPr>
        <w:t xml:space="preserve"> models (SVAR models) to estimate structural shocks. Using SVAR simulation procedures we are able to decompose the development of inflation into </w:t>
      </w:r>
      <w:r w:rsidR="00575A58">
        <w:rPr>
          <w:lang w:val="en-GB"/>
        </w:rPr>
        <w:t xml:space="preserve">contributions of </w:t>
      </w:r>
      <w:r w:rsidRPr="00DF22F5">
        <w:rPr>
          <w:lang w:val="en-GB"/>
        </w:rPr>
        <w:t>the specific structural shocks. This method allows us to evaluate the impact of the historical exchange rate shocks on infl</w:t>
      </w:r>
      <w:r w:rsidRPr="00DF22F5">
        <w:rPr>
          <w:lang w:val="en-GB"/>
        </w:rPr>
        <w:t>a</w:t>
      </w:r>
      <w:r w:rsidRPr="00DF22F5">
        <w:rPr>
          <w:lang w:val="en-GB"/>
        </w:rPr>
        <w:t xml:space="preserve">tion. Our approach differs from </w:t>
      </w:r>
      <w:r w:rsidR="005E76C0">
        <w:rPr>
          <w:lang w:val="en-GB"/>
        </w:rPr>
        <w:t xml:space="preserve">many other authors (see e.g. </w:t>
      </w:r>
      <w:proofErr w:type="spellStart"/>
      <w:r w:rsidRPr="00DF22F5">
        <w:rPr>
          <w:lang w:val="en-GB"/>
        </w:rPr>
        <w:t>Mirdala</w:t>
      </w:r>
      <w:proofErr w:type="spellEnd"/>
      <w:r w:rsidRPr="00DF22F5">
        <w:rPr>
          <w:lang w:val="en-GB"/>
        </w:rPr>
        <w:t xml:space="preserve"> </w:t>
      </w:r>
      <w:r w:rsidR="005670A2" w:rsidRPr="00DF22F5">
        <w:rPr>
          <w:lang w:val="en-GB"/>
        </w:rPr>
        <w:fldChar w:fldCharType="begin"/>
      </w:r>
      <w:r w:rsidRPr="00DF22F5">
        <w:rPr>
          <w:lang w:val="en-GB"/>
        </w:rPr>
        <w:instrText xml:space="preserve"> REF _Ref360377901 \r \h </w:instrText>
      </w:r>
      <w:r w:rsidR="005670A2" w:rsidRPr="00DF22F5">
        <w:rPr>
          <w:lang w:val="en-GB"/>
        </w:rPr>
      </w:r>
      <w:r w:rsidR="005670A2" w:rsidRPr="00DF22F5">
        <w:rPr>
          <w:lang w:val="en-GB"/>
        </w:rPr>
        <w:fldChar w:fldCharType="separate"/>
      </w:r>
      <w:r w:rsidR="00711EE6">
        <w:rPr>
          <w:lang w:val="en-GB"/>
        </w:rPr>
        <w:t>[6]</w:t>
      </w:r>
      <w:r w:rsidR="005670A2" w:rsidRPr="00DF22F5">
        <w:rPr>
          <w:lang w:val="en-GB"/>
        </w:rPr>
        <w:fldChar w:fldCharType="end"/>
      </w:r>
      <w:r w:rsidRPr="00DF22F5">
        <w:rPr>
          <w:lang w:val="en-GB"/>
        </w:rPr>
        <w:t xml:space="preserve">, </w:t>
      </w:r>
      <w:r w:rsidR="005670A2" w:rsidRPr="00DF22F5">
        <w:rPr>
          <w:lang w:val="en-GB"/>
        </w:rPr>
        <w:fldChar w:fldCharType="begin"/>
      </w:r>
      <w:r w:rsidRPr="00DF22F5">
        <w:rPr>
          <w:lang w:val="en-GB"/>
        </w:rPr>
        <w:instrText xml:space="preserve"> REF _Ref360377903 \r \h </w:instrText>
      </w:r>
      <w:r w:rsidR="005670A2" w:rsidRPr="00DF22F5">
        <w:rPr>
          <w:lang w:val="en-GB"/>
        </w:rPr>
      </w:r>
      <w:r w:rsidR="005670A2" w:rsidRPr="00DF22F5">
        <w:rPr>
          <w:lang w:val="en-GB"/>
        </w:rPr>
        <w:fldChar w:fldCharType="separate"/>
      </w:r>
      <w:r w:rsidR="00711EE6">
        <w:rPr>
          <w:lang w:val="en-GB"/>
        </w:rPr>
        <w:t>[7]</w:t>
      </w:r>
      <w:r w:rsidR="005670A2" w:rsidRPr="00DF22F5">
        <w:rPr>
          <w:lang w:val="en-GB"/>
        </w:rPr>
        <w:fldChar w:fldCharType="end"/>
      </w:r>
      <w:r w:rsidR="005E76C0">
        <w:rPr>
          <w:lang w:val="en-GB"/>
        </w:rPr>
        <w:t>)</w:t>
      </w:r>
      <w:r w:rsidRPr="00DF22F5">
        <w:rPr>
          <w:lang w:val="en-GB"/>
        </w:rPr>
        <w:t xml:space="preserve"> due to </w:t>
      </w:r>
      <w:r w:rsidR="006536A8">
        <w:rPr>
          <w:lang w:val="en-GB"/>
        </w:rPr>
        <w:t xml:space="preserve">the </w:t>
      </w:r>
      <w:r w:rsidRPr="00DF22F5">
        <w:rPr>
          <w:lang w:val="en-GB"/>
        </w:rPr>
        <w:t xml:space="preserve">fact that </w:t>
      </w:r>
      <w:r w:rsidR="005E76C0">
        <w:rPr>
          <w:lang w:val="en-GB"/>
        </w:rPr>
        <w:t xml:space="preserve">they evaluate </w:t>
      </w:r>
      <w:r w:rsidRPr="005E76C0">
        <w:rPr>
          <w:lang w:val="en-GB"/>
        </w:rPr>
        <w:t>the exchange rate pass-through to domestic prices using the forecast error variance decomposition.</w:t>
      </w:r>
      <w:r w:rsidRPr="00DF22F5">
        <w:rPr>
          <w:lang w:val="en-GB"/>
        </w:rPr>
        <w:t xml:space="preserve"> </w:t>
      </w:r>
      <w:r w:rsidR="005E76C0">
        <w:rPr>
          <w:lang w:val="en-GB"/>
        </w:rPr>
        <w:t xml:space="preserve">We are </w:t>
      </w:r>
      <w:r w:rsidRPr="00DF22F5">
        <w:rPr>
          <w:lang w:val="en-GB"/>
        </w:rPr>
        <w:t xml:space="preserve">thus able to observe the real historical consequences of the exchange rate changes </w:t>
      </w:r>
      <w:r w:rsidR="005E76C0">
        <w:rPr>
          <w:lang w:val="en-GB"/>
        </w:rPr>
        <w:t xml:space="preserve">from the beginning </w:t>
      </w:r>
      <w:r w:rsidRPr="00DF22F5">
        <w:rPr>
          <w:lang w:val="en-GB"/>
        </w:rPr>
        <w:t>of the 1990s. Although the SVAR approach assumes possible interdependencies among all of the modelled endogenous vari</w:t>
      </w:r>
      <w:r w:rsidRPr="00DF22F5">
        <w:rPr>
          <w:lang w:val="en-GB"/>
        </w:rPr>
        <w:t>a</w:t>
      </w:r>
      <w:r w:rsidRPr="00DF22F5">
        <w:rPr>
          <w:lang w:val="en-GB"/>
        </w:rPr>
        <w:t>bles, we will focus on one sided causality from nominal exchange rates changes to price level changes. Our r</w:t>
      </w:r>
      <w:r w:rsidRPr="00DF22F5">
        <w:rPr>
          <w:lang w:val="en-GB"/>
        </w:rPr>
        <w:t>e</w:t>
      </w:r>
      <w:r w:rsidRPr="00DF22F5">
        <w:rPr>
          <w:lang w:val="en-GB"/>
        </w:rPr>
        <w:t>sults suggest that the nominal effec</w:t>
      </w:r>
      <w:r w:rsidRPr="008E404C">
        <w:rPr>
          <w:lang w:val="en-GB"/>
        </w:rPr>
        <w:t>tive exchange rate changes in Bulgaria and Romania determine</w:t>
      </w:r>
      <w:r w:rsidR="008E404C" w:rsidRPr="008E404C">
        <w:rPr>
          <w:lang w:val="en-GB"/>
        </w:rPr>
        <w:t xml:space="preserve"> </w:t>
      </w:r>
      <w:r w:rsidRPr="008E404C">
        <w:rPr>
          <w:lang w:val="en-GB"/>
        </w:rPr>
        <w:t>inflation</w:t>
      </w:r>
      <w:r w:rsidR="008E404C" w:rsidRPr="008E404C">
        <w:rPr>
          <w:lang w:val="en-GB"/>
        </w:rPr>
        <w:t xml:space="preserve"> development in an important way</w:t>
      </w:r>
      <w:r w:rsidRPr="008E404C">
        <w:rPr>
          <w:lang w:val="en-GB"/>
        </w:rPr>
        <w:t>.</w:t>
      </w:r>
    </w:p>
    <w:p w:rsidR="006C1B17" w:rsidRPr="00491474" w:rsidRDefault="006C1B17" w:rsidP="00491474">
      <w:pPr>
        <w:pStyle w:val="Nadpis1"/>
        <w:numPr>
          <w:ilvl w:val="0"/>
          <w:numId w:val="15"/>
        </w:numPr>
        <w:tabs>
          <w:tab w:val="clear" w:pos="3409"/>
          <w:tab w:val="num" w:pos="432"/>
        </w:tabs>
        <w:ind w:left="432"/>
        <w:rPr>
          <w:szCs w:val="28"/>
        </w:rPr>
      </w:pPr>
      <w:r w:rsidRPr="00491474">
        <w:rPr>
          <w:szCs w:val="28"/>
        </w:rPr>
        <w:t xml:space="preserve">Exchange rates in </w:t>
      </w:r>
      <w:r w:rsidR="006536A8">
        <w:rPr>
          <w:szCs w:val="28"/>
        </w:rPr>
        <w:t xml:space="preserve">the </w:t>
      </w:r>
      <w:r w:rsidRPr="00491474">
        <w:rPr>
          <w:szCs w:val="28"/>
        </w:rPr>
        <w:t>transformation process</w:t>
      </w:r>
    </w:p>
    <w:p w:rsidR="00DF22F5" w:rsidRPr="00DF22F5" w:rsidRDefault="00DF22F5" w:rsidP="00DF22F5">
      <w:pPr>
        <w:pStyle w:val="Zkladntext"/>
        <w:rPr>
          <w:lang w:val="en-GB"/>
        </w:rPr>
      </w:pPr>
      <w:r w:rsidRPr="00DF22F5">
        <w:rPr>
          <w:lang w:val="en-GB"/>
        </w:rPr>
        <w:t xml:space="preserve">In this section we describe different development of exchange rates in Bulgaria and Romania. First of all, we mention theoretical exchange rate systems. The two countries used different exchange rate regimes during the </w:t>
      </w:r>
      <w:r w:rsidRPr="00DF22F5">
        <w:rPr>
          <w:lang w:val="en-GB"/>
        </w:rPr>
        <w:lastRenderedPageBreak/>
        <w:t xml:space="preserve">transformation. In the first period, rather chaotic systems were applied in both of the countries. The central banks did not have the situation under control and attempted </w:t>
      </w:r>
      <w:r w:rsidR="006536A8">
        <w:rPr>
          <w:lang w:val="en-GB"/>
        </w:rPr>
        <w:t>to</w:t>
      </w:r>
      <w:r w:rsidRPr="00DF22F5">
        <w:rPr>
          <w:lang w:val="en-GB"/>
        </w:rPr>
        <w:t xml:space="preserve"> fix/control exchange rates with consequent huge deva</w:t>
      </w:r>
      <w:r w:rsidRPr="00DF22F5">
        <w:rPr>
          <w:lang w:val="en-GB"/>
        </w:rPr>
        <w:t>l</w:t>
      </w:r>
      <w:r w:rsidRPr="00DF22F5">
        <w:rPr>
          <w:lang w:val="en-GB"/>
        </w:rPr>
        <w:t>uations. These periods were interposed by periods of floating. The exchange rate strategies were determined by high inflation that was characteristic for both of the countries. The second exchange rate regime/period was cu</w:t>
      </w:r>
      <w:r w:rsidRPr="00DF22F5">
        <w:rPr>
          <w:lang w:val="en-GB"/>
        </w:rPr>
        <w:t>r</w:t>
      </w:r>
      <w:r w:rsidRPr="00DF22F5">
        <w:rPr>
          <w:lang w:val="en-GB"/>
        </w:rPr>
        <w:t>rency board that has been used in Bulgaria since 1997. It became an anchor of the whole system when the eco</w:t>
      </w:r>
      <w:r w:rsidRPr="00DF22F5">
        <w:rPr>
          <w:lang w:val="en-GB"/>
        </w:rPr>
        <w:t>n</w:t>
      </w:r>
      <w:r w:rsidRPr="00DF22F5">
        <w:rPr>
          <w:lang w:val="en-GB"/>
        </w:rPr>
        <w:t>omy stabilized after hyperinflation. The third applied exchange rate regime was managed floating that was used in Romania after 1997. The central bank applied de facto a system with bandwidth.</w:t>
      </w:r>
    </w:p>
    <w:p w:rsidR="008E404C" w:rsidRPr="008E404C" w:rsidRDefault="001067C6" w:rsidP="008E404C">
      <w:pPr>
        <w:pStyle w:val="Zkladntext"/>
        <w:ind w:firstLine="301"/>
        <w:rPr>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220.85pt;width:354.15pt;height:215.75pt;z-index:1;mso-position-horizontal:center">
            <v:imagedata r:id="rId9" o:title=""/>
            <w10:wrap type="topAndBottom"/>
          </v:shape>
        </w:pict>
      </w:r>
      <w:r w:rsidR="00DF22F5" w:rsidRPr="00DF22F5">
        <w:rPr>
          <w:lang w:val="en-GB"/>
        </w:rPr>
        <w:t>What was the specific development of the exchange rate regimes? We will consider only the main changes in the development. Bulgaria started the transformation process with an attempt at shock therapy (without restri</w:t>
      </w:r>
      <w:r w:rsidR="00DF22F5" w:rsidRPr="00DF22F5">
        <w:rPr>
          <w:lang w:val="en-GB"/>
        </w:rPr>
        <w:t>c</w:t>
      </w:r>
      <w:r w:rsidR="00DF22F5" w:rsidRPr="00DF22F5">
        <w:rPr>
          <w:lang w:val="en-GB"/>
        </w:rPr>
        <w:t>tive policy). However, contrary to other countries that applied this strategy, the country was not able to fix its exchange rate due to insufficient foreign reserves. But the exchange rate was unified, devalued and the Leva became internally convertible at the beginning of 1991 (</w:t>
      </w:r>
      <w:proofErr w:type="spellStart"/>
      <w:r w:rsidR="00DF22F5" w:rsidRPr="00DF22F5">
        <w:rPr>
          <w:lang w:val="en-GB"/>
        </w:rPr>
        <w:t>Dimitrov</w:t>
      </w:r>
      <w:proofErr w:type="spellEnd"/>
      <w:r w:rsidR="00DF22F5" w:rsidRPr="00DF22F5">
        <w:rPr>
          <w:lang w:val="en-GB"/>
        </w:rPr>
        <w:t xml:space="preserve"> </w:t>
      </w:r>
      <w:r w:rsidR="005670A2" w:rsidRPr="00DF22F5">
        <w:rPr>
          <w:lang w:val="en-GB"/>
        </w:rPr>
        <w:fldChar w:fldCharType="begin"/>
      </w:r>
      <w:r w:rsidR="00DF22F5" w:rsidRPr="00DF22F5">
        <w:rPr>
          <w:lang w:val="en-GB"/>
        </w:rPr>
        <w:instrText xml:space="preserve"> REF _Ref387269856 \r \h </w:instrText>
      </w:r>
      <w:r w:rsidR="005670A2" w:rsidRPr="00DF22F5">
        <w:rPr>
          <w:lang w:val="en-GB"/>
        </w:rPr>
      </w:r>
      <w:r w:rsidR="005670A2" w:rsidRPr="00DF22F5">
        <w:rPr>
          <w:lang w:val="en-GB"/>
        </w:rPr>
        <w:fldChar w:fldCharType="separate"/>
      </w:r>
      <w:r w:rsidR="00711EE6">
        <w:rPr>
          <w:lang w:val="en-GB"/>
        </w:rPr>
        <w:t>[3]</w:t>
      </w:r>
      <w:r w:rsidR="005670A2" w:rsidRPr="00DF22F5">
        <w:rPr>
          <w:lang w:val="en-GB"/>
        </w:rPr>
        <w:fldChar w:fldCharType="end"/>
      </w:r>
      <w:r w:rsidR="00DF22F5" w:rsidRPr="00DF22F5">
        <w:rPr>
          <w:lang w:val="en-GB"/>
        </w:rPr>
        <w:t>). Consequently, the country experienced several episodes of high inflation and deep depreciation. The central bank tried several times to defend the cu</w:t>
      </w:r>
      <w:r w:rsidR="00DF22F5" w:rsidRPr="00DF22F5">
        <w:rPr>
          <w:lang w:val="en-GB"/>
        </w:rPr>
        <w:t>r</w:t>
      </w:r>
      <w:r w:rsidR="00DF22F5" w:rsidRPr="00DF22F5">
        <w:rPr>
          <w:lang w:val="en-GB"/>
        </w:rPr>
        <w:t>rency by applying its currency reserves but with limited success. For example, in March 1994 the central bank gave up its attempts at stabilising the exchange rate and the Leva depreciated by 50% against the Dollar (Bristow</w:t>
      </w:r>
      <w:r w:rsidR="003F0D1B">
        <w:rPr>
          <w:lang w:val="en-GB"/>
        </w:rPr>
        <w:t xml:space="preserve"> </w:t>
      </w:r>
      <w:r w:rsidR="003F0D1B">
        <w:rPr>
          <w:lang w:val="en-GB"/>
        </w:rPr>
        <w:fldChar w:fldCharType="begin"/>
      </w:r>
      <w:r w:rsidR="003F0D1B">
        <w:rPr>
          <w:lang w:val="en-GB"/>
        </w:rPr>
        <w:instrText xml:space="preserve"> REF _Ref392076039 \r \h </w:instrText>
      </w:r>
      <w:r w:rsidR="003F0D1B">
        <w:rPr>
          <w:lang w:val="en-GB"/>
        </w:rPr>
      </w:r>
      <w:r w:rsidR="003F0D1B">
        <w:rPr>
          <w:lang w:val="en-GB"/>
        </w:rPr>
        <w:fldChar w:fldCharType="separate"/>
      </w:r>
      <w:r w:rsidR="00711EE6">
        <w:rPr>
          <w:lang w:val="en-GB"/>
        </w:rPr>
        <w:t>[2]</w:t>
      </w:r>
      <w:r w:rsidR="003F0D1B">
        <w:rPr>
          <w:lang w:val="en-GB"/>
        </w:rPr>
        <w:fldChar w:fldCharType="end"/>
      </w:r>
      <w:r w:rsidR="00DF22F5" w:rsidRPr="00DF22F5">
        <w:rPr>
          <w:lang w:val="en-GB"/>
        </w:rPr>
        <w:t xml:space="preserve">). After relatively calm 1995 the bank again tried to keep the exchange rate at an unrealistic level. And the Leva again collapsed in March 1996. At that time the whole economy was in total disarray because </w:t>
      </w:r>
      <w:proofErr w:type="spellStart"/>
      <w:r w:rsidR="00DF22F5" w:rsidRPr="00DF22F5">
        <w:rPr>
          <w:lang w:val="en-GB"/>
        </w:rPr>
        <w:t>Videnov</w:t>
      </w:r>
      <w:proofErr w:type="spellEnd"/>
      <w:r w:rsidR="00DF22F5" w:rsidRPr="00DF22F5">
        <w:rPr>
          <w:lang w:val="en-GB"/>
        </w:rPr>
        <w:t xml:space="preserve"> government tried to reapply some elements of the central planning – for example control of prices. At the same the government had highly ambitious spending plans but was not able to finance them from its incomes and the budget ended with an enormous deficit that was covered by monetization. The obvious consequences were h</w:t>
      </w:r>
      <w:r w:rsidR="00DF22F5" w:rsidRPr="00DF22F5">
        <w:rPr>
          <w:lang w:val="en-GB"/>
        </w:rPr>
        <w:t>y</w:t>
      </w:r>
      <w:r w:rsidR="00DF22F5" w:rsidRPr="00DF22F5">
        <w:rPr>
          <w:lang w:val="en-GB"/>
        </w:rPr>
        <w:t>perinflation, dollarization and evasion of the Leva. The exchange rate depreciated by 90% against the Dollar in 1996 and this slump continued in the first quarter of 1997 when the Leva dropped from 487 to 1588 per dollar. The government, together with the economy, collapsed in spring of that year. The new government (after the elections) applied a stabilization policy. It incorporated currency board against the German Mark (later on the Euro) in the mid-1997. It was backed 100% by the foreign exchange reserves.</w:t>
      </w:r>
    </w:p>
    <w:p w:rsidR="00DF22F5" w:rsidRPr="00DF22F5" w:rsidRDefault="00DF22F5" w:rsidP="00DF22F5">
      <w:pPr>
        <w:pStyle w:val="Zkladntext-prvnodsazen"/>
        <w:jc w:val="center"/>
        <w:rPr>
          <w:lang w:val="en-GB"/>
        </w:rPr>
      </w:pPr>
      <w:bookmarkStart w:id="0" w:name="_Ref357533317"/>
      <w:r w:rsidRPr="00DF22F5">
        <w:rPr>
          <w:b/>
          <w:bCs/>
          <w:lang w:val="en-GB"/>
        </w:rPr>
        <w:t xml:space="preserve">Figure </w:t>
      </w:r>
      <w:r w:rsidR="005670A2" w:rsidRPr="00DF22F5">
        <w:rPr>
          <w:b/>
          <w:bCs/>
          <w:lang w:val="en-GB"/>
        </w:rPr>
        <w:fldChar w:fldCharType="begin"/>
      </w:r>
      <w:r w:rsidRPr="00DF22F5">
        <w:rPr>
          <w:b/>
          <w:bCs/>
          <w:lang w:val="en-GB"/>
        </w:rPr>
        <w:instrText xml:space="preserve"> SEQ Figure \* ARABIC </w:instrText>
      </w:r>
      <w:r w:rsidR="005670A2" w:rsidRPr="00DF22F5">
        <w:rPr>
          <w:b/>
          <w:bCs/>
          <w:lang w:val="en-GB"/>
        </w:rPr>
        <w:fldChar w:fldCharType="separate"/>
      </w:r>
      <w:r w:rsidR="00711EE6">
        <w:rPr>
          <w:b/>
          <w:bCs/>
          <w:noProof/>
          <w:lang w:val="en-GB"/>
        </w:rPr>
        <w:t>1</w:t>
      </w:r>
      <w:r w:rsidR="005670A2" w:rsidRPr="00DF22F5">
        <w:rPr>
          <w:b/>
          <w:bCs/>
          <w:lang w:val="en-GB"/>
        </w:rPr>
        <w:fldChar w:fldCharType="end"/>
      </w:r>
      <w:bookmarkEnd w:id="0"/>
      <w:r w:rsidRPr="00DF22F5">
        <w:rPr>
          <w:lang w:val="en-GB"/>
        </w:rPr>
        <w:t xml:space="preserve"> Development of the nominal exchange rates (index, 1992M1 = 100, indirect quote)</w:t>
      </w:r>
    </w:p>
    <w:p w:rsidR="008E404C" w:rsidRPr="00DF22F5" w:rsidRDefault="008E404C" w:rsidP="008E404C">
      <w:pPr>
        <w:pStyle w:val="Zkladntext"/>
        <w:ind w:firstLine="301"/>
        <w:rPr>
          <w:lang w:val="en-GB"/>
        </w:rPr>
      </w:pPr>
      <w:r w:rsidRPr="00DF22F5">
        <w:rPr>
          <w:lang w:val="en-GB"/>
        </w:rPr>
        <w:t>The development of Romanian exchange rate policy was no less dramatic and the description is more co</w:t>
      </w:r>
      <w:r w:rsidRPr="00DF22F5">
        <w:rPr>
          <w:lang w:val="en-GB"/>
        </w:rPr>
        <w:t>m</w:t>
      </w:r>
      <w:r w:rsidRPr="00DF22F5">
        <w:rPr>
          <w:lang w:val="en-GB"/>
        </w:rPr>
        <w:t>plicated because opinions among authors vary. The currency was devaluated and unified (the tourist and bus</w:t>
      </w:r>
      <w:r w:rsidRPr="00DF22F5">
        <w:rPr>
          <w:lang w:val="en-GB"/>
        </w:rPr>
        <w:t>i</w:t>
      </w:r>
      <w:r w:rsidRPr="00DF22F5">
        <w:rPr>
          <w:lang w:val="en-GB"/>
        </w:rPr>
        <w:t xml:space="preserve">ness exchange rates) in February 1990. There were further devaluations in the following years and the </w:t>
      </w:r>
      <w:proofErr w:type="spellStart"/>
      <w:r w:rsidRPr="00DF22F5">
        <w:rPr>
          <w:lang w:val="en-GB"/>
        </w:rPr>
        <w:t>Leu</w:t>
      </w:r>
      <w:proofErr w:type="spellEnd"/>
      <w:r w:rsidRPr="00DF22F5">
        <w:rPr>
          <w:lang w:val="en-GB"/>
        </w:rPr>
        <w:t xml:space="preserve"> b</w:t>
      </w:r>
      <w:r w:rsidRPr="00DF22F5">
        <w:rPr>
          <w:lang w:val="en-GB"/>
        </w:rPr>
        <w:t>e</w:t>
      </w:r>
      <w:r w:rsidRPr="00DF22F5">
        <w:rPr>
          <w:lang w:val="en-GB"/>
        </w:rPr>
        <w:t>came again operating in the system of multiple exchange rates (</w:t>
      </w:r>
      <w:proofErr w:type="spellStart"/>
      <w:r w:rsidRPr="00DF22F5">
        <w:rPr>
          <w:lang w:val="en-GB"/>
        </w:rPr>
        <w:t>Fidrmuc</w:t>
      </w:r>
      <w:proofErr w:type="spellEnd"/>
      <w:r>
        <w:rPr>
          <w:lang w:val="en-GB"/>
        </w:rPr>
        <w:t xml:space="preserve"> et al. </w:t>
      </w:r>
      <w:r w:rsidR="005670A2">
        <w:rPr>
          <w:lang w:val="en-GB"/>
        </w:rPr>
        <w:fldChar w:fldCharType="begin"/>
      </w:r>
      <w:r>
        <w:rPr>
          <w:lang w:val="en-GB"/>
        </w:rPr>
        <w:instrText xml:space="preserve"> REF _Ref387269938 \r \h </w:instrText>
      </w:r>
      <w:r w:rsidR="005670A2">
        <w:rPr>
          <w:lang w:val="en-GB"/>
        </w:rPr>
      </w:r>
      <w:r w:rsidR="005670A2">
        <w:rPr>
          <w:lang w:val="en-GB"/>
        </w:rPr>
        <w:fldChar w:fldCharType="separate"/>
      </w:r>
      <w:r w:rsidR="00711EE6">
        <w:rPr>
          <w:lang w:val="en-GB"/>
        </w:rPr>
        <w:t>[4]</w:t>
      </w:r>
      <w:r w:rsidR="005670A2">
        <w:rPr>
          <w:lang w:val="en-GB"/>
        </w:rPr>
        <w:fldChar w:fldCharType="end"/>
      </w:r>
      <w:r w:rsidRPr="00DF22F5">
        <w:rPr>
          <w:lang w:val="en-GB"/>
        </w:rPr>
        <w:t xml:space="preserve">). The situation changed in 1997 when exchange rates were unified and the central bank started to apply managed floating. </w:t>
      </w:r>
      <w:proofErr w:type="spellStart"/>
      <w:r w:rsidRPr="00DF22F5">
        <w:rPr>
          <w:lang w:val="en-GB"/>
        </w:rPr>
        <w:t>Fidrmuc</w:t>
      </w:r>
      <w:proofErr w:type="spellEnd"/>
      <w:r>
        <w:rPr>
          <w:lang w:val="en-GB"/>
        </w:rPr>
        <w:t xml:space="preserve"> et al. </w:t>
      </w:r>
      <w:r w:rsidR="005670A2">
        <w:rPr>
          <w:lang w:val="en-GB"/>
        </w:rPr>
        <w:fldChar w:fldCharType="begin"/>
      </w:r>
      <w:r>
        <w:rPr>
          <w:lang w:val="en-GB"/>
        </w:rPr>
        <w:instrText xml:space="preserve"> REF _Ref387269938 \r \h </w:instrText>
      </w:r>
      <w:r w:rsidR="005670A2">
        <w:rPr>
          <w:lang w:val="en-GB"/>
        </w:rPr>
      </w:r>
      <w:r w:rsidR="005670A2">
        <w:rPr>
          <w:lang w:val="en-GB"/>
        </w:rPr>
        <w:fldChar w:fldCharType="separate"/>
      </w:r>
      <w:r w:rsidR="00711EE6">
        <w:rPr>
          <w:lang w:val="en-GB"/>
        </w:rPr>
        <w:t>[4]</w:t>
      </w:r>
      <w:r w:rsidR="005670A2">
        <w:rPr>
          <w:lang w:val="en-GB"/>
        </w:rPr>
        <w:fldChar w:fldCharType="end"/>
      </w:r>
      <w:r w:rsidRPr="00DF22F5">
        <w:rPr>
          <w:lang w:val="en-GB"/>
        </w:rPr>
        <w:t xml:space="preserve"> write that the system was de facto crawling band with +/- 5% bandwidth. The </w:t>
      </w:r>
      <w:proofErr w:type="spellStart"/>
      <w:r w:rsidRPr="00DF22F5">
        <w:rPr>
          <w:lang w:val="en-GB"/>
        </w:rPr>
        <w:t>Leu</w:t>
      </w:r>
      <w:proofErr w:type="spellEnd"/>
      <w:r w:rsidRPr="00DF22F5">
        <w:rPr>
          <w:lang w:val="en-GB"/>
        </w:rPr>
        <w:t xml:space="preserve"> became convertible for tran</w:t>
      </w:r>
      <w:r w:rsidRPr="00DF22F5">
        <w:rPr>
          <w:lang w:val="en-GB"/>
        </w:rPr>
        <w:t>s</w:t>
      </w:r>
      <w:r w:rsidRPr="00DF22F5">
        <w:rPr>
          <w:lang w:val="en-GB"/>
        </w:rPr>
        <w:t>actions on the current account in 1998</w:t>
      </w:r>
      <w:r w:rsidR="003F0D1B">
        <w:rPr>
          <w:lang w:val="en-GB"/>
        </w:rPr>
        <w:t xml:space="preserve"> (</w:t>
      </w:r>
      <w:proofErr w:type="spellStart"/>
      <w:r w:rsidR="003F0D1B">
        <w:rPr>
          <w:lang w:val="en-GB"/>
        </w:rPr>
        <w:t>Popescu</w:t>
      </w:r>
      <w:proofErr w:type="spellEnd"/>
      <w:r w:rsidR="003F0D1B">
        <w:rPr>
          <w:lang w:val="en-GB"/>
        </w:rPr>
        <w:t xml:space="preserve"> </w:t>
      </w:r>
      <w:r w:rsidR="003F0D1B">
        <w:rPr>
          <w:lang w:val="en-GB"/>
        </w:rPr>
        <w:fldChar w:fldCharType="begin"/>
      </w:r>
      <w:r w:rsidR="003F0D1B">
        <w:rPr>
          <w:lang w:val="en-GB"/>
        </w:rPr>
        <w:instrText xml:space="preserve"> REF _Ref392076158 \r \h </w:instrText>
      </w:r>
      <w:r w:rsidR="003F0D1B">
        <w:rPr>
          <w:lang w:val="en-GB"/>
        </w:rPr>
      </w:r>
      <w:r w:rsidR="003F0D1B">
        <w:rPr>
          <w:lang w:val="en-GB"/>
        </w:rPr>
        <w:fldChar w:fldCharType="separate"/>
      </w:r>
      <w:r w:rsidR="00711EE6">
        <w:rPr>
          <w:lang w:val="en-GB"/>
        </w:rPr>
        <w:t>[9]</w:t>
      </w:r>
      <w:r w:rsidR="003F0D1B">
        <w:rPr>
          <w:lang w:val="en-GB"/>
        </w:rPr>
        <w:fldChar w:fldCharType="end"/>
      </w:r>
      <w:r w:rsidR="003F0D1B">
        <w:rPr>
          <w:lang w:val="en-GB"/>
        </w:rPr>
        <w:t>)</w:t>
      </w:r>
      <w:r w:rsidRPr="00DF22F5">
        <w:rPr>
          <w:lang w:val="en-GB"/>
        </w:rPr>
        <w:t>. After 2004, the National Bank of Romania relaxed e</w:t>
      </w:r>
      <w:r w:rsidRPr="00DF22F5">
        <w:rPr>
          <w:lang w:val="en-GB"/>
        </w:rPr>
        <w:t>x</w:t>
      </w:r>
      <w:r w:rsidRPr="00DF22F5">
        <w:rPr>
          <w:lang w:val="en-GB"/>
        </w:rPr>
        <w:t>change rate policy by decreasing the size and frequency of interventions on the currency market. At the end of the year it further increased the exchange rate flexibility (</w:t>
      </w:r>
      <w:proofErr w:type="spellStart"/>
      <w:r w:rsidRPr="00DF22F5">
        <w:rPr>
          <w:lang w:val="en-GB"/>
        </w:rPr>
        <w:t>Penkova</w:t>
      </w:r>
      <w:proofErr w:type="spellEnd"/>
      <w:r w:rsidRPr="00DF22F5">
        <w:rPr>
          <w:lang w:val="en-GB"/>
        </w:rPr>
        <w:t>-Pearson</w:t>
      </w:r>
      <w:r>
        <w:rPr>
          <w:lang w:val="en-GB"/>
        </w:rPr>
        <w:t xml:space="preserve"> </w:t>
      </w:r>
      <w:r w:rsidR="005670A2">
        <w:rPr>
          <w:lang w:val="en-GB"/>
        </w:rPr>
        <w:fldChar w:fldCharType="begin"/>
      </w:r>
      <w:r>
        <w:rPr>
          <w:lang w:val="en-GB"/>
        </w:rPr>
        <w:instrText xml:space="preserve"> REF _Ref387269979 \r \h </w:instrText>
      </w:r>
      <w:r w:rsidR="005670A2">
        <w:rPr>
          <w:lang w:val="en-GB"/>
        </w:rPr>
      </w:r>
      <w:r w:rsidR="005670A2">
        <w:rPr>
          <w:lang w:val="en-GB"/>
        </w:rPr>
        <w:fldChar w:fldCharType="separate"/>
      </w:r>
      <w:r w:rsidR="00711EE6">
        <w:rPr>
          <w:lang w:val="en-GB"/>
        </w:rPr>
        <w:t>[10]</w:t>
      </w:r>
      <w:r w:rsidR="005670A2">
        <w:rPr>
          <w:lang w:val="en-GB"/>
        </w:rPr>
        <w:fldChar w:fldCharType="end"/>
      </w:r>
      <w:r w:rsidRPr="00DF22F5">
        <w:rPr>
          <w:lang w:val="en-GB"/>
        </w:rPr>
        <w:t>). These steps were preparatory for a fundamental change in monetary policy because the central bank introduced inflation targeting system in 2005. However it has kept managed float at the same time.</w:t>
      </w:r>
    </w:p>
    <w:p w:rsidR="008E404C" w:rsidRPr="00DF22F5" w:rsidRDefault="008E404C" w:rsidP="008E404C">
      <w:pPr>
        <w:pStyle w:val="Zkladntext"/>
        <w:ind w:firstLine="301"/>
        <w:rPr>
          <w:lang w:val="en-GB"/>
        </w:rPr>
      </w:pPr>
      <w:r w:rsidRPr="00DF22F5">
        <w:rPr>
          <w:lang w:val="en-GB"/>
        </w:rPr>
        <w:t xml:space="preserve">The trend in Romania till 2004 was towards a lasting nominal depreciation. Then the exchange rate relatively stabilized and in some periods appreciated. In Bulgaria the exchange rate was relatively stable (in comparison to </w:t>
      </w:r>
      <w:r w:rsidRPr="00DF22F5">
        <w:rPr>
          <w:lang w:val="en-GB"/>
        </w:rPr>
        <w:lastRenderedPageBreak/>
        <w:t>Romania) till the period of hyperinflation that started in 1996. The exchange rate became steady with currency board system after 1997. We can see the development of the nominal exchange rates in Figure 1.</w:t>
      </w:r>
      <w:r w:rsidRPr="00DF22F5">
        <w:rPr>
          <w:vertAlign w:val="superscript"/>
          <w:lang w:val="en-GB"/>
        </w:rPr>
        <w:footnoteReference w:id="3"/>
      </w:r>
      <w:r w:rsidRPr="00DF22F5">
        <w:rPr>
          <w:lang w:val="en-GB"/>
        </w:rPr>
        <w:t xml:space="preserve"> </w:t>
      </w:r>
    </w:p>
    <w:p w:rsidR="006C1B17" w:rsidRPr="00491474" w:rsidRDefault="006C1B17" w:rsidP="00491474">
      <w:pPr>
        <w:pStyle w:val="Nadpis1"/>
        <w:numPr>
          <w:ilvl w:val="0"/>
          <w:numId w:val="15"/>
        </w:numPr>
        <w:tabs>
          <w:tab w:val="clear" w:pos="3409"/>
          <w:tab w:val="num" w:pos="432"/>
        </w:tabs>
        <w:ind w:left="432"/>
        <w:rPr>
          <w:szCs w:val="28"/>
        </w:rPr>
      </w:pPr>
      <w:r w:rsidRPr="00491474">
        <w:rPr>
          <w:szCs w:val="28"/>
        </w:rPr>
        <w:t>Data and methodology</w:t>
      </w:r>
    </w:p>
    <w:p w:rsidR="006C1B17" w:rsidRDefault="006C1B17" w:rsidP="006C1B17">
      <w:pPr>
        <w:pStyle w:val="Zkladntext-prvnodsazen"/>
        <w:ind w:firstLine="0"/>
        <w:rPr>
          <w:lang w:val="en-GB"/>
        </w:rPr>
      </w:pPr>
      <w:r w:rsidRPr="00582D25">
        <w:rPr>
          <w:lang w:val="en-GB"/>
        </w:rPr>
        <w:t xml:space="preserve">The main </w:t>
      </w:r>
      <w:r w:rsidR="005E76C0" w:rsidRPr="00582D25">
        <w:rPr>
          <w:lang w:val="en-GB"/>
        </w:rPr>
        <w:t xml:space="preserve">goal </w:t>
      </w:r>
      <w:r w:rsidRPr="00582D25">
        <w:rPr>
          <w:lang w:val="en-GB"/>
        </w:rPr>
        <w:t xml:space="preserve">of our paper is to estimate </w:t>
      </w:r>
      <w:r w:rsidR="00582D25" w:rsidRPr="00582D25">
        <w:rPr>
          <w:lang w:val="en-GB"/>
        </w:rPr>
        <w:t xml:space="preserve">and quantify </w:t>
      </w:r>
      <w:r w:rsidRPr="00582D25">
        <w:rPr>
          <w:lang w:val="en-GB"/>
        </w:rPr>
        <w:t>the impact of exchange rate changes on domestic infl</w:t>
      </w:r>
      <w:r w:rsidRPr="00582D25">
        <w:rPr>
          <w:lang w:val="en-GB"/>
        </w:rPr>
        <w:t>a</w:t>
      </w:r>
      <w:r w:rsidRPr="00582D25">
        <w:rPr>
          <w:lang w:val="en-GB"/>
        </w:rPr>
        <w:t xml:space="preserve">tion. To study the </w:t>
      </w:r>
      <w:r w:rsidR="00582D25" w:rsidRPr="00582D25">
        <w:rPr>
          <w:lang w:val="en-GB"/>
        </w:rPr>
        <w:t xml:space="preserve">possible factors standing behind the </w:t>
      </w:r>
      <w:r w:rsidRPr="00582D25">
        <w:rPr>
          <w:lang w:val="en-GB"/>
        </w:rPr>
        <w:t xml:space="preserve">domestic price level changes in the economy we use the methodology proposed by Ito and Sato </w:t>
      </w:r>
      <w:r w:rsidR="00792EAE">
        <w:fldChar w:fldCharType="begin"/>
      </w:r>
      <w:r w:rsidR="00792EAE">
        <w:instrText xml:space="preserve"> REF _Ref360368135 \r \h  \* MERGEFORMAT </w:instrText>
      </w:r>
      <w:r w:rsidR="00792EAE">
        <w:fldChar w:fldCharType="separate"/>
      </w:r>
      <w:r w:rsidR="00711EE6" w:rsidRPr="00711EE6">
        <w:rPr>
          <w:lang w:val="en-GB"/>
        </w:rPr>
        <w:t>[5]</w:t>
      </w:r>
      <w:r w:rsidR="00792EAE">
        <w:fldChar w:fldCharType="end"/>
      </w:r>
      <w:r w:rsidR="00582D25" w:rsidRPr="00582D25">
        <w:rPr>
          <w:lang w:val="en-GB"/>
        </w:rPr>
        <w:t xml:space="preserve"> or </w:t>
      </w:r>
      <w:proofErr w:type="spellStart"/>
      <w:r w:rsidR="00582D25" w:rsidRPr="00582D25">
        <w:rPr>
          <w:lang w:val="en-GB"/>
        </w:rPr>
        <w:t>Audzei</w:t>
      </w:r>
      <w:proofErr w:type="spellEnd"/>
      <w:r w:rsidR="00582D25" w:rsidRPr="00582D25">
        <w:rPr>
          <w:lang w:val="en-GB"/>
        </w:rPr>
        <w:t xml:space="preserve"> and </w:t>
      </w:r>
      <w:proofErr w:type="spellStart"/>
      <w:r w:rsidR="00582D25" w:rsidRPr="00582D25">
        <w:rPr>
          <w:lang w:val="en-GB"/>
        </w:rPr>
        <w:t>Brázdík</w:t>
      </w:r>
      <w:proofErr w:type="spellEnd"/>
      <w:r w:rsidR="00582D25" w:rsidRPr="00582D25">
        <w:rPr>
          <w:lang w:val="en-GB"/>
        </w:rPr>
        <w:t xml:space="preserve"> </w:t>
      </w:r>
      <w:r w:rsidR="00792EAE">
        <w:fldChar w:fldCharType="begin"/>
      </w:r>
      <w:r w:rsidR="00792EAE">
        <w:instrText xml:space="preserve"> REF _Ref387335918 \r \h  \* MERGEFORMAT </w:instrText>
      </w:r>
      <w:r w:rsidR="00792EAE">
        <w:fldChar w:fldCharType="separate"/>
      </w:r>
      <w:r w:rsidR="00711EE6" w:rsidRPr="00711EE6">
        <w:rPr>
          <w:lang w:val="en-GB"/>
        </w:rPr>
        <w:t>[1]</w:t>
      </w:r>
      <w:r w:rsidR="00792EAE">
        <w:fldChar w:fldCharType="end"/>
      </w:r>
      <w:r w:rsidRPr="00582D25">
        <w:rPr>
          <w:lang w:val="en-GB"/>
        </w:rPr>
        <w:t>.  In order to examine the sources of infl</w:t>
      </w:r>
      <w:r w:rsidRPr="00582D25">
        <w:rPr>
          <w:lang w:val="en-GB"/>
        </w:rPr>
        <w:t>a</w:t>
      </w:r>
      <w:r w:rsidRPr="00582D25">
        <w:rPr>
          <w:lang w:val="en-GB"/>
        </w:rPr>
        <w:t xml:space="preserve">tion in the transition period, we will use a </w:t>
      </w:r>
      <w:r w:rsidR="00582D25">
        <w:rPr>
          <w:lang w:val="en-GB"/>
        </w:rPr>
        <w:t>structural VAR model of a small economy. This approach allow</w:t>
      </w:r>
      <w:r w:rsidR="006536A8">
        <w:rPr>
          <w:lang w:val="en-GB"/>
        </w:rPr>
        <w:t>s</w:t>
      </w:r>
      <w:r w:rsidR="00582D25">
        <w:rPr>
          <w:lang w:val="en-GB"/>
        </w:rPr>
        <w:t xml:space="preserve"> us to reveal the important </w:t>
      </w:r>
      <w:r w:rsidRPr="00582D25">
        <w:rPr>
          <w:lang w:val="en-GB"/>
        </w:rPr>
        <w:t>interaction between the exchange rate and domestic macroeconomic variables.</w:t>
      </w:r>
    </w:p>
    <w:p w:rsidR="00854C8E" w:rsidRDefault="00582D25" w:rsidP="00AE00F4">
      <w:pPr>
        <w:pStyle w:val="Zkladntext-prvnodsazen"/>
        <w:ind w:firstLine="301"/>
        <w:rPr>
          <w:lang w:val="en-GB"/>
        </w:rPr>
      </w:pPr>
      <w:r>
        <w:rPr>
          <w:lang w:val="en-GB"/>
        </w:rPr>
        <w:t>Our analysis starts with an estimation of a reduced form VAR model. Based on these estimates we will tran</w:t>
      </w:r>
      <w:r>
        <w:rPr>
          <w:lang w:val="en-GB"/>
        </w:rPr>
        <w:t>s</w:t>
      </w:r>
      <w:r>
        <w:rPr>
          <w:lang w:val="en-GB"/>
        </w:rPr>
        <w:t xml:space="preserve">form the reduced form residuals into the structural shocks using </w:t>
      </w:r>
      <w:proofErr w:type="spellStart"/>
      <w:r>
        <w:rPr>
          <w:lang w:val="en-GB"/>
        </w:rPr>
        <w:t>Cholesk</w:t>
      </w:r>
      <w:r w:rsidR="00792EAE">
        <w:rPr>
          <w:lang w:val="en-GB"/>
        </w:rPr>
        <w:t>y</w:t>
      </w:r>
      <w:proofErr w:type="spellEnd"/>
      <w:r>
        <w:rPr>
          <w:lang w:val="en-GB"/>
        </w:rPr>
        <w:t xml:space="preserve"> decomposition. </w:t>
      </w:r>
      <w:r w:rsidR="005C6F1E">
        <w:rPr>
          <w:lang w:val="en-GB"/>
        </w:rPr>
        <w:t xml:space="preserve">That means, we are imposing only the short-term restrictions. As </w:t>
      </w:r>
      <w:proofErr w:type="spellStart"/>
      <w:r w:rsidR="005C6F1E">
        <w:rPr>
          <w:lang w:val="en-GB"/>
        </w:rPr>
        <w:t>Audzei</w:t>
      </w:r>
      <w:proofErr w:type="spellEnd"/>
      <w:r w:rsidR="005C6F1E">
        <w:rPr>
          <w:lang w:val="en-GB"/>
        </w:rPr>
        <w:t xml:space="preserve"> and </w:t>
      </w:r>
      <w:proofErr w:type="spellStart"/>
      <w:r w:rsidR="005C6F1E">
        <w:rPr>
          <w:lang w:val="en-GB"/>
        </w:rPr>
        <w:t>Brázdík</w:t>
      </w:r>
      <w:proofErr w:type="spellEnd"/>
      <w:r w:rsidR="005C6F1E">
        <w:rPr>
          <w:lang w:val="en-GB"/>
        </w:rPr>
        <w:t xml:space="preserve"> </w:t>
      </w:r>
      <w:r w:rsidR="005670A2">
        <w:rPr>
          <w:lang w:val="en-GB"/>
        </w:rPr>
        <w:fldChar w:fldCharType="begin"/>
      </w:r>
      <w:r w:rsidR="005C6F1E">
        <w:rPr>
          <w:lang w:val="en-GB"/>
        </w:rPr>
        <w:instrText xml:space="preserve"> REF _Ref387335918 \r \h </w:instrText>
      </w:r>
      <w:r w:rsidR="005670A2">
        <w:rPr>
          <w:lang w:val="en-GB"/>
        </w:rPr>
      </w:r>
      <w:r w:rsidR="005670A2">
        <w:rPr>
          <w:lang w:val="en-GB"/>
        </w:rPr>
        <w:fldChar w:fldCharType="separate"/>
      </w:r>
      <w:r w:rsidR="00711EE6">
        <w:rPr>
          <w:lang w:val="en-GB"/>
        </w:rPr>
        <w:t>[1]</w:t>
      </w:r>
      <w:r w:rsidR="005670A2">
        <w:rPr>
          <w:lang w:val="en-GB"/>
        </w:rPr>
        <w:fldChar w:fldCharType="end"/>
      </w:r>
      <w:r w:rsidR="005C6F1E">
        <w:rPr>
          <w:lang w:val="en-GB"/>
        </w:rPr>
        <w:t xml:space="preserve"> pointed out, another possibility is to i</w:t>
      </w:r>
      <w:r w:rsidR="005C6F1E">
        <w:rPr>
          <w:lang w:val="en-GB"/>
        </w:rPr>
        <w:t>m</w:t>
      </w:r>
      <w:r w:rsidR="005C6F1E">
        <w:rPr>
          <w:lang w:val="en-GB"/>
        </w:rPr>
        <w:t xml:space="preserve">plement sign restrictions where shocks are identified imposing restriction on the signs of the impulse response function to the structural shocks. This approach may solve many puzzles occurring due to alternative estimation procedures. But, regarding our main focus on the transition period of the Romania and Bulgaria, we are </w:t>
      </w:r>
      <w:r w:rsidR="00AE6A3A">
        <w:rPr>
          <w:lang w:val="en-GB"/>
        </w:rPr>
        <w:t xml:space="preserve">aware that traditional sign assumptions about the impulse response functions might be not valid in this case. </w:t>
      </w:r>
      <w:proofErr w:type="spellStart"/>
      <w:r w:rsidR="00AE6A3A">
        <w:rPr>
          <w:lang w:val="en-GB"/>
        </w:rPr>
        <w:t>Cholesk</w:t>
      </w:r>
      <w:r w:rsidR="00792EAE">
        <w:rPr>
          <w:lang w:val="en-GB"/>
        </w:rPr>
        <w:t>y</w:t>
      </w:r>
      <w:proofErr w:type="spellEnd"/>
      <w:r w:rsidR="00AE6A3A">
        <w:rPr>
          <w:lang w:val="en-GB"/>
        </w:rPr>
        <w:t xml:space="preserve"> decomposition seem</w:t>
      </w:r>
      <w:r w:rsidR="003F0D1B">
        <w:rPr>
          <w:lang w:val="en-GB"/>
        </w:rPr>
        <w:t>s</w:t>
      </w:r>
      <w:r w:rsidR="00AE6A3A">
        <w:rPr>
          <w:lang w:val="en-GB"/>
        </w:rPr>
        <w:t xml:space="preserve"> to be the most appropriate </w:t>
      </w:r>
      <w:r w:rsidR="00F96BA7">
        <w:rPr>
          <w:lang w:val="en-GB"/>
        </w:rPr>
        <w:t xml:space="preserve">and straightforward </w:t>
      </w:r>
      <w:r w:rsidR="00AE6A3A">
        <w:rPr>
          <w:lang w:val="en-GB"/>
        </w:rPr>
        <w:t xml:space="preserve">solution due to </w:t>
      </w:r>
      <w:r w:rsidR="006536A8">
        <w:rPr>
          <w:lang w:val="en-GB"/>
        </w:rPr>
        <w:t xml:space="preserve">the </w:t>
      </w:r>
      <w:r w:rsidR="00AE6A3A">
        <w:rPr>
          <w:lang w:val="en-GB"/>
        </w:rPr>
        <w:t xml:space="preserve">fact that </w:t>
      </w:r>
      <w:r w:rsidR="00822BC4">
        <w:rPr>
          <w:lang w:val="en-GB"/>
        </w:rPr>
        <w:t xml:space="preserve">we will use the monthly data and </w:t>
      </w:r>
      <w:r w:rsidR="00AE6A3A">
        <w:rPr>
          <w:lang w:val="en-GB"/>
        </w:rPr>
        <w:t xml:space="preserve">the causal ordering of the variables </w:t>
      </w:r>
      <w:r w:rsidR="00822BC4">
        <w:rPr>
          <w:lang w:val="en-GB"/>
        </w:rPr>
        <w:t xml:space="preserve">may thus </w:t>
      </w:r>
      <w:r w:rsidR="00AE6A3A">
        <w:rPr>
          <w:lang w:val="en-GB"/>
        </w:rPr>
        <w:t>reflect</w:t>
      </w:r>
      <w:r w:rsidR="00822BC4">
        <w:rPr>
          <w:lang w:val="en-GB"/>
        </w:rPr>
        <w:t xml:space="preserve"> the </w:t>
      </w:r>
      <w:r w:rsidR="003F0D1B" w:rsidRPr="00E01FF4">
        <w:t>instantaneous</w:t>
      </w:r>
      <w:r w:rsidR="00822BC4">
        <w:rPr>
          <w:lang w:val="en-GB"/>
        </w:rPr>
        <w:t xml:space="preserve"> interdependencies among the variables very well.</w:t>
      </w:r>
    </w:p>
    <w:p w:rsidR="00854C8E" w:rsidRDefault="00822BC4" w:rsidP="00AE00F4">
      <w:pPr>
        <w:pStyle w:val="Zkladntext-prvnodsazen"/>
        <w:ind w:firstLine="301"/>
        <w:rPr>
          <w:lang w:val="en-GB"/>
        </w:rPr>
      </w:pPr>
      <w:r w:rsidRPr="00822BC4">
        <w:rPr>
          <w:lang w:val="en-GB"/>
        </w:rPr>
        <w:t xml:space="preserve">Our methodology will be as follows. </w:t>
      </w:r>
      <w:r w:rsidR="006C1B17" w:rsidRPr="00822BC4">
        <w:rPr>
          <w:lang w:val="en-GB"/>
        </w:rPr>
        <w:t xml:space="preserve">Identified structural shocks are incorporated into simulation exercises that will decompose the actual trajectories of our observed variables into the particular shock components. The resulting historical shock decomposition </w:t>
      </w:r>
      <w:r w:rsidRPr="00822BC4">
        <w:rPr>
          <w:lang w:val="en-GB"/>
        </w:rPr>
        <w:t xml:space="preserve">reveals the </w:t>
      </w:r>
      <w:r w:rsidR="006C1B17" w:rsidRPr="00822BC4">
        <w:rPr>
          <w:lang w:val="en-GB"/>
        </w:rPr>
        <w:t xml:space="preserve">main factors </w:t>
      </w:r>
      <w:r w:rsidRPr="00822BC4">
        <w:rPr>
          <w:lang w:val="en-GB"/>
        </w:rPr>
        <w:t xml:space="preserve">influencing </w:t>
      </w:r>
      <w:r w:rsidR="006C1B17" w:rsidRPr="00822BC4">
        <w:rPr>
          <w:lang w:val="en-GB"/>
        </w:rPr>
        <w:t>the development of inflation in the transition period.</w:t>
      </w:r>
      <w:r w:rsidRPr="00822BC4">
        <w:rPr>
          <w:lang w:val="en-GB"/>
        </w:rPr>
        <w:t xml:space="preserve"> Moreover, we try to quantify the </w:t>
      </w:r>
      <w:r w:rsidR="008E404C">
        <w:rPr>
          <w:lang w:val="en-GB"/>
        </w:rPr>
        <w:t xml:space="preserve">absolute and </w:t>
      </w:r>
      <w:r w:rsidRPr="00822BC4">
        <w:rPr>
          <w:lang w:val="en-GB"/>
        </w:rPr>
        <w:t>relative importance of these factors.</w:t>
      </w:r>
    </w:p>
    <w:p w:rsidR="006C1B17" w:rsidRPr="00854C8E" w:rsidRDefault="006C1B17" w:rsidP="00686DAB">
      <w:pPr>
        <w:pStyle w:val="Zkladntext-prvnodsazen"/>
        <w:ind w:firstLine="301"/>
        <w:rPr>
          <w:lang w:val="en-GB"/>
        </w:rPr>
      </w:pPr>
      <w:r w:rsidRPr="00854C8E">
        <w:rPr>
          <w:lang w:val="en-GB"/>
        </w:rPr>
        <w:t xml:space="preserve">Our </w:t>
      </w:r>
      <w:r w:rsidR="00854C8E" w:rsidRPr="00854C8E">
        <w:rPr>
          <w:lang w:val="en-GB"/>
        </w:rPr>
        <w:t xml:space="preserve">basic </w:t>
      </w:r>
      <w:r w:rsidRPr="00854C8E">
        <w:rPr>
          <w:lang w:val="en-GB"/>
        </w:rPr>
        <w:t>VAR model is set up using the vector</w:t>
      </w:r>
      <w:r w:rsidR="00686DAB">
        <w:rPr>
          <w:lang w:val="en-GB"/>
        </w:rPr>
        <w:t xml:space="preserve"> </w:t>
      </w:r>
      <w:r w:rsidR="00F95EC6" w:rsidRPr="00686DAB">
        <w:rPr>
          <w:position w:val="-10"/>
          <w:lang w:val="en-GB"/>
        </w:rPr>
        <w:object w:dxaOrig="220" w:dyaOrig="300">
          <v:shape id="_x0000_i1025" type="#_x0000_t75" style="width:10.65pt;height:15.05pt" o:ole="">
            <v:imagedata r:id="rId10" o:title=""/>
          </v:shape>
          <o:OLEObject Type="Embed" ProgID="Equation.3" ShapeID="_x0000_i1025" DrawAspect="Content" ObjectID="_1471692158" r:id="rId11"/>
        </w:object>
      </w:r>
      <w:r w:rsidR="00686DAB">
        <w:rPr>
          <w:lang w:val="en-GB"/>
        </w:rPr>
        <w:t xml:space="preserve"> </w:t>
      </w:r>
      <w:r w:rsidRPr="00854C8E">
        <w:rPr>
          <w:lang w:val="en-GB"/>
        </w:rPr>
        <w:t>of five endogenous variables</w:t>
      </w:r>
      <w:r w:rsidRPr="00854C8E">
        <w:rPr>
          <w:rStyle w:val="Znakapoznpodarou"/>
          <w:lang w:val="en-GB"/>
        </w:rPr>
        <w:footnoteReference w:id="4"/>
      </w:r>
      <w:r w:rsidR="002F651A">
        <w:rPr>
          <w:lang w:val="en-GB"/>
        </w:rPr>
        <w:t>,</w:t>
      </w:r>
      <w:r w:rsidR="00686DAB">
        <w:rPr>
          <w:lang w:val="en-GB"/>
        </w:rPr>
        <w:t xml:space="preserve"> </w:t>
      </w:r>
      <w:r w:rsidR="00686DAB" w:rsidRPr="00854C8E">
        <w:rPr>
          <w:position w:val="-10"/>
          <w:lang w:val="en-GB"/>
        </w:rPr>
        <w:object w:dxaOrig="3060" w:dyaOrig="300">
          <v:shape id="_x0000_i1026" type="#_x0000_t75" style="width:152.75pt;height:15.05pt" o:ole="">
            <v:imagedata r:id="rId12" o:title=""/>
          </v:shape>
          <o:OLEObject Type="Embed" ProgID="Equation.3" ShapeID="_x0000_i1026" DrawAspect="Content" ObjectID="_1471692159" r:id="rId13"/>
        </w:object>
      </w:r>
      <w:r w:rsidR="002F651A">
        <w:rPr>
          <w:lang w:val="en-GB"/>
        </w:rPr>
        <w:t xml:space="preserve">, </w:t>
      </w:r>
      <w:r w:rsidRPr="00854C8E">
        <w:rPr>
          <w:lang w:val="en-GB"/>
        </w:rPr>
        <w:t xml:space="preserve">where </w:t>
      </w:r>
      <w:r w:rsidRPr="00854C8E">
        <w:rPr>
          <w:position w:val="-10"/>
          <w:lang w:val="en-GB"/>
        </w:rPr>
        <w:object w:dxaOrig="560" w:dyaOrig="300">
          <v:shape id="_x0000_i1027" type="#_x0000_t75" style="width:28.15pt;height:15.05pt" o:ole="">
            <v:imagedata r:id="rId14" o:title=""/>
          </v:shape>
          <o:OLEObject Type="Embed" ProgID="Equation.3" ShapeID="_x0000_i1027" DrawAspect="Content" ObjectID="_1471692160" r:id="rId15"/>
        </w:object>
      </w:r>
      <w:r w:rsidRPr="00854C8E">
        <w:rPr>
          <w:lang w:val="en-GB"/>
        </w:rPr>
        <w:t xml:space="preserve">denotes changes in the natural log of oil prices, </w:t>
      </w:r>
      <w:r w:rsidRPr="00854C8E">
        <w:rPr>
          <w:position w:val="-10"/>
          <w:lang w:val="en-GB"/>
        </w:rPr>
        <w:object w:dxaOrig="440" w:dyaOrig="300">
          <v:shape id="_x0000_i1028" type="#_x0000_t75" style="width:21.3pt;height:15.05pt" o:ole="">
            <v:imagedata r:id="rId16" o:title=""/>
          </v:shape>
          <o:OLEObject Type="Embed" ProgID="Equation.3" ShapeID="_x0000_i1028" DrawAspect="Content" ObjectID="_1471692161" r:id="rId17"/>
        </w:object>
      </w:r>
      <w:r w:rsidRPr="00854C8E">
        <w:rPr>
          <w:lang w:val="en-GB"/>
        </w:rPr>
        <w:t xml:space="preserve"> is the output gap, </w:t>
      </w:r>
      <w:r w:rsidRPr="00854C8E">
        <w:rPr>
          <w:position w:val="-10"/>
          <w:lang w:val="en-GB"/>
        </w:rPr>
        <w:object w:dxaOrig="400" w:dyaOrig="300">
          <v:shape id="_x0000_i1029" type="#_x0000_t75" style="width:20.05pt;height:15.05pt" o:ole="">
            <v:imagedata r:id="rId18" o:title=""/>
          </v:shape>
          <o:OLEObject Type="Embed" ProgID="Equation.3" ShapeID="_x0000_i1029" DrawAspect="Content" ObjectID="_1471692162" r:id="rId19"/>
        </w:object>
      </w:r>
      <w:r w:rsidR="003F0D1B">
        <w:rPr>
          <w:lang w:val="en-GB"/>
        </w:rPr>
        <w:t>stands for</w:t>
      </w:r>
      <w:r w:rsidRPr="00854C8E">
        <w:rPr>
          <w:lang w:val="en-GB"/>
        </w:rPr>
        <w:t xml:space="preserve"> changes in the natural log of money supply, </w:t>
      </w:r>
      <w:r w:rsidRPr="00854C8E">
        <w:rPr>
          <w:position w:val="-10"/>
          <w:lang w:val="en-GB"/>
        </w:rPr>
        <w:object w:dxaOrig="740" w:dyaOrig="300">
          <v:shape id="_x0000_i1030" type="#_x0000_t75" style="width:36.3pt;height:15.05pt" o:ole="">
            <v:imagedata r:id="rId20" o:title=""/>
          </v:shape>
          <o:OLEObject Type="Embed" ProgID="Equation.3" ShapeID="_x0000_i1030" DrawAspect="Content" ObjectID="_1471692163" r:id="rId21"/>
        </w:object>
      </w:r>
      <w:r w:rsidRPr="00854C8E">
        <w:rPr>
          <w:lang w:val="en-GB"/>
        </w:rPr>
        <w:t xml:space="preserve"> is the growth rate of nominal effective exchange rate and </w:t>
      </w:r>
      <w:r w:rsidRPr="00854C8E">
        <w:rPr>
          <w:position w:val="-10"/>
          <w:lang w:val="en-GB"/>
        </w:rPr>
        <w:object w:dxaOrig="360" w:dyaOrig="300">
          <v:shape id="_x0000_i1031" type="#_x0000_t75" style="width:18.15pt;height:15.05pt" o:ole="">
            <v:imagedata r:id="rId22" o:title=""/>
          </v:shape>
          <o:OLEObject Type="Embed" ProgID="Equation.3" ShapeID="_x0000_i1031" DrawAspect="Content" ObjectID="_1471692164" r:id="rId23"/>
        </w:object>
      </w:r>
      <w:r w:rsidRPr="00854C8E">
        <w:rPr>
          <w:lang w:val="en-GB"/>
        </w:rPr>
        <w:t xml:space="preserve"> is the difference of the natural log of the </w:t>
      </w:r>
      <w:r w:rsidR="0024323F" w:rsidRPr="00854C8E">
        <w:rPr>
          <w:lang w:val="en-GB"/>
        </w:rPr>
        <w:t xml:space="preserve">consumer </w:t>
      </w:r>
      <w:r w:rsidRPr="00854C8E">
        <w:rPr>
          <w:lang w:val="en-GB"/>
        </w:rPr>
        <w:t xml:space="preserve">price index. </w:t>
      </w:r>
    </w:p>
    <w:p w:rsidR="006C1B17" w:rsidRPr="00854C8E" w:rsidRDefault="006C1B17" w:rsidP="00AE00F4">
      <w:pPr>
        <w:pStyle w:val="Zkladntext-prvnodsazen"/>
        <w:ind w:firstLine="301"/>
        <w:rPr>
          <w:lang w:val="en-GB"/>
        </w:rPr>
      </w:pPr>
      <w:r w:rsidRPr="00854C8E">
        <w:rPr>
          <w:lang w:val="en-GB"/>
        </w:rPr>
        <w:t>The data set used for estimation is from January 199</w:t>
      </w:r>
      <w:r w:rsidR="0024323F" w:rsidRPr="00854C8E">
        <w:rPr>
          <w:lang w:val="en-GB"/>
        </w:rPr>
        <w:t>2</w:t>
      </w:r>
      <w:r w:rsidRPr="00854C8E">
        <w:rPr>
          <w:lang w:val="en-GB"/>
        </w:rPr>
        <w:t xml:space="preserve"> to December 200</w:t>
      </w:r>
      <w:r w:rsidR="0024323F" w:rsidRPr="00854C8E">
        <w:rPr>
          <w:lang w:val="en-GB"/>
        </w:rPr>
        <w:t>8</w:t>
      </w:r>
      <w:r w:rsidRPr="00854C8E">
        <w:rPr>
          <w:lang w:val="en-GB"/>
        </w:rPr>
        <w:t>. The data source is International F</w:t>
      </w:r>
      <w:r w:rsidRPr="00854C8E">
        <w:rPr>
          <w:lang w:val="en-GB"/>
        </w:rPr>
        <w:t>i</w:t>
      </w:r>
      <w:r w:rsidRPr="00854C8E">
        <w:rPr>
          <w:lang w:val="en-GB"/>
        </w:rPr>
        <w:t>nancial Statistics (IFS) provided by the International Monetary Fund. The observed variables are as follows:</w:t>
      </w:r>
    </w:p>
    <w:p w:rsidR="006C1B17" w:rsidRPr="00854C8E" w:rsidRDefault="006C1B17" w:rsidP="006C1B17">
      <w:pPr>
        <w:pStyle w:val="Seznamsodrkami"/>
        <w:ind w:left="600"/>
        <w:rPr>
          <w:lang w:val="en-GB"/>
        </w:rPr>
      </w:pPr>
      <w:r w:rsidRPr="00854C8E">
        <w:rPr>
          <w:lang w:val="en-GB"/>
        </w:rPr>
        <w:t>IPM: Index of industrial production, 2005=100</w:t>
      </w:r>
      <w:r w:rsidR="0024323F" w:rsidRPr="00854C8E">
        <w:rPr>
          <w:lang w:val="en-GB"/>
        </w:rPr>
        <w:t xml:space="preserve"> (for Romania only)</w:t>
      </w:r>
      <w:r w:rsidRPr="00854C8E">
        <w:rPr>
          <w:lang w:val="en-GB"/>
        </w:rPr>
        <w:t>;</w:t>
      </w:r>
    </w:p>
    <w:p w:rsidR="0024323F" w:rsidRPr="00854C8E" w:rsidRDefault="0024323F" w:rsidP="006C1B17">
      <w:pPr>
        <w:pStyle w:val="Seznamsodrkami"/>
        <w:ind w:left="600"/>
        <w:rPr>
          <w:lang w:val="en-GB"/>
        </w:rPr>
      </w:pPr>
      <w:r w:rsidRPr="00854C8E">
        <w:rPr>
          <w:lang w:val="en-GB"/>
        </w:rPr>
        <w:t>TMG: Value of imports, US Dollars (for Bulgaria only)</w:t>
      </w:r>
      <w:r w:rsidR="00854C8E" w:rsidRPr="00854C8E">
        <w:rPr>
          <w:lang w:val="en-GB"/>
        </w:rPr>
        <w:t>;</w:t>
      </w:r>
    </w:p>
    <w:p w:rsidR="006C1B17" w:rsidRPr="00854C8E" w:rsidRDefault="006C1B17" w:rsidP="006C1B17">
      <w:pPr>
        <w:pStyle w:val="Seznamsodrkami"/>
        <w:ind w:left="600"/>
        <w:rPr>
          <w:lang w:val="en-GB"/>
        </w:rPr>
      </w:pPr>
      <w:r w:rsidRPr="00854C8E">
        <w:rPr>
          <w:lang w:val="en-GB"/>
        </w:rPr>
        <w:t>CPI: Consumer prices index, all items, 2005=100;</w:t>
      </w:r>
    </w:p>
    <w:p w:rsidR="006C1B17" w:rsidRPr="00854C8E" w:rsidRDefault="006C1B17" w:rsidP="006C1B17">
      <w:pPr>
        <w:pStyle w:val="Seznamsodrkami"/>
        <w:ind w:left="600"/>
        <w:rPr>
          <w:lang w:val="en-GB"/>
        </w:rPr>
      </w:pPr>
      <w:r w:rsidRPr="00854C8E">
        <w:rPr>
          <w:lang w:val="en-GB"/>
        </w:rPr>
        <w:t xml:space="preserve">M1: Monetary </w:t>
      </w:r>
      <w:r w:rsidR="0024323F" w:rsidRPr="00854C8E">
        <w:rPr>
          <w:lang w:val="en-GB"/>
        </w:rPr>
        <w:t>a</w:t>
      </w:r>
      <w:r w:rsidRPr="00854C8E">
        <w:rPr>
          <w:lang w:val="en-GB"/>
        </w:rPr>
        <w:t>ggregate M1, national currency</w:t>
      </w:r>
      <w:r w:rsidR="0024323F" w:rsidRPr="00854C8E">
        <w:rPr>
          <w:lang w:val="en-GB"/>
        </w:rPr>
        <w:t xml:space="preserve"> (for Romania only)</w:t>
      </w:r>
      <w:r w:rsidRPr="00854C8E">
        <w:rPr>
          <w:lang w:val="en-GB"/>
        </w:rPr>
        <w:t>;</w:t>
      </w:r>
    </w:p>
    <w:p w:rsidR="0024323F" w:rsidRPr="00854C8E" w:rsidRDefault="0024323F" w:rsidP="006C1B17">
      <w:pPr>
        <w:pStyle w:val="Seznamsodrkami"/>
        <w:ind w:left="600"/>
        <w:rPr>
          <w:lang w:val="en-GB"/>
        </w:rPr>
      </w:pPr>
      <w:r w:rsidRPr="00854C8E">
        <w:rPr>
          <w:lang w:val="en-GB"/>
        </w:rPr>
        <w:t>IR: Money market rate, percent per annum (Bulgaria only)</w:t>
      </w:r>
      <w:r w:rsidR="00854C8E" w:rsidRPr="00854C8E">
        <w:rPr>
          <w:lang w:val="en-GB"/>
        </w:rPr>
        <w:t>;</w:t>
      </w:r>
      <w:r w:rsidRPr="00854C8E">
        <w:rPr>
          <w:lang w:val="en-GB"/>
        </w:rPr>
        <w:t xml:space="preserve"> </w:t>
      </w:r>
    </w:p>
    <w:p w:rsidR="006C1B17" w:rsidRPr="00854C8E" w:rsidRDefault="006C1B17" w:rsidP="006C1B17">
      <w:pPr>
        <w:pStyle w:val="Seznamsodrkami"/>
        <w:ind w:left="600"/>
        <w:rPr>
          <w:lang w:val="en-GB"/>
        </w:rPr>
      </w:pPr>
      <w:r w:rsidRPr="00854C8E">
        <w:rPr>
          <w:lang w:val="en-GB"/>
        </w:rPr>
        <w:t>OIL: Crude oil prices (Brent – Europe), dollars per barrel;</w:t>
      </w:r>
    </w:p>
    <w:p w:rsidR="006C1B17" w:rsidRPr="00854C8E" w:rsidRDefault="006C1B17" w:rsidP="006C1B17">
      <w:pPr>
        <w:pStyle w:val="Seznamsodrkami"/>
        <w:ind w:left="600"/>
        <w:rPr>
          <w:lang w:val="en-GB"/>
        </w:rPr>
      </w:pPr>
      <w:r w:rsidRPr="00854C8E">
        <w:rPr>
          <w:lang w:val="en-GB"/>
        </w:rPr>
        <w:t xml:space="preserve">NEER: Nominal effective exchange rate (index), </w:t>
      </w:r>
      <w:r w:rsidR="00686DAB">
        <w:rPr>
          <w:lang w:val="en-GB"/>
        </w:rPr>
        <w:t>base year 2005 = 100</w:t>
      </w:r>
      <w:r w:rsidRPr="00854C8E">
        <w:rPr>
          <w:lang w:val="en-GB"/>
        </w:rPr>
        <w:t>, direct quote (increase means a</w:t>
      </w:r>
      <w:r w:rsidRPr="00854C8E">
        <w:rPr>
          <w:lang w:val="en-GB"/>
        </w:rPr>
        <w:t>p</w:t>
      </w:r>
      <w:r w:rsidRPr="00854C8E">
        <w:rPr>
          <w:lang w:val="en-GB"/>
        </w:rPr>
        <w:t>preciation)</w:t>
      </w:r>
      <w:r w:rsidR="00010BF7">
        <w:rPr>
          <w:lang w:val="en-GB"/>
        </w:rPr>
        <w:t>.</w:t>
      </w:r>
    </w:p>
    <w:p w:rsidR="00854C8E" w:rsidRPr="00DF22F5" w:rsidRDefault="006C1B17" w:rsidP="001669B0">
      <w:pPr>
        <w:pStyle w:val="Zkladntext-prvnodsazen"/>
        <w:rPr>
          <w:color w:val="FF0000"/>
          <w:lang w:val="en-GB"/>
        </w:rPr>
      </w:pPr>
      <w:r w:rsidRPr="00854C8E">
        <w:rPr>
          <w:lang w:val="en-GB"/>
        </w:rPr>
        <w:t>All variables (except NEER) were seasonally adjusted using the X12-ARIMA procedure. After seasonal a</w:t>
      </w:r>
      <w:r w:rsidRPr="00854C8E">
        <w:rPr>
          <w:lang w:val="en-GB"/>
        </w:rPr>
        <w:t>d</w:t>
      </w:r>
      <w:r w:rsidRPr="00854C8E">
        <w:rPr>
          <w:lang w:val="en-GB"/>
        </w:rPr>
        <w:t>justment, the variables were transformed using logarithmic transformation. Unit root tests proved the existence of unit roots in all variables. Except IPM</w:t>
      </w:r>
      <w:r w:rsidR="00854C8E" w:rsidRPr="00854C8E">
        <w:rPr>
          <w:lang w:val="en-GB"/>
        </w:rPr>
        <w:t xml:space="preserve"> and TM</w:t>
      </w:r>
      <w:r w:rsidR="00711EE6">
        <w:rPr>
          <w:lang w:val="en-GB"/>
        </w:rPr>
        <w:t>G</w:t>
      </w:r>
      <w:r w:rsidRPr="00854C8E">
        <w:rPr>
          <w:lang w:val="en-GB"/>
        </w:rPr>
        <w:t>, the variables were expressed in growth rates terms (i.e. logarithmic differences)</w:t>
      </w:r>
      <w:r w:rsidR="00854C8E" w:rsidRPr="00854C8E">
        <w:rPr>
          <w:lang w:val="en-GB"/>
        </w:rPr>
        <w:t xml:space="preserve"> or changes (interest rate variable)</w:t>
      </w:r>
      <w:r w:rsidRPr="00854C8E">
        <w:rPr>
          <w:lang w:val="en-GB"/>
        </w:rPr>
        <w:t xml:space="preserve">. Variables IPM </w:t>
      </w:r>
      <w:r w:rsidR="00854C8E" w:rsidRPr="00854C8E">
        <w:rPr>
          <w:lang w:val="en-GB"/>
        </w:rPr>
        <w:t xml:space="preserve">and TMG </w:t>
      </w:r>
      <w:r w:rsidRPr="00854C8E">
        <w:rPr>
          <w:lang w:val="en-GB"/>
        </w:rPr>
        <w:t xml:space="preserve">were filtered using </w:t>
      </w:r>
      <w:proofErr w:type="spellStart"/>
      <w:r w:rsidRPr="00854C8E">
        <w:rPr>
          <w:lang w:val="en-GB"/>
        </w:rPr>
        <w:t>H</w:t>
      </w:r>
      <w:r w:rsidRPr="00854C8E">
        <w:rPr>
          <w:lang w:val="en-GB"/>
        </w:rPr>
        <w:t>o</w:t>
      </w:r>
      <w:r w:rsidRPr="00854C8E">
        <w:rPr>
          <w:lang w:val="en-GB"/>
        </w:rPr>
        <w:t>drick</w:t>
      </w:r>
      <w:proofErr w:type="spellEnd"/>
      <w:r w:rsidRPr="00854C8E">
        <w:rPr>
          <w:lang w:val="en-GB"/>
        </w:rPr>
        <w:t>-Prescott filter with the smoothing constant</w:t>
      </w:r>
      <w:r w:rsidR="00A14274" w:rsidRPr="00854C8E">
        <w:rPr>
          <w:position w:val="-6"/>
          <w:lang w:val="en-GB"/>
        </w:rPr>
        <w:object w:dxaOrig="880" w:dyaOrig="240">
          <v:shape id="_x0000_i1032" type="#_x0000_t75" style="width:43.85pt;height:12.5pt" o:ole="">
            <v:imagedata r:id="rId24" o:title=""/>
          </v:shape>
          <o:OLEObject Type="Embed" ProgID="Equation.3" ShapeID="_x0000_i1032" DrawAspect="Content" ObjectID="_1471692165" r:id="rId25"/>
        </w:object>
      </w:r>
      <w:r w:rsidR="00A14274">
        <w:rPr>
          <w:lang w:val="en-GB"/>
        </w:rPr>
        <w:t xml:space="preserve"> (this is the standard value for monthly data)</w:t>
      </w:r>
      <w:r w:rsidR="005670A2" w:rsidRPr="00854C8E">
        <w:rPr>
          <w:lang w:val="en-GB"/>
        </w:rPr>
        <w:fldChar w:fldCharType="begin"/>
      </w:r>
      <w:r w:rsidRPr="00854C8E">
        <w:rPr>
          <w:lang w:val="en-GB"/>
        </w:rPr>
        <w:instrText xml:space="preserve"> QUOTE </w:instrText>
      </w:r>
      <w:r w:rsidR="00711EE6">
        <w:rPr>
          <w:position w:val="-5"/>
          <w:lang w:val="en-GB"/>
        </w:rPr>
        <w:pict>
          <v:shape id="_x0000_i1033" type="#_x0000_t75" style="width:45.1pt;height:18.15pt">
            <v:imagedata r:id="rId26" o:title="" chromakey="white"/>
          </v:shape>
        </w:pict>
      </w:r>
      <w:r w:rsidRPr="00854C8E">
        <w:rPr>
          <w:lang w:val="en-GB"/>
        </w:rPr>
        <w:instrText xml:space="preserve"> </w:instrText>
      </w:r>
      <w:r w:rsidR="005670A2" w:rsidRPr="00854C8E">
        <w:rPr>
          <w:lang w:val="en-GB"/>
        </w:rPr>
        <w:fldChar w:fldCharType="end"/>
      </w:r>
      <w:r w:rsidRPr="00854C8E">
        <w:rPr>
          <w:lang w:val="en-GB"/>
        </w:rPr>
        <w:t xml:space="preserve">. This procedure resulted in the corresponding </w:t>
      </w:r>
      <w:r w:rsidR="007176DB" w:rsidRPr="00854C8E">
        <w:rPr>
          <w:position w:val="-10"/>
          <w:lang w:val="en-GB"/>
        </w:rPr>
        <w:object w:dxaOrig="440" w:dyaOrig="300">
          <v:shape id="_x0000_i1034" type="#_x0000_t75" style="width:21.3pt;height:15.05pt" o:ole="">
            <v:imagedata r:id="rId27" o:title=""/>
          </v:shape>
          <o:OLEObject Type="Embed" ProgID="Equation.3" ShapeID="_x0000_i1034" DrawAspect="Content" ObjectID="_1471692166" r:id="rId28"/>
        </w:object>
      </w:r>
      <w:r w:rsidR="00A14274">
        <w:rPr>
          <w:lang w:val="en-GB"/>
        </w:rPr>
        <w:t xml:space="preserve"> </w:t>
      </w:r>
      <w:r w:rsidRPr="00854C8E">
        <w:rPr>
          <w:lang w:val="en-GB"/>
        </w:rPr>
        <w:t>variable.</w:t>
      </w:r>
      <w:r w:rsidR="00A14274">
        <w:rPr>
          <w:lang w:val="en-GB"/>
        </w:rPr>
        <w:t xml:space="preserve"> We prefer to use the gaps as prox</w:t>
      </w:r>
      <w:r w:rsidR="00461225">
        <w:rPr>
          <w:lang w:val="en-GB"/>
        </w:rPr>
        <w:t xml:space="preserve">y variables for </w:t>
      </w:r>
      <w:r w:rsidR="00A14274">
        <w:rPr>
          <w:lang w:val="en-GB"/>
        </w:rPr>
        <w:t>the bus</w:t>
      </w:r>
      <w:r w:rsidR="00A14274">
        <w:rPr>
          <w:lang w:val="en-GB"/>
        </w:rPr>
        <w:t>i</w:t>
      </w:r>
      <w:r w:rsidR="00A14274">
        <w:rPr>
          <w:lang w:val="en-GB"/>
        </w:rPr>
        <w:t>ness cycle.</w:t>
      </w:r>
      <w:r w:rsidRPr="00854C8E">
        <w:rPr>
          <w:lang w:val="en-GB"/>
        </w:rPr>
        <w:t xml:space="preserve"> These transformations led to stationary variables. As a monetary policy variable (money supply), the base money (M1) is used</w:t>
      </w:r>
      <w:r w:rsidR="00854C8E" w:rsidRPr="00854C8E">
        <w:rPr>
          <w:lang w:val="en-GB"/>
        </w:rPr>
        <w:t xml:space="preserve"> for Romania and money market rate (IR) for Bulgaria</w:t>
      </w:r>
      <w:r w:rsidRPr="00854C8E">
        <w:rPr>
          <w:lang w:val="en-GB"/>
        </w:rPr>
        <w:t xml:space="preserve">. As price index variable, we used CPI in our final model. All the variables were selected in accordance with the arguments presented by Ito and Sato </w:t>
      </w:r>
      <w:r w:rsidR="00792EAE">
        <w:fldChar w:fldCharType="begin"/>
      </w:r>
      <w:r w:rsidR="00792EAE">
        <w:instrText xml:space="preserve"> REF _Ref360368135 \r \h  \* MERGEFORMAT </w:instrText>
      </w:r>
      <w:r w:rsidR="00792EAE">
        <w:fldChar w:fldCharType="separate"/>
      </w:r>
      <w:r w:rsidR="00711EE6" w:rsidRPr="00711EE6">
        <w:rPr>
          <w:lang w:val="en-GB"/>
        </w:rPr>
        <w:t>[5]</w:t>
      </w:r>
      <w:r w:rsidR="00792EAE">
        <w:fldChar w:fldCharType="end"/>
      </w:r>
      <w:r w:rsidR="00854C8E" w:rsidRPr="00854C8E">
        <w:rPr>
          <w:lang w:val="en-GB"/>
        </w:rPr>
        <w:t xml:space="preserve"> </w:t>
      </w:r>
      <w:r w:rsidRPr="00854C8E">
        <w:rPr>
          <w:lang w:val="en-GB"/>
        </w:rPr>
        <w:t xml:space="preserve">and are very similar to those used by </w:t>
      </w:r>
      <w:proofErr w:type="spellStart"/>
      <w:r w:rsidRPr="00854C8E">
        <w:rPr>
          <w:lang w:val="en-GB"/>
        </w:rPr>
        <w:t>Mirdala</w:t>
      </w:r>
      <w:proofErr w:type="spellEnd"/>
      <w:r w:rsidRPr="00854C8E">
        <w:rPr>
          <w:lang w:val="en-GB"/>
        </w:rPr>
        <w:t xml:space="preserve"> </w:t>
      </w:r>
      <w:r w:rsidR="00792EAE">
        <w:fldChar w:fldCharType="begin"/>
      </w:r>
      <w:r w:rsidR="00792EAE">
        <w:instrText xml:space="preserve"> REF _Ref360377903 \r \h  \* MERGEFORMAT </w:instrText>
      </w:r>
      <w:r w:rsidR="00792EAE">
        <w:fldChar w:fldCharType="separate"/>
      </w:r>
      <w:r w:rsidR="00711EE6" w:rsidRPr="00711EE6">
        <w:rPr>
          <w:lang w:val="en-GB"/>
        </w:rPr>
        <w:t>[7]</w:t>
      </w:r>
      <w:r w:rsidR="00792EAE">
        <w:fldChar w:fldCharType="end"/>
      </w:r>
      <w:r w:rsidR="00854C8E" w:rsidRPr="00854C8E">
        <w:rPr>
          <w:lang w:val="en-GB"/>
        </w:rPr>
        <w:t xml:space="preserve"> and </w:t>
      </w:r>
      <w:proofErr w:type="spellStart"/>
      <w:r w:rsidR="00854C8E" w:rsidRPr="00854C8E">
        <w:rPr>
          <w:lang w:val="en-GB"/>
        </w:rPr>
        <w:t>Němec</w:t>
      </w:r>
      <w:proofErr w:type="spellEnd"/>
      <w:r w:rsidR="00854C8E" w:rsidRPr="00854C8E">
        <w:rPr>
          <w:lang w:val="en-GB"/>
        </w:rPr>
        <w:t xml:space="preserve"> and </w:t>
      </w:r>
      <w:proofErr w:type="spellStart"/>
      <w:r w:rsidR="00854C8E" w:rsidRPr="00854C8E">
        <w:rPr>
          <w:lang w:val="en-GB"/>
        </w:rPr>
        <w:t>Žídek</w:t>
      </w:r>
      <w:proofErr w:type="spellEnd"/>
      <w:r w:rsidR="00854C8E" w:rsidRPr="00854C8E">
        <w:rPr>
          <w:lang w:val="en-GB"/>
        </w:rPr>
        <w:t xml:space="preserve"> </w:t>
      </w:r>
      <w:r w:rsidR="00792EAE">
        <w:fldChar w:fldCharType="begin"/>
      </w:r>
      <w:r w:rsidR="00792EAE">
        <w:instrText xml:space="preserve"> REF _Ref387269738 \r \h  \* MERGEFORMAT </w:instrText>
      </w:r>
      <w:r w:rsidR="00792EAE">
        <w:fldChar w:fldCharType="separate"/>
      </w:r>
      <w:r w:rsidR="00711EE6" w:rsidRPr="00711EE6">
        <w:rPr>
          <w:lang w:val="en-GB"/>
        </w:rPr>
        <w:t>[8]</w:t>
      </w:r>
      <w:r w:rsidR="00792EAE">
        <w:fldChar w:fldCharType="end"/>
      </w:r>
      <w:r w:rsidR="00854C8E" w:rsidRPr="00854C8E">
        <w:rPr>
          <w:lang w:val="en-GB"/>
        </w:rPr>
        <w:t>.</w:t>
      </w:r>
      <w:r w:rsidRPr="00854C8E">
        <w:rPr>
          <w:lang w:val="en-GB"/>
        </w:rPr>
        <w:t>These variables express economic linkage between inflation and internal and external macroeconomic factors. Oil price inflation repr</w:t>
      </w:r>
      <w:r w:rsidRPr="00854C8E">
        <w:rPr>
          <w:lang w:val="en-GB"/>
        </w:rPr>
        <w:t>e</w:t>
      </w:r>
      <w:r w:rsidRPr="00854C8E">
        <w:rPr>
          <w:lang w:val="en-GB"/>
        </w:rPr>
        <w:t xml:space="preserve">sents possible external supply shocks, demand shock effects are included in the output </w:t>
      </w:r>
      <w:r w:rsidR="00854C8E" w:rsidRPr="00854C8E">
        <w:rPr>
          <w:lang w:val="en-GB"/>
        </w:rPr>
        <w:t xml:space="preserve">or import </w:t>
      </w:r>
      <w:r w:rsidRPr="00854C8E">
        <w:rPr>
          <w:lang w:val="en-GB"/>
        </w:rPr>
        <w:t>gap</w:t>
      </w:r>
      <w:r w:rsidR="00854C8E" w:rsidRPr="00854C8E">
        <w:rPr>
          <w:lang w:val="en-GB"/>
        </w:rPr>
        <w:t>s</w:t>
      </w:r>
      <w:r w:rsidRPr="00854C8E">
        <w:rPr>
          <w:lang w:val="en-GB"/>
        </w:rPr>
        <w:t>, and mo</w:t>
      </w:r>
      <w:r w:rsidRPr="00854C8E">
        <w:rPr>
          <w:lang w:val="en-GB"/>
        </w:rPr>
        <w:t>n</w:t>
      </w:r>
      <w:r w:rsidRPr="00854C8E">
        <w:rPr>
          <w:lang w:val="en-GB"/>
        </w:rPr>
        <w:t xml:space="preserve">ey supply </w:t>
      </w:r>
      <w:r w:rsidR="00854C8E" w:rsidRPr="00854C8E">
        <w:rPr>
          <w:lang w:val="en-GB"/>
        </w:rPr>
        <w:t xml:space="preserve">or changes of the interest rate one the money market </w:t>
      </w:r>
      <w:r w:rsidRPr="00854C8E">
        <w:rPr>
          <w:lang w:val="en-GB"/>
        </w:rPr>
        <w:t>allows us to capture the effects of monetary pol</w:t>
      </w:r>
      <w:r w:rsidRPr="00854C8E">
        <w:rPr>
          <w:lang w:val="en-GB"/>
        </w:rPr>
        <w:t>i</w:t>
      </w:r>
      <w:r w:rsidRPr="00854C8E">
        <w:rPr>
          <w:lang w:val="en-GB"/>
        </w:rPr>
        <w:lastRenderedPageBreak/>
        <w:t>cy on domestic inflation.</w:t>
      </w:r>
      <w:r w:rsidR="001669B0">
        <w:rPr>
          <w:lang w:val="en-GB"/>
        </w:rPr>
        <w:t xml:space="preserve"> </w:t>
      </w:r>
      <w:r w:rsidR="00854C8E">
        <w:rPr>
          <w:lang w:val="en-GB"/>
        </w:rPr>
        <w:t xml:space="preserve">We used the import gap for Bulgaria due to </w:t>
      </w:r>
      <w:r w:rsidR="006536A8">
        <w:rPr>
          <w:lang w:val="en-GB"/>
        </w:rPr>
        <w:t xml:space="preserve">the </w:t>
      </w:r>
      <w:r w:rsidR="00854C8E">
        <w:rPr>
          <w:lang w:val="en-GB"/>
        </w:rPr>
        <w:t>fact, that the index of industrial produ</w:t>
      </w:r>
      <w:r w:rsidR="00854C8E">
        <w:rPr>
          <w:lang w:val="en-GB"/>
        </w:rPr>
        <w:t>c</w:t>
      </w:r>
      <w:r w:rsidR="00854C8E">
        <w:rPr>
          <w:lang w:val="en-GB"/>
        </w:rPr>
        <w:t xml:space="preserve">tion </w:t>
      </w:r>
      <w:r w:rsidR="008E404C">
        <w:rPr>
          <w:lang w:val="en-GB"/>
        </w:rPr>
        <w:t xml:space="preserve">was </w:t>
      </w:r>
      <w:r w:rsidR="00854C8E">
        <w:rPr>
          <w:lang w:val="en-GB"/>
        </w:rPr>
        <w:t xml:space="preserve">not available till the year 2000. The dynamics of both output gaps is very similar and </w:t>
      </w:r>
      <w:r w:rsidR="006536A8">
        <w:rPr>
          <w:lang w:val="en-GB"/>
        </w:rPr>
        <w:t xml:space="preserve">the </w:t>
      </w:r>
      <w:r w:rsidR="00854C8E">
        <w:rPr>
          <w:lang w:val="en-GB"/>
        </w:rPr>
        <w:t>import gap may thus serves as proxy variable very well. Similar arguments hold in case of using the interest rates in Bulga</w:t>
      </w:r>
      <w:r w:rsidR="00854C8E">
        <w:rPr>
          <w:lang w:val="en-GB"/>
        </w:rPr>
        <w:t>r</w:t>
      </w:r>
      <w:r w:rsidR="00854C8E">
        <w:rPr>
          <w:lang w:val="en-GB"/>
        </w:rPr>
        <w:t>ia</w:t>
      </w:r>
      <w:r w:rsidR="007176DB">
        <w:rPr>
          <w:lang w:val="en-GB"/>
        </w:rPr>
        <w:t xml:space="preserve"> as a proxy for monetary variable</w:t>
      </w:r>
      <w:r w:rsidR="00854C8E">
        <w:rPr>
          <w:lang w:val="en-GB"/>
        </w:rPr>
        <w:t xml:space="preserve"> (M1 statistics was available since 1994 only). </w:t>
      </w:r>
    </w:p>
    <w:p w:rsidR="006C1B17" w:rsidRPr="007176DB" w:rsidRDefault="006C1B17" w:rsidP="00686DAB">
      <w:pPr>
        <w:pStyle w:val="Zkladntext-prvnodsazen"/>
        <w:ind w:firstLine="301"/>
        <w:rPr>
          <w:lang w:val="en-GB"/>
        </w:rPr>
      </w:pPr>
      <w:r w:rsidRPr="007176DB">
        <w:rPr>
          <w:lang w:val="en-GB"/>
        </w:rPr>
        <w:t xml:space="preserve">Identified structural shocks are based on the </w:t>
      </w:r>
      <w:proofErr w:type="spellStart"/>
      <w:r w:rsidRPr="007176DB">
        <w:rPr>
          <w:lang w:val="en-GB"/>
        </w:rPr>
        <w:t>Cholesk</w:t>
      </w:r>
      <w:r w:rsidR="00792EAE">
        <w:rPr>
          <w:lang w:val="en-GB"/>
        </w:rPr>
        <w:t>y</w:t>
      </w:r>
      <w:proofErr w:type="spellEnd"/>
      <w:r w:rsidRPr="007176DB">
        <w:rPr>
          <w:lang w:val="en-GB"/>
        </w:rPr>
        <w:t xml:space="preserve"> decomposition of the variance-covariance matrix </w:t>
      </w:r>
      <w:r w:rsidR="007176DB" w:rsidRPr="007176DB">
        <w:rPr>
          <w:position w:val="-4"/>
          <w:lang w:val="en-GB"/>
        </w:rPr>
        <w:object w:dxaOrig="220" w:dyaOrig="220">
          <v:shape id="_x0000_i1035" type="#_x0000_t75" style="width:11.25pt;height:11.25pt" o:ole="">
            <v:imagedata r:id="rId29" o:title=""/>
          </v:shape>
          <o:OLEObject Type="Embed" ProgID="Equation.3" ShapeID="_x0000_i1035" DrawAspect="Content" ObjectID="_1471692167" r:id="rId30"/>
        </w:object>
      </w:r>
      <w:r w:rsidRPr="007176DB">
        <w:rPr>
          <w:lang w:val="en-GB"/>
        </w:rPr>
        <w:t xml:space="preserve"> of the reduced-form </w:t>
      </w:r>
      <w:r w:rsidR="003F0D1B" w:rsidRPr="00E01FF4">
        <w:t>innovations</w:t>
      </w:r>
      <w:r w:rsidRPr="007176DB">
        <w:rPr>
          <w:lang w:val="en-GB"/>
        </w:rPr>
        <w:t xml:space="preserve">. The link between the reduced-form residuals </w:t>
      </w:r>
      <w:r w:rsidR="007176DB" w:rsidRPr="007176DB">
        <w:rPr>
          <w:position w:val="-10"/>
          <w:lang w:val="en-GB"/>
        </w:rPr>
        <w:object w:dxaOrig="360" w:dyaOrig="300">
          <v:shape id="_x0000_i1036" type="#_x0000_t75" style="width:18.15pt;height:15.05pt" o:ole="">
            <v:imagedata r:id="rId31" o:title=""/>
          </v:shape>
          <o:OLEObject Type="Embed" ProgID="Equation.3" ShapeID="_x0000_i1036" DrawAspect="Content" ObjectID="_1471692168" r:id="rId32"/>
        </w:object>
      </w:r>
      <w:r w:rsidRPr="007176DB">
        <w:rPr>
          <w:lang w:val="en-GB"/>
        </w:rPr>
        <w:t xml:space="preserve"> and the structural shocks </w:t>
      </w:r>
      <w:r w:rsidR="007176DB" w:rsidRPr="007176DB">
        <w:rPr>
          <w:position w:val="-10"/>
          <w:lang w:val="en-GB"/>
        </w:rPr>
        <w:object w:dxaOrig="360" w:dyaOrig="300">
          <v:shape id="_x0000_i1037" type="#_x0000_t75" style="width:18.15pt;height:15.05pt" o:ole="">
            <v:imagedata r:id="rId33" o:title=""/>
          </v:shape>
          <o:OLEObject Type="Embed" ProgID="Equation.3" ShapeID="_x0000_i1037" DrawAspect="Content" ObjectID="_1471692169" r:id="rId34"/>
        </w:object>
      </w:r>
      <w:r w:rsidRPr="007176DB">
        <w:rPr>
          <w:lang w:val="en-GB"/>
        </w:rPr>
        <w:t xml:space="preserve"> can be written as</w:t>
      </w:r>
      <w:r w:rsidR="00686DAB">
        <w:rPr>
          <w:lang w:val="en-GB"/>
        </w:rPr>
        <w:t xml:space="preserve"> </w:t>
      </w:r>
      <w:r w:rsidR="00686DAB" w:rsidRPr="007176DB">
        <w:rPr>
          <w:position w:val="-10"/>
          <w:lang w:val="en-GB"/>
        </w:rPr>
        <w:object w:dxaOrig="700" w:dyaOrig="300">
          <v:shape id="_x0000_i1038" type="#_x0000_t75" style="width:35.7pt;height:15.05pt" o:ole="">
            <v:imagedata r:id="rId35" o:title=""/>
          </v:shape>
          <o:OLEObject Type="Embed" ProgID="Equation.3" ShapeID="_x0000_i1038" DrawAspect="Content" ObjectID="_1471692170" r:id="rId36"/>
        </w:object>
      </w:r>
      <w:r w:rsidR="00686DAB">
        <w:rPr>
          <w:lang w:val="en-GB"/>
        </w:rPr>
        <w:t xml:space="preserve"> </w:t>
      </w:r>
      <w:r w:rsidRPr="007176DB">
        <w:rPr>
          <w:lang w:val="en-GB"/>
        </w:rPr>
        <w:t>where</w:t>
      </w:r>
      <w:r w:rsidRPr="007176DB">
        <w:rPr>
          <w:position w:val="-10"/>
          <w:lang w:val="en-GB"/>
        </w:rPr>
        <w:object w:dxaOrig="2340" w:dyaOrig="340">
          <v:shape id="_x0000_i1039" type="#_x0000_t75" style="width:117.1pt;height:16.3pt" o:ole="">
            <v:imagedata r:id="rId37" o:title=""/>
          </v:shape>
          <o:OLEObject Type="Embed" ProgID="Equation.3" ShapeID="_x0000_i1039" DrawAspect="Content" ObjectID="_1471692171" r:id="rId38"/>
        </w:object>
      </w:r>
      <w:r w:rsidRPr="007176DB">
        <w:rPr>
          <w:lang w:val="en-GB"/>
        </w:rPr>
        <w:t xml:space="preserve">, </w:t>
      </w:r>
      <w:r w:rsidRPr="007176DB">
        <w:rPr>
          <w:position w:val="-10"/>
          <w:lang w:val="en-GB"/>
        </w:rPr>
        <w:object w:dxaOrig="2340" w:dyaOrig="340">
          <v:shape id="_x0000_i1040" type="#_x0000_t75" style="width:117.1pt;height:16.3pt" o:ole="">
            <v:imagedata r:id="rId39" o:title=""/>
          </v:shape>
          <o:OLEObject Type="Embed" ProgID="Equation.3" ShapeID="_x0000_i1040" DrawAspect="Content" ObjectID="_1471692172" r:id="rId40"/>
        </w:object>
      </w:r>
      <w:r w:rsidRPr="007176DB">
        <w:rPr>
          <w:lang w:val="en-GB"/>
        </w:rPr>
        <w:t xml:space="preserve"> and </w:t>
      </w:r>
      <w:r w:rsidRPr="007176DB">
        <w:rPr>
          <w:position w:val="-6"/>
          <w:lang w:val="en-GB"/>
        </w:rPr>
        <w:object w:dxaOrig="200" w:dyaOrig="240">
          <v:shape id="_x0000_i1041" type="#_x0000_t75" style="width:9.4pt;height:12.5pt" o:ole="">
            <v:imagedata r:id="rId41" o:title=""/>
          </v:shape>
          <o:OLEObject Type="Embed" ProgID="Equation.3" ShapeID="_x0000_i1041" DrawAspect="Content" ObjectID="_1471692173" r:id="rId42"/>
        </w:object>
      </w:r>
      <w:r w:rsidR="00461225">
        <w:rPr>
          <w:lang w:val="en-GB"/>
        </w:rPr>
        <w:t xml:space="preserve"> </w:t>
      </w:r>
      <w:r w:rsidRPr="007176DB">
        <w:rPr>
          <w:lang w:val="en-GB"/>
        </w:rPr>
        <w:t xml:space="preserve">is the lower-triangular matrix derived given the covariance </w:t>
      </w:r>
      <w:proofErr w:type="gramStart"/>
      <w:r w:rsidRPr="007176DB">
        <w:rPr>
          <w:lang w:val="en-GB"/>
        </w:rPr>
        <w:t xml:space="preserve">matrix </w:t>
      </w:r>
      <w:proofErr w:type="gramEnd"/>
      <w:r w:rsidR="00461225" w:rsidRPr="007176DB">
        <w:rPr>
          <w:position w:val="-4"/>
          <w:lang w:val="en-GB"/>
        </w:rPr>
        <w:object w:dxaOrig="240" w:dyaOrig="220">
          <v:shape id="_x0000_i1042" type="#_x0000_t75" style="width:12.5pt;height:11.25pt" o:ole="">
            <v:imagedata r:id="rId43" o:title=""/>
          </v:shape>
          <o:OLEObject Type="Embed" ProgID="Equation.3" ShapeID="_x0000_i1042" DrawAspect="Content" ObjectID="_1471692174" r:id="rId44"/>
        </w:object>
      </w:r>
      <w:r w:rsidRPr="007176DB">
        <w:rPr>
          <w:lang w:val="en-GB"/>
        </w:rPr>
        <w:t xml:space="preserve">. The </w:t>
      </w:r>
      <w:proofErr w:type="spellStart"/>
      <w:r w:rsidRPr="007176DB">
        <w:rPr>
          <w:lang w:val="en-GB"/>
        </w:rPr>
        <w:t>Cholesk</w:t>
      </w:r>
      <w:r w:rsidR="00792EAE">
        <w:rPr>
          <w:lang w:val="en-GB"/>
        </w:rPr>
        <w:t>y</w:t>
      </w:r>
      <w:proofErr w:type="spellEnd"/>
      <w:r w:rsidRPr="007176DB">
        <w:rPr>
          <w:lang w:val="en-GB"/>
        </w:rPr>
        <w:t xml:space="preserve"> decomposition of </w:t>
      </w:r>
      <w:r w:rsidRPr="007176DB">
        <w:rPr>
          <w:position w:val="-4"/>
          <w:lang w:val="en-GB"/>
        </w:rPr>
        <w:object w:dxaOrig="240" w:dyaOrig="220">
          <v:shape id="_x0000_i1043" type="#_x0000_t75" style="width:12.5pt;height:11.25pt" o:ole="">
            <v:imagedata r:id="rId45" o:title=""/>
          </v:shape>
          <o:OLEObject Type="Embed" ProgID="Equation.3" ShapeID="_x0000_i1043" DrawAspect="Content" ObjectID="_1471692175" r:id="rId46"/>
        </w:object>
      </w:r>
      <w:r w:rsidRPr="007176DB">
        <w:rPr>
          <w:lang w:val="en-GB"/>
        </w:rPr>
        <w:t xml:space="preserve"> implies </w:t>
      </w:r>
      <w:r w:rsidRPr="007176DB">
        <w:rPr>
          <w:position w:val="-4"/>
          <w:lang w:val="en-GB"/>
        </w:rPr>
        <w:object w:dxaOrig="720" w:dyaOrig="220">
          <v:shape id="_x0000_i1044" type="#_x0000_t75" style="width:36.3pt;height:11.25pt" o:ole="">
            <v:imagedata r:id="rId47" o:title=""/>
          </v:shape>
          <o:OLEObject Type="Embed" ProgID="Equation.3" ShapeID="_x0000_i1044" DrawAspect="Content" ObjectID="_1471692176" r:id="rId48"/>
        </w:object>
      </w:r>
      <w:r w:rsidRPr="007176DB">
        <w:rPr>
          <w:lang w:val="en-GB"/>
        </w:rPr>
        <w:t xml:space="preserve"> with a lower triangular matrix</w:t>
      </w:r>
      <w:r w:rsidRPr="007176DB">
        <w:rPr>
          <w:position w:val="-4"/>
          <w:lang w:val="en-GB"/>
        </w:rPr>
        <w:object w:dxaOrig="220" w:dyaOrig="220">
          <v:shape id="_x0000_i1045" type="#_x0000_t75" style="width:10.65pt;height:11.25pt" o:ole="">
            <v:imagedata r:id="rId49" o:title=""/>
          </v:shape>
          <o:OLEObject Type="Embed" ProgID="Equation.3" ShapeID="_x0000_i1045" DrawAspect="Content" ObjectID="_1471692177" r:id="rId50"/>
        </w:object>
      </w:r>
      <w:r w:rsidRPr="007176DB">
        <w:rPr>
          <w:lang w:val="en-GB"/>
        </w:rPr>
        <w:t xml:space="preserve">. </w:t>
      </w:r>
      <w:proofErr w:type="gramStart"/>
      <w:r w:rsidRPr="007176DB">
        <w:rPr>
          <w:lang w:val="en-GB"/>
        </w:rPr>
        <w:t>Since</w:t>
      </w:r>
      <w:r w:rsidR="00686DAB">
        <w:rPr>
          <w:lang w:val="en-GB"/>
        </w:rPr>
        <w:t xml:space="preserve"> </w:t>
      </w:r>
      <w:proofErr w:type="gramEnd"/>
      <w:r w:rsidR="00461225" w:rsidRPr="007176DB">
        <w:rPr>
          <w:position w:val="-10"/>
          <w:lang w:val="en-GB"/>
        </w:rPr>
        <w:object w:dxaOrig="2600" w:dyaOrig="300">
          <v:shape id="_x0000_i1046" type="#_x0000_t75" style="width:130.25pt;height:15.05pt" o:ole="">
            <v:imagedata r:id="rId51" o:title=""/>
          </v:shape>
          <o:OLEObject Type="Embed" ProgID="Equation.3" ShapeID="_x0000_i1046" DrawAspect="Content" ObjectID="_1471692178" r:id="rId52"/>
        </w:object>
      </w:r>
      <w:r w:rsidRPr="007176DB">
        <w:rPr>
          <w:lang w:val="en-GB"/>
        </w:rPr>
        <w:t xml:space="preserve">, where structural disturbances </w:t>
      </w:r>
      <w:r w:rsidRPr="007176DB">
        <w:rPr>
          <w:position w:val="-12"/>
          <w:lang w:val="en-GB"/>
        </w:rPr>
        <w:object w:dxaOrig="240" w:dyaOrig="360">
          <v:shape id="_x0000_i1047" type="#_x0000_t75" style="width:12.5pt;height:18.15pt" o:ole="">
            <v:imagedata r:id="rId53" o:title=""/>
          </v:shape>
          <o:OLEObject Type="Embed" ProgID="Equation.3" ShapeID="_x0000_i1047" DrawAspect="Content" ObjectID="_1471692179" r:id="rId54"/>
        </w:object>
      </w:r>
      <w:r w:rsidRPr="007176DB">
        <w:rPr>
          <w:lang w:val="en-GB"/>
        </w:rPr>
        <w:t xml:space="preserve"> are considered to be orthonormal, the matrix </w:t>
      </w:r>
      <w:r w:rsidRPr="007176DB">
        <w:rPr>
          <w:position w:val="-6"/>
          <w:lang w:val="en-GB"/>
        </w:rPr>
        <w:object w:dxaOrig="200" w:dyaOrig="240">
          <v:shape id="_x0000_i1048" type="#_x0000_t75" style="width:9.4pt;height:12.5pt" o:ole="">
            <v:imagedata r:id="rId55" o:title=""/>
          </v:shape>
          <o:OLEObject Type="Embed" ProgID="Equation.3" ShapeID="_x0000_i1048" DrawAspect="Content" ObjectID="_1471692180" r:id="rId56"/>
        </w:object>
      </w:r>
      <w:r w:rsidRPr="007176DB">
        <w:rPr>
          <w:lang w:val="en-GB"/>
        </w:rPr>
        <w:t xml:space="preserve"> is equal to</w:t>
      </w:r>
      <w:r w:rsidRPr="007176DB">
        <w:rPr>
          <w:position w:val="-4"/>
          <w:lang w:val="en-GB"/>
        </w:rPr>
        <w:object w:dxaOrig="220" w:dyaOrig="220">
          <v:shape id="_x0000_i1049" type="#_x0000_t75" style="width:10.65pt;height:11.25pt" o:ole="">
            <v:imagedata r:id="rId57" o:title=""/>
          </v:shape>
          <o:OLEObject Type="Embed" ProgID="Equation.3" ShapeID="_x0000_i1049" DrawAspect="Content" ObjectID="_1471692181" r:id="rId58"/>
        </w:object>
      </w:r>
      <w:r w:rsidRPr="007176DB">
        <w:rPr>
          <w:lang w:val="en-GB"/>
        </w:rPr>
        <w:t xml:space="preserve">. The structural model defined by the equation (2) is identified due to </w:t>
      </w:r>
      <w:r w:rsidR="006536A8">
        <w:rPr>
          <w:lang w:val="en-GB"/>
        </w:rPr>
        <w:t xml:space="preserve">the </w:t>
      </w:r>
      <w:r w:rsidRPr="007176DB">
        <w:rPr>
          <w:lang w:val="en-GB"/>
        </w:rPr>
        <w:t xml:space="preserve">fact that </w:t>
      </w:r>
      <w:r w:rsidR="006536A8">
        <w:rPr>
          <w:lang w:val="en-GB"/>
        </w:rPr>
        <w:t xml:space="preserve">the </w:t>
      </w:r>
      <w:r w:rsidRPr="007176DB">
        <w:rPr>
          <w:lang w:val="en-GB"/>
        </w:rPr>
        <w:t xml:space="preserve">lower-triangular matrix </w:t>
      </w:r>
      <w:r w:rsidRPr="007176DB">
        <w:rPr>
          <w:position w:val="-6"/>
          <w:lang w:val="en-GB"/>
        </w:rPr>
        <w:object w:dxaOrig="200" w:dyaOrig="240">
          <v:shape id="_x0000_i1050" type="#_x0000_t75" style="width:9.4pt;height:12.5pt" o:ole="">
            <v:imagedata r:id="rId59" o:title=""/>
          </v:shape>
          <o:OLEObject Type="Embed" ProgID="Equation.3" ShapeID="_x0000_i1050" DrawAspect="Content" ObjectID="_1471692182" r:id="rId60"/>
        </w:object>
      </w:r>
      <w:r w:rsidRPr="007176DB">
        <w:rPr>
          <w:lang w:val="en-GB"/>
        </w:rPr>
        <w:t xml:space="preserve"> imposes enough zero restrictions</w:t>
      </w:r>
      <w:r w:rsidRPr="007176DB">
        <w:rPr>
          <w:position w:val="-10"/>
          <w:lang w:val="en-GB"/>
        </w:rPr>
        <w:object w:dxaOrig="999" w:dyaOrig="300">
          <v:shape id="_x0000_i1051" type="#_x0000_t75" style="width:50.7pt;height:15.05pt" o:ole="">
            <v:imagedata r:id="rId61" o:title=""/>
          </v:shape>
          <o:OLEObject Type="Embed" ProgID="Equation.3" ShapeID="_x0000_i1051" DrawAspect="Content" ObjectID="_1471692183" r:id="rId62"/>
        </w:object>
      </w:r>
      <w:r w:rsidRPr="007176DB">
        <w:rPr>
          <w:lang w:val="en-GB"/>
        </w:rPr>
        <w:t xml:space="preserve">, where </w:t>
      </w:r>
      <w:r w:rsidRPr="007176DB">
        <w:rPr>
          <w:position w:val="-6"/>
          <w:lang w:val="en-GB"/>
        </w:rPr>
        <w:object w:dxaOrig="180" w:dyaOrig="260">
          <v:shape id="_x0000_i1052" type="#_x0000_t75" style="width:9.4pt;height:12.5pt" o:ole="">
            <v:imagedata r:id="rId63" o:title=""/>
          </v:shape>
          <o:OLEObject Type="Embed" ProgID="Equation.3" ShapeID="_x0000_i1052" DrawAspect="Content" ObjectID="_1471692184" r:id="rId64"/>
        </w:object>
      </w:r>
      <w:r w:rsidRPr="007176DB">
        <w:rPr>
          <w:lang w:val="en-GB"/>
        </w:rPr>
        <w:t xml:space="preserve"> denotes the number of endogenous variables. The lower-triangular matrix </w:t>
      </w:r>
      <w:r w:rsidRPr="007176DB">
        <w:rPr>
          <w:position w:val="-6"/>
          <w:lang w:val="en-GB"/>
        </w:rPr>
        <w:object w:dxaOrig="200" w:dyaOrig="240">
          <v:shape id="_x0000_i1053" type="#_x0000_t75" style="width:9.4pt;height:12.5pt" o:ole="">
            <v:imagedata r:id="rId65" o:title=""/>
          </v:shape>
          <o:OLEObject Type="Embed" ProgID="Equation.3" ShapeID="_x0000_i1053" DrawAspect="Content" ObjectID="_1471692185" r:id="rId66"/>
        </w:object>
      </w:r>
      <w:r w:rsidRPr="007176DB">
        <w:rPr>
          <w:lang w:val="en-GB"/>
        </w:rPr>
        <w:t xml:space="preserve"> implies that some stru</w:t>
      </w:r>
      <w:r w:rsidRPr="007176DB">
        <w:rPr>
          <w:lang w:val="en-GB"/>
        </w:rPr>
        <w:t>c</w:t>
      </w:r>
      <w:r w:rsidRPr="007176DB">
        <w:rPr>
          <w:lang w:val="en-GB"/>
        </w:rPr>
        <w:t xml:space="preserve">tural shocks have </w:t>
      </w:r>
      <w:r w:rsidR="00F404B6" w:rsidRPr="00E01FF4">
        <w:t>no instantaneous effects on the chosen endogenous variables</w:t>
      </w:r>
      <w:r w:rsidRPr="007176DB">
        <w:rPr>
          <w:lang w:val="en-GB"/>
        </w:rPr>
        <w:t>. The ordering is thus important and is based on the economic intuition. For example, we assume that changes in oil prices are influenced only by the oil price (supply) shock</w:t>
      </w:r>
      <w:r w:rsidR="00461225" w:rsidRPr="007176DB">
        <w:rPr>
          <w:position w:val="-10"/>
          <w:lang w:val="en-GB"/>
        </w:rPr>
        <w:object w:dxaOrig="340" w:dyaOrig="340">
          <v:shape id="_x0000_i1054" type="#_x0000_t75" style="width:16.9pt;height:16.3pt" o:ole="">
            <v:imagedata r:id="rId67" o:title=""/>
          </v:shape>
          <o:OLEObject Type="Embed" ProgID="Equation.3" ShapeID="_x0000_i1054" DrawAspect="Content" ObjectID="_1471692186" r:id="rId68"/>
        </w:object>
      </w:r>
      <w:r w:rsidRPr="007176DB">
        <w:rPr>
          <w:lang w:val="en-GB"/>
        </w:rPr>
        <w:t>itself</w:t>
      </w:r>
      <w:r w:rsidR="007176DB" w:rsidRPr="007176DB">
        <w:rPr>
          <w:lang w:val="en-GB"/>
        </w:rPr>
        <w:t xml:space="preserve"> in the first period</w:t>
      </w:r>
      <w:r w:rsidRPr="007176DB">
        <w:rPr>
          <w:lang w:val="en-GB"/>
        </w:rPr>
        <w:t>.</w:t>
      </w:r>
      <w:r w:rsidR="007176DB" w:rsidRPr="007176DB">
        <w:rPr>
          <w:lang w:val="en-GB"/>
        </w:rPr>
        <w:t xml:space="preserve"> As another example, we assume that changes in the ou</w:t>
      </w:r>
      <w:r w:rsidR="007176DB" w:rsidRPr="007176DB">
        <w:rPr>
          <w:lang w:val="en-GB"/>
        </w:rPr>
        <w:t>t</w:t>
      </w:r>
      <w:r w:rsidR="007176DB" w:rsidRPr="007176DB">
        <w:rPr>
          <w:lang w:val="en-GB"/>
        </w:rPr>
        <w:t>put gap may be influenced by the oil price shock immediately, but the changes in monetary policy, exchange rate or inflation have no effect in the same</w:t>
      </w:r>
      <w:r w:rsidR="006536A8">
        <w:rPr>
          <w:lang w:val="en-GB"/>
        </w:rPr>
        <w:t xml:space="preserve"> period. These assumptions seem</w:t>
      </w:r>
      <w:r w:rsidR="007176DB" w:rsidRPr="007176DB">
        <w:rPr>
          <w:lang w:val="en-GB"/>
        </w:rPr>
        <w:t xml:space="preserve"> to be intuitive with regards to the mont</w:t>
      </w:r>
      <w:r w:rsidR="007176DB" w:rsidRPr="007176DB">
        <w:rPr>
          <w:lang w:val="en-GB"/>
        </w:rPr>
        <w:t>h</w:t>
      </w:r>
      <w:r w:rsidR="007176DB" w:rsidRPr="007176DB">
        <w:rPr>
          <w:lang w:val="en-GB"/>
        </w:rPr>
        <w:t xml:space="preserve">ly </w:t>
      </w:r>
      <w:r w:rsidR="00686DAB">
        <w:rPr>
          <w:lang w:val="en-GB"/>
        </w:rPr>
        <w:t xml:space="preserve">data </w:t>
      </w:r>
      <w:r w:rsidR="007176DB" w:rsidRPr="007176DB">
        <w:rPr>
          <w:lang w:val="en-GB"/>
        </w:rPr>
        <w:t>frequency.</w:t>
      </w:r>
    </w:p>
    <w:p w:rsidR="006C1B17" w:rsidRPr="00491474" w:rsidRDefault="006C1B17" w:rsidP="00491474">
      <w:pPr>
        <w:pStyle w:val="Nadpis1"/>
        <w:numPr>
          <w:ilvl w:val="0"/>
          <w:numId w:val="15"/>
        </w:numPr>
        <w:tabs>
          <w:tab w:val="clear" w:pos="3409"/>
          <w:tab w:val="num" w:pos="432"/>
        </w:tabs>
        <w:ind w:left="432"/>
        <w:rPr>
          <w:szCs w:val="28"/>
        </w:rPr>
      </w:pPr>
      <w:r w:rsidRPr="00491474">
        <w:rPr>
          <w:szCs w:val="28"/>
        </w:rPr>
        <w:t>Estimation results</w:t>
      </w:r>
    </w:p>
    <w:p w:rsidR="000D37CC" w:rsidRDefault="006C1B17" w:rsidP="000D37CC">
      <w:pPr>
        <w:pStyle w:val="Zkladntext"/>
        <w:rPr>
          <w:szCs w:val="20"/>
          <w:lang w:val="en-GB"/>
        </w:rPr>
      </w:pPr>
      <w:r w:rsidRPr="000D37CC">
        <w:rPr>
          <w:szCs w:val="20"/>
          <w:lang w:val="en-GB"/>
        </w:rPr>
        <w:t xml:space="preserve">The lag order of the VAR model was selected using the </w:t>
      </w:r>
      <w:proofErr w:type="spellStart"/>
      <w:r w:rsidRPr="000D37CC">
        <w:rPr>
          <w:szCs w:val="20"/>
          <w:lang w:val="en-GB"/>
        </w:rPr>
        <w:t>Akaike</w:t>
      </w:r>
      <w:proofErr w:type="spellEnd"/>
      <w:r w:rsidRPr="000D37CC">
        <w:rPr>
          <w:szCs w:val="20"/>
          <w:lang w:val="en-GB"/>
        </w:rPr>
        <w:t xml:space="preserve"> information criterion (AIC).</w:t>
      </w:r>
      <w:r w:rsidR="00575A58">
        <w:rPr>
          <w:szCs w:val="20"/>
          <w:lang w:val="en-GB"/>
        </w:rPr>
        <w:t xml:space="preserve"> In particular, the lag order of 6 periods was selected</w:t>
      </w:r>
      <w:r w:rsidRPr="000D37CC">
        <w:rPr>
          <w:szCs w:val="20"/>
          <w:lang w:val="en-GB"/>
        </w:rPr>
        <w:t xml:space="preserve"> </w:t>
      </w:r>
      <w:r w:rsidR="00575A58">
        <w:rPr>
          <w:szCs w:val="20"/>
          <w:lang w:val="en-GB"/>
        </w:rPr>
        <w:t xml:space="preserve">for Bulgaria and the lag order of 8 periods for Romania. </w:t>
      </w:r>
      <w:r w:rsidRPr="000D37CC">
        <w:rPr>
          <w:szCs w:val="20"/>
          <w:lang w:val="en-GB"/>
        </w:rPr>
        <w:t>The constant term was included in our model specification</w:t>
      </w:r>
      <w:r w:rsidR="00575A58">
        <w:rPr>
          <w:szCs w:val="20"/>
          <w:lang w:val="en-GB"/>
        </w:rPr>
        <w:t>.</w:t>
      </w:r>
      <w:r w:rsidRPr="000D37CC">
        <w:rPr>
          <w:szCs w:val="20"/>
          <w:lang w:val="en-GB"/>
        </w:rPr>
        <w:t xml:space="preserve"> </w:t>
      </w:r>
      <w:r w:rsidR="00575A58">
        <w:rPr>
          <w:szCs w:val="20"/>
          <w:lang w:val="en-GB"/>
        </w:rPr>
        <w:t>T</w:t>
      </w:r>
      <w:r w:rsidRPr="000D37CC">
        <w:rPr>
          <w:szCs w:val="20"/>
          <w:lang w:val="en-GB"/>
        </w:rPr>
        <w:t>hat might be justified by the fact, that there was a significant (i.e. non-zero) growth in the monthly CPI.</w:t>
      </w:r>
    </w:p>
    <w:p w:rsidR="004140F1" w:rsidRPr="00E515F6" w:rsidRDefault="00711EE6" w:rsidP="006C1B17">
      <w:pPr>
        <w:pStyle w:val="Zkladntext-prvnodsazen"/>
        <w:ind w:firstLine="0"/>
        <w:jc w:val="center"/>
      </w:pPr>
      <w:r>
        <w:pict>
          <v:shape id="_x0000_i1055" type="#_x0000_t75" style="width:379.4pt;height:205.35pt" o:allowoverlap="f">
            <v:imagedata r:id="rId69" o:title="" croptop="1723f" cropbottom="4475f" cropleft="6837f" cropright="3806f"/>
          </v:shape>
        </w:pict>
      </w:r>
    </w:p>
    <w:p w:rsidR="006C1B17" w:rsidRPr="00E515F6" w:rsidRDefault="006C1B17" w:rsidP="006C1B17">
      <w:pPr>
        <w:pStyle w:val="Zkladntext-prvnodsazen"/>
        <w:ind w:firstLine="0"/>
        <w:jc w:val="center"/>
        <w:rPr>
          <w:lang w:val="en-GB"/>
        </w:rPr>
      </w:pPr>
      <w:r w:rsidRPr="00E515F6">
        <w:rPr>
          <w:rStyle w:val="CaptionHeader"/>
          <w:lang w:val="en-GB"/>
        </w:rPr>
        <w:t xml:space="preserve">Figure </w:t>
      </w:r>
      <w:r w:rsidR="005670A2" w:rsidRPr="00E515F6">
        <w:rPr>
          <w:rStyle w:val="CaptionHeader"/>
          <w:lang w:val="en-GB"/>
        </w:rPr>
        <w:fldChar w:fldCharType="begin"/>
      </w:r>
      <w:r w:rsidRPr="00E515F6">
        <w:rPr>
          <w:rStyle w:val="CaptionHeader"/>
          <w:lang w:val="en-GB"/>
        </w:rPr>
        <w:instrText xml:space="preserve"> SEQ Figure \* ARABIC </w:instrText>
      </w:r>
      <w:r w:rsidR="005670A2" w:rsidRPr="00E515F6">
        <w:rPr>
          <w:rStyle w:val="CaptionHeader"/>
          <w:lang w:val="en-GB"/>
        </w:rPr>
        <w:fldChar w:fldCharType="separate"/>
      </w:r>
      <w:r w:rsidR="00711EE6">
        <w:rPr>
          <w:rStyle w:val="CaptionHeader"/>
          <w:noProof/>
          <w:lang w:val="en-GB"/>
        </w:rPr>
        <w:t>2</w:t>
      </w:r>
      <w:r w:rsidR="005670A2" w:rsidRPr="00E515F6">
        <w:rPr>
          <w:rStyle w:val="CaptionHeader"/>
          <w:lang w:val="en-GB"/>
        </w:rPr>
        <w:fldChar w:fldCharType="end"/>
      </w:r>
      <w:r w:rsidRPr="00E515F6">
        <w:rPr>
          <w:lang w:val="en-GB"/>
        </w:rPr>
        <w:t xml:space="preserve"> Historical shock decomposition – inflation</w:t>
      </w:r>
      <w:r w:rsidR="004140F1" w:rsidRPr="00E515F6">
        <w:rPr>
          <w:lang w:val="en-GB"/>
        </w:rPr>
        <w:t xml:space="preserve"> (Bulgaria)</w:t>
      </w:r>
    </w:p>
    <w:p w:rsidR="008E404C" w:rsidRPr="00DF22F5" w:rsidRDefault="008E404C" w:rsidP="008E404C">
      <w:pPr>
        <w:pStyle w:val="Zkladntext"/>
        <w:ind w:firstLine="301"/>
        <w:rPr>
          <w:color w:val="FF0000"/>
          <w:lang w:val="en-GB"/>
        </w:rPr>
      </w:pPr>
      <w:r w:rsidRPr="00E515F6">
        <w:rPr>
          <w:lang w:val="en-GB"/>
        </w:rPr>
        <w:t>Figure 2 and Figure 3 show the historical shocks decomposition of monthly CPI inflation and the develo</w:t>
      </w:r>
      <w:r w:rsidRPr="00E515F6">
        <w:rPr>
          <w:lang w:val="en-GB"/>
        </w:rPr>
        <w:t>p</w:t>
      </w:r>
      <w:r w:rsidRPr="00E515F6">
        <w:rPr>
          <w:lang w:val="en-GB"/>
        </w:rPr>
        <w:t>ment of the NEER (indirect quotation where increase means depreciation) for the Romania and Bulgaria respe</w:t>
      </w:r>
      <w:r w:rsidRPr="00E515F6">
        <w:rPr>
          <w:lang w:val="en-GB"/>
        </w:rPr>
        <w:t>c</w:t>
      </w:r>
      <w:r w:rsidRPr="00E515F6">
        <w:rPr>
          <w:lang w:val="en-GB"/>
        </w:rPr>
        <w:t>tively</w:t>
      </w:r>
      <w:r w:rsidRPr="008E404C">
        <w:rPr>
          <w:lang w:val="en-GB"/>
        </w:rPr>
        <w:t>. The corresponding structural shocks contributions were computed using the identified SVAR model. The subplots in Figure 2 and Figure 3 contain a mark of the period of change (vertical line) of the exchange rate regimes. These time intervals are used in Table 2 to determine the relative importance of all shocks to the var</w:t>
      </w:r>
      <w:r w:rsidRPr="008E404C">
        <w:rPr>
          <w:lang w:val="en-GB"/>
        </w:rPr>
        <w:t>i</w:t>
      </w:r>
      <w:r w:rsidRPr="008E404C">
        <w:rPr>
          <w:lang w:val="en-GB"/>
        </w:rPr>
        <w:t xml:space="preserve">ance in inflation during the examined period. In particular, the start of managed floating exchange rate period was stated in both countries as 1997M6. The previous periods are considered as the regime of various exchange rate combinations including </w:t>
      </w:r>
      <w:r w:rsidR="006536A8">
        <w:rPr>
          <w:lang w:val="en-GB"/>
        </w:rPr>
        <w:t xml:space="preserve">the </w:t>
      </w:r>
      <w:r w:rsidRPr="008E404C">
        <w:rPr>
          <w:lang w:val="en-GB"/>
        </w:rPr>
        <w:t xml:space="preserve">fixed exchange regime. We can notice </w:t>
      </w:r>
      <w:r w:rsidR="00F404B6">
        <w:rPr>
          <w:lang w:val="en-GB"/>
        </w:rPr>
        <w:t xml:space="preserve">(see </w:t>
      </w:r>
      <w:r w:rsidR="00F404B6" w:rsidRPr="00E515F6">
        <w:rPr>
          <w:lang w:val="en-GB"/>
        </w:rPr>
        <w:t>Figure 2 and Figure 3</w:t>
      </w:r>
      <w:r w:rsidR="00F404B6">
        <w:rPr>
          <w:lang w:val="en-GB"/>
        </w:rPr>
        <w:t xml:space="preserve">) </w:t>
      </w:r>
      <w:r w:rsidRPr="008E404C">
        <w:rPr>
          <w:lang w:val="en-GB"/>
        </w:rPr>
        <w:t>that in several periods exchange rate plays an important role in the explanation of inflation. An interesting period is for example the January of 1997 in both countries. The strong devaluations were causing inflation.</w:t>
      </w:r>
    </w:p>
    <w:p w:rsidR="004140F1" w:rsidRPr="00E515F6" w:rsidRDefault="00711EE6" w:rsidP="004140F1">
      <w:pPr>
        <w:pStyle w:val="Zkladntext-prvnodsazen"/>
        <w:ind w:firstLine="0"/>
        <w:jc w:val="center"/>
        <w:rPr>
          <w:rStyle w:val="CaptionHeader"/>
          <w:lang w:val="en-GB"/>
        </w:rPr>
      </w:pPr>
      <w:r>
        <w:rPr>
          <w:rStyle w:val="CaptionHeader"/>
          <w:lang w:val="en-GB"/>
        </w:rPr>
        <w:lastRenderedPageBreak/>
        <w:pict>
          <v:shape id="_x0000_i1056" type="#_x0000_t75" style="width:381.3pt;height:206pt">
            <v:imagedata r:id="rId70" o:title="" croptop="1399f" cropbottom="4642f" cropleft="6604f" cropright="3805f"/>
          </v:shape>
        </w:pict>
      </w:r>
    </w:p>
    <w:p w:rsidR="004140F1" w:rsidRPr="00E515F6" w:rsidRDefault="004140F1" w:rsidP="004140F1">
      <w:pPr>
        <w:pStyle w:val="Zkladntext-prvnodsazen"/>
        <w:ind w:firstLine="0"/>
        <w:jc w:val="center"/>
        <w:rPr>
          <w:lang w:val="en-GB"/>
        </w:rPr>
      </w:pPr>
      <w:r w:rsidRPr="00E515F6">
        <w:rPr>
          <w:rStyle w:val="CaptionHeader"/>
          <w:lang w:val="en-GB"/>
        </w:rPr>
        <w:t xml:space="preserve">Figure </w:t>
      </w:r>
      <w:r w:rsidR="005670A2" w:rsidRPr="00E515F6">
        <w:rPr>
          <w:rStyle w:val="CaptionHeader"/>
          <w:lang w:val="en-GB"/>
        </w:rPr>
        <w:fldChar w:fldCharType="begin"/>
      </w:r>
      <w:r w:rsidRPr="00E515F6">
        <w:rPr>
          <w:rStyle w:val="CaptionHeader"/>
          <w:lang w:val="en-GB"/>
        </w:rPr>
        <w:instrText xml:space="preserve"> SEQ Figure \* ARABIC </w:instrText>
      </w:r>
      <w:r w:rsidR="005670A2" w:rsidRPr="00E515F6">
        <w:rPr>
          <w:rStyle w:val="CaptionHeader"/>
          <w:lang w:val="en-GB"/>
        </w:rPr>
        <w:fldChar w:fldCharType="separate"/>
      </w:r>
      <w:r w:rsidR="00711EE6">
        <w:rPr>
          <w:rStyle w:val="CaptionHeader"/>
          <w:noProof/>
          <w:lang w:val="en-GB"/>
        </w:rPr>
        <w:t>3</w:t>
      </w:r>
      <w:r w:rsidR="005670A2" w:rsidRPr="00E515F6">
        <w:rPr>
          <w:rStyle w:val="CaptionHeader"/>
          <w:lang w:val="en-GB"/>
        </w:rPr>
        <w:fldChar w:fldCharType="end"/>
      </w:r>
      <w:r w:rsidRPr="00E515F6">
        <w:rPr>
          <w:lang w:val="en-GB"/>
        </w:rPr>
        <w:t xml:space="preserve"> Historical shock decomposition – inflation (Romania)</w:t>
      </w:r>
    </w:p>
    <w:p w:rsidR="00010BF7" w:rsidRDefault="006C1B17" w:rsidP="00010BF7">
      <w:pPr>
        <w:pStyle w:val="Zkladntext-prvnodsazen"/>
        <w:ind w:firstLine="301"/>
        <w:rPr>
          <w:color w:val="FF0000"/>
          <w:lang w:val="en-GB"/>
        </w:rPr>
      </w:pPr>
      <w:r w:rsidRPr="00E515F6">
        <w:rPr>
          <w:lang w:val="en-GB"/>
        </w:rPr>
        <w:t xml:space="preserve">Forecast error variance decomposition of inflation for </w:t>
      </w:r>
      <w:r w:rsidR="00E515F6" w:rsidRPr="00E515F6">
        <w:rPr>
          <w:lang w:val="en-GB"/>
        </w:rPr>
        <w:t xml:space="preserve">both countries </w:t>
      </w:r>
      <w:r w:rsidRPr="00E515F6">
        <w:rPr>
          <w:lang w:val="en-GB"/>
        </w:rPr>
        <w:t xml:space="preserve">is </w:t>
      </w:r>
      <w:r w:rsidR="00BE06AA">
        <w:rPr>
          <w:lang w:val="en-GB"/>
        </w:rPr>
        <w:t>presented</w:t>
      </w:r>
      <w:r w:rsidRPr="00E515F6">
        <w:rPr>
          <w:lang w:val="en-GB"/>
        </w:rPr>
        <w:t xml:space="preserve"> in Table 1. </w:t>
      </w:r>
      <w:r w:rsidR="00E515F6" w:rsidRPr="00E515F6">
        <w:rPr>
          <w:lang w:val="en-GB"/>
        </w:rPr>
        <w:t>T</w:t>
      </w:r>
      <w:r w:rsidRPr="00E515F6">
        <w:rPr>
          <w:lang w:val="en-GB"/>
        </w:rPr>
        <w:t xml:space="preserve">he exchange rates </w:t>
      </w:r>
      <w:r w:rsidR="00E515F6" w:rsidRPr="00E515F6">
        <w:rPr>
          <w:lang w:val="en-GB"/>
        </w:rPr>
        <w:t xml:space="preserve">are </w:t>
      </w:r>
      <w:r w:rsidRPr="00E515F6">
        <w:rPr>
          <w:lang w:val="en-GB"/>
        </w:rPr>
        <w:t xml:space="preserve">important inflation variables for </w:t>
      </w:r>
      <w:r w:rsidR="00E515F6" w:rsidRPr="00E515F6">
        <w:rPr>
          <w:lang w:val="en-GB"/>
        </w:rPr>
        <w:t xml:space="preserve">both </w:t>
      </w:r>
      <w:r w:rsidRPr="00E515F6">
        <w:rPr>
          <w:lang w:val="en-GB"/>
        </w:rPr>
        <w:t xml:space="preserve">countries. </w:t>
      </w:r>
      <w:r w:rsidR="00E515F6" w:rsidRPr="00E515F6">
        <w:rPr>
          <w:lang w:val="en-GB"/>
        </w:rPr>
        <w:t>Surprisingly, the impact of exchange rate shocks are very similar. The only difference lies in the role of monetary policy. Monetary</w:t>
      </w:r>
      <w:r w:rsidR="00BE06AA">
        <w:rPr>
          <w:lang w:val="en-GB"/>
        </w:rPr>
        <w:t xml:space="preserve"> factors in Bulgaria constitute</w:t>
      </w:r>
      <w:r w:rsidR="00E515F6" w:rsidRPr="00E515F6">
        <w:rPr>
          <w:lang w:val="en-GB"/>
        </w:rPr>
        <w:t xml:space="preserve"> more than 50% of the realized variability in the inflation. In case of Romania, the half of the inflation variability cannot be explained solely by the structural shocks under consideration.</w:t>
      </w:r>
    </w:p>
    <w:p w:rsidR="009F0EEA" w:rsidRPr="00DF22F5" w:rsidRDefault="009F0EEA" w:rsidP="006C1B17">
      <w:pPr>
        <w:pStyle w:val="Zkladntext-prvnodsazen"/>
        <w:rPr>
          <w:color w:val="FF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635"/>
        <w:gridCol w:w="635"/>
        <w:gridCol w:w="635"/>
        <w:gridCol w:w="635"/>
        <w:gridCol w:w="635"/>
      </w:tblGrid>
      <w:tr w:rsidR="0049023F" w:rsidRPr="0049023F" w:rsidTr="003C04F6">
        <w:trPr>
          <w:trHeight w:val="280"/>
          <w:jc w:val="center"/>
        </w:trPr>
        <w:tc>
          <w:tcPr>
            <w:tcW w:w="0" w:type="auto"/>
            <w:tcBorders>
              <w:left w:val="nil"/>
              <w:right w:val="nil"/>
            </w:tcBorders>
            <w:vAlign w:val="center"/>
          </w:tcPr>
          <w:p w:rsidR="006C1B17" w:rsidRPr="0049023F" w:rsidRDefault="006C1B17" w:rsidP="003C04F6">
            <w:pPr>
              <w:pStyle w:val="Tablecenteredtext"/>
              <w:rPr>
                <w:rStyle w:val="Siln"/>
                <w:sz w:val="18"/>
                <w:szCs w:val="18"/>
                <w:lang w:val="en-GB"/>
              </w:rPr>
            </w:pPr>
          </w:p>
        </w:tc>
        <w:tc>
          <w:tcPr>
            <w:tcW w:w="0" w:type="auto"/>
            <w:tcBorders>
              <w:left w:val="nil"/>
              <w:right w:val="nil"/>
            </w:tcBorders>
            <w:vAlign w:val="center"/>
          </w:tcPr>
          <w:p w:rsidR="006C1B17" w:rsidRPr="0049023F" w:rsidRDefault="006C1B17" w:rsidP="003C04F6">
            <w:pPr>
              <w:pStyle w:val="Tablecenteredtext"/>
              <w:rPr>
                <w:rStyle w:val="Siln"/>
                <w:sz w:val="18"/>
                <w:szCs w:val="18"/>
                <w:lang w:val="en-GB"/>
              </w:rPr>
            </w:pPr>
            <w:r w:rsidRPr="0049023F">
              <w:rPr>
                <w:rStyle w:val="Siln"/>
                <w:sz w:val="18"/>
                <w:szCs w:val="18"/>
                <w:lang w:val="en-GB"/>
              </w:rPr>
              <w:object w:dxaOrig="340" w:dyaOrig="300">
                <v:shape id="_x0000_i1057" type="#_x0000_t75" style="width:16.3pt;height:15.05pt" o:ole="">
                  <v:imagedata r:id="rId71" o:title=""/>
                </v:shape>
                <o:OLEObject Type="Embed" ProgID="Equation.3" ShapeID="_x0000_i1057" DrawAspect="Content" ObjectID="_1471692187" r:id="rId72"/>
              </w:object>
            </w:r>
          </w:p>
        </w:tc>
        <w:tc>
          <w:tcPr>
            <w:tcW w:w="0" w:type="auto"/>
            <w:tcBorders>
              <w:left w:val="nil"/>
              <w:right w:val="nil"/>
            </w:tcBorders>
            <w:vAlign w:val="center"/>
          </w:tcPr>
          <w:p w:rsidR="006C1B17" w:rsidRPr="0049023F" w:rsidRDefault="0049023F" w:rsidP="003C04F6">
            <w:pPr>
              <w:pStyle w:val="Tablecenteredtext"/>
              <w:rPr>
                <w:rStyle w:val="Siln"/>
                <w:sz w:val="18"/>
                <w:szCs w:val="18"/>
                <w:lang w:val="en-GB"/>
              </w:rPr>
            </w:pPr>
            <w:r w:rsidRPr="0049023F">
              <w:rPr>
                <w:rStyle w:val="Siln"/>
                <w:sz w:val="18"/>
                <w:szCs w:val="18"/>
                <w:lang w:val="en-GB"/>
              </w:rPr>
              <w:object w:dxaOrig="420" w:dyaOrig="300">
                <v:shape id="_x0000_i1058" type="#_x0000_t75" style="width:20.05pt;height:13.75pt" o:ole="">
                  <v:imagedata r:id="rId73" o:title=""/>
                </v:shape>
                <o:OLEObject Type="Embed" ProgID="Equation.3" ShapeID="_x0000_i1058" DrawAspect="Content" ObjectID="_1471692188" r:id="rId74"/>
              </w:object>
            </w:r>
          </w:p>
        </w:tc>
        <w:tc>
          <w:tcPr>
            <w:tcW w:w="0" w:type="auto"/>
            <w:tcBorders>
              <w:left w:val="nil"/>
              <w:right w:val="nil"/>
            </w:tcBorders>
            <w:vAlign w:val="center"/>
          </w:tcPr>
          <w:p w:rsidR="006C1B17" w:rsidRPr="0049023F" w:rsidRDefault="0049023F" w:rsidP="003C04F6">
            <w:pPr>
              <w:pStyle w:val="Tablecenteredtext"/>
              <w:rPr>
                <w:rStyle w:val="Siln"/>
                <w:sz w:val="18"/>
                <w:szCs w:val="18"/>
                <w:lang w:val="en-GB"/>
              </w:rPr>
            </w:pPr>
            <w:r w:rsidRPr="0049023F">
              <w:rPr>
                <w:rStyle w:val="Siln"/>
                <w:sz w:val="18"/>
                <w:szCs w:val="18"/>
                <w:lang w:val="en-GB"/>
              </w:rPr>
              <w:object w:dxaOrig="300" w:dyaOrig="300">
                <v:shape id="_x0000_i1059" type="#_x0000_t75" style="width:15.05pt;height:15.05pt" o:ole="">
                  <v:imagedata r:id="rId75" o:title=""/>
                </v:shape>
                <o:OLEObject Type="Embed" ProgID="Equation.3" ShapeID="_x0000_i1059" DrawAspect="Content" ObjectID="_1471692189" r:id="rId76"/>
              </w:object>
            </w:r>
          </w:p>
        </w:tc>
        <w:tc>
          <w:tcPr>
            <w:tcW w:w="0" w:type="auto"/>
            <w:tcBorders>
              <w:left w:val="nil"/>
              <w:right w:val="nil"/>
            </w:tcBorders>
            <w:vAlign w:val="center"/>
          </w:tcPr>
          <w:p w:rsidR="006C1B17" w:rsidRPr="0049023F" w:rsidRDefault="006C1B17" w:rsidP="003C04F6">
            <w:pPr>
              <w:pStyle w:val="Tablecenteredtext"/>
              <w:rPr>
                <w:rStyle w:val="Siln"/>
                <w:sz w:val="18"/>
                <w:szCs w:val="18"/>
                <w:lang w:val="en-GB"/>
              </w:rPr>
            </w:pPr>
            <w:r w:rsidRPr="0049023F">
              <w:rPr>
                <w:rStyle w:val="Siln"/>
                <w:sz w:val="18"/>
                <w:szCs w:val="18"/>
                <w:lang w:val="en-GB"/>
              </w:rPr>
              <w:object w:dxaOrig="440" w:dyaOrig="300">
                <v:shape id="_x0000_i1060" type="#_x0000_t75" style="width:21.3pt;height:15.05pt" o:ole="">
                  <v:imagedata r:id="rId77" o:title=""/>
                </v:shape>
                <o:OLEObject Type="Embed" ProgID="Equation.3" ShapeID="_x0000_i1060" DrawAspect="Content" ObjectID="_1471692190" r:id="rId78"/>
              </w:object>
            </w:r>
          </w:p>
        </w:tc>
        <w:tc>
          <w:tcPr>
            <w:tcW w:w="0" w:type="auto"/>
            <w:tcBorders>
              <w:left w:val="nil"/>
              <w:right w:val="nil"/>
            </w:tcBorders>
            <w:vAlign w:val="center"/>
          </w:tcPr>
          <w:p w:rsidR="006C1B17" w:rsidRPr="0049023F" w:rsidRDefault="006C1B17" w:rsidP="003C04F6">
            <w:pPr>
              <w:pStyle w:val="Tablecenteredtext"/>
              <w:rPr>
                <w:rStyle w:val="Siln"/>
                <w:sz w:val="18"/>
                <w:szCs w:val="18"/>
                <w:lang w:val="en-GB"/>
              </w:rPr>
            </w:pPr>
            <w:r w:rsidRPr="0049023F">
              <w:rPr>
                <w:rStyle w:val="Siln"/>
                <w:sz w:val="18"/>
                <w:szCs w:val="18"/>
                <w:lang w:val="en-GB"/>
              </w:rPr>
              <w:object w:dxaOrig="360" w:dyaOrig="300">
                <v:shape id="_x0000_i1061" type="#_x0000_t75" style="width:18.15pt;height:13.75pt" o:ole="">
                  <v:imagedata r:id="rId79" o:title=""/>
                </v:shape>
                <o:OLEObject Type="Embed" ProgID="Equation.3" ShapeID="_x0000_i1061" DrawAspect="Content" ObjectID="_1471692191" r:id="rId80"/>
              </w:object>
            </w:r>
          </w:p>
        </w:tc>
      </w:tr>
      <w:tr w:rsidR="0049023F" w:rsidRPr="0049023F" w:rsidTr="003C04F6">
        <w:trPr>
          <w:trHeight w:val="280"/>
          <w:jc w:val="center"/>
        </w:trPr>
        <w:tc>
          <w:tcPr>
            <w:tcW w:w="0" w:type="auto"/>
            <w:tcBorders>
              <w:left w:val="nil"/>
              <w:bottom w:val="nil"/>
              <w:right w:val="nil"/>
            </w:tcBorders>
            <w:vAlign w:val="center"/>
          </w:tcPr>
          <w:p w:rsidR="006C1B17" w:rsidRPr="0049023F" w:rsidRDefault="0049023F" w:rsidP="0049023F">
            <w:pPr>
              <w:pStyle w:val="Tablecenteredtext"/>
              <w:rPr>
                <w:sz w:val="18"/>
                <w:szCs w:val="18"/>
                <w:lang w:val="en-GB"/>
              </w:rPr>
            </w:pPr>
            <w:r w:rsidRPr="0049023F">
              <w:rPr>
                <w:sz w:val="18"/>
                <w:szCs w:val="18"/>
                <w:lang w:val="en-GB"/>
              </w:rPr>
              <w:t>ROM</w:t>
            </w:r>
          </w:p>
        </w:tc>
        <w:tc>
          <w:tcPr>
            <w:tcW w:w="0" w:type="auto"/>
            <w:tcBorders>
              <w:left w:val="nil"/>
              <w:bottom w:val="nil"/>
              <w:right w:val="nil"/>
            </w:tcBorders>
            <w:vAlign w:val="center"/>
          </w:tcPr>
          <w:p w:rsidR="006C1B17" w:rsidRPr="0049023F" w:rsidRDefault="0049023F" w:rsidP="003C04F6">
            <w:pPr>
              <w:pStyle w:val="Tablecenteredtext"/>
              <w:rPr>
                <w:sz w:val="18"/>
                <w:szCs w:val="18"/>
                <w:lang w:val="en-GB"/>
              </w:rPr>
            </w:pPr>
            <w:r w:rsidRPr="0049023F">
              <w:rPr>
                <w:sz w:val="18"/>
                <w:szCs w:val="18"/>
                <w:lang w:val="en-GB"/>
              </w:rPr>
              <w:t>0.0292</w:t>
            </w:r>
          </w:p>
        </w:tc>
        <w:tc>
          <w:tcPr>
            <w:tcW w:w="0" w:type="auto"/>
            <w:tcBorders>
              <w:left w:val="nil"/>
              <w:bottom w:val="nil"/>
              <w:right w:val="nil"/>
            </w:tcBorders>
            <w:vAlign w:val="center"/>
          </w:tcPr>
          <w:p w:rsidR="006C1B17" w:rsidRPr="0049023F" w:rsidRDefault="006C1B17" w:rsidP="0049023F">
            <w:pPr>
              <w:pStyle w:val="Tablecenteredtext"/>
              <w:rPr>
                <w:sz w:val="18"/>
                <w:szCs w:val="18"/>
                <w:lang w:val="en-GB"/>
              </w:rPr>
            </w:pPr>
            <w:r w:rsidRPr="0049023F">
              <w:rPr>
                <w:sz w:val="18"/>
                <w:szCs w:val="18"/>
                <w:lang w:val="en-GB"/>
              </w:rPr>
              <w:t>0.0</w:t>
            </w:r>
            <w:r w:rsidR="0049023F" w:rsidRPr="0049023F">
              <w:rPr>
                <w:sz w:val="18"/>
                <w:szCs w:val="18"/>
                <w:lang w:val="en-GB"/>
              </w:rPr>
              <w:t>609</w:t>
            </w:r>
          </w:p>
        </w:tc>
        <w:tc>
          <w:tcPr>
            <w:tcW w:w="0" w:type="auto"/>
            <w:tcBorders>
              <w:left w:val="nil"/>
              <w:bottom w:val="nil"/>
              <w:right w:val="nil"/>
            </w:tcBorders>
            <w:vAlign w:val="center"/>
          </w:tcPr>
          <w:p w:rsidR="006C1B17" w:rsidRPr="0049023F" w:rsidRDefault="006C1B17" w:rsidP="0049023F">
            <w:pPr>
              <w:pStyle w:val="Tablecenteredtext"/>
              <w:rPr>
                <w:sz w:val="18"/>
                <w:szCs w:val="18"/>
                <w:lang w:val="en-GB"/>
              </w:rPr>
            </w:pPr>
            <w:r w:rsidRPr="0049023F">
              <w:rPr>
                <w:sz w:val="18"/>
                <w:szCs w:val="18"/>
                <w:lang w:val="en-GB"/>
              </w:rPr>
              <w:t>0.</w:t>
            </w:r>
            <w:r w:rsidR="0049023F" w:rsidRPr="0049023F">
              <w:rPr>
                <w:sz w:val="18"/>
                <w:szCs w:val="18"/>
                <w:lang w:val="en-GB"/>
              </w:rPr>
              <w:t>1012</w:t>
            </w:r>
          </w:p>
        </w:tc>
        <w:tc>
          <w:tcPr>
            <w:tcW w:w="0" w:type="auto"/>
            <w:tcBorders>
              <w:left w:val="nil"/>
              <w:bottom w:val="nil"/>
              <w:right w:val="nil"/>
            </w:tcBorders>
            <w:vAlign w:val="center"/>
          </w:tcPr>
          <w:p w:rsidR="006C1B17" w:rsidRPr="0049023F" w:rsidRDefault="006C1B17" w:rsidP="0049023F">
            <w:pPr>
              <w:pStyle w:val="Tablecenteredtext"/>
              <w:rPr>
                <w:sz w:val="18"/>
                <w:szCs w:val="18"/>
                <w:lang w:val="en-GB"/>
              </w:rPr>
            </w:pPr>
            <w:r w:rsidRPr="0049023F">
              <w:rPr>
                <w:sz w:val="18"/>
                <w:szCs w:val="18"/>
                <w:lang w:val="en-GB"/>
              </w:rPr>
              <w:t>0.</w:t>
            </w:r>
            <w:r w:rsidR="0049023F" w:rsidRPr="0049023F">
              <w:rPr>
                <w:sz w:val="18"/>
                <w:szCs w:val="18"/>
                <w:lang w:val="en-GB"/>
              </w:rPr>
              <w:t>2836</w:t>
            </w:r>
          </w:p>
        </w:tc>
        <w:tc>
          <w:tcPr>
            <w:tcW w:w="0" w:type="auto"/>
            <w:tcBorders>
              <w:left w:val="nil"/>
              <w:bottom w:val="nil"/>
              <w:right w:val="nil"/>
            </w:tcBorders>
            <w:vAlign w:val="center"/>
          </w:tcPr>
          <w:p w:rsidR="006C1B17" w:rsidRPr="0049023F" w:rsidRDefault="006C1B17" w:rsidP="0049023F">
            <w:pPr>
              <w:pStyle w:val="Tablecenteredtext"/>
              <w:rPr>
                <w:sz w:val="18"/>
                <w:szCs w:val="18"/>
                <w:lang w:val="en-GB"/>
              </w:rPr>
            </w:pPr>
            <w:r w:rsidRPr="0049023F">
              <w:rPr>
                <w:sz w:val="18"/>
                <w:szCs w:val="18"/>
                <w:lang w:val="en-GB"/>
              </w:rPr>
              <w:t>0.</w:t>
            </w:r>
            <w:r w:rsidR="0049023F" w:rsidRPr="0049023F">
              <w:rPr>
                <w:sz w:val="18"/>
                <w:szCs w:val="18"/>
                <w:lang w:val="en-GB"/>
              </w:rPr>
              <w:t>5251</w:t>
            </w:r>
          </w:p>
        </w:tc>
      </w:tr>
      <w:tr w:rsidR="0049023F" w:rsidRPr="0049023F" w:rsidTr="003C04F6">
        <w:trPr>
          <w:trHeight w:val="280"/>
          <w:jc w:val="center"/>
        </w:trPr>
        <w:tc>
          <w:tcPr>
            <w:tcW w:w="0" w:type="auto"/>
            <w:tcBorders>
              <w:top w:val="nil"/>
              <w:left w:val="nil"/>
              <w:right w:val="nil"/>
            </w:tcBorders>
            <w:vAlign w:val="center"/>
          </w:tcPr>
          <w:p w:rsidR="006C1B17" w:rsidRPr="0049023F" w:rsidRDefault="0049023F" w:rsidP="003C04F6">
            <w:pPr>
              <w:pStyle w:val="Tablecenteredtext"/>
              <w:rPr>
                <w:sz w:val="18"/>
                <w:szCs w:val="18"/>
                <w:lang w:val="en-GB"/>
              </w:rPr>
            </w:pPr>
            <w:r w:rsidRPr="0049023F">
              <w:rPr>
                <w:sz w:val="18"/>
                <w:szCs w:val="18"/>
                <w:lang w:val="en-GB"/>
              </w:rPr>
              <w:t>BUL</w:t>
            </w:r>
          </w:p>
        </w:tc>
        <w:tc>
          <w:tcPr>
            <w:tcW w:w="0" w:type="auto"/>
            <w:tcBorders>
              <w:top w:val="nil"/>
              <w:left w:val="nil"/>
              <w:right w:val="nil"/>
            </w:tcBorders>
            <w:vAlign w:val="center"/>
          </w:tcPr>
          <w:p w:rsidR="006C1B17" w:rsidRPr="0049023F" w:rsidRDefault="006C1B17" w:rsidP="0049023F">
            <w:pPr>
              <w:jc w:val="center"/>
              <w:rPr>
                <w:sz w:val="18"/>
                <w:szCs w:val="18"/>
                <w:lang w:val="en-GB"/>
              </w:rPr>
            </w:pPr>
            <w:r w:rsidRPr="0049023F">
              <w:rPr>
                <w:sz w:val="18"/>
                <w:szCs w:val="18"/>
                <w:lang w:val="en-GB"/>
              </w:rPr>
              <w:t>0.0</w:t>
            </w:r>
            <w:r w:rsidR="0049023F" w:rsidRPr="0049023F">
              <w:rPr>
                <w:sz w:val="18"/>
                <w:szCs w:val="18"/>
                <w:lang w:val="en-GB"/>
              </w:rPr>
              <w:t>496</w:t>
            </w:r>
          </w:p>
        </w:tc>
        <w:tc>
          <w:tcPr>
            <w:tcW w:w="0" w:type="auto"/>
            <w:tcBorders>
              <w:top w:val="nil"/>
              <w:left w:val="nil"/>
              <w:right w:val="nil"/>
            </w:tcBorders>
            <w:vAlign w:val="center"/>
          </w:tcPr>
          <w:p w:rsidR="006C1B17" w:rsidRPr="0049023F" w:rsidRDefault="0049023F" w:rsidP="0049023F">
            <w:pPr>
              <w:jc w:val="center"/>
              <w:rPr>
                <w:sz w:val="18"/>
                <w:szCs w:val="18"/>
                <w:lang w:val="en-GB"/>
              </w:rPr>
            </w:pPr>
            <w:r w:rsidRPr="0049023F">
              <w:rPr>
                <w:sz w:val="18"/>
                <w:szCs w:val="18"/>
                <w:lang w:val="en-GB"/>
              </w:rPr>
              <w:t>0.0159</w:t>
            </w:r>
          </w:p>
        </w:tc>
        <w:tc>
          <w:tcPr>
            <w:tcW w:w="0" w:type="auto"/>
            <w:tcBorders>
              <w:top w:val="nil"/>
              <w:left w:val="nil"/>
              <w:right w:val="nil"/>
            </w:tcBorders>
            <w:vAlign w:val="center"/>
          </w:tcPr>
          <w:p w:rsidR="006C1B17" w:rsidRPr="0049023F" w:rsidRDefault="006C1B17" w:rsidP="0049023F">
            <w:pPr>
              <w:jc w:val="center"/>
              <w:rPr>
                <w:sz w:val="18"/>
                <w:szCs w:val="18"/>
                <w:lang w:val="en-GB"/>
              </w:rPr>
            </w:pPr>
            <w:r w:rsidRPr="0049023F">
              <w:rPr>
                <w:sz w:val="18"/>
                <w:szCs w:val="18"/>
                <w:lang w:val="en-GB"/>
              </w:rPr>
              <w:t>0.</w:t>
            </w:r>
            <w:r w:rsidR="0049023F" w:rsidRPr="0049023F">
              <w:rPr>
                <w:sz w:val="18"/>
                <w:szCs w:val="18"/>
                <w:lang w:val="en-GB"/>
              </w:rPr>
              <w:t>5090</w:t>
            </w:r>
          </w:p>
        </w:tc>
        <w:tc>
          <w:tcPr>
            <w:tcW w:w="0" w:type="auto"/>
            <w:tcBorders>
              <w:top w:val="nil"/>
              <w:left w:val="nil"/>
              <w:right w:val="nil"/>
            </w:tcBorders>
            <w:vAlign w:val="center"/>
          </w:tcPr>
          <w:p w:rsidR="006C1B17" w:rsidRPr="0049023F" w:rsidRDefault="006C1B17" w:rsidP="0049023F">
            <w:pPr>
              <w:jc w:val="center"/>
              <w:rPr>
                <w:sz w:val="18"/>
                <w:szCs w:val="18"/>
                <w:lang w:val="en-GB"/>
              </w:rPr>
            </w:pPr>
            <w:r w:rsidRPr="0049023F">
              <w:rPr>
                <w:sz w:val="18"/>
                <w:szCs w:val="18"/>
                <w:lang w:val="en-GB"/>
              </w:rPr>
              <w:t>0.</w:t>
            </w:r>
            <w:r w:rsidR="0049023F" w:rsidRPr="0049023F">
              <w:rPr>
                <w:sz w:val="18"/>
                <w:szCs w:val="18"/>
                <w:lang w:val="en-GB"/>
              </w:rPr>
              <w:t>2841</w:t>
            </w:r>
          </w:p>
        </w:tc>
        <w:tc>
          <w:tcPr>
            <w:tcW w:w="0" w:type="auto"/>
            <w:tcBorders>
              <w:top w:val="nil"/>
              <w:left w:val="nil"/>
              <w:right w:val="nil"/>
            </w:tcBorders>
            <w:vAlign w:val="center"/>
          </w:tcPr>
          <w:p w:rsidR="006C1B17" w:rsidRPr="0049023F" w:rsidRDefault="006C1B17" w:rsidP="0049023F">
            <w:pPr>
              <w:jc w:val="center"/>
              <w:rPr>
                <w:sz w:val="18"/>
                <w:szCs w:val="18"/>
                <w:lang w:val="en-GB"/>
              </w:rPr>
            </w:pPr>
            <w:r w:rsidRPr="0049023F">
              <w:rPr>
                <w:sz w:val="18"/>
                <w:szCs w:val="18"/>
                <w:lang w:val="en-GB"/>
              </w:rPr>
              <w:t>0.</w:t>
            </w:r>
            <w:r w:rsidR="0049023F" w:rsidRPr="0049023F">
              <w:rPr>
                <w:sz w:val="18"/>
                <w:szCs w:val="18"/>
                <w:lang w:val="en-GB"/>
              </w:rPr>
              <w:t>1414</w:t>
            </w:r>
          </w:p>
        </w:tc>
      </w:tr>
    </w:tbl>
    <w:p w:rsidR="006C1B17" w:rsidRDefault="006C1B17" w:rsidP="006C1B17">
      <w:pPr>
        <w:pStyle w:val="Zkladntext-prvnodsazen"/>
        <w:jc w:val="center"/>
        <w:rPr>
          <w:lang w:val="en-GB"/>
        </w:rPr>
      </w:pPr>
      <w:r w:rsidRPr="0049023F">
        <w:rPr>
          <w:rStyle w:val="CaptionHeader"/>
          <w:lang w:val="en-GB"/>
        </w:rPr>
        <w:t xml:space="preserve">Table </w:t>
      </w:r>
      <w:r w:rsidR="005670A2" w:rsidRPr="0049023F">
        <w:rPr>
          <w:rStyle w:val="CaptionHeader"/>
          <w:lang w:val="en-GB"/>
        </w:rPr>
        <w:fldChar w:fldCharType="begin"/>
      </w:r>
      <w:r w:rsidRPr="0049023F">
        <w:rPr>
          <w:rStyle w:val="CaptionHeader"/>
          <w:lang w:val="en-GB"/>
        </w:rPr>
        <w:instrText xml:space="preserve"> SEQ Table \* ARABIC </w:instrText>
      </w:r>
      <w:r w:rsidR="005670A2" w:rsidRPr="0049023F">
        <w:rPr>
          <w:rStyle w:val="CaptionHeader"/>
          <w:lang w:val="en-GB"/>
        </w:rPr>
        <w:fldChar w:fldCharType="separate"/>
      </w:r>
      <w:r w:rsidR="00711EE6">
        <w:rPr>
          <w:rStyle w:val="CaptionHeader"/>
          <w:noProof/>
          <w:lang w:val="en-GB"/>
        </w:rPr>
        <w:t>1</w:t>
      </w:r>
      <w:r w:rsidR="005670A2" w:rsidRPr="0049023F">
        <w:rPr>
          <w:rStyle w:val="CaptionHeader"/>
          <w:lang w:val="en-GB"/>
        </w:rPr>
        <w:fldChar w:fldCharType="end"/>
      </w:r>
      <w:r w:rsidRPr="0049023F">
        <w:rPr>
          <w:lang w:val="en-GB"/>
        </w:rPr>
        <w:t xml:space="preserve"> Forecast error variance decomposition of inflation</w:t>
      </w:r>
    </w:p>
    <w:p w:rsidR="006C1B17" w:rsidRPr="00A01892" w:rsidRDefault="00970AED" w:rsidP="00AE00F4">
      <w:pPr>
        <w:pStyle w:val="Zkladntext-prvnodsazen"/>
        <w:ind w:firstLine="301"/>
        <w:rPr>
          <w:lang w:val="en-GB"/>
        </w:rPr>
      </w:pPr>
      <w:r w:rsidRPr="00A01892">
        <w:rPr>
          <w:lang w:val="en-GB"/>
        </w:rPr>
        <w:t xml:space="preserve">The evaluation of the relative </w:t>
      </w:r>
      <w:r w:rsidR="006C1B17" w:rsidRPr="00A01892">
        <w:rPr>
          <w:lang w:val="en-GB"/>
        </w:rPr>
        <w:t>importance of structural shocks may be found in Table 2.  The presented nu</w:t>
      </w:r>
      <w:r w:rsidR="006C1B17" w:rsidRPr="00A01892">
        <w:rPr>
          <w:lang w:val="en-GB"/>
        </w:rPr>
        <w:t>m</w:t>
      </w:r>
      <w:r w:rsidR="006C1B17" w:rsidRPr="00A01892">
        <w:rPr>
          <w:lang w:val="en-GB"/>
        </w:rPr>
        <w:t>bers are outputs of the regressions where dependent variable is the standardized inflation and the explaining variables are standardized structural shocks</w:t>
      </w:r>
      <w:r w:rsidRPr="00A01892">
        <w:rPr>
          <w:lang w:val="en-GB"/>
        </w:rPr>
        <w:t xml:space="preserve"> (see </w:t>
      </w:r>
      <w:proofErr w:type="spellStart"/>
      <w:r w:rsidRPr="00A01892">
        <w:rPr>
          <w:lang w:val="en-GB"/>
        </w:rPr>
        <w:t>Němec</w:t>
      </w:r>
      <w:proofErr w:type="spellEnd"/>
      <w:r w:rsidRPr="00A01892">
        <w:rPr>
          <w:lang w:val="en-GB"/>
        </w:rPr>
        <w:t xml:space="preserve"> and </w:t>
      </w:r>
      <w:proofErr w:type="spellStart"/>
      <w:r w:rsidRPr="00A01892">
        <w:rPr>
          <w:lang w:val="en-GB"/>
        </w:rPr>
        <w:t>Žídek</w:t>
      </w:r>
      <w:proofErr w:type="spellEnd"/>
      <w:r w:rsidRPr="00A01892">
        <w:rPr>
          <w:lang w:val="en-GB"/>
        </w:rPr>
        <w:t xml:space="preserve"> </w:t>
      </w:r>
      <w:r w:rsidR="00792EAE">
        <w:fldChar w:fldCharType="begin"/>
      </w:r>
      <w:r w:rsidR="00792EAE">
        <w:instrText xml:space="preserve"> REF _Ref387269738 \r \h  \* MERGEFORMAT </w:instrText>
      </w:r>
      <w:r w:rsidR="00792EAE">
        <w:fldChar w:fldCharType="separate"/>
      </w:r>
      <w:r w:rsidR="00711EE6" w:rsidRPr="00711EE6">
        <w:rPr>
          <w:lang w:val="en-GB"/>
        </w:rPr>
        <w:t>[8]</w:t>
      </w:r>
      <w:r w:rsidR="00792EAE">
        <w:fldChar w:fldCharType="end"/>
      </w:r>
      <w:r w:rsidRPr="00A01892">
        <w:rPr>
          <w:lang w:val="en-GB"/>
        </w:rPr>
        <w:t xml:space="preserve"> for further details)</w:t>
      </w:r>
      <w:r w:rsidR="006C1B17" w:rsidRPr="00A01892">
        <w:rPr>
          <w:lang w:val="en-GB"/>
        </w:rPr>
        <w:t>.</w:t>
      </w:r>
      <w:r w:rsidR="00461225">
        <w:rPr>
          <w:lang w:val="en-GB"/>
        </w:rPr>
        <w:t xml:space="preserve"> There is no violation of classical linear regression assumptions due to the fact, that the explanatory variables are true driving forces for all endogenous variables in our SVAR models. This regression procedure is thus a useful tool for deriving the relative importance of mutually independent structural shock variables. </w:t>
      </w:r>
      <w:r w:rsidR="006C1B17" w:rsidRPr="00A01892">
        <w:rPr>
          <w:lang w:val="en-GB"/>
        </w:rPr>
        <w:t xml:space="preserve">All the computations were carried out for the periods of </w:t>
      </w:r>
      <w:r w:rsidRPr="00A01892">
        <w:rPr>
          <w:lang w:val="en-GB"/>
        </w:rPr>
        <w:t xml:space="preserve">mixed </w:t>
      </w:r>
      <w:r w:rsidR="006C1B17" w:rsidRPr="00A01892">
        <w:rPr>
          <w:lang w:val="en-GB"/>
        </w:rPr>
        <w:t>exchange rate</w:t>
      </w:r>
      <w:r w:rsidRPr="00A01892">
        <w:rPr>
          <w:lang w:val="en-GB"/>
        </w:rPr>
        <w:t xml:space="preserve"> regimes</w:t>
      </w:r>
      <w:r w:rsidR="006C1B17" w:rsidRPr="00A01892">
        <w:rPr>
          <w:lang w:val="en-GB"/>
        </w:rPr>
        <w:t xml:space="preserve">, floating exchange rate and the period of both regimes. </w:t>
      </w:r>
    </w:p>
    <w:p w:rsidR="006C1B17" w:rsidRPr="00233CE5" w:rsidRDefault="006C1B17" w:rsidP="006C1B17">
      <w:pPr>
        <w:pStyle w:val="Zkladntext-prvnodsazen"/>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146"/>
        <w:gridCol w:w="834"/>
        <w:gridCol w:w="834"/>
        <w:gridCol w:w="146"/>
        <w:gridCol w:w="634"/>
        <w:gridCol w:w="634"/>
        <w:gridCol w:w="146"/>
        <w:gridCol w:w="782"/>
        <w:gridCol w:w="782"/>
      </w:tblGrid>
      <w:tr w:rsidR="00776654" w:rsidRPr="00233CE5" w:rsidTr="00970AED">
        <w:trPr>
          <w:trHeight w:val="280"/>
          <w:jc w:val="center"/>
        </w:trPr>
        <w:tc>
          <w:tcPr>
            <w:tcW w:w="0" w:type="auto"/>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tcBorders>
              <w:top w:val="single" w:sz="4" w:space="0" w:color="auto"/>
              <w:left w:val="nil"/>
              <w:bottom w:val="nil"/>
              <w:right w:val="nil"/>
            </w:tcBorders>
          </w:tcPr>
          <w:p w:rsidR="00970AED" w:rsidRPr="00233CE5" w:rsidRDefault="00970AED" w:rsidP="003C04F6">
            <w:pPr>
              <w:pStyle w:val="Tablecenteredtext"/>
              <w:rPr>
                <w:rStyle w:val="Siln"/>
                <w:sz w:val="16"/>
                <w:szCs w:val="16"/>
                <w:lang w:val="en-GB"/>
              </w:rPr>
            </w:pPr>
          </w:p>
        </w:tc>
        <w:tc>
          <w:tcPr>
            <w:tcW w:w="0" w:type="auto"/>
            <w:gridSpan w:val="2"/>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“1990s”</w:t>
            </w:r>
          </w:p>
        </w:tc>
        <w:tc>
          <w:tcPr>
            <w:tcW w:w="0" w:type="auto"/>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gridSpan w:val="2"/>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“2000s”</w:t>
            </w:r>
          </w:p>
        </w:tc>
        <w:tc>
          <w:tcPr>
            <w:tcW w:w="0" w:type="auto"/>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gridSpan w:val="2"/>
            <w:tcBorders>
              <w:top w:val="single" w:sz="4" w:space="0" w:color="auto"/>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“1990s” and “2000s”</w:t>
            </w:r>
          </w:p>
        </w:tc>
      </w:tr>
      <w:tr w:rsidR="00776654" w:rsidRPr="00233CE5" w:rsidTr="00970AED">
        <w:trPr>
          <w:trHeight w:val="280"/>
          <w:jc w:val="center"/>
        </w:trPr>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p>
        </w:tc>
        <w:tc>
          <w:tcPr>
            <w:tcW w:w="0" w:type="auto"/>
            <w:tcBorders>
              <w:top w:val="nil"/>
              <w:left w:val="nil"/>
              <w:bottom w:val="nil"/>
              <w:right w:val="nil"/>
            </w:tcBorders>
          </w:tcPr>
          <w:p w:rsidR="00902126" w:rsidRPr="00233CE5" w:rsidRDefault="00902126" w:rsidP="003C04F6">
            <w:pPr>
              <w:pStyle w:val="Tablecenteredtext"/>
              <w:rPr>
                <w:rStyle w:val="Siln"/>
                <w:sz w:val="16"/>
                <w:szCs w:val="16"/>
                <w:lang w:val="en-GB"/>
              </w:rPr>
            </w:pPr>
          </w:p>
        </w:tc>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r w:rsidRPr="00233CE5">
              <w:rPr>
                <w:rStyle w:val="Siln"/>
                <w:sz w:val="16"/>
                <w:szCs w:val="16"/>
                <w:lang w:val="en-GB"/>
              </w:rPr>
              <w:t>ROM</w:t>
            </w:r>
          </w:p>
        </w:tc>
        <w:tc>
          <w:tcPr>
            <w:tcW w:w="0" w:type="auto"/>
            <w:tcBorders>
              <w:top w:val="nil"/>
              <w:left w:val="nil"/>
              <w:bottom w:val="nil"/>
              <w:right w:val="nil"/>
            </w:tcBorders>
            <w:vAlign w:val="center"/>
          </w:tcPr>
          <w:p w:rsidR="00902126" w:rsidRPr="00233CE5" w:rsidRDefault="00902126" w:rsidP="00902126">
            <w:pPr>
              <w:pStyle w:val="Tablecenteredtext"/>
              <w:rPr>
                <w:rStyle w:val="Siln"/>
                <w:sz w:val="16"/>
                <w:szCs w:val="16"/>
                <w:lang w:val="en-GB"/>
              </w:rPr>
            </w:pPr>
            <w:r w:rsidRPr="00233CE5">
              <w:rPr>
                <w:rStyle w:val="Siln"/>
                <w:sz w:val="16"/>
                <w:szCs w:val="16"/>
                <w:lang w:val="en-GB"/>
              </w:rPr>
              <w:t>BUL</w:t>
            </w:r>
          </w:p>
        </w:tc>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p>
        </w:tc>
        <w:tc>
          <w:tcPr>
            <w:tcW w:w="0" w:type="auto"/>
            <w:tcBorders>
              <w:top w:val="nil"/>
              <w:left w:val="nil"/>
              <w:bottom w:val="nil"/>
              <w:right w:val="nil"/>
            </w:tcBorders>
            <w:vAlign w:val="center"/>
          </w:tcPr>
          <w:p w:rsidR="00902126" w:rsidRPr="00233CE5" w:rsidRDefault="00902126" w:rsidP="00902126">
            <w:pPr>
              <w:pStyle w:val="Tablecenteredtext"/>
              <w:rPr>
                <w:rStyle w:val="Siln"/>
                <w:sz w:val="16"/>
                <w:szCs w:val="16"/>
                <w:lang w:val="en-GB"/>
              </w:rPr>
            </w:pPr>
            <w:r w:rsidRPr="00233CE5">
              <w:rPr>
                <w:rStyle w:val="Siln"/>
                <w:sz w:val="16"/>
                <w:szCs w:val="16"/>
                <w:lang w:val="en-GB"/>
              </w:rPr>
              <w:t>ROM</w:t>
            </w:r>
          </w:p>
        </w:tc>
        <w:tc>
          <w:tcPr>
            <w:tcW w:w="0" w:type="auto"/>
            <w:tcBorders>
              <w:top w:val="nil"/>
              <w:left w:val="nil"/>
              <w:bottom w:val="nil"/>
              <w:right w:val="nil"/>
            </w:tcBorders>
            <w:vAlign w:val="center"/>
          </w:tcPr>
          <w:p w:rsidR="00902126" w:rsidRPr="00233CE5" w:rsidRDefault="00902126" w:rsidP="00902126">
            <w:pPr>
              <w:pStyle w:val="Tablecenteredtext"/>
              <w:rPr>
                <w:rStyle w:val="Siln"/>
                <w:sz w:val="16"/>
                <w:szCs w:val="16"/>
                <w:lang w:val="en-GB"/>
              </w:rPr>
            </w:pPr>
            <w:r w:rsidRPr="00233CE5">
              <w:rPr>
                <w:rStyle w:val="Siln"/>
                <w:sz w:val="16"/>
                <w:szCs w:val="16"/>
                <w:lang w:val="en-GB"/>
              </w:rPr>
              <w:t>BUL</w:t>
            </w:r>
          </w:p>
        </w:tc>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p>
        </w:tc>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r w:rsidRPr="00233CE5">
              <w:rPr>
                <w:rStyle w:val="Siln"/>
                <w:sz w:val="16"/>
                <w:szCs w:val="16"/>
                <w:lang w:val="en-GB"/>
              </w:rPr>
              <w:t>ROM</w:t>
            </w:r>
          </w:p>
        </w:tc>
        <w:tc>
          <w:tcPr>
            <w:tcW w:w="0" w:type="auto"/>
            <w:tcBorders>
              <w:top w:val="nil"/>
              <w:left w:val="nil"/>
              <w:bottom w:val="nil"/>
              <w:right w:val="nil"/>
            </w:tcBorders>
            <w:vAlign w:val="center"/>
          </w:tcPr>
          <w:p w:rsidR="00902126" w:rsidRPr="00233CE5" w:rsidRDefault="00902126" w:rsidP="003C04F6">
            <w:pPr>
              <w:pStyle w:val="Tablecenteredtext"/>
              <w:rPr>
                <w:rStyle w:val="Siln"/>
                <w:sz w:val="16"/>
                <w:szCs w:val="16"/>
                <w:lang w:val="en-GB"/>
              </w:rPr>
            </w:pPr>
            <w:r w:rsidRPr="00233CE5">
              <w:rPr>
                <w:rStyle w:val="Siln"/>
                <w:sz w:val="16"/>
                <w:szCs w:val="16"/>
                <w:lang w:val="en-GB"/>
              </w:rPr>
              <w:t>BUL</w:t>
            </w:r>
          </w:p>
        </w:tc>
      </w:tr>
      <w:tr w:rsidR="00776654" w:rsidRPr="00233CE5" w:rsidTr="00970AED">
        <w:trPr>
          <w:trHeight w:val="280"/>
          <w:jc w:val="center"/>
        </w:trPr>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tcBorders>
              <w:top w:val="nil"/>
              <w:left w:val="nil"/>
              <w:bottom w:val="nil"/>
              <w:right w:val="nil"/>
            </w:tcBorders>
          </w:tcPr>
          <w:p w:rsidR="00970AED" w:rsidRPr="00233CE5" w:rsidRDefault="00970AED" w:rsidP="003C04F6">
            <w:pPr>
              <w:pStyle w:val="Tablecenteredtext"/>
              <w:rPr>
                <w:rStyle w:val="Siln"/>
                <w:sz w:val="16"/>
                <w:szCs w:val="16"/>
                <w:lang w:val="en-GB"/>
              </w:rPr>
            </w:pPr>
          </w:p>
        </w:tc>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Mixed</w:t>
            </w:r>
          </w:p>
        </w:tc>
        <w:tc>
          <w:tcPr>
            <w:tcW w:w="0" w:type="auto"/>
            <w:tcBorders>
              <w:top w:val="nil"/>
              <w:left w:val="nil"/>
              <w:bottom w:val="nil"/>
              <w:right w:val="nil"/>
            </w:tcBorders>
            <w:vAlign w:val="center"/>
          </w:tcPr>
          <w:p w:rsidR="00970AED" w:rsidRPr="00233CE5" w:rsidRDefault="00970AED" w:rsidP="00902126">
            <w:pPr>
              <w:pStyle w:val="Tablecenteredtext"/>
              <w:rPr>
                <w:rStyle w:val="Siln"/>
                <w:sz w:val="16"/>
                <w:szCs w:val="16"/>
                <w:lang w:val="en-GB"/>
              </w:rPr>
            </w:pPr>
            <w:r w:rsidRPr="00233CE5">
              <w:rPr>
                <w:rStyle w:val="Siln"/>
                <w:sz w:val="16"/>
                <w:szCs w:val="16"/>
                <w:lang w:val="en-GB"/>
              </w:rPr>
              <w:t>Mixed</w:t>
            </w:r>
          </w:p>
        </w:tc>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Float</w:t>
            </w:r>
          </w:p>
        </w:tc>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Float</w:t>
            </w:r>
          </w:p>
        </w:tc>
        <w:tc>
          <w:tcPr>
            <w:tcW w:w="0" w:type="auto"/>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p>
        </w:tc>
        <w:tc>
          <w:tcPr>
            <w:tcW w:w="0" w:type="auto"/>
            <w:gridSpan w:val="2"/>
            <w:tcBorders>
              <w:top w:val="nil"/>
              <w:left w:val="nil"/>
              <w:bottom w:val="nil"/>
              <w:right w:val="nil"/>
            </w:tcBorders>
            <w:vAlign w:val="center"/>
          </w:tcPr>
          <w:p w:rsidR="00970AED" w:rsidRPr="00233CE5" w:rsidRDefault="00970AED" w:rsidP="003C04F6">
            <w:pPr>
              <w:pStyle w:val="Tablecenteredtext"/>
              <w:rPr>
                <w:rStyle w:val="Siln"/>
                <w:sz w:val="16"/>
                <w:szCs w:val="16"/>
                <w:lang w:val="en-GB"/>
              </w:rPr>
            </w:pPr>
            <w:r w:rsidRPr="00233CE5">
              <w:rPr>
                <w:rStyle w:val="Siln"/>
                <w:sz w:val="16"/>
                <w:szCs w:val="16"/>
                <w:lang w:val="en-GB"/>
              </w:rPr>
              <w:t>All regimes</w:t>
            </w:r>
          </w:p>
        </w:tc>
      </w:tr>
      <w:tr w:rsidR="00776654" w:rsidRPr="00233CE5" w:rsidTr="00970AED">
        <w:trPr>
          <w:trHeight w:val="280"/>
          <w:jc w:val="center"/>
        </w:trPr>
        <w:tc>
          <w:tcPr>
            <w:tcW w:w="0" w:type="auto"/>
            <w:tcBorders>
              <w:top w:val="nil"/>
              <w:left w:val="nil"/>
              <w:right w:val="nil"/>
            </w:tcBorders>
            <w:vAlign w:val="center"/>
          </w:tcPr>
          <w:p w:rsidR="00970AED" w:rsidRPr="00233CE5" w:rsidRDefault="00F404B6" w:rsidP="00792EAE">
            <w:pPr>
              <w:pStyle w:val="Tablecenteredtext"/>
              <w:jc w:val="left"/>
              <w:rPr>
                <w:rStyle w:val="Siln"/>
                <w:b w:val="0"/>
                <w:bCs w:val="0"/>
                <w:sz w:val="16"/>
                <w:szCs w:val="16"/>
                <w:lang w:val="en-GB"/>
              </w:rPr>
            </w:pPr>
            <w:r>
              <w:rPr>
                <w:rStyle w:val="Siln"/>
                <w:b w:val="0"/>
                <w:bCs w:val="0"/>
                <w:sz w:val="16"/>
                <w:szCs w:val="16"/>
                <w:lang w:val="en-GB"/>
              </w:rPr>
              <w:t>Period</w:t>
            </w:r>
          </w:p>
        </w:tc>
        <w:tc>
          <w:tcPr>
            <w:tcW w:w="0" w:type="auto"/>
            <w:tcBorders>
              <w:top w:val="nil"/>
              <w:left w:val="nil"/>
              <w:right w:val="nil"/>
            </w:tcBorders>
          </w:tcPr>
          <w:p w:rsidR="00970AED" w:rsidRPr="00233CE5" w:rsidRDefault="00970AED" w:rsidP="003C04F6">
            <w:pPr>
              <w:pStyle w:val="Tablecenteredtext"/>
              <w:rPr>
                <w:rStyle w:val="Siln"/>
                <w:b w:val="0"/>
                <w:bCs w:val="0"/>
                <w:sz w:val="16"/>
                <w:szCs w:val="16"/>
                <w:lang w:val="en-GB"/>
              </w:rPr>
            </w:pPr>
          </w:p>
        </w:tc>
        <w:tc>
          <w:tcPr>
            <w:tcW w:w="0" w:type="auto"/>
            <w:tcBorders>
              <w:top w:val="nil"/>
              <w:left w:val="nil"/>
              <w:right w:val="nil"/>
            </w:tcBorders>
            <w:vAlign w:val="center"/>
          </w:tcPr>
          <w:p w:rsidR="00970AED" w:rsidRPr="00233CE5" w:rsidRDefault="00970AED" w:rsidP="00233CE5">
            <w:pPr>
              <w:pStyle w:val="Tablecenteredtext"/>
              <w:rPr>
                <w:rStyle w:val="Siln"/>
                <w:b w:val="0"/>
                <w:bCs w:val="0"/>
                <w:sz w:val="16"/>
                <w:szCs w:val="16"/>
                <w:lang w:val="en-GB"/>
              </w:rPr>
            </w:pPr>
            <w:r w:rsidRPr="00233CE5">
              <w:rPr>
                <w:rStyle w:val="Siln"/>
                <w:b w:val="0"/>
                <w:sz w:val="16"/>
                <w:szCs w:val="16"/>
                <w:lang w:val="en-GB"/>
              </w:rPr>
              <w:t>1992</w:t>
            </w:r>
            <w:r w:rsidR="00792EAE">
              <w:rPr>
                <w:rStyle w:val="Siln"/>
                <w:b w:val="0"/>
                <w:sz w:val="16"/>
                <w:szCs w:val="16"/>
                <w:lang w:val="en-GB"/>
              </w:rPr>
              <w:t>-1997</w:t>
            </w:r>
          </w:p>
        </w:tc>
        <w:tc>
          <w:tcPr>
            <w:tcW w:w="0" w:type="auto"/>
            <w:tcBorders>
              <w:top w:val="nil"/>
              <w:left w:val="nil"/>
              <w:right w:val="nil"/>
            </w:tcBorders>
            <w:vAlign w:val="center"/>
          </w:tcPr>
          <w:p w:rsidR="00970AED" w:rsidRPr="00233CE5" w:rsidRDefault="00970AED" w:rsidP="00902126">
            <w:pPr>
              <w:pStyle w:val="Tablecenteredtext"/>
              <w:rPr>
                <w:rStyle w:val="Siln"/>
                <w:b w:val="0"/>
                <w:bCs w:val="0"/>
                <w:sz w:val="16"/>
                <w:szCs w:val="16"/>
                <w:lang w:val="en-GB"/>
              </w:rPr>
            </w:pPr>
            <w:r w:rsidRPr="00233CE5">
              <w:rPr>
                <w:rStyle w:val="Siln"/>
                <w:b w:val="0"/>
                <w:bCs w:val="0"/>
                <w:sz w:val="16"/>
                <w:szCs w:val="16"/>
                <w:lang w:val="en-GB"/>
              </w:rPr>
              <w:t>1993</w:t>
            </w:r>
            <w:r w:rsidR="00792EAE">
              <w:rPr>
                <w:rStyle w:val="Siln"/>
                <w:b w:val="0"/>
                <w:bCs w:val="0"/>
                <w:sz w:val="16"/>
                <w:szCs w:val="16"/>
                <w:lang w:val="en-GB"/>
              </w:rPr>
              <w:t>-1997</w:t>
            </w:r>
          </w:p>
        </w:tc>
        <w:tc>
          <w:tcPr>
            <w:tcW w:w="0" w:type="auto"/>
            <w:tcBorders>
              <w:top w:val="nil"/>
              <w:left w:val="nil"/>
              <w:right w:val="nil"/>
            </w:tcBorders>
            <w:vAlign w:val="center"/>
          </w:tcPr>
          <w:p w:rsidR="00970AED" w:rsidRPr="00233CE5" w:rsidRDefault="00970AED" w:rsidP="003C04F6">
            <w:pPr>
              <w:pStyle w:val="Tablecenteredtext"/>
              <w:rPr>
                <w:rStyle w:val="Siln"/>
                <w:b w:val="0"/>
                <w:bCs w:val="0"/>
                <w:sz w:val="16"/>
                <w:szCs w:val="16"/>
                <w:lang w:val="en-GB"/>
              </w:rPr>
            </w:pPr>
          </w:p>
        </w:tc>
        <w:tc>
          <w:tcPr>
            <w:tcW w:w="0" w:type="auto"/>
            <w:gridSpan w:val="2"/>
            <w:tcBorders>
              <w:top w:val="nil"/>
              <w:left w:val="nil"/>
              <w:right w:val="nil"/>
            </w:tcBorders>
            <w:vAlign w:val="center"/>
          </w:tcPr>
          <w:p w:rsidR="00970AED" w:rsidRPr="00233CE5" w:rsidRDefault="00970AED" w:rsidP="00902126">
            <w:pPr>
              <w:pStyle w:val="Tablecenteredtext"/>
              <w:rPr>
                <w:rStyle w:val="Siln"/>
                <w:b w:val="0"/>
                <w:bCs w:val="0"/>
                <w:sz w:val="16"/>
                <w:szCs w:val="16"/>
                <w:lang w:val="en-GB"/>
              </w:rPr>
            </w:pPr>
            <w:r w:rsidRPr="00233CE5">
              <w:rPr>
                <w:rStyle w:val="Siln"/>
                <w:b w:val="0"/>
                <w:sz w:val="16"/>
                <w:szCs w:val="16"/>
                <w:lang w:val="en-GB"/>
              </w:rPr>
              <w:t>1997 - 2008</w:t>
            </w:r>
          </w:p>
        </w:tc>
        <w:tc>
          <w:tcPr>
            <w:tcW w:w="0" w:type="auto"/>
            <w:tcBorders>
              <w:top w:val="nil"/>
              <w:left w:val="nil"/>
              <w:right w:val="nil"/>
            </w:tcBorders>
            <w:vAlign w:val="center"/>
          </w:tcPr>
          <w:p w:rsidR="00970AED" w:rsidRPr="00233CE5" w:rsidRDefault="00970AED" w:rsidP="003C04F6">
            <w:pPr>
              <w:pStyle w:val="Tablecenteredtext"/>
              <w:rPr>
                <w:rStyle w:val="Siln"/>
                <w:b w:val="0"/>
                <w:bCs w:val="0"/>
                <w:sz w:val="16"/>
                <w:szCs w:val="16"/>
                <w:lang w:val="en-GB"/>
              </w:rPr>
            </w:pPr>
          </w:p>
        </w:tc>
        <w:tc>
          <w:tcPr>
            <w:tcW w:w="0" w:type="auto"/>
            <w:gridSpan w:val="2"/>
            <w:tcBorders>
              <w:top w:val="nil"/>
              <w:left w:val="nil"/>
              <w:right w:val="nil"/>
            </w:tcBorders>
            <w:vAlign w:val="center"/>
          </w:tcPr>
          <w:p w:rsidR="00970AED" w:rsidRPr="00233CE5" w:rsidRDefault="00970AED" w:rsidP="003C04F6">
            <w:pPr>
              <w:pStyle w:val="Tablecenteredtext"/>
              <w:rPr>
                <w:rStyle w:val="Siln"/>
                <w:b w:val="0"/>
                <w:bCs w:val="0"/>
                <w:sz w:val="16"/>
                <w:szCs w:val="16"/>
                <w:lang w:val="en-GB"/>
              </w:rPr>
            </w:pPr>
            <w:r w:rsidRPr="00233CE5">
              <w:rPr>
                <w:rStyle w:val="Siln"/>
                <w:b w:val="0"/>
                <w:bCs w:val="0"/>
                <w:sz w:val="16"/>
                <w:szCs w:val="16"/>
                <w:lang w:val="en-GB"/>
              </w:rPr>
              <w:t>1993 - 2008</w:t>
            </w:r>
          </w:p>
        </w:tc>
      </w:tr>
      <w:tr w:rsidR="00776654" w:rsidRPr="00233CE5" w:rsidTr="00970AED">
        <w:trPr>
          <w:trHeight w:val="280"/>
          <w:jc w:val="center"/>
        </w:trPr>
        <w:tc>
          <w:tcPr>
            <w:tcW w:w="0" w:type="auto"/>
            <w:tcBorders>
              <w:left w:val="nil"/>
              <w:bottom w:val="nil"/>
              <w:right w:val="nil"/>
            </w:tcBorders>
            <w:vAlign w:val="center"/>
          </w:tcPr>
          <w:p w:rsidR="00233CE5" w:rsidRPr="00233CE5" w:rsidRDefault="00233CE5" w:rsidP="00233CE5">
            <w:pPr>
              <w:pStyle w:val="Tablecenteredtext"/>
              <w:rPr>
                <w:sz w:val="16"/>
                <w:szCs w:val="16"/>
                <w:lang w:val="en-GB"/>
              </w:rPr>
            </w:pPr>
            <w:r w:rsidRPr="00233CE5">
              <w:rPr>
                <w:rStyle w:val="Siln"/>
                <w:sz w:val="18"/>
                <w:szCs w:val="18"/>
                <w:lang w:val="en-GB"/>
              </w:rPr>
              <w:object w:dxaOrig="340" w:dyaOrig="300">
                <v:shape id="_x0000_i1062" type="#_x0000_t75" style="width:16.3pt;height:15.05pt" o:ole="">
                  <v:imagedata r:id="rId81" o:title=""/>
                </v:shape>
                <o:OLEObject Type="Embed" ProgID="Equation.3" ShapeID="_x0000_i1062" DrawAspect="Content" ObjectID="_1471692192" r:id="rId82"/>
              </w:object>
            </w:r>
          </w:p>
        </w:tc>
        <w:tc>
          <w:tcPr>
            <w:tcW w:w="0" w:type="auto"/>
            <w:tcBorders>
              <w:left w:val="nil"/>
              <w:bottom w:val="nil"/>
              <w:right w:val="nil"/>
            </w:tcBorders>
          </w:tcPr>
          <w:p w:rsidR="00233CE5" w:rsidRPr="00233CE5" w:rsidRDefault="00233CE5" w:rsidP="00233CE5">
            <w:pPr>
              <w:jc w:val="center"/>
              <w:rPr>
                <w:sz w:val="16"/>
                <w:szCs w:val="16"/>
                <w:lang w:val="en-GB"/>
              </w:rPr>
            </w:pPr>
          </w:p>
        </w:tc>
        <w:tc>
          <w:tcPr>
            <w:tcW w:w="0" w:type="auto"/>
            <w:tcBorders>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0.04%</w:t>
            </w:r>
          </w:p>
        </w:tc>
        <w:tc>
          <w:tcPr>
            <w:tcW w:w="0" w:type="auto"/>
            <w:tcBorders>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2.73%</w:t>
            </w:r>
          </w:p>
        </w:tc>
        <w:tc>
          <w:tcPr>
            <w:tcW w:w="0" w:type="auto"/>
            <w:tcBorders>
              <w:left w:val="nil"/>
              <w:bottom w:val="nil"/>
              <w:right w:val="nil"/>
            </w:tcBorders>
            <w:vAlign w:val="center"/>
          </w:tcPr>
          <w:p w:rsidR="00233CE5" w:rsidRPr="00233CE5" w:rsidRDefault="00233CE5" w:rsidP="00233CE5">
            <w:pPr>
              <w:jc w:val="center"/>
              <w:rPr>
                <w:sz w:val="16"/>
                <w:szCs w:val="16"/>
                <w:lang w:val="en-GB"/>
              </w:rPr>
            </w:pPr>
          </w:p>
        </w:tc>
        <w:tc>
          <w:tcPr>
            <w:tcW w:w="0" w:type="auto"/>
            <w:tcBorders>
              <w:left w:val="nil"/>
              <w:bottom w:val="nil"/>
              <w:right w:val="nil"/>
            </w:tcBorders>
            <w:vAlign w:val="center"/>
          </w:tcPr>
          <w:p w:rsidR="00233CE5" w:rsidRPr="00233CE5" w:rsidRDefault="00776654" w:rsidP="00776654">
            <w:pPr>
              <w:jc w:val="center"/>
              <w:rPr>
                <w:sz w:val="16"/>
                <w:szCs w:val="16"/>
                <w:lang w:val="en-GB"/>
              </w:rPr>
            </w:pPr>
            <w:r>
              <w:rPr>
                <w:sz w:val="16"/>
                <w:szCs w:val="16"/>
                <w:lang w:val="en-GB"/>
              </w:rPr>
              <w:t>4</w:t>
            </w:r>
            <w:r w:rsidR="00233CE5" w:rsidRPr="00233CE5">
              <w:rPr>
                <w:sz w:val="16"/>
                <w:szCs w:val="16"/>
                <w:lang w:val="en-GB"/>
              </w:rPr>
              <w:t>.</w:t>
            </w:r>
            <w:r>
              <w:rPr>
                <w:sz w:val="16"/>
                <w:szCs w:val="16"/>
                <w:lang w:val="en-GB"/>
              </w:rPr>
              <w:t>56</w:t>
            </w:r>
            <w:r w:rsidR="00233CE5" w:rsidRPr="00233CE5">
              <w:rPr>
                <w:sz w:val="16"/>
                <w:szCs w:val="16"/>
                <w:lang w:val="en-GB"/>
              </w:rPr>
              <w:t>%</w:t>
            </w:r>
          </w:p>
        </w:tc>
        <w:tc>
          <w:tcPr>
            <w:tcW w:w="0" w:type="auto"/>
            <w:tcBorders>
              <w:left w:val="nil"/>
              <w:bottom w:val="nil"/>
              <w:right w:val="nil"/>
            </w:tcBorders>
            <w:vAlign w:val="center"/>
          </w:tcPr>
          <w:p w:rsidR="00233CE5" w:rsidRPr="00233CE5" w:rsidRDefault="00776654" w:rsidP="00776654">
            <w:pPr>
              <w:jc w:val="center"/>
              <w:rPr>
                <w:sz w:val="16"/>
                <w:szCs w:val="16"/>
                <w:lang w:val="en-GB"/>
              </w:rPr>
            </w:pPr>
            <w:r>
              <w:rPr>
                <w:sz w:val="16"/>
                <w:szCs w:val="16"/>
                <w:lang w:val="en-GB"/>
              </w:rPr>
              <w:t>3</w:t>
            </w:r>
            <w:r w:rsidR="00233CE5" w:rsidRPr="00233CE5">
              <w:rPr>
                <w:sz w:val="16"/>
                <w:szCs w:val="16"/>
                <w:lang w:val="en-GB"/>
              </w:rPr>
              <w:t>.</w:t>
            </w:r>
            <w:r>
              <w:rPr>
                <w:sz w:val="16"/>
                <w:szCs w:val="16"/>
                <w:lang w:val="en-GB"/>
              </w:rPr>
              <w:t>09</w:t>
            </w:r>
            <w:r w:rsidR="00233CE5" w:rsidRPr="00233CE5">
              <w:rPr>
                <w:sz w:val="16"/>
                <w:szCs w:val="16"/>
                <w:lang w:val="en-GB"/>
              </w:rPr>
              <w:t>%</w:t>
            </w:r>
          </w:p>
        </w:tc>
        <w:tc>
          <w:tcPr>
            <w:tcW w:w="0" w:type="auto"/>
            <w:tcBorders>
              <w:left w:val="nil"/>
              <w:bottom w:val="nil"/>
              <w:right w:val="nil"/>
            </w:tcBorders>
            <w:vAlign w:val="center"/>
          </w:tcPr>
          <w:p w:rsidR="00233CE5" w:rsidRPr="00233CE5" w:rsidRDefault="00233CE5" w:rsidP="00233CE5">
            <w:pPr>
              <w:jc w:val="center"/>
              <w:rPr>
                <w:sz w:val="16"/>
                <w:szCs w:val="16"/>
                <w:lang w:val="en-GB"/>
              </w:rPr>
            </w:pPr>
          </w:p>
        </w:tc>
        <w:tc>
          <w:tcPr>
            <w:tcW w:w="0" w:type="auto"/>
            <w:tcBorders>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2.01%</w:t>
            </w:r>
          </w:p>
        </w:tc>
        <w:tc>
          <w:tcPr>
            <w:tcW w:w="0" w:type="auto"/>
            <w:tcBorders>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3.38%</w:t>
            </w:r>
          </w:p>
        </w:tc>
      </w:tr>
      <w:tr w:rsidR="00776654" w:rsidRPr="00233CE5" w:rsidTr="00970AED">
        <w:trPr>
          <w:trHeight w:val="280"/>
          <w:jc w:val="center"/>
        </w:trPr>
        <w:tc>
          <w:tcPr>
            <w:tcW w:w="0" w:type="auto"/>
            <w:tcBorders>
              <w:top w:val="nil"/>
              <w:left w:val="nil"/>
              <w:bottom w:val="nil"/>
              <w:right w:val="nil"/>
            </w:tcBorders>
            <w:vAlign w:val="center"/>
          </w:tcPr>
          <w:p w:rsidR="00233CE5" w:rsidRPr="00233CE5" w:rsidRDefault="00233CE5" w:rsidP="00233CE5">
            <w:pPr>
              <w:pStyle w:val="Tablecenteredtext"/>
              <w:rPr>
                <w:sz w:val="16"/>
                <w:szCs w:val="16"/>
                <w:lang w:val="en-GB"/>
              </w:rPr>
            </w:pPr>
            <w:r w:rsidRPr="00233CE5">
              <w:rPr>
                <w:rStyle w:val="Siln"/>
                <w:sz w:val="18"/>
                <w:szCs w:val="18"/>
                <w:lang w:val="en-GB"/>
              </w:rPr>
              <w:object w:dxaOrig="420" w:dyaOrig="300">
                <v:shape id="_x0000_i1063" type="#_x0000_t75" style="width:20.05pt;height:13.75pt" o:ole="">
                  <v:imagedata r:id="rId83" o:title=""/>
                </v:shape>
                <o:OLEObject Type="Embed" ProgID="Equation.3" ShapeID="_x0000_i1063" DrawAspect="Content" ObjectID="_1471692193" r:id="rId84"/>
              </w:object>
            </w:r>
          </w:p>
        </w:tc>
        <w:tc>
          <w:tcPr>
            <w:tcW w:w="0" w:type="auto"/>
            <w:tcBorders>
              <w:top w:val="nil"/>
              <w:left w:val="nil"/>
              <w:bottom w:val="nil"/>
              <w:right w:val="nil"/>
            </w:tcBorders>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5.95%</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1.80%</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776654" w:rsidP="00776654">
            <w:pPr>
              <w:jc w:val="center"/>
              <w:rPr>
                <w:sz w:val="16"/>
                <w:szCs w:val="16"/>
                <w:lang w:val="en-GB"/>
              </w:rPr>
            </w:pPr>
            <w:r>
              <w:rPr>
                <w:sz w:val="16"/>
                <w:szCs w:val="16"/>
                <w:lang w:val="en-GB"/>
              </w:rPr>
              <w:t>7</w:t>
            </w:r>
            <w:r w:rsidR="00233CE5" w:rsidRPr="00233CE5">
              <w:rPr>
                <w:sz w:val="16"/>
                <w:szCs w:val="16"/>
                <w:lang w:val="en-GB"/>
              </w:rPr>
              <w:t>.</w:t>
            </w:r>
            <w:r>
              <w:rPr>
                <w:sz w:val="16"/>
                <w:szCs w:val="16"/>
                <w:lang w:val="en-GB"/>
              </w:rPr>
              <w:t>42</w:t>
            </w:r>
            <w:r w:rsidR="00233CE5" w:rsidRPr="00233CE5">
              <w:rPr>
                <w:sz w:val="16"/>
                <w:szCs w:val="16"/>
                <w:lang w:val="en-GB"/>
              </w:rPr>
              <w:t>%</w:t>
            </w:r>
          </w:p>
        </w:tc>
        <w:tc>
          <w:tcPr>
            <w:tcW w:w="0" w:type="auto"/>
            <w:tcBorders>
              <w:top w:val="nil"/>
              <w:left w:val="nil"/>
              <w:bottom w:val="nil"/>
              <w:right w:val="nil"/>
            </w:tcBorders>
            <w:vAlign w:val="center"/>
          </w:tcPr>
          <w:p w:rsidR="00233CE5" w:rsidRPr="00233CE5" w:rsidRDefault="00776654" w:rsidP="00776654">
            <w:pPr>
              <w:jc w:val="center"/>
              <w:rPr>
                <w:sz w:val="16"/>
                <w:szCs w:val="16"/>
                <w:lang w:val="en-GB"/>
              </w:rPr>
            </w:pPr>
            <w:r>
              <w:rPr>
                <w:sz w:val="16"/>
                <w:szCs w:val="16"/>
                <w:lang w:val="en-GB"/>
              </w:rPr>
              <w:t>2</w:t>
            </w:r>
            <w:r w:rsidR="00233CE5" w:rsidRPr="00233CE5">
              <w:rPr>
                <w:sz w:val="16"/>
                <w:szCs w:val="16"/>
                <w:lang w:val="en-GB"/>
              </w:rPr>
              <w:t>.</w:t>
            </w:r>
            <w:r>
              <w:rPr>
                <w:sz w:val="16"/>
                <w:szCs w:val="16"/>
                <w:lang w:val="en-GB"/>
              </w:rPr>
              <w:t>29</w:t>
            </w:r>
            <w:r w:rsidR="00233CE5" w:rsidRPr="00233CE5">
              <w:rPr>
                <w:sz w:val="16"/>
                <w:szCs w:val="16"/>
                <w:lang w:val="en-GB"/>
              </w:rPr>
              <w:t>%</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3.97%</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1.67%</w:t>
            </w:r>
          </w:p>
        </w:tc>
      </w:tr>
      <w:tr w:rsidR="00776654" w:rsidRPr="00233CE5" w:rsidTr="00970AED">
        <w:trPr>
          <w:trHeight w:val="280"/>
          <w:jc w:val="center"/>
        </w:trPr>
        <w:tc>
          <w:tcPr>
            <w:tcW w:w="0" w:type="auto"/>
            <w:tcBorders>
              <w:top w:val="nil"/>
              <w:left w:val="nil"/>
              <w:bottom w:val="nil"/>
              <w:right w:val="nil"/>
            </w:tcBorders>
            <w:vAlign w:val="center"/>
          </w:tcPr>
          <w:p w:rsidR="00233CE5" w:rsidRPr="00233CE5" w:rsidRDefault="00233CE5" w:rsidP="00233CE5">
            <w:pPr>
              <w:pStyle w:val="Tablecenteredtext"/>
              <w:rPr>
                <w:sz w:val="16"/>
                <w:szCs w:val="16"/>
                <w:lang w:val="en-GB"/>
              </w:rPr>
            </w:pPr>
            <w:r w:rsidRPr="00233CE5">
              <w:rPr>
                <w:rStyle w:val="Siln"/>
                <w:sz w:val="18"/>
                <w:szCs w:val="18"/>
                <w:lang w:val="en-GB"/>
              </w:rPr>
              <w:object w:dxaOrig="300" w:dyaOrig="300">
                <v:shape id="_x0000_i1064" type="#_x0000_t75" style="width:15.05pt;height:15.05pt" o:ole="">
                  <v:imagedata r:id="rId85" o:title=""/>
                </v:shape>
                <o:OLEObject Type="Embed" ProgID="Equation.3" ShapeID="_x0000_i1064" DrawAspect="Content" ObjectID="_1471692194" r:id="rId86"/>
              </w:object>
            </w:r>
          </w:p>
        </w:tc>
        <w:tc>
          <w:tcPr>
            <w:tcW w:w="0" w:type="auto"/>
            <w:tcBorders>
              <w:top w:val="nil"/>
              <w:left w:val="nil"/>
              <w:bottom w:val="nil"/>
              <w:right w:val="nil"/>
            </w:tcBorders>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1.16%</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57.26%</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776654" w:rsidP="00776654">
            <w:pPr>
              <w:jc w:val="center"/>
              <w:rPr>
                <w:sz w:val="16"/>
                <w:szCs w:val="16"/>
                <w:lang w:val="en-GB"/>
              </w:rPr>
            </w:pPr>
            <w:r>
              <w:rPr>
                <w:sz w:val="16"/>
                <w:szCs w:val="16"/>
                <w:lang w:val="en-GB"/>
              </w:rPr>
              <w:t>5</w:t>
            </w:r>
            <w:r w:rsidR="00233CE5" w:rsidRPr="00233CE5">
              <w:rPr>
                <w:sz w:val="16"/>
                <w:szCs w:val="16"/>
                <w:lang w:val="en-GB"/>
              </w:rPr>
              <w:t>.</w:t>
            </w:r>
            <w:r>
              <w:rPr>
                <w:sz w:val="16"/>
                <w:szCs w:val="16"/>
                <w:lang w:val="en-GB"/>
              </w:rPr>
              <w:t>26</w:t>
            </w:r>
            <w:r w:rsidR="00233CE5" w:rsidRPr="00233CE5">
              <w:rPr>
                <w:sz w:val="16"/>
                <w:szCs w:val="16"/>
                <w:lang w:val="en-GB"/>
              </w:rPr>
              <w:t>%</w:t>
            </w:r>
          </w:p>
        </w:tc>
        <w:tc>
          <w:tcPr>
            <w:tcW w:w="0" w:type="auto"/>
            <w:tcBorders>
              <w:top w:val="nil"/>
              <w:left w:val="nil"/>
              <w:bottom w:val="nil"/>
              <w:right w:val="nil"/>
            </w:tcBorders>
            <w:vAlign w:val="center"/>
          </w:tcPr>
          <w:p w:rsidR="00233CE5" w:rsidRPr="00233CE5" w:rsidRDefault="00233CE5" w:rsidP="00776654">
            <w:pPr>
              <w:jc w:val="center"/>
              <w:rPr>
                <w:sz w:val="16"/>
                <w:szCs w:val="16"/>
                <w:lang w:val="en-GB"/>
              </w:rPr>
            </w:pPr>
            <w:r w:rsidRPr="00233CE5">
              <w:rPr>
                <w:sz w:val="16"/>
                <w:szCs w:val="16"/>
                <w:lang w:val="en-GB"/>
              </w:rPr>
              <w:t>5</w:t>
            </w:r>
            <w:r w:rsidR="00776654">
              <w:rPr>
                <w:sz w:val="16"/>
                <w:szCs w:val="16"/>
                <w:lang w:val="en-GB"/>
              </w:rPr>
              <w:t>5</w:t>
            </w:r>
            <w:r w:rsidRPr="00233CE5">
              <w:rPr>
                <w:sz w:val="16"/>
                <w:szCs w:val="16"/>
                <w:lang w:val="en-GB"/>
              </w:rPr>
              <w:t>.</w:t>
            </w:r>
            <w:r w:rsidR="00776654">
              <w:rPr>
                <w:sz w:val="16"/>
                <w:szCs w:val="16"/>
                <w:lang w:val="en-GB"/>
              </w:rPr>
              <w:t>22</w:t>
            </w:r>
            <w:r w:rsidRPr="00233CE5">
              <w:rPr>
                <w:sz w:val="16"/>
                <w:szCs w:val="16"/>
                <w:lang w:val="en-GB"/>
              </w:rPr>
              <w:t>%</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4.49%</w:t>
            </w:r>
          </w:p>
        </w:tc>
        <w:tc>
          <w:tcPr>
            <w:tcW w:w="0" w:type="auto"/>
            <w:tcBorders>
              <w:top w:val="nil"/>
              <w:left w:val="nil"/>
              <w:bottom w:val="nil"/>
              <w:right w:val="nil"/>
            </w:tcBorders>
            <w:vAlign w:val="center"/>
          </w:tcPr>
          <w:p w:rsidR="00233CE5" w:rsidRPr="00233CE5" w:rsidRDefault="00233CE5" w:rsidP="00233CE5">
            <w:pPr>
              <w:jc w:val="center"/>
              <w:rPr>
                <w:sz w:val="16"/>
                <w:szCs w:val="16"/>
                <w:lang w:val="en-GB"/>
              </w:rPr>
            </w:pPr>
            <w:r w:rsidRPr="00233CE5">
              <w:rPr>
                <w:sz w:val="16"/>
                <w:szCs w:val="16"/>
                <w:lang w:val="en-GB"/>
              </w:rPr>
              <w:t>47.77%</w:t>
            </w:r>
          </w:p>
        </w:tc>
      </w:tr>
      <w:tr w:rsidR="00776654" w:rsidRPr="00233CE5" w:rsidTr="00970AED">
        <w:trPr>
          <w:trHeight w:val="280"/>
          <w:jc w:val="center"/>
        </w:trPr>
        <w:tc>
          <w:tcPr>
            <w:tcW w:w="0" w:type="auto"/>
            <w:tcBorders>
              <w:top w:val="nil"/>
              <w:left w:val="nil"/>
              <w:bottom w:val="nil"/>
              <w:right w:val="nil"/>
            </w:tcBorders>
            <w:shd w:val="clear" w:color="auto" w:fill="D9D9D9"/>
            <w:vAlign w:val="center"/>
          </w:tcPr>
          <w:p w:rsidR="00233CE5" w:rsidRPr="00233CE5" w:rsidRDefault="00233CE5" w:rsidP="00233CE5">
            <w:pPr>
              <w:pStyle w:val="Tablecenteredtext"/>
              <w:rPr>
                <w:sz w:val="16"/>
                <w:szCs w:val="16"/>
                <w:lang w:val="en-GB"/>
              </w:rPr>
            </w:pPr>
            <w:r w:rsidRPr="00233CE5">
              <w:rPr>
                <w:rStyle w:val="Siln"/>
                <w:sz w:val="18"/>
                <w:szCs w:val="18"/>
                <w:lang w:val="en-GB"/>
              </w:rPr>
              <w:object w:dxaOrig="440" w:dyaOrig="300">
                <v:shape id="_x0000_i1065" type="#_x0000_t75" style="width:21.3pt;height:15.05pt" o:ole="">
                  <v:imagedata r:id="rId87" o:title=""/>
                </v:shape>
                <o:OLEObject Type="Embed" ProgID="Equation.3" ShapeID="_x0000_i1065" DrawAspect="Content" ObjectID="_1471692195" r:id="rId88"/>
              </w:object>
            </w:r>
          </w:p>
        </w:tc>
        <w:tc>
          <w:tcPr>
            <w:tcW w:w="0" w:type="auto"/>
            <w:tcBorders>
              <w:top w:val="nil"/>
              <w:left w:val="nil"/>
              <w:bottom w:val="nil"/>
              <w:right w:val="nil"/>
            </w:tcBorders>
            <w:shd w:val="clear" w:color="auto" w:fill="D9D9D9"/>
          </w:tcPr>
          <w:p w:rsidR="00233CE5" w:rsidRPr="00233CE5" w:rsidRDefault="00233CE5" w:rsidP="00233CE5">
            <w:pPr>
              <w:jc w:val="center"/>
              <w:rPr>
                <w:sz w:val="16"/>
                <w:szCs w:val="16"/>
                <w:lang w:val="en-GB"/>
              </w:rPr>
            </w:pP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r w:rsidRPr="00233CE5">
              <w:rPr>
                <w:sz w:val="16"/>
                <w:szCs w:val="16"/>
                <w:lang w:val="en-GB"/>
              </w:rPr>
              <w:t>41.05%</w:t>
            </w: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r w:rsidRPr="00233CE5">
              <w:rPr>
                <w:sz w:val="16"/>
                <w:szCs w:val="16"/>
                <w:lang w:val="en-GB"/>
              </w:rPr>
              <w:t>27.08%</w:t>
            </w: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shd w:val="clear" w:color="auto" w:fill="D9D9D9"/>
            <w:vAlign w:val="center"/>
          </w:tcPr>
          <w:p w:rsidR="00233CE5" w:rsidRPr="00233CE5" w:rsidRDefault="00776654" w:rsidP="00776654">
            <w:pPr>
              <w:jc w:val="center"/>
              <w:rPr>
                <w:sz w:val="16"/>
                <w:szCs w:val="16"/>
                <w:lang w:val="en-GB"/>
              </w:rPr>
            </w:pPr>
            <w:r>
              <w:rPr>
                <w:sz w:val="16"/>
                <w:szCs w:val="16"/>
                <w:lang w:val="en-GB"/>
              </w:rPr>
              <w:t>24</w:t>
            </w:r>
            <w:r w:rsidR="00233CE5" w:rsidRPr="00233CE5">
              <w:rPr>
                <w:sz w:val="16"/>
                <w:szCs w:val="16"/>
                <w:lang w:val="en-GB"/>
              </w:rPr>
              <w:t>.</w:t>
            </w:r>
            <w:r>
              <w:rPr>
                <w:sz w:val="16"/>
                <w:szCs w:val="16"/>
                <w:lang w:val="en-GB"/>
              </w:rPr>
              <w:t>89</w:t>
            </w:r>
            <w:r w:rsidR="00233CE5" w:rsidRPr="00233CE5">
              <w:rPr>
                <w:sz w:val="16"/>
                <w:szCs w:val="16"/>
                <w:lang w:val="en-GB"/>
              </w:rPr>
              <w:t>%</w:t>
            </w:r>
          </w:p>
        </w:tc>
        <w:tc>
          <w:tcPr>
            <w:tcW w:w="0" w:type="auto"/>
            <w:tcBorders>
              <w:top w:val="nil"/>
              <w:left w:val="nil"/>
              <w:bottom w:val="nil"/>
              <w:right w:val="nil"/>
            </w:tcBorders>
            <w:shd w:val="clear" w:color="auto" w:fill="D9D9D9"/>
            <w:vAlign w:val="center"/>
          </w:tcPr>
          <w:p w:rsidR="00233CE5" w:rsidRPr="00233CE5" w:rsidRDefault="00776654" w:rsidP="00776654">
            <w:pPr>
              <w:jc w:val="center"/>
              <w:rPr>
                <w:sz w:val="16"/>
                <w:szCs w:val="16"/>
                <w:lang w:val="en-GB"/>
              </w:rPr>
            </w:pPr>
            <w:r>
              <w:rPr>
                <w:sz w:val="16"/>
                <w:szCs w:val="16"/>
                <w:lang w:val="en-GB"/>
              </w:rPr>
              <w:t>26</w:t>
            </w:r>
            <w:r w:rsidR="00233CE5" w:rsidRPr="00233CE5">
              <w:rPr>
                <w:sz w:val="16"/>
                <w:szCs w:val="16"/>
                <w:lang w:val="en-GB"/>
              </w:rPr>
              <w:t>.</w:t>
            </w:r>
            <w:r>
              <w:rPr>
                <w:sz w:val="16"/>
                <w:szCs w:val="16"/>
                <w:lang w:val="en-GB"/>
              </w:rPr>
              <w:t>09</w:t>
            </w:r>
            <w:r w:rsidR="00233CE5" w:rsidRPr="00233CE5">
              <w:rPr>
                <w:sz w:val="16"/>
                <w:szCs w:val="16"/>
                <w:lang w:val="en-GB"/>
              </w:rPr>
              <w:t>%</w:t>
            </w: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r w:rsidRPr="00233CE5">
              <w:rPr>
                <w:sz w:val="16"/>
                <w:szCs w:val="16"/>
                <w:lang w:val="en-GB"/>
              </w:rPr>
              <w:t>45.37%</w:t>
            </w:r>
          </w:p>
        </w:tc>
        <w:tc>
          <w:tcPr>
            <w:tcW w:w="0" w:type="auto"/>
            <w:tcBorders>
              <w:top w:val="nil"/>
              <w:left w:val="nil"/>
              <w:bottom w:val="nil"/>
              <w:right w:val="nil"/>
            </w:tcBorders>
            <w:shd w:val="clear" w:color="auto" w:fill="D9D9D9"/>
            <w:vAlign w:val="center"/>
          </w:tcPr>
          <w:p w:rsidR="00233CE5" w:rsidRPr="00233CE5" w:rsidRDefault="00233CE5" w:rsidP="00233CE5">
            <w:pPr>
              <w:jc w:val="center"/>
              <w:rPr>
                <w:sz w:val="16"/>
                <w:szCs w:val="16"/>
                <w:lang w:val="en-GB"/>
              </w:rPr>
            </w:pPr>
            <w:r w:rsidRPr="00233CE5">
              <w:rPr>
                <w:sz w:val="16"/>
                <w:szCs w:val="16"/>
                <w:lang w:val="en-GB"/>
              </w:rPr>
              <w:t>31.60%</w:t>
            </w:r>
          </w:p>
        </w:tc>
      </w:tr>
      <w:tr w:rsidR="00776654" w:rsidRPr="00233CE5" w:rsidTr="00970AED">
        <w:trPr>
          <w:trHeight w:val="280"/>
          <w:jc w:val="center"/>
        </w:trPr>
        <w:tc>
          <w:tcPr>
            <w:tcW w:w="0" w:type="auto"/>
            <w:tcBorders>
              <w:top w:val="nil"/>
              <w:left w:val="nil"/>
              <w:right w:val="nil"/>
            </w:tcBorders>
            <w:vAlign w:val="center"/>
          </w:tcPr>
          <w:p w:rsidR="00233CE5" w:rsidRPr="00233CE5" w:rsidRDefault="00233CE5" w:rsidP="00233CE5">
            <w:pPr>
              <w:pStyle w:val="Tablecenteredtext"/>
              <w:rPr>
                <w:sz w:val="16"/>
                <w:szCs w:val="16"/>
                <w:lang w:val="en-GB"/>
              </w:rPr>
            </w:pPr>
            <w:r w:rsidRPr="00233CE5">
              <w:rPr>
                <w:rStyle w:val="Siln"/>
                <w:sz w:val="18"/>
                <w:szCs w:val="18"/>
                <w:lang w:val="en-GB"/>
              </w:rPr>
              <w:object w:dxaOrig="360" w:dyaOrig="300">
                <v:shape id="_x0000_i1066" type="#_x0000_t75" style="width:18.15pt;height:13.75pt" o:ole="">
                  <v:imagedata r:id="rId79" o:title=""/>
                </v:shape>
                <o:OLEObject Type="Embed" ProgID="Equation.3" ShapeID="_x0000_i1066" DrawAspect="Content" ObjectID="_1471692196" r:id="rId89"/>
              </w:object>
            </w:r>
          </w:p>
        </w:tc>
        <w:tc>
          <w:tcPr>
            <w:tcW w:w="0" w:type="auto"/>
            <w:tcBorders>
              <w:top w:val="nil"/>
              <w:left w:val="nil"/>
              <w:right w:val="nil"/>
            </w:tcBorders>
          </w:tcPr>
          <w:p w:rsidR="00233CE5" w:rsidRPr="00233CE5" w:rsidRDefault="00233CE5" w:rsidP="00233CE5">
            <w:pPr>
              <w:jc w:val="center"/>
              <w:rPr>
                <w:sz w:val="16"/>
                <w:szCs w:val="16"/>
                <w:lang w:val="en-GB"/>
              </w:rPr>
            </w:pPr>
          </w:p>
        </w:tc>
        <w:tc>
          <w:tcPr>
            <w:tcW w:w="0" w:type="auto"/>
            <w:tcBorders>
              <w:top w:val="nil"/>
              <w:left w:val="nil"/>
              <w:right w:val="nil"/>
            </w:tcBorders>
            <w:vAlign w:val="center"/>
          </w:tcPr>
          <w:p w:rsidR="00233CE5" w:rsidRPr="00233CE5" w:rsidRDefault="00233CE5" w:rsidP="00233CE5">
            <w:pPr>
              <w:jc w:val="center"/>
              <w:rPr>
                <w:sz w:val="16"/>
                <w:szCs w:val="16"/>
                <w:lang w:val="en-GB"/>
              </w:rPr>
            </w:pPr>
            <w:r w:rsidRPr="00233CE5">
              <w:rPr>
                <w:sz w:val="16"/>
                <w:szCs w:val="16"/>
                <w:lang w:val="en-GB"/>
              </w:rPr>
              <w:t>45.29%</w:t>
            </w:r>
          </w:p>
        </w:tc>
        <w:tc>
          <w:tcPr>
            <w:tcW w:w="0" w:type="auto"/>
            <w:tcBorders>
              <w:top w:val="nil"/>
              <w:left w:val="nil"/>
              <w:right w:val="nil"/>
            </w:tcBorders>
            <w:vAlign w:val="center"/>
          </w:tcPr>
          <w:p w:rsidR="00233CE5" w:rsidRPr="00233CE5" w:rsidRDefault="00233CE5" w:rsidP="00233CE5">
            <w:pPr>
              <w:rPr>
                <w:sz w:val="16"/>
                <w:szCs w:val="16"/>
                <w:lang w:val="en-GB"/>
              </w:rPr>
            </w:pPr>
            <w:r w:rsidRPr="00233CE5">
              <w:rPr>
                <w:sz w:val="16"/>
                <w:szCs w:val="16"/>
                <w:lang w:val="en-GB"/>
              </w:rPr>
              <w:t>10.37%</w:t>
            </w:r>
          </w:p>
        </w:tc>
        <w:tc>
          <w:tcPr>
            <w:tcW w:w="0" w:type="auto"/>
            <w:tcBorders>
              <w:top w:val="nil"/>
              <w:left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right w:val="nil"/>
            </w:tcBorders>
            <w:vAlign w:val="center"/>
          </w:tcPr>
          <w:p w:rsidR="00233CE5" w:rsidRPr="00233CE5" w:rsidRDefault="00776654" w:rsidP="00776654">
            <w:pPr>
              <w:jc w:val="center"/>
              <w:rPr>
                <w:sz w:val="16"/>
                <w:szCs w:val="16"/>
                <w:lang w:val="en-GB"/>
              </w:rPr>
            </w:pPr>
            <w:r>
              <w:rPr>
                <w:sz w:val="16"/>
                <w:szCs w:val="16"/>
                <w:lang w:val="en-GB"/>
              </w:rPr>
              <w:t>57</w:t>
            </w:r>
            <w:r w:rsidR="00233CE5" w:rsidRPr="00233CE5">
              <w:rPr>
                <w:sz w:val="16"/>
                <w:szCs w:val="16"/>
                <w:lang w:val="en-GB"/>
              </w:rPr>
              <w:t>.79%</w:t>
            </w:r>
          </w:p>
        </w:tc>
        <w:tc>
          <w:tcPr>
            <w:tcW w:w="0" w:type="auto"/>
            <w:tcBorders>
              <w:top w:val="nil"/>
              <w:left w:val="nil"/>
              <w:right w:val="nil"/>
            </w:tcBorders>
            <w:vAlign w:val="center"/>
          </w:tcPr>
          <w:p w:rsidR="00233CE5" w:rsidRPr="00233CE5" w:rsidRDefault="00776654" w:rsidP="00776654">
            <w:pPr>
              <w:jc w:val="center"/>
              <w:rPr>
                <w:sz w:val="16"/>
                <w:szCs w:val="16"/>
                <w:lang w:val="en-GB"/>
              </w:rPr>
            </w:pPr>
            <w:r>
              <w:rPr>
                <w:sz w:val="16"/>
                <w:szCs w:val="16"/>
                <w:lang w:val="en-GB"/>
              </w:rPr>
              <w:t>13</w:t>
            </w:r>
            <w:r w:rsidR="00233CE5" w:rsidRPr="00233CE5">
              <w:rPr>
                <w:sz w:val="16"/>
                <w:szCs w:val="16"/>
                <w:lang w:val="en-GB"/>
              </w:rPr>
              <w:t>.</w:t>
            </w:r>
            <w:r>
              <w:rPr>
                <w:sz w:val="16"/>
                <w:szCs w:val="16"/>
                <w:lang w:val="en-GB"/>
              </w:rPr>
              <w:t>33</w:t>
            </w:r>
            <w:r w:rsidR="00233CE5" w:rsidRPr="00233CE5">
              <w:rPr>
                <w:sz w:val="16"/>
                <w:szCs w:val="16"/>
                <w:lang w:val="en-GB"/>
              </w:rPr>
              <w:t>%</w:t>
            </w:r>
          </w:p>
        </w:tc>
        <w:tc>
          <w:tcPr>
            <w:tcW w:w="0" w:type="auto"/>
            <w:tcBorders>
              <w:top w:val="nil"/>
              <w:left w:val="nil"/>
              <w:right w:val="nil"/>
            </w:tcBorders>
            <w:vAlign w:val="center"/>
          </w:tcPr>
          <w:p w:rsidR="00233CE5" w:rsidRPr="00233CE5" w:rsidRDefault="00233CE5" w:rsidP="00233CE5">
            <w:pPr>
              <w:jc w:val="center"/>
              <w:rPr>
                <w:sz w:val="16"/>
                <w:szCs w:val="16"/>
                <w:lang w:val="en-GB"/>
              </w:rPr>
            </w:pPr>
          </w:p>
        </w:tc>
        <w:tc>
          <w:tcPr>
            <w:tcW w:w="0" w:type="auto"/>
            <w:tcBorders>
              <w:top w:val="nil"/>
              <w:left w:val="nil"/>
              <w:right w:val="nil"/>
            </w:tcBorders>
            <w:vAlign w:val="center"/>
          </w:tcPr>
          <w:p w:rsidR="00233CE5" w:rsidRPr="00233CE5" w:rsidRDefault="00233CE5" w:rsidP="00233CE5">
            <w:pPr>
              <w:jc w:val="center"/>
              <w:rPr>
                <w:sz w:val="16"/>
                <w:szCs w:val="16"/>
                <w:lang w:val="en-GB"/>
              </w:rPr>
            </w:pPr>
            <w:r w:rsidRPr="00233CE5">
              <w:rPr>
                <w:sz w:val="16"/>
                <w:szCs w:val="16"/>
                <w:lang w:val="en-GB"/>
              </w:rPr>
              <w:t>35.34%</w:t>
            </w:r>
          </w:p>
        </w:tc>
        <w:tc>
          <w:tcPr>
            <w:tcW w:w="0" w:type="auto"/>
            <w:tcBorders>
              <w:top w:val="nil"/>
              <w:left w:val="nil"/>
              <w:right w:val="nil"/>
            </w:tcBorders>
            <w:vAlign w:val="center"/>
          </w:tcPr>
          <w:p w:rsidR="00233CE5" w:rsidRPr="00233CE5" w:rsidRDefault="00233CE5" w:rsidP="00233CE5">
            <w:pPr>
              <w:jc w:val="center"/>
              <w:rPr>
                <w:sz w:val="16"/>
                <w:szCs w:val="16"/>
                <w:lang w:val="en-GB"/>
              </w:rPr>
            </w:pPr>
            <w:r w:rsidRPr="00233CE5">
              <w:rPr>
                <w:sz w:val="16"/>
                <w:szCs w:val="16"/>
                <w:lang w:val="en-GB"/>
              </w:rPr>
              <w:t>14.72%</w:t>
            </w:r>
          </w:p>
        </w:tc>
      </w:tr>
    </w:tbl>
    <w:p w:rsidR="006C1B17" w:rsidRDefault="006C1B17" w:rsidP="006C1B17">
      <w:pPr>
        <w:pStyle w:val="Titulek"/>
        <w:rPr>
          <w:lang w:val="en-GB"/>
        </w:rPr>
      </w:pPr>
      <w:r w:rsidRPr="00233CE5">
        <w:rPr>
          <w:rStyle w:val="CaptionHeader"/>
          <w:lang w:val="en-GB"/>
        </w:rPr>
        <w:t xml:space="preserve">Table </w:t>
      </w:r>
      <w:r w:rsidR="005670A2" w:rsidRPr="00233CE5">
        <w:rPr>
          <w:rStyle w:val="CaptionHeader"/>
          <w:lang w:val="en-GB"/>
        </w:rPr>
        <w:fldChar w:fldCharType="begin"/>
      </w:r>
      <w:r w:rsidRPr="00233CE5">
        <w:rPr>
          <w:rStyle w:val="CaptionHeader"/>
          <w:lang w:val="en-GB"/>
        </w:rPr>
        <w:instrText xml:space="preserve"> SEQ Table \* ARABIC </w:instrText>
      </w:r>
      <w:r w:rsidR="005670A2" w:rsidRPr="00233CE5">
        <w:rPr>
          <w:rStyle w:val="CaptionHeader"/>
          <w:lang w:val="en-GB"/>
        </w:rPr>
        <w:fldChar w:fldCharType="separate"/>
      </w:r>
      <w:r w:rsidR="00711EE6">
        <w:rPr>
          <w:rStyle w:val="CaptionHeader"/>
          <w:noProof/>
          <w:lang w:val="en-GB"/>
        </w:rPr>
        <w:t>2</w:t>
      </w:r>
      <w:r w:rsidR="005670A2" w:rsidRPr="00233CE5">
        <w:rPr>
          <w:rStyle w:val="CaptionHeader"/>
          <w:lang w:val="en-GB"/>
        </w:rPr>
        <w:fldChar w:fldCharType="end"/>
      </w:r>
      <w:r w:rsidRPr="00233CE5">
        <w:rPr>
          <w:lang w:val="en-GB"/>
        </w:rPr>
        <w:t xml:space="preserve"> Explained historical variability of inflation</w:t>
      </w:r>
    </w:p>
    <w:p w:rsidR="00954EA7" w:rsidRPr="00954EA7" w:rsidRDefault="006C1B17" w:rsidP="00954EA7">
      <w:pPr>
        <w:pStyle w:val="Zkladntext-prvnodsazen"/>
        <w:ind w:firstLine="301"/>
        <w:rPr>
          <w:lang w:val="en-GB"/>
        </w:rPr>
      </w:pPr>
      <w:r w:rsidRPr="00343314">
        <w:rPr>
          <w:lang w:val="en-GB"/>
        </w:rPr>
        <w:t>For the analysis of the results we divided our period as mentioned above. For easier recognition we roughly divided the period to the 1990s and the 2000s in Table 2.</w:t>
      </w:r>
      <w:r w:rsidRPr="00DF22F5">
        <w:rPr>
          <w:color w:val="FF0000"/>
          <w:lang w:val="en-GB"/>
        </w:rPr>
        <w:t xml:space="preserve"> </w:t>
      </w:r>
      <w:r w:rsidR="00954EA7" w:rsidRPr="00954EA7">
        <w:rPr>
          <w:lang w:val="en-GB"/>
        </w:rPr>
        <w:t>We have computed contribution of the nominal effe</w:t>
      </w:r>
      <w:r w:rsidR="00954EA7" w:rsidRPr="00954EA7">
        <w:rPr>
          <w:lang w:val="en-GB"/>
        </w:rPr>
        <w:t>c</w:t>
      </w:r>
      <w:r w:rsidR="00954EA7" w:rsidRPr="00954EA7">
        <w:rPr>
          <w:lang w:val="en-GB"/>
        </w:rPr>
        <w:t xml:space="preserve">tive exchange rates to the year-on-year inflation in </w:t>
      </w:r>
      <w:r w:rsidR="00EF15B6">
        <w:rPr>
          <w:lang w:val="en-GB"/>
        </w:rPr>
        <w:t>our</w:t>
      </w:r>
      <w:r w:rsidR="00954EA7" w:rsidRPr="00954EA7">
        <w:rPr>
          <w:lang w:val="en-GB"/>
        </w:rPr>
        <w:t xml:space="preserve"> countries. These computations are presented in Table 3. The periods are similar to those from Table 2. The column “Model”</w:t>
      </w:r>
      <w:r w:rsidR="00954EA7" w:rsidRPr="00954EA7">
        <w:rPr>
          <w:rStyle w:val="Siln"/>
          <w:sz w:val="16"/>
          <w:szCs w:val="16"/>
          <w:lang w:val="en-GB"/>
        </w:rPr>
        <w:t xml:space="preserve"> </w:t>
      </w:r>
      <w:r w:rsidR="00954EA7" w:rsidRPr="00954EA7">
        <w:rPr>
          <w:rStyle w:val="Siln"/>
          <w:b w:val="0"/>
          <w:lang w:val="en-GB"/>
        </w:rPr>
        <w:t>contains est</w:t>
      </w:r>
      <w:r w:rsidR="00954EA7" w:rsidRPr="00954EA7">
        <w:rPr>
          <w:lang w:val="en-GB"/>
        </w:rPr>
        <w:t xml:space="preserve">imated intercept in the </w:t>
      </w:r>
      <w:r w:rsidR="00EF15B6" w:rsidRPr="00EF15B6">
        <w:rPr>
          <w:rStyle w:val="Siln"/>
          <w:position w:val="-6"/>
          <w:lang w:val="en-GB"/>
        </w:rPr>
        <w:object w:dxaOrig="540" w:dyaOrig="240">
          <v:shape id="_x0000_i1074" type="#_x0000_t75" style="width:26.9pt;height:12.5pt" o:ole="">
            <v:imagedata r:id="rId90" o:title=""/>
          </v:shape>
          <o:OLEObject Type="Embed" ProgID="Equation.3" ShapeID="_x0000_i1074" DrawAspect="Content" ObjectID="_1471692197" r:id="rId91"/>
        </w:object>
      </w:r>
      <w:r w:rsidR="00686DAB">
        <w:rPr>
          <w:rStyle w:val="Siln"/>
          <w:lang w:val="en-GB"/>
        </w:rPr>
        <w:t xml:space="preserve"> </w:t>
      </w:r>
      <w:r w:rsidR="00954EA7" w:rsidRPr="00954EA7">
        <w:rPr>
          <w:rStyle w:val="Siln"/>
          <w:b w:val="0"/>
          <w:lang w:val="en-GB"/>
        </w:rPr>
        <w:t>(i.e. inflation) equation of the SVAR model. This estimate corresponds to a part of the inflation which is not explained by the variability of the end</w:t>
      </w:r>
      <w:r w:rsidR="00792EAE">
        <w:rPr>
          <w:rStyle w:val="Siln"/>
          <w:b w:val="0"/>
          <w:lang w:val="en-GB"/>
        </w:rPr>
        <w:t>ogenous variables and may be thu</w:t>
      </w:r>
      <w:r w:rsidR="00954EA7" w:rsidRPr="00954EA7">
        <w:rPr>
          <w:rStyle w:val="Siln"/>
          <w:b w:val="0"/>
          <w:lang w:val="en-GB"/>
        </w:rPr>
        <w:t xml:space="preserve">s considered as the overall trend in price </w:t>
      </w:r>
      <w:r w:rsidR="00954EA7" w:rsidRPr="00954EA7">
        <w:rPr>
          <w:rStyle w:val="Siln"/>
          <w:b w:val="0"/>
          <w:lang w:val="en-GB"/>
        </w:rPr>
        <w:lastRenderedPageBreak/>
        <w:t>level development. We can see the inflationary impacts of the NEER changes in the 1990s and the mostly defl</w:t>
      </w:r>
      <w:r w:rsidR="00954EA7" w:rsidRPr="00954EA7">
        <w:rPr>
          <w:rStyle w:val="Siln"/>
          <w:b w:val="0"/>
          <w:lang w:val="en-GB"/>
        </w:rPr>
        <w:t>a</w:t>
      </w:r>
      <w:r w:rsidR="00954EA7" w:rsidRPr="00954EA7">
        <w:rPr>
          <w:rStyle w:val="Siln"/>
          <w:b w:val="0"/>
          <w:lang w:val="en-GB"/>
        </w:rPr>
        <w:t>tionary tendencies caused by the NEER changes in the 2000s.</w:t>
      </w:r>
    </w:p>
    <w:p w:rsidR="00954EA7" w:rsidRPr="00DF22F5" w:rsidRDefault="00954EA7" w:rsidP="00954EA7">
      <w:pPr>
        <w:pStyle w:val="Zkladntext-prvnodsazen"/>
        <w:ind w:firstLine="301"/>
        <w:rPr>
          <w:color w:val="FF000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2"/>
        <w:gridCol w:w="1153"/>
        <w:gridCol w:w="1152"/>
        <w:gridCol w:w="1153"/>
        <w:gridCol w:w="1153"/>
        <w:gridCol w:w="1152"/>
        <w:gridCol w:w="1146"/>
      </w:tblGrid>
      <w:tr w:rsidR="00B40BB5" w:rsidRPr="00B40BB5" w:rsidTr="003C04F6">
        <w:trPr>
          <w:trHeight w:val="280"/>
          <w:jc w:val="center"/>
        </w:trPr>
        <w:tc>
          <w:tcPr>
            <w:tcW w:w="625" w:type="pct"/>
            <w:tcBorders>
              <w:left w:val="nil"/>
              <w:bottom w:val="nil"/>
              <w:right w:val="nil"/>
            </w:tcBorders>
            <w:vAlign w:val="center"/>
          </w:tcPr>
          <w:p w:rsidR="006C1B17" w:rsidRPr="00B40BB5" w:rsidRDefault="006C1B17" w:rsidP="003C04F6">
            <w:pPr>
              <w:pStyle w:val="Tablecenteredtext"/>
              <w:rPr>
                <w:rStyle w:val="Siln"/>
                <w:sz w:val="18"/>
                <w:szCs w:val="18"/>
                <w:lang w:val="en-GB"/>
              </w:rPr>
            </w:pPr>
          </w:p>
        </w:tc>
        <w:tc>
          <w:tcPr>
            <w:tcW w:w="1251" w:type="pct"/>
            <w:gridSpan w:val="2"/>
            <w:tcBorders>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t>“1990s”</w:t>
            </w:r>
          </w:p>
        </w:tc>
        <w:tc>
          <w:tcPr>
            <w:tcW w:w="1251" w:type="pct"/>
            <w:gridSpan w:val="2"/>
            <w:tcBorders>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t>“2000s”</w:t>
            </w:r>
          </w:p>
        </w:tc>
        <w:tc>
          <w:tcPr>
            <w:tcW w:w="1251" w:type="pct"/>
            <w:gridSpan w:val="2"/>
            <w:tcBorders>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t>“1990s and 2000s”</w:t>
            </w:r>
          </w:p>
        </w:tc>
        <w:tc>
          <w:tcPr>
            <w:tcW w:w="622" w:type="pct"/>
            <w:tcBorders>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t>Model</w:t>
            </w:r>
          </w:p>
        </w:tc>
      </w:tr>
      <w:tr w:rsidR="00B40BB5" w:rsidRPr="00B40BB5" w:rsidTr="003C04F6">
        <w:trPr>
          <w:trHeight w:val="280"/>
          <w:jc w:val="center"/>
        </w:trPr>
        <w:tc>
          <w:tcPr>
            <w:tcW w:w="625"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p>
        </w:tc>
        <w:tc>
          <w:tcPr>
            <w:tcW w:w="625"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440" w:dyaOrig="300">
                <v:shape id="_x0000_i1067" type="#_x0000_t75" style="width:21.3pt;height:15.05pt" o:ole="">
                  <v:imagedata r:id="rId87" o:title=""/>
                </v:shape>
                <o:OLEObject Type="Embed" ProgID="Equation.3" ShapeID="_x0000_i1067" DrawAspect="Content" ObjectID="_1471692198" r:id="rId92"/>
              </w:object>
            </w:r>
          </w:p>
        </w:tc>
        <w:tc>
          <w:tcPr>
            <w:tcW w:w="626"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540" w:dyaOrig="240">
                <v:shape id="_x0000_i1068" type="#_x0000_t75" style="width:26.9pt;height:12.5pt" o:ole="">
                  <v:imagedata r:id="rId93" o:title=""/>
                </v:shape>
                <o:OLEObject Type="Embed" ProgID="Equation.3" ShapeID="_x0000_i1068" DrawAspect="Content" ObjectID="_1471692199" r:id="rId94"/>
              </w:object>
            </w:r>
          </w:p>
        </w:tc>
        <w:tc>
          <w:tcPr>
            <w:tcW w:w="625"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440" w:dyaOrig="300">
                <v:shape id="_x0000_i1069" type="#_x0000_t75" style="width:21.3pt;height:15.05pt" o:ole="">
                  <v:imagedata r:id="rId87" o:title=""/>
                </v:shape>
                <o:OLEObject Type="Embed" ProgID="Equation.3" ShapeID="_x0000_i1069" DrawAspect="Content" ObjectID="_1471692200" r:id="rId95"/>
              </w:object>
            </w:r>
          </w:p>
        </w:tc>
        <w:tc>
          <w:tcPr>
            <w:tcW w:w="626"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540" w:dyaOrig="240">
                <v:shape id="_x0000_i1070" type="#_x0000_t75" style="width:26.9pt;height:12.5pt" o:ole="">
                  <v:imagedata r:id="rId96" o:title=""/>
                </v:shape>
                <o:OLEObject Type="Embed" ProgID="Equation.3" ShapeID="_x0000_i1070" DrawAspect="Content" ObjectID="_1471692201" r:id="rId97"/>
              </w:object>
            </w:r>
          </w:p>
        </w:tc>
        <w:tc>
          <w:tcPr>
            <w:tcW w:w="626"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440" w:dyaOrig="300">
                <v:shape id="_x0000_i1071" type="#_x0000_t75" style="width:21.3pt;height:15.05pt" o:ole="">
                  <v:imagedata r:id="rId87" o:title=""/>
                </v:shape>
                <o:OLEObject Type="Embed" ProgID="Equation.3" ShapeID="_x0000_i1071" DrawAspect="Content" ObjectID="_1471692202" r:id="rId98"/>
              </w:object>
            </w:r>
          </w:p>
        </w:tc>
        <w:tc>
          <w:tcPr>
            <w:tcW w:w="625"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540" w:dyaOrig="240">
                <v:shape id="_x0000_i1072" type="#_x0000_t75" style="width:26.9pt;height:12.5pt" o:ole="">
                  <v:imagedata r:id="rId99" o:title=""/>
                </v:shape>
                <o:OLEObject Type="Embed" ProgID="Equation.3" ShapeID="_x0000_i1072" DrawAspect="Content" ObjectID="_1471692203" r:id="rId100"/>
              </w:object>
            </w:r>
          </w:p>
        </w:tc>
        <w:tc>
          <w:tcPr>
            <w:tcW w:w="622" w:type="pct"/>
            <w:tcBorders>
              <w:top w:val="nil"/>
              <w:left w:val="nil"/>
              <w:bottom w:val="nil"/>
              <w:right w:val="nil"/>
            </w:tcBorders>
            <w:vAlign w:val="center"/>
          </w:tcPr>
          <w:p w:rsidR="006C1B17" w:rsidRPr="00B40BB5" w:rsidRDefault="006C1B17" w:rsidP="003C04F6">
            <w:pPr>
              <w:pStyle w:val="Tablecenteredtext"/>
              <w:rPr>
                <w:rStyle w:val="Siln"/>
                <w:sz w:val="18"/>
                <w:szCs w:val="18"/>
                <w:lang w:val="en-GB"/>
              </w:rPr>
            </w:pPr>
            <w:r w:rsidRPr="00B40BB5">
              <w:rPr>
                <w:rStyle w:val="Siln"/>
                <w:sz w:val="18"/>
                <w:szCs w:val="18"/>
                <w:lang w:val="en-GB"/>
              </w:rPr>
              <w:object w:dxaOrig="540" w:dyaOrig="240">
                <v:shape id="_x0000_i1073" type="#_x0000_t75" style="width:26.9pt;height:12.5pt" o:ole="">
                  <v:imagedata r:id="rId101" o:title=""/>
                </v:shape>
                <o:OLEObject Type="Embed" ProgID="Equation.3" ShapeID="_x0000_i1073" DrawAspect="Content" ObjectID="_1471692204" r:id="rId102"/>
              </w:object>
            </w:r>
          </w:p>
        </w:tc>
      </w:tr>
      <w:tr w:rsidR="00B40BB5" w:rsidRPr="00B40BB5" w:rsidTr="003C04F6">
        <w:trPr>
          <w:trHeight w:val="280"/>
          <w:jc w:val="center"/>
        </w:trPr>
        <w:tc>
          <w:tcPr>
            <w:tcW w:w="625" w:type="pct"/>
            <w:tcBorders>
              <w:left w:val="nil"/>
              <w:bottom w:val="nil"/>
              <w:right w:val="nil"/>
            </w:tcBorders>
            <w:vAlign w:val="center"/>
          </w:tcPr>
          <w:p w:rsidR="006C1B17" w:rsidRPr="00B40BB5" w:rsidRDefault="00B40BB5" w:rsidP="00B40BB5">
            <w:pPr>
              <w:pStyle w:val="Tablecenteredtext"/>
              <w:rPr>
                <w:b/>
                <w:bCs/>
                <w:sz w:val="18"/>
                <w:szCs w:val="18"/>
                <w:lang w:val="en-GB"/>
              </w:rPr>
            </w:pPr>
            <w:r w:rsidRPr="00B40BB5">
              <w:rPr>
                <w:rStyle w:val="Siln"/>
                <w:b w:val="0"/>
                <w:sz w:val="18"/>
                <w:szCs w:val="18"/>
                <w:lang w:val="en-GB"/>
              </w:rPr>
              <w:t>ROM</w:t>
            </w:r>
          </w:p>
        </w:tc>
        <w:tc>
          <w:tcPr>
            <w:tcW w:w="625"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4</w:t>
            </w:r>
            <w:r w:rsidR="006C1B17" w:rsidRPr="00B40BB5">
              <w:rPr>
                <w:sz w:val="18"/>
                <w:szCs w:val="18"/>
                <w:lang w:val="en-GB"/>
              </w:rPr>
              <w:t>.</w:t>
            </w:r>
            <w:r w:rsidRPr="00B40BB5">
              <w:rPr>
                <w:sz w:val="18"/>
                <w:szCs w:val="18"/>
                <w:lang w:val="en-GB"/>
              </w:rPr>
              <w:t>15</w:t>
            </w:r>
            <w:r w:rsidR="006C1B17" w:rsidRPr="00B40BB5">
              <w:rPr>
                <w:sz w:val="18"/>
                <w:szCs w:val="18"/>
                <w:lang w:val="en-GB"/>
              </w:rPr>
              <w:t>%</w:t>
            </w:r>
          </w:p>
        </w:tc>
        <w:tc>
          <w:tcPr>
            <w:tcW w:w="626"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98</w:t>
            </w:r>
            <w:r w:rsidR="006C1B17" w:rsidRPr="00B40BB5">
              <w:rPr>
                <w:sz w:val="18"/>
                <w:szCs w:val="18"/>
                <w:lang w:val="en-GB"/>
              </w:rPr>
              <w:t>.4</w:t>
            </w:r>
            <w:r w:rsidRPr="00B40BB5">
              <w:rPr>
                <w:sz w:val="18"/>
                <w:szCs w:val="18"/>
                <w:lang w:val="en-GB"/>
              </w:rPr>
              <w:t>8</w:t>
            </w:r>
            <w:r w:rsidR="006C1B17" w:rsidRPr="00B40BB5">
              <w:rPr>
                <w:sz w:val="18"/>
                <w:szCs w:val="18"/>
                <w:lang w:val="en-GB"/>
              </w:rPr>
              <w:t>%</w:t>
            </w:r>
          </w:p>
        </w:tc>
        <w:tc>
          <w:tcPr>
            <w:tcW w:w="625" w:type="pct"/>
            <w:tcBorders>
              <w:left w:val="nil"/>
              <w:bottom w:val="nil"/>
              <w:right w:val="nil"/>
            </w:tcBorders>
            <w:vAlign w:val="center"/>
          </w:tcPr>
          <w:p w:rsidR="006C1B17" w:rsidRPr="00B40BB5" w:rsidRDefault="006C1B17" w:rsidP="00B40BB5">
            <w:pPr>
              <w:jc w:val="center"/>
              <w:rPr>
                <w:sz w:val="18"/>
                <w:szCs w:val="18"/>
                <w:lang w:val="en-GB"/>
              </w:rPr>
            </w:pPr>
            <w:r w:rsidRPr="00B40BB5">
              <w:rPr>
                <w:sz w:val="18"/>
                <w:szCs w:val="18"/>
                <w:lang w:val="en-GB"/>
              </w:rPr>
              <w:t>-</w:t>
            </w:r>
            <w:r w:rsidR="00B40BB5" w:rsidRPr="00B40BB5">
              <w:rPr>
                <w:sz w:val="18"/>
                <w:szCs w:val="18"/>
                <w:lang w:val="en-GB"/>
              </w:rPr>
              <w:t>6</w:t>
            </w:r>
            <w:r w:rsidRPr="00B40BB5">
              <w:rPr>
                <w:sz w:val="18"/>
                <w:szCs w:val="18"/>
                <w:lang w:val="en-GB"/>
              </w:rPr>
              <w:t>.</w:t>
            </w:r>
            <w:r w:rsidR="00B40BB5" w:rsidRPr="00B40BB5">
              <w:rPr>
                <w:sz w:val="18"/>
                <w:szCs w:val="18"/>
                <w:lang w:val="en-GB"/>
              </w:rPr>
              <w:t>58</w:t>
            </w:r>
            <w:r w:rsidRPr="00B40BB5">
              <w:rPr>
                <w:sz w:val="18"/>
                <w:szCs w:val="18"/>
                <w:lang w:val="en-GB"/>
              </w:rPr>
              <w:t>%</w:t>
            </w:r>
          </w:p>
        </w:tc>
        <w:tc>
          <w:tcPr>
            <w:tcW w:w="626"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21</w:t>
            </w:r>
            <w:r w:rsidR="006C1B17" w:rsidRPr="00B40BB5">
              <w:rPr>
                <w:sz w:val="18"/>
                <w:szCs w:val="18"/>
                <w:lang w:val="en-GB"/>
              </w:rPr>
              <w:t>.</w:t>
            </w:r>
            <w:r w:rsidRPr="00B40BB5">
              <w:rPr>
                <w:sz w:val="18"/>
                <w:szCs w:val="18"/>
                <w:lang w:val="en-GB"/>
              </w:rPr>
              <w:t>40</w:t>
            </w:r>
            <w:r w:rsidR="006C1B17" w:rsidRPr="00B40BB5">
              <w:rPr>
                <w:sz w:val="18"/>
                <w:szCs w:val="18"/>
                <w:lang w:val="en-GB"/>
              </w:rPr>
              <w:t>%</w:t>
            </w:r>
          </w:p>
        </w:tc>
        <w:tc>
          <w:tcPr>
            <w:tcW w:w="626"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-3</w:t>
            </w:r>
            <w:r w:rsidR="006C1B17" w:rsidRPr="00B40BB5">
              <w:rPr>
                <w:sz w:val="18"/>
                <w:szCs w:val="18"/>
                <w:lang w:val="en-GB"/>
              </w:rPr>
              <w:t>.6</w:t>
            </w:r>
            <w:r w:rsidRPr="00B40BB5">
              <w:rPr>
                <w:sz w:val="18"/>
                <w:szCs w:val="18"/>
                <w:lang w:val="en-GB"/>
              </w:rPr>
              <w:t>8</w:t>
            </w:r>
            <w:r w:rsidR="006C1B17" w:rsidRPr="00B40BB5">
              <w:rPr>
                <w:sz w:val="18"/>
                <w:szCs w:val="18"/>
                <w:lang w:val="en-GB"/>
              </w:rPr>
              <w:t>%</w:t>
            </w:r>
          </w:p>
        </w:tc>
        <w:tc>
          <w:tcPr>
            <w:tcW w:w="625"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39</w:t>
            </w:r>
            <w:r w:rsidR="006C1B17" w:rsidRPr="00B40BB5">
              <w:rPr>
                <w:sz w:val="18"/>
                <w:szCs w:val="18"/>
                <w:lang w:val="en-GB"/>
              </w:rPr>
              <w:t>.</w:t>
            </w:r>
            <w:r w:rsidRPr="00B40BB5">
              <w:rPr>
                <w:sz w:val="18"/>
                <w:szCs w:val="18"/>
                <w:lang w:val="en-GB"/>
              </w:rPr>
              <w:t>40</w:t>
            </w:r>
            <w:r w:rsidR="006C1B17" w:rsidRPr="00B40BB5">
              <w:rPr>
                <w:sz w:val="18"/>
                <w:szCs w:val="18"/>
                <w:lang w:val="en-GB"/>
              </w:rPr>
              <w:t>%</w:t>
            </w:r>
          </w:p>
        </w:tc>
        <w:tc>
          <w:tcPr>
            <w:tcW w:w="622" w:type="pct"/>
            <w:tcBorders>
              <w:left w:val="nil"/>
              <w:bottom w:val="nil"/>
              <w:right w:val="nil"/>
            </w:tcBorders>
            <w:vAlign w:val="center"/>
          </w:tcPr>
          <w:p w:rsidR="006C1B17" w:rsidRPr="00B40BB5" w:rsidRDefault="00B40BB5" w:rsidP="00B40BB5">
            <w:pPr>
              <w:jc w:val="center"/>
              <w:rPr>
                <w:sz w:val="18"/>
                <w:szCs w:val="18"/>
                <w:lang w:val="en-GB"/>
              </w:rPr>
            </w:pPr>
            <w:r w:rsidRPr="00B40BB5">
              <w:rPr>
                <w:sz w:val="18"/>
                <w:szCs w:val="18"/>
                <w:lang w:val="en-GB"/>
              </w:rPr>
              <w:t>31</w:t>
            </w:r>
            <w:r w:rsidR="006C1B17" w:rsidRPr="00B40BB5">
              <w:rPr>
                <w:sz w:val="18"/>
                <w:szCs w:val="18"/>
                <w:lang w:val="en-GB"/>
              </w:rPr>
              <w:t>.</w:t>
            </w:r>
            <w:r w:rsidRPr="00B40BB5">
              <w:rPr>
                <w:sz w:val="18"/>
                <w:szCs w:val="18"/>
                <w:lang w:val="en-GB"/>
              </w:rPr>
              <w:t>16</w:t>
            </w:r>
            <w:r w:rsidR="006C1B17" w:rsidRPr="00B40BB5">
              <w:rPr>
                <w:sz w:val="18"/>
                <w:szCs w:val="18"/>
                <w:lang w:val="en-GB"/>
              </w:rPr>
              <w:t>%</w:t>
            </w:r>
          </w:p>
        </w:tc>
      </w:tr>
      <w:tr w:rsidR="00B40BB5" w:rsidRPr="00B40BB5" w:rsidTr="003C04F6">
        <w:trPr>
          <w:trHeight w:val="280"/>
          <w:jc w:val="center"/>
        </w:trPr>
        <w:tc>
          <w:tcPr>
            <w:tcW w:w="625" w:type="pct"/>
            <w:tcBorders>
              <w:top w:val="nil"/>
              <w:left w:val="nil"/>
              <w:right w:val="nil"/>
            </w:tcBorders>
            <w:vAlign w:val="center"/>
          </w:tcPr>
          <w:p w:rsidR="006C1B17" w:rsidRPr="00B40BB5" w:rsidRDefault="00B40BB5" w:rsidP="00B40BB5">
            <w:pPr>
              <w:pStyle w:val="Tablecenteredtext"/>
              <w:rPr>
                <w:b/>
                <w:bCs/>
                <w:sz w:val="18"/>
                <w:szCs w:val="18"/>
                <w:lang w:val="en-GB"/>
              </w:rPr>
            </w:pPr>
            <w:r w:rsidRPr="00B40BB5">
              <w:rPr>
                <w:rStyle w:val="Siln"/>
                <w:b w:val="0"/>
                <w:sz w:val="18"/>
                <w:szCs w:val="18"/>
                <w:lang w:val="en-GB"/>
              </w:rPr>
              <w:t>BUL</w:t>
            </w:r>
          </w:p>
        </w:tc>
        <w:tc>
          <w:tcPr>
            <w:tcW w:w="625"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73</w:t>
            </w:r>
            <w:r w:rsidR="006C1B17" w:rsidRPr="00B40BB5">
              <w:rPr>
                <w:sz w:val="18"/>
                <w:szCs w:val="18"/>
                <w:lang w:val="en-GB"/>
              </w:rPr>
              <w:t>.</w:t>
            </w:r>
            <w:r w:rsidRPr="00B40BB5">
              <w:rPr>
                <w:sz w:val="18"/>
                <w:szCs w:val="18"/>
                <w:lang w:val="en-GB"/>
              </w:rPr>
              <w:t>64</w:t>
            </w:r>
            <w:r w:rsidR="006C1B17" w:rsidRPr="00B40BB5">
              <w:rPr>
                <w:sz w:val="18"/>
                <w:szCs w:val="18"/>
                <w:lang w:val="en-GB"/>
              </w:rPr>
              <w:t>%</w:t>
            </w:r>
          </w:p>
        </w:tc>
        <w:tc>
          <w:tcPr>
            <w:tcW w:w="626"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127</w:t>
            </w:r>
            <w:r w:rsidR="006C1B17" w:rsidRPr="00B40BB5">
              <w:rPr>
                <w:sz w:val="18"/>
                <w:szCs w:val="18"/>
                <w:lang w:val="en-GB"/>
              </w:rPr>
              <w:t>.</w:t>
            </w:r>
            <w:r w:rsidRPr="00B40BB5">
              <w:rPr>
                <w:sz w:val="18"/>
                <w:szCs w:val="18"/>
                <w:lang w:val="en-GB"/>
              </w:rPr>
              <w:t>63</w:t>
            </w:r>
            <w:r w:rsidR="006C1B17" w:rsidRPr="00B40BB5">
              <w:rPr>
                <w:sz w:val="18"/>
                <w:szCs w:val="18"/>
                <w:lang w:val="en-GB"/>
              </w:rPr>
              <w:t>%</w:t>
            </w:r>
          </w:p>
        </w:tc>
        <w:tc>
          <w:tcPr>
            <w:tcW w:w="625" w:type="pct"/>
            <w:tcBorders>
              <w:top w:val="nil"/>
              <w:left w:val="nil"/>
              <w:right w:val="nil"/>
            </w:tcBorders>
            <w:vAlign w:val="center"/>
          </w:tcPr>
          <w:p w:rsidR="006C1B17" w:rsidRPr="00B40BB5" w:rsidRDefault="006C1B17" w:rsidP="00B40BB5">
            <w:pPr>
              <w:jc w:val="center"/>
              <w:rPr>
                <w:sz w:val="18"/>
                <w:szCs w:val="18"/>
                <w:lang w:val="en-GB"/>
              </w:rPr>
            </w:pPr>
            <w:r w:rsidRPr="00B40BB5">
              <w:rPr>
                <w:sz w:val="18"/>
                <w:szCs w:val="18"/>
                <w:lang w:val="en-GB"/>
              </w:rPr>
              <w:t>-</w:t>
            </w:r>
            <w:r w:rsidR="00B40BB5" w:rsidRPr="00B40BB5">
              <w:rPr>
                <w:sz w:val="18"/>
                <w:szCs w:val="18"/>
                <w:lang w:val="en-GB"/>
              </w:rPr>
              <w:t>14</w:t>
            </w:r>
            <w:r w:rsidRPr="00B40BB5">
              <w:rPr>
                <w:sz w:val="18"/>
                <w:szCs w:val="18"/>
                <w:lang w:val="en-GB"/>
              </w:rPr>
              <w:t>.6</w:t>
            </w:r>
            <w:r w:rsidR="00B40BB5" w:rsidRPr="00B40BB5">
              <w:rPr>
                <w:sz w:val="18"/>
                <w:szCs w:val="18"/>
                <w:lang w:val="en-GB"/>
              </w:rPr>
              <w:t>2</w:t>
            </w:r>
            <w:r w:rsidRPr="00B40BB5">
              <w:rPr>
                <w:sz w:val="18"/>
                <w:szCs w:val="18"/>
                <w:lang w:val="en-GB"/>
              </w:rPr>
              <w:t>%</w:t>
            </w:r>
          </w:p>
        </w:tc>
        <w:tc>
          <w:tcPr>
            <w:tcW w:w="626"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6</w:t>
            </w:r>
            <w:r w:rsidR="006C1B17" w:rsidRPr="00B40BB5">
              <w:rPr>
                <w:sz w:val="18"/>
                <w:szCs w:val="18"/>
                <w:lang w:val="en-GB"/>
              </w:rPr>
              <w:t>.</w:t>
            </w:r>
            <w:r w:rsidRPr="00B40BB5">
              <w:rPr>
                <w:sz w:val="18"/>
                <w:szCs w:val="18"/>
                <w:lang w:val="en-GB"/>
              </w:rPr>
              <w:t>71</w:t>
            </w:r>
            <w:r w:rsidR="006C1B17" w:rsidRPr="00B40BB5">
              <w:rPr>
                <w:sz w:val="18"/>
                <w:szCs w:val="18"/>
                <w:lang w:val="en-GB"/>
              </w:rPr>
              <w:t>%</w:t>
            </w:r>
          </w:p>
        </w:tc>
        <w:tc>
          <w:tcPr>
            <w:tcW w:w="626"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5</w:t>
            </w:r>
            <w:r w:rsidR="006C1B17" w:rsidRPr="00B40BB5">
              <w:rPr>
                <w:sz w:val="18"/>
                <w:szCs w:val="18"/>
                <w:lang w:val="en-GB"/>
              </w:rPr>
              <w:t>.</w:t>
            </w:r>
            <w:r w:rsidRPr="00B40BB5">
              <w:rPr>
                <w:sz w:val="18"/>
                <w:szCs w:val="18"/>
                <w:lang w:val="en-GB"/>
              </w:rPr>
              <w:t>65</w:t>
            </w:r>
            <w:r w:rsidR="006C1B17" w:rsidRPr="00B40BB5">
              <w:rPr>
                <w:sz w:val="18"/>
                <w:szCs w:val="18"/>
                <w:lang w:val="en-GB"/>
              </w:rPr>
              <w:t>%</w:t>
            </w:r>
          </w:p>
        </w:tc>
        <w:tc>
          <w:tcPr>
            <w:tcW w:w="625"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33</w:t>
            </w:r>
            <w:r w:rsidR="006C1B17" w:rsidRPr="00B40BB5">
              <w:rPr>
                <w:sz w:val="18"/>
                <w:szCs w:val="18"/>
                <w:lang w:val="en-GB"/>
              </w:rPr>
              <w:t>.</w:t>
            </w:r>
            <w:r w:rsidRPr="00B40BB5">
              <w:rPr>
                <w:sz w:val="18"/>
                <w:szCs w:val="18"/>
                <w:lang w:val="en-GB"/>
              </w:rPr>
              <w:t>94</w:t>
            </w:r>
            <w:r w:rsidR="006C1B17" w:rsidRPr="00B40BB5">
              <w:rPr>
                <w:sz w:val="18"/>
                <w:szCs w:val="18"/>
                <w:lang w:val="en-GB"/>
              </w:rPr>
              <w:t>%</w:t>
            </w:r>
          </w:p>
        </w:tc>
        <w:tc>
          <w:tcPr>
            <w:tcW w:w="622" w:type="pct"/>
            <w:tcBorders>
              <w:top w:val="nil"/>
              <w:left w:val="nil"/>
              <w:right w:val="nil"/>
            </w:tcBorders>
            <w:vAlign w:val="center"/>
          </w:tcPr>
          <w:p w:rsidR="006C1B17" w:rsidRPr="00B40BB5" w:rsidRDefault="00B40BB5" w:rsidP="00B40BB5">
            <w:pPr>
              <w:jc w:val="center"/>
              <w:rPr>
                <w:sz w:val="18"/>
                <w:szCs w:val="18"/>
                <w:lang w:val="en-GB"/>
              </w:rPr>
            </w:pPr>
            <w:r w:rsidRPr="00B40BB5">
              <w:rPr>
                <w:sz w:val="18"/>
                <w:szCs w:val="18"/>
                <w:lang w:val="en-GB"/>
              </w:rPr>
              <w:t>26</w:t>
            </w:r>
            <w:r w:rsidR="006C1B17" w:rsidRPr="00B40BB5">
              <w:rPr>
                <w:sz w:val="18"/>
                <w:szCs w:val="18"/>
                <w:lang w:val="en-GB"/>
              </w:rPr>
              <w:t>.</w:t>
            </w:r>
            <w:r w:rsidRPr="00B40BB5">
              <w:rPr>
                <w:sz w:val="18"/>
                <w:szCs w:val="18"/>
                <w:lang w:val="en-GB"/>
              </w:rPr>
              <w:t>77</w:t>
            </w:r>
            <w:r w:rsidR="006C1B17" w:rsidRPr="00B40BB5">
              <w:rPr>
                <w:sz w:val="18"/>
                <w:szCs w:val="18"/>
                <w:lang w:val="en-GB"/>
              </w:rPr>
              <w:t>%</w:t>
            </w:r>
          </w:p>
        </w:tc>
      </w:tr>
    </w:tbl>
    <w:p w:rsidR="006C1B17" w:rsidRDefault="006C1B17" w:rsidP="006C1B17">
      <w:pPr>
        <w:pStyle w:val="Titulek"/>
        <w:rPr>
          <w:lang w:val="en-GB"/>
        </w:rPr>
      </w:pPr>
      <w:r w:rsidRPr="00B40BB5">
        <w:rPr>
          <w:rStyle w:val="CaptionHeader"/>
          <w:lang w:val="en-GB"/>
        </w:rPr>
        <w:t xml:space="preserve">Table </w:t>
      </w:r>
      <w:r w:rsidR="005670A2" w:rsidRPr="00B40BB5">
        <w:rPr>
          <w:rStyle w:val="CaptionHeader"/>
          <w:lang w:val="en-GB"/>
        </w:rPr>
        <w:fldChar w:fldCharType="begin"/>
      </w:r>
      <w:r w:rsidRPr="00B40BB5">
        <w:rPr>
          <w:rStyle w:val="CaptionHeader"/>
          <w:lang w:val="en-GB"/>
        </w:rPr>
        <w:instrText xml:space="preserve"> SEQ Table \* ARABIC </w:instrText>
      </w:r>
      <w:r w:rsidR="005670A2" w:rsidRPr="00B40BB5">
        <w:rPr>
          <w:rStyle w:val="CaptionHeader"/>
          <w:lang w:val="en-GB"/>
        </w:rPr>
        <w:fldChar w:fldCharType="separate"/>
      </w:r>
      <w:r w:rsidR="00711EE6">
        <w:rPr>
          <w:rStyle w:val="CaptionHeader"/>
          <w:noProof/>
          <w:lang w:val="en-GB"/>
        </w:rPr>
        <w:t>3</w:t>
      </w:r>
      <w:r w:rsidR="005670A2" w:rsidRPr="00B40BB5">
        <w:rPr>
          <w:rStyle w:val="CaptionHeader"/>
          <w:lang w:val="en-GB"/>
        </w:rPr>
        <w:fldChar w:fldCharType="end"/>
      </w:r>
      <w:r w:rsidRPr="00B40BB5">
        <w:rPr>
          <w:lang w:val="en-GB"/>
        </w:rPr>
        <w:t xml:space="preserve"> Contribution of NEER changes to the average year to year CPI inflation</w:t>
      </w:r>
    </w:p>
    <w:p w:rsidR="00954EA7" w:rsidRPr="00954EA7" w:rsidRDefault="00010BF7" w:rsidP="00954EA7">
      <w:pPr>
        <w:pStyle w:val="Zkladntext-prvnodsazen"/>
        <w:ind w:firstLine="301"/>
        <w:rPr>
          <w:lang w:val="en-GB"/>
        </w:rPr>
      </w:pPr>
      <w:r w:rsidRPr="00954EA7">
        <w:rPr>
          <w:lang w:val="en-GB"/>
        </w:rPr>
        <w:t xml:space="preserve">The goal of our contribution is to evaluate shock absorbing role of the exchange rate changes. Table 3 shows that in case of Bulgaria, exchange rate shocks contributed very strongly to the inflation pressures in the first half of 1990s. </w:t>
      </w:r>
      <w:r w:rsidR="00326583">
        <w:rPr>
          <w:lang w:val="en-GB"/>
        </w:rPr>
        <w:t>T</w:t>
      </w:r>
      <w:r w:rsidR="00A00D35" w:rsidRPr="00954EA7">
        <w:rPr>
          <w:lang w:val="en-GB"/>
        </w:rPr>
        <w:t>he exchange rate changes contributed to the average year on year CPI inflation of 127% by increasing the price level by 74%</w:t>
      </w:r>
      <w:r w:rsidR="00326583">
        <w:rPr>
          <w:lang w:val="en-GB"/>
        </w:rPr>
        <w:t xml:space="preserve"> in this period</w:t>
      </w:r>
      <w:r w:rsidR="00A00D35" w:rsidRPr="00954EA7">
        <w:rPr>
          <w:lang w:val="en-GB"/>
        </w:rPr>
        <w:t xml:space="preserve">. On the other hand, the high average year on year CPI inflation of 99% was not determined by the exchange rate movements. The average contribution of 4% was </w:t>
      </w:r>
      <w:r w:rsidR="00954EA7">
        <w:rPr>
          <w:lang w:val="en-GB"/>
        </w:rPr>
        <w:t xml:space="preserve">thus </w:t>
      </w:r>
      <w:r w:rsidR="00A00D35" w:rsidRPr="00954EA7">
        <w:rPr>
          <w:lang w:val="en-GB"/>
        </w:rPr>
        <w:t xml:space="preserve">negligible compared to the </w:t>
      </w:r>
      <w:r w:rsidR="00954EA7" w:rsidRPr="00954EA7">
        <w:rPr>
          <w:lang w:val="en-GB"/>
        </w:rPr>
        <w:t>average 100% price level changes.</w:t>
      </w:r>
      <w:r w:rsidR="001669B0">
        <w:rPr>
          <w:lang w:val="en-GB"/>
        </w:rPr>
        <w:t xml:space="preserve"> After adoption of managed floating, both countries experienced neg</w:t>
      </w:r>
      <w:r w:rsidR="001669B0">
        <w:rPr>
          <w:lang w:val="en-GB"/>
        </w:rPr>
        <w:t>a</w:t>
      </w:r>
      <w:r w:rsidR="001669B0">
        <w:rPr>
          <w:lang w:val="en-GB"/>
        </w:rPr>
        <w:t>tive impact of exchange rate changes on domestic inflation. That was crucial for the mild price level develo</w:t>
      </w:r>
      <w:r w:rsidR="001669B0">
        <w:rPr>
          <w:lang w:val="en-GB"/>
        </w:rPr>
        <w:t>p</w:t>
      </w:r>
      <w:r w:rsidR="001669B0">
        <w:rPr>
          <w:lang w:val="en-GB"/>
        </w:rPr>
        <w:t>ment in Bulgaria.</w:t>
      </w:r>
    </w:p>
    <w:p w:rsidR="006C1B17" w:rsidRPr="00491474" w:rsidRDefault="006C1B17" w:rsidP="00491474">
      <w:pPr>
        <w:pStyle w:val="Nadpis1"/>
        <w:numPr>
          <w:ilvl w:val="0"/>
          <w:numId w:val="15"/>
        </w:numPr>
        <w:tabs>
          <w:tab w:val="clear" w:pos="3409"/>
          <w:tab w:val="num" w:pos="432"/>
        </w:tabs>
        <w:ind w:left="432"/>
        <w:rPr>
          <w:szCs w:val="28"/>
        </w:rPr>
      </w:pPr>
      <w:r w:rsidRPr="00491474">
        <w:rPr>
          <w:szCs w:val="28"/>
        </w:rPr>
        <w:t>Conclusion</w:t>
      </w:r>
    </w:p>
    <w:p w:rsidR="001669B0" w:rsidRDefault="006C1B17" w:rsidP="006C1B17">
      <w:pPr>
        <w:pStyle w:val="Zkladntext"/>
        <w:rPr>
          <w:color w:val="FF0000"/>
          <w:szCs w:val="20"/>
          <w:lang w:val="en-GB"/>
        </w:rPr>
      </w:pPr>
      <w:r w:rsidRPr="001669B0">
        <w:rPr>
          <w:szCs w:val="20"/>
          <w:lang w:val="en-GB"/>
        </w:rPr>
        <w:t>In our contribution, we have analy</w:t>
      </w:r>
      <w:r w:rsidR="00010BF7" w:rsidRPr="001669B0">
        <w:rPr>
          <w:szCs w:val="20"/>
          <w:lang w:val="en-GB"/>
        </w:rPr>
        <w:t>s</w:t>
      </w:r>
      <w:r w:rsidRPr="001669B0">
        <w:rPr>
          <w:szCs w:val="20"/>
          <w:lang w:val="en-GB"/>
        </w:rPr>
        <w:t xml:space="preserve">ed the relationship between exchange rates and inflation in </w:t>
      </w:r>
      <w:r w:rsidR="001669B0" w:rsidRPr="001669B0">
        <w:rPr>
          <w:szCs w:val="20"/>
          <w:lang w:val="en-GB"/>
        </w:rPr>
        <w:t xml:space="preserve">Bulgaria and Romania. </w:t>
      </w:r>
      <w:r w:rsidRPr="001669B0">
        <w:rPr>
          <w:szCs w:val="20"/>
          <w:lang w:val="en-GB"/>
        </w:rPr>
        <w:t xml:space="preserve">These countries applied different exchange rate strategies during the transformation process. We have found out </w:t>
      </w:r>
      <w:r w:rsidR="001669B0" w:rsidRPr="001669B0">
        <w:rPr>
          <w:szCs w:val="20"/>
          <w:lang w:val="en-GB"/>
        </w:rPr>
        <w:t>that change</w:t>
      </w:r>
      <w:r w:rsidRPr="001669B0">
        <w:rPr>
          <w:szCs w:val="20"/>
          <w:lang w:val="en-GB"/>
        </w:rPr>
        <w:t xml:space="preserve"> in exchange rates </w:t>
      </w:r>
      <w:r w:rsidR="001669B0" w:rsidRPr="001669B0">
        <w:rPr>
          <w:szCs w:val="20"/>
          <w:lang w:val="en-GB"/>
        </w:rPr>
        <w:t>played an important role in the first half of 1990s. We can conclude that</w:t>
      </w:r>
      <w:r w:rsidR="001669B0">
        <w:rPr>
          <w:color w:val="FF0000"/>
          <w:szCs w:val="20"/>
          <w:lang w:val="en-GB"/>
        </w:rPr>
        <w:t xml:space="preserve"> </w:t>
      </w:r>
      <w:r w:rsidR="001669B0" w:rsidRPr="00954EA7">
        <w:rPr>
          <w:lang w:val="en-GB"/>
        </w:rPr>
        <w:t xml:space="preserve">the </w:t>
      </w:r>
      <w:bookmarkStart w:id="1" w:name="_GoBack"/>
      <w:r w:rsidR="001669B0" w:rsidRPr="00954EA7">
        <w:rPr>
          <w:lang w:val="en-GB"/>
        </w:rPr>
        <w:t xml:space="preserve">exchange rate adjustments were not able to accommodate the shocks hitting </w:t>
      </w:r>
      <w:r w:rsidR="001669B0">
        <w:rPr>
          <w:lang w:val="en-GB"/>
        </w:rPr>
        <w:t xml:space="preserve">both economies </w:t>
      </w:r>
      <w:r w:rsidR="001669B0" w:rsidRPr="00954EA7">
        <w:rPr>
          <w:lang w:val="en-GB"/>
        </w:rPr>
        <w:t>and to dampen their influence on the inflation</w:t>
      </w:r>
      <w:r w:rsidR="001669B0">
        <w:rPr>
          <w:lang w:val="en-GB"/>
        </w:rPr>
        <w:t xml:space="preserve"> in the first half of the 1990s</w:t>
      </w:r>
      <w:r w:rsidR="001669B0" w:rsidRPr="00954EA7">
        <w:rPr>
          <w:lang w:val="en-GB"/>
        </w:rPr>
        <w:t>. Exogenous shocks affected exchange rate and led to additional volatility of the main economic indicators in the domestic economy.</w:t>
      </w:r>
      <w:r w:rsidR="001669B0">
        <w:rPr>
          <w:lang w:val="en-GB"/>
        </w:rPr>
        <w:t xml:space="preserve"> </w:t>
      </w:r>
      <w:r w:rsidR="001669B0" w:rsidRPr="00954EA7">
        <w:rPr>
          <w:lang w:val="en-GB"/>
        </w:rPr>
        <w:t>After 199</w:t>
      </w:r>
      <w:r w:rsidR="000C708E">
        <w:rPr>
          <w:lang w:val="en-GB"/>
        </w:rPr>
        <w:t>7</w:t>
      </w:r>
      <w:r w:rsidR="001669B0" w:rsidRPr="00954EA7">
        <w:rPr>
          <w:lang w:val="en-GB"/>
        </w:rPr>
        <w:t xml:space="preserve">, both countries changed their exchange rate regimes </w:t>
      </w:r>
      <w:r w:rsidR="008C18B1">
        <w:rPr>
          <w:lang w:val="en-GB"/>
        </w:rPr>
        <w:t>(</w:t>
      </w:r>
      <w:r w:rsidR="001669B0" w:rsidRPr="00954EA7">
        <w:rPr>
          <w:lang w:val="en-GB"/>
        </w:rPr>
        <w:t>to the managed floating</w:t>
      </w:r>
      <w:r w:rsidR="008C18B1">
        <w:rPr>
          <w:lang w:val="en-GB"/>
        </w:rPr>
        <w:t xml:space="preserve"> and currency board)</w:t>
      </w:r>
      <w:r w:rsidR="001669B0" w:rsidRPr="00954EA7">
        <w:rPr>
          <w:lang w:val="en-GB"/>
        </w:rPr>
        <w:t>. As a result, the exchange rate adjustments accommodated the shocks affected the CPI inflation in this peri</w:t>
      </w:r>
      <w:r w:rsidR="001669B0">
        <w:rPr>
          <w:lang w:val="en-GB"/>
        </w:rPr>
        <w:t>od.</w:t>
      </w:r>
    </w:p>
    <w:bookmarkEnd w:id="1"/>
    <w:p w:rsidR="0052403C" w:rsidRPr="00DF22F5" w:rsidRDefault="0052403C" w:rsidP="0052403C">
      <w:pPr>
        <w:pStyle w:val="Acknowledgements"/>
        <w:rPr>
          <w:lang w:val="en-GB"/>
        </w:rPr>
      </w:pPr>
      <w:r w:rsidRPr="00DF22F5">
        <w:rPr>
          <w:lang w:val="en-GB"/>
        </w:rPr>
        <w:t>Acknowledgements</w:t>
      </w:r>
    </w:p>
    <w:p w:rsidR="003A26A7" w:rsidRPr="00DF22F5" w:rsidRDefault="006C1B17" w:rsidP="00D64F91">
      <w:pPr>
        <w:pStyle w:val="Zkladntext"/>
        <w:rPr>
          <w:lang w:val="en-GB"/>
        </w:rPr>
      </w:pPr>
      <w:r w:rsidRPr="00DF22F5">
        <w:rPr>
          <w:lang w:val="en-GB"/>
        </w:rPr>
        <w:t>This work is supported by funding of specific research at Masaryk University (project MUNI/A/0</w:t>
      </w:r>
      <w:r w:rsidR="00DF22F5" w:rsidRPr="00DF22F5">
        <w:rPr>
          <w:lang w:val="en-GB"/>
        </w:rPr>
        <w:t>811</w:t>
      </w:r>
      <w:r w:rsidRPr="00DF22F5">
        <w:rPr>
          <w:lang w:val="en-GB"/>
        </w:rPr>
        <w:t>/201</w:t>
      </w:r>
      <w:r w:rsidR="00DF22F5" w:rsidRPr="00DF22F5">
        <w:rPr>
          <w:lang w:val="en-GB"/>
        </w:rPr>
        <w:t>3</w:t>
      </w:r>
      <w:r w:rsidRPr="00DF22F5">
        <w:rPr>
          <w:lang w:val="en-GB"/>
        </w:rPr>
        <w:t>).</w:t>
      </w:r>
      <w:r w:rsidR="00D64F91">
        <w:rPr>
          <w:lang w:val="en-GB"/>
        </w:rPr>
        <w:t xml:space="preserve"> </w:t>
      </w:r>
      <w:r w:rsidR="00D64F91" w:rsidRPr="00D64F91">
        <w:rPr>
          <w:lang w:val="en-GB"/>
        </w:rPr>
        <w:t xml:space="preserve">We also thank to </w:t>
      </w:r>
      <w:r w:rsidR="00D64F91">
        <w:rPr>
          <w:lang w:val="en-GB"/>
        </w:rPr>
        <w:t xml:space="preserve">the </w:t>
      </w:r>
      <w:r w:rsidR="00D64F91" w:rsidRPr="00D64F91">
        <w:rPr>
          <w:lang w:val="en-GB"/>
        </w:rPr>
        <w:t xml:space="preserve">anonymous reviewer for </w:t>
      </w:r>
      <w:r w:rsidR="00D64F91">
        <w:rPr>
          <w:lang w:val="en-GB"/>
        </w:rPr>
        <w:t xml:space="preserve">detailed </w:t>
      </w:r>
      <w:r w:rsidR="00D64F91" w:rsidRPr="00D64F91">
        <w:rPr>
          <w:lang w:val="en-GB"/>
        </w:rPr>
        <w:t>corrections, comments and</w:t>
      </w:r>
      <w:r w:rsidR="00D64F91">
        <w:rPr>
          <w:lang w:val="en-GB"/>
        </w:rPr>
        <w:t xml:space="preserve"> </w:t>
      </w:r>
      <w:r w:rsidR="00D64F91" w:rsidRPr="00D64F91">
        <w:rPr>
          <w:lang w:val="en-GB"/>
        </w:rPr>
        <w:t>suggestions.</w:t>
      </w:r>
    </w:p>
    <w:p w:rsidR="0052403C" w:rsidRPr="00DF22F5" w:rsidRDefault="0052403C" w:rsidP="0052403C">
      <w:pPr>
        <w:pStyle w:val="ReferencesHeader"/>
        <w:rPr>
          <w:lang w:val="en-GB"/>
        </w:rPr>
      </w:pPr>
      <w:r w:rsidRPr="00DF22F5">
        <w:rPr>
          <w:lang w:val="en-GB"/>
        </w:rPr>
        <w:t>References</w:t>
      </w:r>
    </w:p>
    <w:p w:rsidR="00582D25" w:rsidRDefault="00582D25" w:rsidP="00DF22F5">
      <w:pPr>
        <w:pStyle w:val="Seznamcitac"/>
        <w:rPr>
          <w:lang w:val="en-GB"/>
        </w:rPr>
      </w:pPr>
      <w:bookmarkStart w:id="2" w:name="_Ref387335918"/>
      <w:bookmarkStart w:id="3" w:name="_Ref387269917"/>
      <w:bookmarkStart w:id="4" w:name="_Ref325202335"/>
      <w:bookmarkStart w:id="5" w:name="_Ref355955782"/>
      <w:proofErr w:type="spellStart"/>
      <w:r>
        <w:rPr>
          <w:lang w:val="en-GB"/>
        </w:rPr>
        <w:t>Audzei</w:t>
      </w:r>
      <w:proofErr w:type="spellEnd"/>
      <w:r>
        <w:rPr>
          <w:lang w:val="en-GB"/>
        </w:rPr>
        <w:t xml:space="preserve">, V. and </w:t>
      </w:r>
      <w:proofErr w:type="spellStart"/>
      <w:r>
        <w:rPr>
          <w:lang w:val="en-GB"/>
        </w:rPr>
        <w:t>Brázdík</w:t>
      </w:r>
      <w:proofErr w:type="spellEnd"/>
      <w:r>
        <w:rPr>
          <w:lang w:val="en-GB"/>
        </w:rPr>
        <w:t>, F.: Monetary Policy and Exchange Rate Dynamics: The Exchange Rate as Shock Absorber. Czech National Bank Working Paper Series 9, 2012.</w:t>
      </w:r>
      <w:bookmarkEnd w:id="2"/>
    </w:p>
    <w:p w:rsidR="00DF22F5" w:rsidRPr="00DF22F5" w:rsidRDefault="00DF22F5" w:rsidP="00DF22F5">
      <w:pPr>
        <w:pStyle w:val="Seznamcitac"/>
        <w:rPr>
          <w:lang w:val="en-GB"/>
        </w:rPr>
      </w:pPr>
      <w:bookmarkStart w:id="6" w:name="_Ref392076039"/>
      <w:r w:rsidRPr="00DF22F5">
        <w:rPr>
          <w:lang w:val="en-GB"/>
        </w:rPr>
        <w:t>Bristow, J.: Bulgaria in The Central &amp; Eastern Europe Handbook, Prospects onto the 21st Century, edited by P. </w:t>
      </w:r>
      <w:proofErr w:type="spellStart"/>
      <w:r w:rsidRPr="00DF22F5">
        <w:rPr>
          <w:lang w:val="en-GB"/>
        </w:rPr>
        <w:t>Heenan</w:t>
      </w:r>
      <w:proofErr w:type="spellEnd"/>
      <w:r w:rsidRPr="00DF22F5">
        <w:rPr>
          <w:lang w:val="en-GB"/>
        </w:rPr>
        <w:t>, M. </w:t>
      </w:r>
      <w:proofErr w:type="spellStart"/>
      <w:r w:rsidRPr="00DF22F5">
        <w:rPr>
          <w:lang w:val="en-GB"/>
        </w:rPr>
        <w:t>Lamontage</w:t>
      </w:r>
      <w:proofErr w:type="spellEnd"/>
      <w:r w:rsidRPr="00DF22F5">
        <w:rPr>
          <w:lang w:val="en-GB"/>
        </w:rPr>
        <w:t>, Fitzroy Dearborn Publishers, London, Chicago, 1999.</w:t>
      </w:r>
      <w:bookmarkEnd w:id="3"/>
      <w:bookmarkEnd w:id="6"/>
    </w:p>
    <w:p w:rsidR="00DF22F5" w:rsidRPr="00DF22F5" w:rsidRDefault="00DF22F5" w:rsidP="00DF22F5">
      <w:pPr>
        <w:pStyle w:val="Seznamcitac"/>
        <w:rPr>
          <w:lang w:val="en-GB"/>
        </w:rPr>
      </w:pPr>
      <w:bookmarkStart w:id="7" w:name="_Ref387269856"/>
      <w:proofErr w:type="spellStart"/>
      <w:r w:rsidRPr="00DF22F5">
        <w:rPr>
          <w:lang w:val="en-GB"/>
        </w:rPr>
        <w:t>Dimitrov</w:t>
      </w:r>
      <w:proofErr w:type="spellEnd"/>
      <w:r w:rsidRPr="00DF22F5">
        <w:rPr>
          <w:lang w:val="en-GB"/>
        </w:rPr>
        <w:t>, V.: Bulgaria the uneven transition, Routledge, London, 2001.</w:t>
      </w:r>
      <w:bookmarkEnd w:id="7"/>
    </w:p>
    <w:p w:rsidR="00DF22F5" w:rsidRPr="00DF22F5" w:rsidRDefault="00DF22F5" w:rsidP="006C1B17">
      <w:pPr>
        <w:pStyle w:val="Seznamcitac"/>
        <w:rPr>
          <w:lang w:val="en-GB"/>
        </w:rPr>
      </w:pPr>
      <w:bookmarkStart w:id="8" w:name="_Ref387269938"/>
      <w:proofErr w:type="spellStart"/>
      <w:r w:rsidRPr="00DF22F5">
        <w:rPr>
          <w:lang w:val="en-GB"/>
        </w:rPr>
        <w:t>Fidrmuc</w:t>
      </w:r>
      <w:proofErr w:type="spellEnd"/>
      <w:r w:rsidRPr="00DF22F5">
        <w:rPr>
          <w:lang w:val="en-GB"/>
        </w:rPr>
        <w:t xml:space="preserve">, J., </w:t>
      </w:r>
      <w:proofErr w:type="spellStart"/>
      <w:r w:rsidRPr="00DF22F5">
        <w:rPr>
          <w:lang w:val="en-GB"/>
        </w:rPr>
        <w:t>Silgoner</w:t>
      </w:r>
      <w:proofErr w:type="spellEnd"/>
      <w:r w:rsidRPr="00DF22F5">
        <w:rPr>
          <w:lang w:val="en-GB"/>
        </w:rPr>
        <w:t xml:space="preserve">, M. A., and </w:t>
      </w:r>
      <w:proofErr w:type="spellStart"/>
      <w:r w:rsidRPr="00DF22F5">
        <w:rPr>
          <w:lang w:val="en-GB"/>
        </w:rPr>
        <w:t>Cuaresma</w:t>
      </w:r>
      <w:proofErr w:type="spellEnd"/>
      <w:r w:rsidRPr="00DF22F5">
        <w:rPr>
          <w:lang w:val="en-GB"/>
        </w:rPr>
        <w:t xml:space="preserve">, J. C.: Exchange Rate Developments and Fundamentals in Four EU Accession and Candidate Countries: Bulgaria, Croatia, Romania and Turkey. </w:t>
      </w:r>
      <w:r w:rsidRPr="00DF22F5">
        <w:rPr>
          <w:i/>
          <w:lang w:val="en-GB"/>
        </w:rPr>
        <w:t>Focus on European Ec</w:t>
      </w:r>
      <w:r w:rsidRPr="00DF22F5">
        <w:rPr>
          <w:i/>
          <w:lang w:val="en-GB"/>
        </w:rPr>
        <w:t>o</w:t>
      </w:r>
      <w:r w:rsidRPr="00DF22F5">
        <w:rPr>
          <w:i/>
          <w:lang w:val="en-GB"/>
        </w:rPr>
        <w:t>nomic Integration</w:t>
      </w:r>
      <w:r w:rsidRPr="00DF22F5">
        <w:rPr>
          <w:lang w:val="en-GB"/>
        </w:rPr>
        <w:t xml:space="preserve">, issue 2, </w:t>
      </w:r>
      <w:proofErr w:type="spellStart"/>
      <w:r w:rsidRPr="00DF22F5">
        <w:rPr>
          <w:lang w:val="en-GB"/>
        </w:rPr>
        <w:t>Oesterreichische</w:t>
      </w:r>
      <w:proofErr w:type="spellEnd"/>
      <w:r w:rsidRPr="00DF22F5">
        <w:rPr>
          <w:lang w:val="en-GB"/>
        </w:rPr>
        <w:t xml:space="preserve"> </w:t>
      </w:r>
      <w:proofErr w:type="spellStart"/>
      <w:r w:rsidRPr="00DF22F5">
        <w:rPr>
          <w:lang w:val="en-GB"/>
        </w:rPr>
        <w:t>Nationalbank</w:t>
      </w:r>
      <w:proofErr w:type="spellEnd"/>
      <w:r w:rsidRPr="00DF22F5">
        <w:rPr>
          <w:lang w:val="en-GB"/>
        </w:rPr>
        <w:t xml:space="preserve"> (Austrian Central Bank).</w:t>
      </w:r>
      <w:bookmarkEnd w:id="8"/>
    </w:p>
    <w:p w:rsidR="006C1B17" w:rsidRPr="00DF22F5" w:rsidRDefault="006C1B17" w:rsidP="006C1B17">
      <w:pPr>
        <w:pStyle w:val="Seznamcitac"/>
        <w:rPr>
          <w:lang w:val="en-GB"/>
        </w:rPr>
      </w:pPr>
      <w:bookmarkStart w:id="9" w:name="_Ref360368135"/>
      <w:bookmarkEnd w:id="4"/>
      <w:r w:rsidRPr="00DF22F5">
        <w:rPr>
          <w:lang w:val="en-GB"/>
        </w:rPr>
        <w:t xml:space="preserve">Ito, T., and Sato, K.: Exchange Rate Changes and Inflation in Post-Crisis Asian Economies: Vector </w:t>
      </w:r>
      <w:proofErr w:type="spellStart"/>
      <w:r w:rsidRPr="00DF22F5">
        <w:rPr>
          <w:lang w:val="en-GB"/>
        </w:rPr>
        <w:t>Aut</w:t>
      </w:r>
      <w:r w:rsidRPr="00DF22F5">
        <w:rPr>
          <w:lang w:val="en-GB"/>
        </w:rPr>
        <w:t>o</w:t>
      </w:r>
      <w:r w:rsidRPr="00DF22F5">
        <w:rPr>
          <w:lang w:val="en-GB"/>
        </w:rPr>
        <w:t>regression</w:t>
      </w:r>
      <w:proofErr w:type="spellEnd"/>
      <w:r w:rsidRPr="00DF22F5">
        <w:rPr>
          <w:lang w:val="en-GB"/>
        </w:rPr>
        <w:t xml:space="preserve"> Analysis of the Exchange Rate Pass-Through. </w:t>
      </w:r>
      <w:r w:rsidRPr="00DF22F5">
        <w:rPr>
          <w:rStyle w:val="Zvraznn1"/>
          <w:lang w:val="en-GB"/>
        </w:rPr>
        <w:t xml:space="preserve">Journal of Money, Credit and Banking </w:t>
      </w:r>
      <w:r w:rsidRPr="00DF22F5">
        <w:rPr>
          <w:rStyle w:val="Siln"/>
          <w:lang w:val="en-GB"/>
        </w:rPr>
        <w:t>40</w:t>
      </w:r>
      <w:r w:rsidRPr="00DF22F5">
        <w:rPr>
          <w:lang w:val="en-GB"/>
        </w:rPr>
        <w:t xml:space="preserve"> (2008), 1407–1438.</w:t>
      </w:r>
      <w:bookmarkEnd w:id="5"/>
      <w:bookmarkEnd w:id="9"/>
    </w:p>
    <w:p w:rsidR="006C1B17" w:rsidRPr="00DF22F5" w:rsidRDefault="006C1B17" w:rsidP="006C1B17">
      <w:pPr>
        <w:pStyle w:val="Seznamcitac"/>
        <w:rPr>
          <w:lang w:val="en-GB"/>
        </w:rPr>
      </w:pPr>
      <w:bookmarkStart w:id="10" w:name="_Ref360377901"/>
      <w:proofErr w:type="spellStart"/>
      <w:r w:rsidRPr="00DF22F5">
        <w:rPr>
          <w:lang w:val="en-GB"/>
        </w:rPr>
        <w:t>Mirdala</w:t>
      </w:r>
      <w:proofErr w:type="spellEnd"/>
      <w:r w:rsidRPr="00DF22F5">
        <w:rPr>
          <w:lang w:val="en-GB"/>
        </w:rPr>
        <w:t xml:space="preserve">, R.: </w:t>
      </w:r>
      <w:proofErr w:type="spellStart"/>
      <w:r w:rsidRPr="00DF22F5">
        <w:rPr>
          <w:i/>
          <w:iCs/>
          <w:lang w:val="en-GB"/>
        </w:rPr>
        <w:t>Menové</w:t>
      </w:r>
      <w:proofErr w:type="spellEnd"/>
      <w:r w:rsidRPr="00DF22F5">
        <w:rPr>
          <w:i/>
          <w:iCs/>
          <w:lang w:val="en-GB"/>
        </w:rPr>
        <w:t xml:space="preserve"> </w:t>
      </w:r>
      <w:proofErr w:type="spellStart"/>
      <w:r w:rsidRPr="00DF22F5">
        <w:rPr>
          <w:i/>
          <w:iCs/>
          <w:lang w:val="en-GB"/>
        </w:rPr>
        <w:t>kurzy</w:t>
      </w:r>
      <w:proofErr w:type="spellEnd"/>
      <w:r w:rsidRPr="00DF22F5">
        <w:rPr>
          <w:i/>
          <w:iCs/>
          <w:lang w:val="en-GB"/>
        </w:rPr>
        <w:t xml:space="preserve"> v </w:t>
      </w:r>
      <w:proofErr w:type="spellStart"/>
      <w:r w:rsidRPr="00DF22F5">
        <w:rPr>
          <w:i/>
          <w:iCs/>
          <w:lang w:val="en-GB"/>
        </w:rPr>
        <w:t>krajinách</w:t>
      </w:r>
      <w:proofErr w:type="spellEnd"/>
      <w:r w:rsidRPr="00DF22F5">
        <w:rPr>
          <w:i/>
          <w:iCs/>
          <w:lang w:val="en-GB"/>
        </w:rPr>
        <w:t xml:space="preserve"> </w:t>
      </w:r>
      <w:proofErr w:type="spellStart"/>
      <w:r w:rsidRPr="00DF22F5">
        <w:rPr>
          <w:i/>
          <w:iCs/>
          <w:lang w:val="en-GB"/>
        </w:rPr>
        <w:t>strednej</w:t>
      </w:r>
      <w:proofErr w:type="spellEnd"/>
      <w:r w:rsidRPr="00DF22F5">
        <w:rPr>
          <w:i/>
          <w:iCs/>
          <w:lang w:val="en-GB"/>
        </w:rPr>
        <w:t xml:space="preserve"> </w:t>
      </w:r>
      <w:proofErr w:type="spellStart"/>
      <w:r w:rsidRPr="00DF22F5">
        <w:rPr>
          <w:i/>
          <w:iCs/>
          <w:lang w:val="en-GB"/>
        </w:rPr>
        <w:t>Europy</w:t>
      </w:r>
      <w:proofErr w:type="spellEnd"/>
      <w:r w:rsidRPr="00DF22F5">
        <w:rPr>
          <w:lang w:val="en-GB"/>
        </w:rPr>
        <w:t xml:space="preserve">. </w:t>
      </w:r>
      <w:proofErr w:type="spellStart"/>
      <w:r w:rsidRPr="00DF22F5">
        <w:rPr>
          <w:lang w:val="en-GB"/>
        </w:rPr>
        <w:t>Technická</w:t>
      </w:r>
      <w:proofErr w:type="spellEnd"/>
      <w:r w:rsidRPr="00DF22F5">
        <w:rPr>
          <w:lang w:val="en-GB"/>
        </w:rPr>
        <w:t xml:space="preserve"> </w:t>
      </w:r>
      <w:proofErr w:type="spellStart"/>
      <w:r w:rsidRPr="00DF22F5">
        <w:rPr>
          <w:lang w:val="en-GB"/>
        </w:rPr>
        <w:t>univerzita</w:t>
      </w:r>
      <w:proofErr w:type="spellEnd"/>
      <w:r w:rsidRPr="00DF22F5">
        <w:rPr>
          <w:lang w:val="en-GB"/>
        </w:rPr>
        <w:t xml:space="preserve"> v </w:t>
      </w:r>
      <w:proofErr w:type="spellStart"/>
      <w:r w:rsidRPr="00DF22F5">
        <w:rPr>
          <w:lang w:val="en-GB"/>
        </w:rPr>
        <w:t>Košiciach</w:t>
      </w:r>
      <w:proofErr w:type="spellEnd"/>
      <w:r w:rsidRPr="00DF22F5">
        <w:rPr>
          <w:lang w:val="en-GB"/>
        </w:rPr>
        <w:t xml:space="preserve">, </w:t>
      </w:r>
      <w:proofErr w:type="spellStart"/>
      <w:r w:rsidRPr="00DF22F5">
        <w:rPr>
          <w:lang w:val="en-GB"/>
        </w:rPr>
        <w:t>Košice</w:t>
      </w:r>
      <w:proofErr w:type="spellEnd"/>
      <w:r w:rsidRPr="00DF22F5">
        <w:rPr>
          <w:lang w:val="en-GB"/>
        </w:rPr>
        <w:t>, 2011.</w:t>
      </w:r>
      <w:bookmarkEnd w:id="10"/>
    </w:p>
    <w:p w:rsidR="006C1B17" w:rsidRPr="00DF22F5" w:rsidRDefault="006C1B17" w:rsidP="006C1B17">
      <w:pPr>
        <w:pStyle w:val="Seznamcitac"/>
        <w:rPr>
          <w:lang w:val="en-GB"/>
        </w:rPr>
      </w:pPr>
      <w:bookmarkStart w:id="11" w:name="_Ref360377903"/>
      <w:proofErr w:type="spellStart"/>
      <w:r w:rsidRPr="00DF22F5">
        <w:rPr>
          <w:lang w:val="en-GB"/>
        </w:rPr>
        <w:t>Mirdala</w:t>
      </w:r>
      <w:proofErr w:type="spellEnd"/>
      <w:r w:rsidRPr="00DF22F5">
        <w:rPr>
          <w:lang w:val="en-GB"/>
        </w:rPr>
        <w:t xml:space="preserve">, R.: Exchange rate pass-through to domestic prices in the Central European countries. </w:t>
      </w:r>
      <w:r w:rsidRPr="00DF22F5">
        <w:rPr>
          <w:i/>
          <w:iCs/>
          <w:lang w:val="en-GB"/>
        </w:rPr>
        <w:t xml:space="preserve">Journal of Applied Economic Sciences </w:t>
      </w:r>
      <w:r w:rsidRPr="00DF22F5">
        <w:rPr>
          <w:b/>
          <w:bCs/>
          <w:lang w:val="en-GB"/>
        </w:rPr>
        <w:t>4</w:t>
      </w:r>
      <w:r w:rsidRPr="00DF22F5">
        <w:rPr>
          <w:lang w:val="en-GB"/>
        </w:rPr>
        <w:t xml:space="preserve"> (2009), 408–424.</w:t>
      </w:r>
      <w:bookmarkEnd w:id="11"/>
    </w:p>
    <w:p w:rsidR="009A38A4" w:rsidRPr="00DF22F5" w:rsidRDefault="009A38A4" w:rsidP="009A38A4">
      <w:pPr>
        <w:pStyle w:val="Seznamcitac"/>
        <w:rPr>
          <w:lang w:val="en-GB"/>
        </w:rPr>
      </w:pPr>
      <w:bookmarkStart w:id="12" w:name="_Ref387269738"/>
      <w:r w:rsidRPr="00DF22F5">
        <w:rPr>
          <w:lang w:val="en-GB"/>
        </w:rPr>
        <w:t>Němec, D., and Žídek, L.: The impact of exchange rate changes on inflation in the V4 countries in the pr</w:t>
      </w:r>
      <w:r w:rsidRPr="00DF22F5">
        <w:rPr>
          <w:lang w:val="en-GB"/>
        </w:rPr>
        <w:t>o</w:t>
      </w:r>
      <w:r w:rsidRPr="00DF22F5">
        <w:rPr>
          <w:lang w:val="en-GB"/>
        </w:rPr>
        <w:t xml:space="preserve">cess of economic transition. In: </w:t>
      </w:r>
      <w:r w:rsidRPr="00DF22F5">
        <w:rPr>
          <w:rStyle w:val="Zvraznn1"/>
          <w:lang w:val="en-GB"/>
        </w:rPr>
        <w:t>Proceedings of the 31</w:t>
      </w:r>
      <w:r w:rsidRPr="00DF22F5">
        <w:rPr>
          <w:rStyle w:val="Zvraznn1"/>
          <w:vertAlign w:val="superscript"/>
          <w:lang w:val="en-GB"/>
        </w:rPr>
        <w:t>st</w:t>
      </w:r>
      <w:r w:rsidRPr="00DF22F5">
        <w:rPr>
          <w:rStyle w:val="Zvraznn1"/>
          <w:lang w:val="en-GB"/>
        </w:rPr>
        <w:t xml:space="preserve"> International Conference Mathematical Methods in Economics 2013</w:t>
      </w:r>
      <w:r w:rsidRPr="00DF22F5">
        <w:rPr>
          <w:lang w:val="en-GB"/>
        </w:rPr>
        <w:t xml:space="preserve"> (</w:t>
      </w:r>
      <w:proofErr w:type="spellStart"/>
      <w:r w:rsidRPr="00DF22F5">
        <w:rPr>
          <w:lang w:val="en-GB"/>
        </w:rPr>
        <w:t>Vojáčková</w:t>
      </w:r>
      <w:proofErr w:type="spellEnd"/>
      <w:r w:rsidRPr="00DF22F5">
        <w:rPr>
          <w:lang w:val="en-GB"/>
        </w:rPr>
        <w:t xml:space="preserve">, H. </w:t>
      </w:r>
      <w:proofErr w:type="gramStart"/>
      <w:r w:rsidRPr="00DF22F5">
        <w:rPr>
          <w:lang w:val="en-GB"/>
        </w:rPr>
        <w:t>ed</w:t>
      </w:r>
      <w:proofErr w:type="gramEnd"/>
      <w:r w:rsidRPr="00DF22F5">
        <w:rPr>
          <w:lang w:val="en-GB"/>
        </w:rPr>
        <w:t>.). College of Polytechnics Jihlava, Jihlava, 2013, 1087–1092.</w:t>
      </w:r>
      <w:bookmarkEnd w:id="12"/>
    </w:p>
    <w:p w:rsidR="00DF22F5" w:rsidRPr="00DF22F5" w:rsidRDefault="00DF22F5" w:rsidP="00DF22F5">
      <w:pPr>
        <w:pStyle w:val="Seznamcitac"/>
        <w:rPr>
          <w:lang w:val="en-GB"/>
        </w:rPr>
      </w:pPr>
      <w:bookmarkStart w:id="13" w:name="_Ref392076158"/>
      <w:proofErr w:type="spellStart"/>
      <w:r w:rsidRPr="00DF22F5">
        <w:rPr>
          <w:lang w:val="en-GB"/>
        </w:rPr>
        <w:t>Popescu</w:t>
      </w:r>
      <w:proofErr w:type="spellEnd"/>
      <w:r w:rsidRPr="00DF22F5">
        <w:rPr>
          <w:lang w:val="en-GB"/>
        </w:rPr>
        <w:t>, D.: Internal Convertibility and Liberalization in the Transition Period: The Romanian Case in Impediments to the Transition in Eastern Europe edited by M.</w:t>
      </w:r>
      <w:r w:rsidR="00582D25">
        <w:rPr>
          <w:lang w:val="en-GB"/>
        </w:rPr>
        <w:t xml:space="preserve"> </w:t>
      </w:r>
      <w:proofErr w:type="spellStart"/>
      <w:r w:rsidRPr="00DF22F5">
        <w:rPr>
          <w:lang w:val="en-GB"/>
        </w:rPr>
        <w:t>Uvalic</w:t>
      </w:r>
      <w:proofErr w:type="spellEnd"/>
      <w:r w:rsidRPr="00DF22F5">
        <w:rPr>
          <w:lang w:val="en-GB"/>
        </w:rPr>
        <w:t xml:space="preserve">, E. </w:t>
      </w:r>
      <w:proofErr w:type="spellStart"/>
      <w:r w:rsidRPr="00DF22F5">
        <w:rPr>
          <w:lang w:val="en-GB"/>
        </w:rPr>
        <w:t>Espa</w:t>
      </w:r>
      <w:proofErr w:type="spellEnd"/>
      <w:r w:rsidRPr="00DF22F5">
        <w:rPr>
          <w:lang w:val="en-GB"/>
        </w:rPr>
        <w:t xml:space="preserve">, J. </w:t>
      </w:r>
      <w:proofErr w:type="spellStart"/>
      <w:r w:rsidRPr="00DF22F5">
        <w:rPr>
          <w:lang w:val="en-GB"/>
        </w:rPr>
        <w:t>Lorentzen</w:t>
      </w:r>
      <w:proofErr w:type="spellEnd"/>
      <w:r w:rsidRPr="00DF22F5">
        <w:rPr>
          <w:lang w:val="en-GB"/>
        </w:rPr>
        <w:t>, European Un</w:t>
      </w:r>
      <w:r w:rsidRPr="00DF22F5">
        <w:rPr>
          <w:lang w:val="en-GB"/>
        </w:rPr>
        <w:t>i</w:t>
      </w:r>
      <w:r w:rsidRPr="00DF22F5">
        <w:rPr>
          <w:lang w:val="en-GB"/>
        </w:rPr>
        <w:t>versity Institute, Florence, 1993.</w:t>
      </w:r>
      <w:bookmarkEnd w:id="13"/>
    </w:p>
    <w:p w:rsidR="00E01FF4" w:rsidRDefault="00DF22F5" w:rsidP="00D224AA">
      <w:pPr>
        <w:pStyle w:val="Seznamcitac"/>
        <w:rPr>
          <w:lang w:val="en-GB"/>
        </w:rPr>
      </w:pPr>
      <w:bookmarkStart w:id="14" w:name="_Ref387269979"/>
      <w:proofErr w:type="spellStart"/>
      <w:r w:rsidRPr="00DB6DFA">
        <w:rPr>
          <w:lang w:val="en-GB"/>
        </w:rPr>
        <w:t>Penkova</w:t>
      </w:r>
      <w:proofErr w:type="spellEnd"/>
      <w:r w:rsidRPr="00DB6DFA">
        <w:rPr>
          <w:lang w:val="en-GB"/>
        </w:rPr>
        <w:t xml:space="preserve">-Pearson, E. (2011). </w:t>
      </w:r>
      <w:r w:rsidRPr="00DB6DFA">
        <w:rPr>
          <w:i/>
          <w:iCs/>
          <w:lang w:val="en-GB"/>
        </w:rPr>
        <w:t>Trade, convergence and exchange rate regime: Evidence from Bulgaria and Romania.</w:t>
      </w:r>
      <w:r w:rsidRPr="00DB6DFA">
        <w:rPr>
          <w:lang w:val="en-GB"/>
        </w:rPr>
        <w:t xml:space="preserve"> Sofia, 2011.</w:t>
      </w:r>
      <w:bookmarkEnd w:id="14"/>
    </w:p>
    <w:sectPr w:rsidR="00E01FF4" w:rsidSect="009B49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C6" w:rsidRDefault="001067C6">
      <w:r>
        <w:separator/>
      </w:r>
    </w:p>
  </w:endnote>
  <w:endnote w:type="continuationSeparator" w:id="0">
    <w:p w:rsidR="001067C6" w:rsidRDefault="0010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C6" w:rsidRDefault="001067C6">
      <w:r>
        <w:separator/>
      </w:r>
    </w:p>
  </w:footnote>
  <w:footnote w:type="continuationSeparator" w:id="0">
    <w:p w:rsidR="001067C6" w:rsidRDefault="001067C6">
      <w:r>
        <w:continuationSeparator/>
      </w:r>
    </w:p>
  </w:footnote>
  <w:footnote w:id="1">
    <w:p w:rsidR="00792EAE" w:rsidRPr="000715DA" w:rsidRDefault="00792EAE" w:rsidP="00363B76">
      <w:pPr>
        <w:pStyle w:val="Textpoznpodarou"/>
        <w:rPr>
          <w:lang w:val="cs-CZ"/>
        </w:rPr>
      </w:pPr>
      <w:r>
        <w:rPr>
          <w:rStyle w:val="Znakapoznpodarou"/>
        </w:rPr>
        <w:footnoteRef/>
      </w:r>
      <w:r>
        <w:t xml:space="preserve"> </w:t>
      </w:r>
      <w:r w:rsidRPr="006C1B17">
        <w:t xml:space="preserve">Masaryk University, Faculty of Economics and Administration, Department of Economics, </w:t>
      </w:r>
      <w:proofErr w:type="spellStart"/>
      <w:r w:rsidRPr="006C1B17">
        <w:t>Lipová</w:t>
      </w:r>
      <w:proofErr w:type="spellEnd"/>
      <w:r w:rsidRPr="006C1B17">
        <w:t xml:space="preserve"> 41a, 602 00 Brno, nemecd@econ.muni.cz.</w:t>
      </w:r>
    </w:p>
  </w:footnote>
  <w:footnote w:id="2">
    <w:p w:rsidR="00792EAE" w:rsidRPr="000715DA" w:rsidRDefault="00792EAE" w:rsidP="00B547D9">
      <w:pPr>
        <w:pStyle w:val="Textpoznpodarou"/>
      </w:pPr>
      <w:r w:rsidRPr="000715DA">
        <w:rPr>
          <w:rStyle w:val="Znakapoznpodarou"/>
        </w:rPr>
        <w:footnoteRef/>
      </w:r>
      <w:r w:rsidRPr="006C1B17">
        <w:t xml:space="preserve">Masaryk University, Faculty of Economics and Administration, Department of Economics, </w:t>
      </w:r>
      <w:proofErr w:type="spellStart"/>
      <w:r w:rsidRPr="006C1B17">
        <w:t>Lipová</w:t>
      </w:r>
      <w:proofErr w:type="spellEnd"/>
      <w:r w:rsidRPr="006C1B17">
        <w:t xml:space="preserve"> 41a, 602 00 Brno, l_zidek@centrum.cz.</w:t>
      </w:r>
    </w:p>
  </w:footnote>
  <w:footnote w:id="3">
    <w:p w:rsidR="00792EAE" w:rsidRDefault="00792EAE" w:rsidP="008E404C">
      <w:pPr>
        <w:pStyle w:val="Textpoznpodarou"/>
        <w:jc w:val="both"/>
      </w:pPr>
      <w:r>
        <w:rPr>
          <w:rStyle w:val="Znakapoznpodarou"/>
        </w:rPr>
        <w:footnoteRef/>
      </w:r>
      <w:r>
        <w:t xml:space="preserve"> </w:t>
      </w:r>
      <w:r w:rsidRPr="007242F2">
        <w:t>The data source is International Financial Statistics (IFS) provided by the International Monetary Fund. The observed variables are nominal effective exchange rate (index).</w:t>
      </w:r>
    </w:p>
  </w:footnote>
  <w:footnote w:id="4">
    <w:p w:rsidR="00792EAE" w:rsidRPr="007A738A" w:rsidRDefault="00792EAE" w:rsidP="006C1B17">
      <w:pPr>
        <w:pStyle w:val="Textpoznpodarou"/>
        <w:jc w:val="both"/>
      </w:pPr>
      <w:r w:rsidRPr="007A738A">
        <w:rPr>
          <w:rStyle w:val="Znakapoznpodarou"/>
          <w:lang w:val="en-GB"/>
        </w:rPr>
        <w:footnoteRef/>
      </w:r>
      <w:r w:rsidRPr="007A738A">
        <w:rPr>
          <w:lang w:val="en-GB"/>
        </w:rPr>
        <w:t xml:space="preserve"> </w:t>
      </w:r>
      <w:r w:rsidRPr="00854C8E">
        <w:rPr>
          <w:lang w:val="en-GB"/>
        </w:rPr>
        <w:t>We have checked many other specifications and ordering but the main results presented in this paper remained relatively stable.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2CC54"/>
    <w:lvl w:ilvl="0">
      <w:start w:val="1"/>
      <w:numFmt w:val="decimal"/>
      <w:lvlText w:val="%1."/>
      <w:lvlJc w:val="left"/>
      <w:pPr>
        <w:tabs>
          <w:tab w:val="num" w:pos="1492"/>
        </w:tabs>
        <w:ind w:left="1492" w:hanging="360"/>
      </w:pPr>
    </w:lvl>
  </w:abstractNum>
  <w:abstractNum w:abstractNumId="1">
    <w:nsid w:val="FFFFFF7D"/>
    <w:multiLevelType w:val="singleLevel"/>
    <w:tmpl w:val="A3126D02"/>
    <w:lvl w:ilvl="0">
      <w:start w:val="1"/>
      <w:numFmt w:val="decimal"/>
      <w:lvlText w:val="%1."/>
      <w:lvlJc w:val="left"/>
      <w:pPr>
        <w:tabs>
          <w:tab w:val="num" w:pos="1209"/>
        </w:tabs>
        <w:ind w:left="1209" w:hanging="360"/>
      </w:pPr>
    </w:lvl>
  </w:abstractNum>
  <w:abstractNum w:abstractNumId="2">
    <w:nsid w:val="FFFFFF7E"/>
    <w:multiLevelType w:val="singleLevel"/>
    <w:tmpl w:val="CD667D0A"/>
    <w:lvl w:ilvl="0">
      <w:start w:val="1"/>
      <w:numFmt w:val="decimal"/>
      <w:lvlText w:val="%1."/>
      <w:lvlJc w:val="left"/>
      <w:pPr>
        <w:tabs>
          <w:tab w:val="num" w:pos="926"/>
        </w:tabs>
        <w:ind w:left="926" w:hanging="360"/>
      </w:pPr>
    </w:lvl>
  </w:abstractNum>
  <w:abstractNum w:abstractNumId="3">
    <w:nsid w:val="FFFFFF7F"/>
    <w:multiLevelType w:val="singleLevel"/>
    <w:tmpl w:val="65B8DE90"/>
    <w:lvl w:ilvl="0">
      <w:start w:val="1"/>
      <w:numFmt w:val="decimal"/>
      <w:lvlText w:val="%1."/>
      <w:lvlJc w:val="left"/>
      <w:pPr>
        <w:tabs>
          <w:tab w:val="num" w:pos="643"/>
        </w:tabs>
        <w:ind w:left="643" w:hanging="360"/>
      </w:pPr>
    </w:lvl>
  </w:abstractNum>
  <w:abstractNum w:abstractNumId="4">
    <w:nsid w:val="FFFFFF80"/>
    <w:multiLevelType w:val="singleLevel"/>
    <w:tmpl w:val="99C20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06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019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E6CC9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06DC6DE2"/>
    <w:lvl w:ilvl="0">
      <w:start w:val="1"/>
      <w:numFmt w:val="bullet"/>
      <w:pStyle w:val="Seznamsodrkami"/>
      <w:lvlText w:val=""/>
      <w:lvlJc w:val="left"/>
      <w:pPr>
        <w:tabs>
          <w:tab w:val="num" w:pos="300"/>
        </w:tabs>
        <w:ind w:left="300" w:hanging="300"/>
      </w:pPr>
      <w:rPr>
        <w:rFonts w:ascii="Symbol" w:hAnsi="Symbol" w:hint="default"/>
      </w:rPr>
    </w:lvl>
  </w:abstractNum>
  <w:abstractNum w:abstractNumId="9">
    <w:nsid w:val="05966DAE"/>
    <w:multiLevelType w:val="multilevel"/>
    <w:tmpl w:val="0B8E86F6"/>
    <w:lvl w:ilvl="0">
      <w:start w:val="1"/>
      <w:numFmt w:val="decimal"/>
      <w:lvlText w:val="%1."/>
      <w:lvlJc w:val="left"/>
      <w:pPr>
        <w:tabs>
          <w:tab w:val="num" w:pos="300"/>
        </w:tabs>
        <w:ind w:left="300" w:hanging="30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D4C5F6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94D4D8E"/>
    <w:multiLevelType w:val="multilevel"/>
    <w:tmpl w:val="0C30CF10"/>
    <w:styleLink w:val="HeadingNumbers"/>
    <w:lvl w:ilvl="0">
      <w:start w:val="1"/>
      <w:numFmt w:val="decimal"/>
      <w:lvlText w:val="%1"/>
      <w:lvlJc w:val="left"/>
      <w:pPr>
        <w:tabs>
          <w:tab w:val="num" w:pos="3409"/>
        </w:tabs>
        <w:ind w:left="3409"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D6785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07424C"/>
    <w:multiLevelType w:val="hybridMultilevel"/>
    <w:tmpl w:val="4642E7AE"/>
    <w:lvl w:ilvl="0" w:tplc="5052C266">
      <w:start w:val="1"/>
      <w:numFmt w:val="decimal"/>
      <w:pStyle w:val="Seznamcitac"/>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F758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E0653A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nsid w:val="5EC87015"/>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FC7782"/>
    <w:multiLevelType w:val="multilevel"/>
    <w:tmpl w:val="F77E57D2"/>
    <w:lvl w:ilvl="0">
      <w:start w:val="1"/>
      <w:numFmt w:val="decimal"/>
      <w:pStyle w:val="slovanseznam"/>
      <w:lvlText w:val="%1."/>
      <w:lvlJc w:val="left"/>
      <w:pPr>
        <w:tabs>
          <w:tab w:val="num" w:pos="300"/>
        </w:tabs>
        <w:ind w:left="300" w:hanging="300"/>
      </w:pPr>
      <w:rPr>
        <w:rFonts w:hint="default"/>
      </w:rPr>
    </w:lvl>
    <w:lvl w:ilvl="1">
      <w:start w:val="1"/>
      <w:numFmt w:val="lowerLetter"/>
      <w:lvlText w:val="%2)"/>
      <w:lvlJc w:val="left"/>
      <w:pPr>
        <w:tabs>
          <w:tab w:val="num" w:pos="607"/>
        </w:tabs>
        <w:ind w:left="607" w:hanging="59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6572D06"/>
    <w:multiLevelType w:val="multilevel"/>
    <w:tmpl w:val="47B8AB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5"/>
  </w:num>
  <w:num w:numId="12">
    <w:abstractNumId w:val="12"/>
  </w:num>
  <w:num w:numId="13">
    <w:abstractNumId w:val="14"/>
  </w:num>
  <w:num w:numId="14">
    <w:abstractNumId w:val="16"/>
  </w:num>
  <w:num w:numId="15">
    <w:abstractNumId w:val="11"/>
  </w:num>
  <w:num w:numId="16">
    <w:abstractNumId w:val="10"/>
  </w:num>
  <w:num w:numId="17">
    <w:abstractNumId w:val="13"/>
  </w:num>
  <w:num w:numId="18">
    <w:abstractNumId w:val="18"/>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8C6"/>
    <w:rsid w:val="00010BF7"/>
    <w:rsid w:val="000653F8"/>
    <w:rsid w:val="000C708E"/>
    <w:rsid w:val="000D37CC"/>
    <w:rsid w:val="000F1503"/>
    <w:rsid w:val="001067C6"/>
    <w:rsid w:val="00111355"/>
    <w:rsid w:val="00125467"/>
    <w:rsid w:val="001669B0"/>
    <w:rsid w:val="0017447F"/>
    <w:rsid w:val="001A2A83"/>
    <w:rsid w:val="001F5AF8"/>
    <w:rsid w:val="00216FD2"/>
    <w:rsid w:val="00233CE5"/>
    <w:rsid w:val="0024323F"/>
    <w:rsid w:val="0026423F"/>
    <w:rsid w:val="002C38C6"/>
    <w:rsid w:val="002D7363"/>
    <w:rsid w:val="002F45DF"/>
    <w:rsid w:val="002F651A"/>
    <w:rsid w:val="003054EA"/>
    <w:rsid w:val="00326583"/>
    <w:rsid w:val="00343314"/>
    <w:rsid w:val="00346DBB"/>
    <w:rsid w:val="00363B76"/>
    <w:rsid w:val="003A26A7"/>
    <w:rsid w:val="003C04F6"/>
    <w:rsid w:val="003C7589"/>
    <w:rsid w:val="003D01DD"/>
    <w:rsid w:val="003F0D1B"/>
    <w:rsid w:val="004140F1"/>
    <w:rsid w:val="00461225"/>
    <w:rsid w:val="0049023F"/>
    <w:rsid w:val="00491474"/>
    <w:rsid w:val="00493190"/>
    <w:rsid w:val="004A133D"/>
    <w:rsid w:val="004C197D"/>
    <w:rsid w:val="004E2F6C"/>
    <w:rsid w:val="004F4ABA"/>
    <w:rsid w:val="00517A0B"/>
    <w:rsid w:val="0052403C"/>
    <w:rsid w:val="00551A1D"/>
    <w:rsid w:val="005670A2"/>
    <w:rsid w:val="00575A58"/>
    <w:rsid w:val="00582BAE"/>
    <w:rsid w:val="00582D25"/>
    <w:rsid w:val="005A428E"/>
    <w:rsid w:val="005C6F1E"/>
    <w:rsid w:val="005E1F51"/>
    <w:rsid w:val="005E76C0"/>
    <w:rsid w:val="00603813"/>
    <w:rsid w:val="00607D4C"/>
    <w:rsid w:val="00647143"/>
    <w:rsid w:val="006536A8"/>
    <w:rsid w:val="00686DAB"/>
    <w:rsid w:val="00696C3B"/>
    <w:rsid w:val="006A7D17"/>
    <w:rsid w:val="006C1B17"/>
    <w:rsid w:val="006D67D4"/>
    <w:rsid w:val="00711EE6"/>
    <w:rsid w:val="007176DB"/>
    <w:rsid w:val="00724CCD"/>
    <w:rsid w:val="00776654"/>
    <w:rsid w:val="00791CE2"/>
    <w:rsid w:val="00792EAE"/>
    <w:rsid w:val="008045BB"/>
    <w:rsid w:val="00822BC4"/>
    <w:rsid w:val="00844CA5"/>
    <w:rsid w:val="008536F9"/>
    <w:rsid w:val="00854C8E"/>
    <w:rsid w:val="00895C93"/>
    <w:rsid w:val="008C18B1"/>
    <w:rsid w:val="008D70B3"/>
    <w:rsid w:val="008E404C"/>
    <w:rsid w:val="00902126"/>
    <w:rsid w:val="009056E5"/>
    <w:rsid w:val="0093439A"/>
    <w:rsid w:val="00935FDF"/>
    <w:rsid w:val="00954EA7"/>
    <w:rsid w:val="00970AED"/>
    <w:rsid w:val="009A38A4"/>
    <w:rsid w:val="009B492B"/>
    <w:rsid w:val="009C591B"/>
    <w:rsid w:val="009D1E64"/>
    <w:rsid w:val="009E20AC"/>
    <w:rsid w:val="009F0EEA"/>
    <w:rsid w:val="00A00D35"/>
    <w:rsid w:val="00A01892"/>
    <w:rsid w:val="00A14274"/>
    <w:rsid w:val="00A20422"/>
    <w:rsid w:val="00A253CB"/>
    <w:rsid w:val="00A72CD5"/>
    <w:rsid w:val="00A82A32"/>
    <w:rsid w:val="00AE00F4"/>
    <w:rsid w:val="00AE6A3A"/>
    <w:rsid w:val="00B33CD0"/>
    <w:rsid w:val="00B40BB5"/>
    <w:rsid w:val="00B547D9"/>
    <w:rsid w:val="00B61025"/>
    <w:rsid w:val="00B679B1"/>
    <w:rsid w:val="00B74D4F"/>
    <w:rsid w:val="00BB7040"/>
    <w:rsid w:val="00BE06AA"/>
    <w:rsid w:val="00BE38F4"/>
    <w:rsid w:val="00BE683A"/>
    <w:rsid w:val="00C65AA8"/>
    <w:rsid w:val="00D05012"/>
    <w:rsid w:val="00D21D3A"/>
    <w:rsid w:val="00D5321A"/>
    <w:rsid w:val="00D64F91"/>
    <w:rsid w:val="00D86912"/>
    <w:rsid w:val="00DB6DFA"/>
    <w:rsid w:val="00DF22F5"/>
    <w:rsid w:val="00E01DCB"/>
    <w:rsid w:val="00E01FF4"/>
    <w:rsid w:val="00E515F6"/>
    <w:rsid w:val="00E65AA9"/>
    <w:rsid w:val="00E76A49"/>
    <w:rsid w:val="00E87A35"/>
    <w:rsid w:val="00EB1B9F"/>
    <w:rsid w:val="00EB1BDE"/>
    <w:rsid w:val="00EB5C5F"/>
    <w:rsid w:val="00EF15B6"/>
    <w:rsid w:val="00F367EA"/>
    <w:rsid w:val="00F404B6"/>
    <w:rsid w:val="00F9412C"/>
    <w:rsid w:val="00F95EC6"/>
    <w:rsid w:val="00F96BA7"/>
    <w:rsid w:val="00FB3D09"/>
    <w:rsid w:val="00FE6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99" w:qFormat="1"/>
    <w:lsdException w:name="footnote reference" w:uiPriority="99"/>
    <w:lsdException w:name="table of authorities"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BAE"/>
    <w:rPr>
      <w:szCs w:val="24"/>
      <w:lang w:val="en-US"/>
    </w:rPr>
  </w:style>
  <w:style w:type="paragraph" w:styleId="Nadpis1">
    <w:name w:val="heading 1"/>
    <w:basedOn w:val="Normln"/>
    <w:next w:val="Zkladntext"/>
    <w:link w:val="Nadpis1Char"/>
    <w:uiPriority w:val="99"/>
    <w:qFormat/>
    <w:rsid w:val="00EB1BDE"/>
    <w:pPr>
      <w:keepNext/>
      <w:spacing w:before="240" w:after="60"/>
      <w:outlineLvl w:val="0"/>
    </w:pPr>
    <w:rPr>
      <w:b/>
      <w:bCs/>
      <w:kern w:val="32"/>
      <w:sz w:val="28"/>
      <w:szCs w:val="32"/>
    </w:rPr>
  </w:style>
  <w:style w:type="paragraph" w:styleId="Nadpis2">
    <w:name w:val="heading 2"/>
    <w:basedOn w:val="Normln"/>
    <w:next w:val="Zkladntext"/>
    <w:uiPriority w:val="99"/>
    <w:qFormat/>
    <w:rsid w:val="00EB1BDE"/>
    <w:pPr>
      <w:keepNext/>
      <w:spacing w:before="240" w:after="60"/>
      <w:outlineLvl w:val="1"/>
    </w:pPr>
    <w:rPr>
      <w:rFonts w:cs="Arial"/>
      <w:b/>
      <w:bCs/>
      <w:iCs/>
      <w:sz w:val="24"/>
      <w:szCs w:val="28"/>
    </w:rPr>
  </w:style>
  <w:style w:type="paragraph" w:styleId="Nadpis3">
    <w:name w:val="heading 3"/>
    <w:basedOn w:val="Normln"/>
    <w:next w:val="Zkladntext"/>
    <w:qFormat/>
    <w:rsid w:val="00EB1B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Author"/>
    <w:qFormat/>
    <w:rsid w:val="00363B76"/>
    <w:pPr>
      <w:spacing w:before="240" w:after="60"/>
      <w:jc w:val="center"/>
      <w:outlineLvl w:val="0"/>
    </w:pPr>
    <w:rPr>
      <w:rFonts w:cs="Arial"/>
      <w:b/>
      <w:bCs/>
      <w:kern w:val="28"/>
      <w:sz w:val="34"/>
      <w:szCs w:val="32"/>
    </w:rPr>
  </w:style>
  <w:style w:type="paragraph" w:customStyle="1" w:styleId="Author">
    <w:name w:val="Author"/>
    <w:basedOn w:val="Articlehead"/>
    <w:rsid w:val="00B74D4F"/>
    <w:pPr>
      <w:jc w:val="center"/>
    </w:pPr>
    <w:rPr>
      <w:sz w:val="24"/>
    </w:rPr>
  </w:style>
  <w:style w:type="paragraph" w:customStyle="1" w:styleId="Articlehead">
    <w:name w:val="Article head"/>
    <w:basedOn w:val="Normln"/>
    <w:rsid w:val="00D5321A"/>
    <w:pPr>
      <w:ind w:left="1134" w:right="1134"/>
      <w:jc w:val="both"/>
    </w:pPr>
  </w:style>
  <w:style w:type="character" w:customStyle="1" w:styleId="AbstractHeader">
    <w:name w:val="Abstract Header"/>
    <w:rsid w:val="00216FD2"/>
    <w:rPr>
      <w:b/>
    </w:rPr>
  </w:style>
  <w:style w:type="paragraph" w:customStyle="1" w:styleId="Abstract">
    <w:name w:val="Abstract"/>
    <w:basedOn w:val="Articlehead"/>
    <w:rsid w:val="00216FD2"/>
    <w:pPr>
      <w:spacing w:before="120"/>
      <w:contextualSpacing/>
    </w:pPr>
  </w:style>
  <w:style w:type="paragraph" w:customStyle="1" w:styleId="Keywords">
    <w:name w:val="Keywords"/>
    <w:basedOn w:val="Articlehead"/>
    <w:rsid w:val="00363B76"/>
    <w:pPr>
      <w:spacing w:before="120" w:after="120"/>
      <w:contextualSpacing/>
    </w:pPr>
  </w:style>
  <w:style w:type="character" w:customStyle="1" w:styleId="KeywordsHeader">
    <w:name w:val="Keywords Header"/>
    <w:rsid w:val="00E01DCB"/>
    <w:rPr>
      <w:b/>
    </w:rPr>
  </w:style>
  <w:style w:type="numbering" w:customStyle="1" w:styleId="HeadingNumbers">
    <w:name w:val="Heading Numbers"/>
    <w:basedOn w:val="Bezseznamu"/>
    <w:rsid w:val="005A428E"/>
    <w:pPr>
      <w:numPr>
        <w:numId w:val="15"/>
      </w:numPr>
    </w:pPr>
  </w:style>
  <w:style w:type="paragraph" w:styleId="Zkladntext">
    <w:name w:val="Body Text"/>
    <w:basedOn w:val="Normln"/>
    <w:next w:val="Zkladntext-prvnodsazen"/>
    <w:link w:val="ZkladntextChar"/>
    <w:uiPriority w:val="99"/>
    <w:rsid w:val="00EB5C5F"/>
    <w:pPr>
      <w:spacing w:before="120"/>
      <w:jc w:val="both"/>
    </w:pPr>
  </w:style>
  <w:style w:type="paragraph" w:styleId="Zkladntext-prvnodsazen">
    <w:name w:val="Body Text First Indent"/>
    <w:basedOn w:val="Zkladntext"/>
    <w:rsid w:val="00D05012"/>
    <w:pPr>
      <w:ind w:firstLine="300"/>
    </w:pPr>
  </w:style>
  <w:style w:type="character" w:customStyle="1" w:styleId="Zvraznn1">
    <w:name w:val="Zvýraznění1"/>
    <w:qFormat/>
    <w:rsid w:val="00EB1BDE"/>
    <w:rPr>
      <w:i/>
      <w:iCs/>
    </w:rPr>
  </w:style>
  <w:style w:type="character" w:styleId="Siln">
    <w:name w:val="Strong"/>
    <w:uiPriority w:val="99"/>
    <w:qFormat/>
    <w:rsid w:val="00EB1BDE"/>
    <w:rPr>
      <w:b/>
      <w:bCs/>
    </w:rPr>
  </w:style>
  <w:style w:type="paragraph" w:styleId="Seznamsodrkami">
    <w:name w:val="List Bullet"/>
    <w:basedOn w:val="Normln"/>
    <w:uiPriority w:val="99"/>
    <w:rsid w:val="00BE38F4"/>
    <w:pPr>
      <w:numPr>
        <w:numId w:val="6"/>
      </w:numPr>
    </w:pPr>
  </w:style>
  <w:style w:type="paragraph" w:styleId="slovanseznam">
    <w:name w:val="List Number"/>
    <w:basedOn w:val="Normln"/>
    <w:rsid w:val="00BE38F4"/>
    <w:pPr>
      <w:numPr>
        <w:numId w:val="1"/>
      </w:numPr>
    </w:pPr>
  </w:style>
  <w:style w:type="paragraph" w:customStyle="1" w:styleId="CenteredObject">
    <w:name w:val="Centered Object"/>
    <w:basedOn w:val="Normln"/>
    <w:uiPriority w:val="99"/>
    <w:rsid w:val="00791CE2"/>
    <w:pPr>
      <w:spacing w:before="120" w:after="120"/>
      <w:jc w:val="center"/>
    </w:pPr>
  </w:style>
  <w:style w:type="paragraph" w:styleId="Titulek">
    <w:name w:val="caption"/>
    <w:basedOn w:val="CenteredObject"/>
    <w:next w:val="Zkladntext-prvnodsazen"/>
    <w:uiPriority w:val="99"/>
    <w:qFormat/>
    <w:rsid w:val="00791CE2"/>
    <w:rPr>
      <w:bCs/>
      <w:szCs w:val="20"/>
    </w:rPr>
  </w:style>
  <w:style w:type="character" w:customStyle="1" w:styleId="CaptionHeader">
    <w:name w:val="Caption Header"/>
    <w:uiPriority w:val="99"/>
    <w:rsid w:val="00791CE2"/>
    <w:rPr>
      <w:b/>
    </w:rPr>
  </w:style>
  <w:style w:type="paragraph" w:customStyle="1" w:styleId="EquationNumber">
    <w:name w:val="Equation Number"/>
    <w:basedOn w:val="CenteredObject"/>
    <w:uiPriority w:val="99"/>
    <w:rsid w:val="00EB1B9F"/>
    <w:pPr>
      <w:jc w:val="right"/>
    </w:pPr>
  </w:style>
  <w:style w:type="paragraph" w:customStyle="1" w:styleId="Tablecenteredtext">
    <w:name w:val="Table centered text"/>
    <w:basedOn w:val="Normln"/>
    <w:uiPriority w:val="99"/>
    <w:rsid w:val="008045BB"/>
    <w:pPr>
      <w:jc w:val="center"/>
    </w:pPr>
  </w:style>
  <w:style w:type="character" w:customStyle="1" w:styleId="TheoremHeader">
    <w:name w:val="Theorem Header"/>
    <w:rsid w:val="005E1F51"/>
    <w:rPr>
      <w:b/>
      <w:i/>
    </w:rPr>
  </w:style>
  <w:style w:type="paragraph" w:customStyle="1" w:styleId="Proof">
    <w:name w:val="Proof"/>
    <w:basedOn w:val="Zkladntext"/>
    <w:link w:val="ProofChar"/>
    <w:rsid w:val="005E1F51"/>
  </w:style>
  <w:style w:type="character" w:customStyle="1" w:styleId="ZkladntextChar">
    <w:name w:val="Základní text Char"/>
    <w:link w:val="Zkladntext"/>
    <w:uiPriority w:val="99"/>
    <w:rsid w:val="005E1F51"/>
    <w:rPr>
      <w:szCs w:val="24"/>
      <w:lang w:val="en-US" w:eastAsia="cs-CZ" w:bidi="ar-SA"/>
    </w:rPr>
  </w:style>
  <w:style w:type="character" w:customStyle="1" w:styleId="ProofChar">
    <w:name w:val="Proof Char"/>
    <w:link w:val="Proof"/>
    <w:rsid w:val="005E1F51"/>
    <w:rPr>
      <w:szCs w:val="24"/>
      <w:lang w:val="en-US" w:eastAsia="cs-CZ" w:bidi="ar-SA"/>
    </w:rPr>
  </w:style>
  <w:style w:type="character" w:customStyle="1" w:styleId="ProofHeader">
    <w:name w:val="Proof Header"/>
    <w:rsid w:val="005E1F51"/>
    <w:rPr>
      <w:i/>
      <w:szCs w:val="24"/>
      <w:lang w:val="en-US" w:eastAsia="cs-CZ" w:bidi="ar-SA"/>
    </w:rPr>
  </w:style>
  <w:style w:type="paragraph" w:customStyle="1" w:styleId="Theorem">
    <w:name w:val="Theorem"/>
    <w:basedOn w:val="Zkladntext"/>
    <w:rsid w:val="00A82A32"/>
    <w:rPr>
      <w:i/>
    </w:rPr>
  </w:style>
  <w:style w:type="character" w:customStyle="1" w:styleId="TheoremName">
    <w:name w:val="Theorem Name"/>
    <w:rsid w:val="004E2F6C"/>
    <w:rPr>
      <w:i/>
    </w:rPr>
  </w:style>
  <w:style w:type="paragraph" w:customStyle="1" w:styleId="Example">
    <w:name w:val="Example"/>
    <w:basedOn w:val="Zkladntext"/>
    <w:rsid w:val="004E2F6C"/>
  </w:style>
  <w:style w:type="character" w:customStyle="1" w:styleId="ExampleHeader">
    <w:name w:val="Example Header"/>
    <w:rsid w:val="004E2F6C"/>
    <w:rPr>
      <w:b/>
    </w:rPr>
  </w:style>
  <w:style w:type="paragraph" w:customStyle="1" w:styleId="Remark">
    <w:name w:val="Remark"/>
    <w:basedOn w:val="Zkladntext"/>
    <w:rsid w:val="004E2F6C"/>
  </w:style>
  <w:style w:type="character" w:customStyle="1" w:styleId="RemarkHeader">
    <w:name w:val="Remark Header"/>
    <w:rsid w:val="004E2F6C"/>
    <w:rPr>
      <w:b/>
    </w:rPr>
  </w:style>
  <w:style w:type="paragraph" w:customStyle="1" w:styleId="Acknowledgements">
    <w:name w:val="Acknowledgements"/>
    <w:basedOn w:val="Nadpis2"/>
    <w:next w:val="Zkladntext"/>
    <w:rsid w:val="0052403C"/>
  </w:style>
  <w:style w:type="paragraph" w:customStyle="1" w:styleId="ReferencesHeader">
    <w:name w:val="References Header"/>
    <w:basedOn w:val="Nadpis2"/>
    <w:next w:val="Seznamcitac"/>
    <w:rsid w:val="0052403C"/>
  </w:style>
  <w:style w:type="paragraph" w:styleId="Textpoznpodarou">
    <w:name w:val="footnote text"/>
    <w:basedOn w:val="Normln"/>
    <w:link w:val="TextpoznpodarouChar"/>
    <w:uiPriority w:val="99"/>
    <w:semiHidden/>
    <w:rsid w:val="00363B76"/>
    <w:rPr>
      <w:szCs w:val="20"/>
    </w:rPr>
  </w:style>
  <w:style w:type="paragraph" w:styleId="Seznamcitac">
    <w:name w:val="table of authorities"/>
    <w:basedOn w:val="Normln"/>
    <w:uiPriority w:val="99"/>
    <w:semiHidden/>
    <w:rsid w:val="0052403C"/>
    <w:pPr>
      <w:numPr>
        <w:numId w:val="17"/>
      </w:numPr>
    </w:pPr>
  </w:style>
  <w:style w:type="character" w:styleId="Znakapoznpodarou">
    <w:name w:val="footnote reference"/>
    <w:uiPriority w:val="99"/>
    <w:semiHidden/>
    <w:rsid w:val="00363B76"/>
    <w:rPr>
      <w:vertAlign w:val="superscript"/>
    </w:rPr>
  </w:style>
  <w:style w:type="paragraph" w:customStyle="1" w:styleId="Classifications">
    <w:name w:val="Classifications"/>
    <w:basedOn w:val="Keywords"/>
    <w:rsid w:val="00363B76"/>
  </w:style>
  <w:style w:type="character" w:customStyle="1" w:styleId="Nadpis1Char">
    <w:name w:val="Nadpis 1 Char"/>
    <w:link w:val="Nadpis1"/>
    <w:uiPriority w:val="99"/>
    <w:rsid w:val="006C1B17"/>
    <w:rPr>
      <w:rFonts w:cs="Arial"/>
      <w:b/>
      <w:bCs/>
      <w:kern w:val="32"/>
      <w:sz w:val="28"/>
      <w:szCs w:val="32"/>
      <w:lang w:val="en-US"/>
    </w:rPr>
  </w:style>
  <w:style w:type="character" w:customStyle="1" w:styleId="TextpoznpodarouChar">
    <w:name w:val="Text pozn. pod čarou Char"/>
    <w:link w:val="Textpoznpodarou"/>
    <w:uiPriority w:val="99"/>
    <w:semiHidden/>
    <w:rsid w:val="006C1B17"/>
    <w:rPr>
      <w:lang w:val="en-US"/>
    </w:rPr>
  </w:style>
  <w:style w:type="paragraph" w:styleId="Textbubliny">
    <w:name w:val="Balloon Text"/>
    <w:basedOn w:val="Normln"/>
    <w:link w:val="TextbublinyChar"/>
    <w:semiHidden/>
    <w:unhideWhenUsed/>
    <w:rsid w:val="00711EE6"/>
    <w:rPr>
      <w:rFonts w:ascii="Tahoma" w:hAnsi="Tahoma" w:cs="Tahoma"/>
      <w:sz w:val="16"/>
      <w:szCs w:val="16"/>
    </w:rPr>
  </w:style>
  <w:style w:type="character" w:customStyle="1" w:styleId="TextbublinyChar">
    <w:name w:val="Text bubliny Char"/>
    <w:link w:val="Textbubliny"/>
    <w:semiHidden/>
    <w:rsid w:val="00711E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7.bin"/><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5.bin"/><Relationship Id="rId90" Type="http://schemas.openxmlformats.org/officeDocument/2006/relationships/image" Target="media/image43.wmf"/><Relationship Id="rId95"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emf"/><Relationship Id="rId77" Type="http://schemas.openxmlformats.org/officeDocument/2006/relationships/image" Target="media/image37.wmf"/><Relationship Id="rId100" Type="http://schemas.openxmlformats.org/officeDocument/2006/relationships/oleObject" Target="embeddings/oleObject46.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4.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3.e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oleObject" Target="embeddings/oleObject44.bin"/><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necek\Documents\Dokumenty_Notebook\&#352;kola\Publikace\MME\MME2014\Exchange%20rates\template_mme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D929-6FB8-4E8D-8D8E-7DC3507F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template_mme2014</Template>
  <TotalTime>442</TotalTime>
  <Pages>1</Pages>
  <Words>3540</Words>
  <Characters>20890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HT Consulting, s.r.o.</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Němec</dc:creator>
  <cp:lastModifiedBy>Daniel Němec</cp:lastModifiedBy>
  <cp:revision>13</cp:revision>
  <cp:lastPrinted>2014-09-08T09:08:00Z</cp:lastPrinted>
  <dcterms:created xsi:type="dcterms:W3CDTF">2014-06-30T09:23:00Z</dcterms:created>
  <dcterms:modified xsi:type="dcterms:W3CDTF">2014-09-08T12:34:00Z</dcterms:modified>
</cp:coreProperties>
</file>