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0CD" w:rsidRDefault="005540CD" w:rsidP="00F952B0">
      <w:pPr>
        <w:pStyle w:val="ANapisA"/>
        <w:rPr>
          <w:rFonts w:hint="eastAsia"/>
        </w:rPr>
      </w:pPr>
      <w:bookmarkStart w:id="0" w:name="_GoBack"/>
      <w:bookmarkEnd w:id="0"/>
    </w:p>
    <w:p w:rsidR="00673DBB" w:rsidRDefault="00457648" w:rsidP="00457648">
      <w:pPr>
        <w:jc w:val="center"/>
        <w:rPr>
          <w:b/>
          <w:sz w:val="36"/>
          <w:szCs w:val="36"/>
        </w:rPr>
      </w:pPr>
      <w:r w:rsidRPr="00673DBB">
        <w:rPr>
          <w:b/>
          <w:sz w:val="36"/>
          <w:szCs w:val="36"/>
        </w:rPr>
        <w:t xml:space="preserve">Oponentní </w:t>
      </w:r>
      <w:r w:rsidR="00DD1915" w:rsidRPr="00673DBB">
        <w:rPr>
          <w:b/>
          <w:sz w:val="36"/>
          <w:szCs w:val="36"/>
        </w:rPr>
        <w:t xml:space="preserve">posouzení </w:t>
      </w:r>
    </w:p>
    <w:p w:rsidR="002A2953" w:rsidRDefault="00457648" w:rsidP="00457648">
      <w:pPr>
        <w:jc w:val="center"/>
        <w:rPr>
          <w:b/>
          <w:sz w:val="36"/>
          <w:szCs w:val="36"/>
        </w:rPr>
      </w:pPr>
      <w:r w:rsidRPr="00673DBB">
        <w:rPr>
          <w:b/>
          <w:sz w:val="36"/>
          <w:szCs w:val="36"/>
        </w:rPr>
        <w:t>Studi</w:t>
      </w:r>
      <w:r w:rsidR="005E4959" w:rsidRPr="00673DBB">
        <w:rPr>
          <w:b/>
          <w:sz w:val="36"/>
          <w:szCs w:val="36"/>
        </w:rPr>
        <w:t>e</w:t>
      </w:r>
      <w:r w:rsidRPr="00673DBB">
        <w:rPr>
          <w:b/>
          <w:sz w:val="36"/>
          <w:szCs w:val="36"/>
        </w:rPr>
        <w:t xml:space="preserve"> vlivu tvrdého hazardu na kriminalitu</w:t>
      </w:r>
    </w:p>
    <w:p w:rsidR="002A2953" w:rsidRDefault="002A2953" w:rsidP="002A2953">
      <w:pPr>
        <w:rPr>
          <w:szCs w:val="22"/>
        </w:rPr>
      </w:pPr>
      <w:r>
        <w:rPr>
          <w:szCs w:val="22"/>
        </w:rPr>
        <w:t xml:space="preserve">Ve </w:t>
      </w:r>
      <w:r w:rsidRPr="00610D0D">
        <w:rPr>
          <w:i/>
          <w:szCs w:val="22"/>
        </w:rPr>
        <w:t>Studii vlivu tvrdého hazardu na kriminalitu</w:t>
      </w:r>
      <w:r>
        <w:rPr>
          <w:szCs w:val="22"/>
        </w:rPr>
        <w:t xml:space="preserve"> byly zveřejněny údaje, tvrzení a úvahy, které hodnotí činnost některých měst v Čechách, na Moravě a ve Slezsku. Obecní samospráva je významným prvkem demokratického státu a právo obcí samostatně rozhodovat a upravovat místní záležitosti je podstatou samosprávy občanů těchto obcí. Oponentní posouzení dává městům, jejich orgánům i občanům možnost seznámit se s tím, zda informace a úvahy o</w:t>
      </w:r>
      <w:r w:rsidR="00610D0D">
        <w:rPr>
          <w:szCs w:val="22"/>
        </w:rPr>
        <w:t xml:space="preserve"> některých městech obstojí </w:t>
      </w:r>
      <w:r>
        <w:rPr>
          <w:szCs w:val="22"/>
        </w:rPr>
        <w:t>z pohledu kritického zhodnocení obsahu i metodi</w:t>
      </w:r>
      <w:r w:rsidR="00BA4E24">
        <w:rPr>
          <w:szCs w:val="22"/>
        </w:rPr>
        <w:t>ckého přístupu.</w:t>
      </w:r>
    </w:p>
    <w:p w:rsidR="002A2953" w:rsidRPr="002A2953" w:rsidRDefault="002A2953" w:rsidP="002A2953">
      <w:pPr>
        <w:rPr>
          <w:szCs w:val="22"/>
        </w:rPr>
      </w:pPr>
    </w:p>
    <w:sdt>
      <w:sdtPr>
        <w:rPr>
          <w:rFonts w:ascii="Times New Roman" w:eastAsia="Arial Unicode MS" w:hAnsi="Times New Roman" w:cs="Times New Roman"/>
          <w:b w:val="0"/>
          <w:bCs w:val="0"/>
          <w:color w:val="auto"/>
          <w:sz w:val="22"/>
          <w:szCs w:val="24"/>
          <w:bdr w:val="nil"/>
        </w:rPr>
        <w:id w:val="176898052"/>
        <w:docPartObj>
          <w:docPartGallery w:val="Table of Contents"/>
          <w:docPartUnique/>
        </w:docPartObj>
      </w:sdtPr>
      <w:sdtEndPr/>
      <w:sdtContent>
        <w:p w:rsidR="007C55A5" w:rsidRDefault="007C55A5">
          <w:pPr>
            <w:pStyle w:val="Nadpisobsahu"/>
          </w:pPr>
          <w:r>
            <w:t>Obsah</w:t>
          </w:r>
        </w:p>
        <w:p w:rsidR="007C55A5" w:rsidRPr="007C55A5" w:rsidRDefault="009646EB">
          <w:pPr>
            <w:pStyle w:val="Obsah1"/>
            <w:tabs>
              <w:tab w:val="left" w:pos="440"/>
              <w:tab w:val="right" w:leader="dot" w:pos="9056"/>
            </w:tabs>
            <w:rPr>
              <w:rFonts w:asciiTheme="minorHAnsi" w:eastAsiaTheme="minorEastAsia" w:hAnsiTheme="minorHAnsi" w:cstheme="minorBidi"/>
              <w:noProof/>
              <w:szCs w:val="22"/>
              <w:bdr w:val="none" w:sz="0" w:space="0" w:color="auto"/>
              <w:lang w:eastAsia="cs-CZ"/>
            </w:rPr>
          </w:pPr>
          <w:r>
            <w:fldChar w:fldCharType="begin"/>
          </w:r>
          <w:r w:rsidR="007C55A5">
            <w:instrText xml:space="preserve"> TOC \o "1-3" \h \z \u </w:instrText>
          </w:r>
          <w:r>
            <w:fldChar w:fldCharType="separate"/>
          </w:r>
          <w:hyperlink w:anchor="_Toc480010165" w:history="1">
            <w:r w:rsidR="007C55A5" w:rsidRPr="007C55A5">
              <w:rPr>
                <w:rStyle w:val="Hypertextovodkaz"/>
                <w:noProof/>
              </w:rPr>
              <w:t>1.</w:t>
            </w:r>
            <w:r w:rsidR="007C55A5" w:rsidRPr="007C55A5">
              <w:rPr>
                <w:rFonts w:asciiTheme="minorHAnsi" w:eastAsiaTheme="minorEastAsia" w:hAnsiTheme="minorHAnsi" w:cstheme="minorBidi"/>
                <w:noProof/>
                <w:szCs w:val="22"/>
                <w:bdr w:val="none" w:sz="0" w:space="0" w:color="auto"/>
                <w:lang w:eastAsia="cs-CZ"/>
              </w:rPr>
              <w:tab/>
            </w:r>
            <w:r w:rsidR="007C55A5" w:rsidRPr="007C55A5">
              <w:rPr>
                <w:rStyle w:val="Hypertextovodkaz"/>
                <w:noProof/>
              </w:rPr>
              <w:t>Úvodní údaje</w:t>
            </w:r>
            <w:r w:rsidR="007C55A5" w:rsidRPr="007C55A5">
              <w:rPr>
                <w:noProof/>
                <w:webHidden/>
              </w:rPr>
              <w:tab/>
            </w:r>
            <w:r w:rsidRPr="007C55A5">
              <w:rPr>
                <w:noProof/>
                <w:webHidden/>
              </w:rPr>
              <w:fldChar w:fldCharType="begin"/>
            </w:r>
            <w:r w:rsidR="007C55A5" w:rsidRPr="007C55A5">
              <w:rPr>
                <w:noProof/>
                <w:webHidden/>
              </w:rPr>
              <w:instrText xml:space="preserve"> PAGEREF _Toc480010165 \h </w:instrText>
            </w:r>
            <w:r w:rsidRPr="007C55A5">
              <w:rPr>
                <w:noProof/>
                <w:webHidden/>
              </w:rPr>
            </w:r>
            <w:r w:rsidRPr="007C55A5">
              <w:rPr>
                <w:noProof/>
                <w:webHidden/>
              </w:rPr>
              <w:fldChar w:fldCharType="separate"/>
            </w:r>
            <w:r w:rsidR="005254EA">
              <w:rPr>
                <w:noProof/>
                <w:webHidden/>
              </w:rPr>
              <w:t>2</w:t>
            </w:r>
            <w:r w:rsidRPr="007C55A5">
              <w:rPr>
                <w:noProof/>
                <w:webHidden/>
              </w:rPr>
              <w:fldChar w:fldCharType="end"/>
            </w:r>
          </w:hyperlink>
        </w:p>
        <w:p w:rsidR="007C55A5" w:rsidRPr="007C55A5" w:rsidRDefault="004C3FF6">
          <w:pPr>
            <w:pStyle w:val="Obsah1"/>
            <w:tabs>
              <w:tab w:val="left" w:pos="440"/>
              <w:tab w:val="right" w:leader="dot" w:pos="9056"/>
            </w:tabs>
            <w:rPr>
              <w:rFonts w:asciiTheme="minorHAnsi" w:eastAsiaTheme="minorEastAsia" w:hAnsiTheme="minorHAnsi" w:cstheme="minorBidi"/>
              <w:noProof/>
              <w:szCs w:val="22"/>
              <w:bdr w:val="none" w:sz="0" w:space="0" w:color="auto"/>
              <w:lang w:eastAsia="cs-CZ"/>
            </w:rPr>
          </w:pPr>
          <w:hyperlink w:anchor="_Toc480010166" w:history="1">
            <w:r w:rsidR="007C55A5" w:rsidRPr="007C55A5">
              <w:rPr>
                <w:rStyle w:val="Hypertextovodkaz"/>
                <w:noProof/>
              </w:rPr>
              <w:t>2.</w:t>
            </w:r>
            <w:r w:rsidR="007C55A5" w:rsidRPr="007C55A5">
              <w:rPr>
                <w:rFonts w:asciiTheme="minorHAnsi" w:eastAsiaTheme="minorEastAsia" w:hAnsiTheme="minorHAnsi" w:cstheme="minorBidi"/>
                <w:noProof/>
                <w:szCs w:val="22"/>
                <w:bdr w:val="none" w:sz="0" w:space="0" w:color="auto"/>
                <w:lang w:eastAsia="cs-CZ"/>
              </w:rPr>
              <w:tab/>
            </w:r>
            <w:r w:rsidR="007C55A5" w:rsidRPr="007C55A5">
              <w:rPr>
                <w:rStyle w:val="Hypertextovodkaz"/>
                <w:noProof/>
              </w:rPr>
              <w:t>Posouzení Studie</w:t>
            </w:r>
            <w:r w:rsidR="007C55A5" w:rsidRPr="007C55A5">
              <w:rPr>
                <w:noProof/>
                <w:webHidden/>
              </w:rPr>
              <w:tab/>
            </w:r>
            <w:r w:rsidR="009646EB" w:rsidRPr="007C55A5">
              <w:rPr>
                <w:noProof/>
                <w:webHidden/>
              </w:rPr>
              <w:fldChar w:fldCharType="begin"/>
            </w:r>
            <w:r w:rsidR="007C55A5" w:rsidRPr="007C55A5">
              <w:rPr>
                <w:noProof/>
                <w:webHidden/>
              </w:rPr>
              <w:instrText xml:space="preserve"> PAGEREF _Toc480010166 \h </w:instrText>
            </w:r>
            <w:r w:rsidR="009646EB" w:rsidRPr="007C55A5">
              <w:rPr>
                <w:noProof/>
                <w:webHidden/>
              </w:rPr>
            </w:r>
            <w:r w:rsidR="009646EB" w:rsidRPr="007C55A5">
              <w:rPr>
                <w:noProof/>
                <w:webHidden/>
              </w:rPr>
              <w:fldChar w:fldCharType="separate"/>
            </w:r>
            <w:r w:rsidR="005254EA">
              <w:rPr>
                <w:noProof/>
                <w:webHidden/>
              </w:rPr>
              <w:t>3</w:t>
            </w:r>
            <w:r w:rsidR="009646EB" w:rsidRPr="007C55A5">
              <w:rPr>
                <w:noProof/>
                <w:webHidden/>
              </w:rPr>
              <w:fldChar w:fldCharType="end"/>
            </w:r>
          </w:hyperlink>
        </w:p>
        <w:p w:rsidR="007C55A5" w:rsidRPr="007C55A5" w:rsidRDefault="004C3FF6">
          <w:pPr>
            <w:pStyle w:val="Obsah2"/>
            <w:tabs>
              <w:tab w:val="left" w:pos="880"/>
              <w:tab w:val="right" w:leader="dot" w:pos="9056"/>
            </w:tabs>
            <w:rPr>
              <w:rFonts w:asciiTheme="minorHAnsi" w:eastAsiaTheme="minorEastAsia" w:hAnsiTheme="minorHAnsi" w:cstheme="minorBidi"/>
              <w:noProof/>
              <w:szCs w:val="22"/>
              <w:bdr w:val="none" w:sz="0" w:space="0" w:color="auto"/>
              <w:lang w:eastAsia="cs-CZ"/>
            </w:rPr>
          </w:pPr>
          <w:hyperlink w:anchor="_Toc480010167" w:history="1">
            <w:r w:rsidR="007C55A5" w:rsidRPr="007C55A5">
              <w:rPr>
                <w:rStyle w:val="Hypertextovodkaz"/>
                <w:noProof/>
              </w:rPr>
              <w:t>2.1</w:t>
            </w:r>
            <w:r w:rsidR="007C55A5" w:rsidRPr="007C55A5">
              <w:rPr>
                <w:rFonts w:asciiTheme="minorHAnsi" w:eastAsiaTheme="minorEastAsia" w:hAnsiTheme="minorHAnsi" w:cstheme="minorBidi"/>
                <w:noProof/>
                <w:szCs w:val="22"/>
                <w:bdr w:val="none" w:sz="0" w:space="0" w:color="auto"/>
                <w:lang w:eastAsia="cs-CZ"/>
              </w:rPr>
              <w:tab/>
            </w:r>
            <w:r w:rsidR="007C55A5" w:rsidRPr="007C55A5">
              <w:rPr>
                <w:rStyle w:val="Hypertextovodkaz"/>
                <w:noProof/>
              </w:rPr>
              <w:t>Obecné připomínky</w:t>
            </w:r>
            <w:r w:rsidR="007C55A5" w:rsidRPr="007C55A5">
              <w:rPr>
                <w:noProof/>
                <w:webHidden/>
              </w:rPr>
              <w:tab/>
            </w:r>
            <w:r w:rsidR="009646EB" w:rsidRPr="007C55A5">
              <w:rPr>
                <w:noProof/>
                <w:webHidden/>
              </w:rPr>
              <w:fldChar w:fldCharType="begin"/>
            </w:r>
            <w:r w:rsidR="007C55A5" w:rsidRPr="007C55A5">
              <w:rPr>
                <w:noProof/>
                <w:webHidden/>
              </w:rPr>
              <w:instrText xml:space="preserve"> PAGEREF _Toc480010167 \h </w:instrText>
            </w:r>
            <w:r w:rsidR="009646EB" w:rsidRPr="007C55A5">
              <w:rPr>
                <w:noProof/>
                <w:webHidden/>
              </w:rPr>
            </w:r>
            <w:r w:rsidR="009646EB" w:rsidRPr="007C55A5">
              <w:rPr>
                <w:noProof/>
                <w:webHidden/>
              </w:rPr>
              <w:fldChar w:fldCharType="separate"/>
            </w:r>
            <w:r w:rsidR="005254EA">
              <w:rPr>
                <w:noProof/>
                <w:webHidden/>
              </w:rPr>
              <w:t>3</w:t>
            </w:r>
            <w:r w:rsidR="009646EB" w:rsidRPr="007C55A5">
              <w:rPr>
                <w:noProof/>
                <w:webHidden/>
              </w:rPr>
              <w:fldChar w:fldCharType="end"/>
            </w:r>
          </w:hyperlink>
        </w:p>
        <w:p w:rsidR="007C55A5" w:rsidRPr="007C55A5" w:rsidRDefault="004C3FF6">
          <w:pPr>
            <w:pStyle w:val="Obsah2"/>
            <w:tabs>
              <w:tab w:val="left" w:pos="880"/>
              <w:tab w:val="right" w:leader="dot" w:pos="9056"/>
            </w:tabs>
            <w:rPr>
              <w:rFonts w:asciiTheme="minorHAnsi" w:eastAsiaTheme="minorEastAsia" w:hAnsiTheme="minorHAnsi" w:cstheme="minorBidi"/>
              <w:noProof/>
              <w:szCs w:val="22"/>
              <w:bdr w:val="none" w:sz="0" w:space="0" w:color="auto"/>
              <w:lang w:eastAsia="cs-CZ"/>
            </w:rPr>
          </w:pPr>
          <w:hyperlink w:anchor="_Toc480010168" w:history="1">
            <w:r w:rsidR="007C55A5" w:rsidRPr="007C55A5">
              <w:rPr>
                <w:rStyle w:val="Hypertextovodkaz"/>
                <w:noProof/>
              </w:rPr>
              <w:t>2.2</w:t>
            </w:r>
            <w:r w:rsidR="007C55A5" w:rsidRPr="007C55A5">
              <w:rPr>
                <w:rFonts w:asciiTheme="minorHAnsi" w:eastAsiaTheme="minorEastAsia" w:hAnsiTheme="minorHAnsi" w:cstheme="minorBidi"/>
                <w:noProof/>
                <w:szCs w:val="22"/>
                <w:bdr w:val="none" w:sz="0" w:space="0" w:color="auto"/>
                <w:lang w:eastAsia="cs-CZ"/>
              </w:rPr>
              <w:tab/>
            </w:r>
            <w:r w:rsidR="007C55A5" w:rsidRPr="007C55A5">
              <w:rPr>
                <w:rStyle w:val="Hypertextovodkaz"/>
                <w:noProof/>
              </w:rPr>
              <w:t>Tendenčnost obsahu Studie</w:t>
            </w:r>
            <w:r w:rsidR="007C55A5" w:rsidRPr="007C55A5">
              <w:rPr>
                <w:noProof/>
                <w:webHidden/>
              </w:rPr>
              <w:tab/>
            </w:r>
            <w:r w:rsidR="009646EB" w:rsidRPr="007C55A5">
              <w:rPr>
                <w:noProof/>
                <w:webHidden/>
              </w:rPr>
              <w:fldChar w:fldCharType="begin"/>
            </w:r>
            <w:r w:rsidR="007C55A5" w:rsidRPr="007C55A5">
              <w:rPr>
                <w:noProof/>
                <w:webHidden/>
              </w:rPr>
              <w:instrText xml:space="preserve"> PAGEREF _Toc480010168 \h </w:instrText>
            </w:r>
            <w:r w:rsidR="009646EB" w:rsidRPr="007C55A5">
              <w:rPr>
                <w:noProof/>
                <w:webHidden/>
              </w:rPr>
            </w:r>
            <w:r w:rsidR="009646EB" w:rsidRPr="007C55A5">
              <w:rPr>
                <w:noProof/>
                <w:webHidden/>
              </w:rPr>
              <w:fldChar w:fldCharType="separate"/>
            </w:r>
            <w:r w:rsidR="005254EA">
              <w:rPr>
                <w:noProof/>
                <w:webHidden/>
              </w:rPr>
              <w:t>4</w:t>
            </w:r>
            <w:r w:rsidR="009646EB" w:rsidRPr="007C55A5">
              <w:rPr>
                <w:noProof/>
                <w:webHidden/>
              </w:rPr>
              <w:fldChar w:fldCharType="end"/>
            </w:r>
          </w:hyperlink>
        </w:p>
        <w:p w:rsidR="007C55A5" w:rsidRPr="007C55A5" w:rsidRDefault="004C3FF6">
          <w:pPr>
            <w:pStyle w:val="Obsah2"/>
            <w:tabs>
              <w:tab w:val="left" w:pos="880"/>
              <w:tab w:val="right" w:leader="dot" w:pos="9056"/>
            </w:tabs>
            <w:rPr>
              <w:rFonts w:asciiTheme="minorHAnsi" w:eastAsiaTheme="minorEastAsia" w:hAnsiTheme="minorHAnsi" w:cstheme="minorBidi"/>
              <w:noProof/>
              <w:szCs w:val="22"/>
              <w:bdr w:val="none" w:sz="0" w:space="0" w:color="auto"/>
              <w:lang w:eastAsia="cs-CZ"/>
            </w:rPr>
          </w:pPr>
          <w:hyperlink w:anchor="_Toc480010169" w:history="1">
            <w:r w:rsidR="007C55A5" w:rsidRPr="007C55A5">
              <w:rPr>
                <w:rStyle w:val="Hypertextovodkaz"/>
                <w:noProof/>
              </w:rPr>
              <w:t>2.3</w:t>
            </w:r>
            <w:r w:rsidR="007C55A5" w:rsidRPr="007C55A5">
              <w:rPr>
                <w:rFonts w:asciiTheme="minorHAnsi" w:eastAsiaTheme="minorEastAsia" w:hAnsiTheme="minorHAnsi" w:cstheme="minorBidi"/>
                <w:noProof/>
                <w:szCs w:val="22"/>
                <w:bdr w:val="none" w:sz="0" w:space="0" w:color="auto"/>
                <w:lang w:eastAsia="cs-CZ"/>
              </w:rPr>
              <w:tab/>
            </w:r>
            <w:r w:rsidR="007C55A5" w:rsidRPr="007C55A5">
              <w:rPr>
                <w:rStyle w:val="Hypertextovodkaz"/>
                <w:noProof/>
              </w:rPr>
              <w:t>K vědeckému přístupu Studie</w:t>
            </w:r>
            <w:r w:rsidR="007C55A5" w:rsidRPr="007C55A5">
              <w:rPr>
                <w:noProof/>
                <w:webHidden/>
              </w:rPr>
              <w:tab/>
            </w:r>
            <w:r w:rsidR="009646EB" w:rsidRPr="007C55A5">
              <w:rPr>
                <w:noProof/>
                <w:webHidden/>
              </w:rPr>
              <w:fldChar w:fldCharType="begin"/>
            </w:r>
            <w:r w:rsidR="007C55A5" w:rsidRPr="007C55A5">
              <w:rPr>
                <w:noProof/>
                <w:webHidden/>
              </w:rPr>
              <w:instrText xml:space="preserve"> PAGEREF _Toc480010169 \h </w:instrText>
            </w:r>
            <w:r w:rsidR="009646EB" w:rsidRPr="007C55A5">
              <w:rPr>
                <w:noProof/>
                <w:webHidden/>
              </w:rPr>
            </w:r>
            <w:r w:rsidR="009646EB" w:rsidRPr="007C55A5">
              <w:rPr>
                <w:noProof/>
                <w:webHidden/>
              </w:rPr>
              <w:fldChar w:fldCharType="separate"/>
            </w:r>
            <w:r w:rsidR="005254EA">
              <w:rPr>
                <w:noProof/>
                <w:webHidden/>
              </w:rPr>
              <w:t>6</w:t>
            </w:r>
            <w:r w:rsidR="009646EB" w:rsidRPr="007C55A5">
              <w:rPr>
                <w:noProof/>
                <w:webHidden/>
              </w:rPr>
              <w:fldChar w:fldCharType="end"/>
            </w:r>
          </w:hyperlink>
        </w:p>
        <w:p w:rsidR="007C55A5" w:rsidRPr="007C55A5" w:rsidRDefault="004C3FF6">
          <w:pPr>
            <w:pStyle w:val="Obsah2"/>
            <w:tabs>
              <w:tab w:val="left" w:pos="880"/>
              <w:tab w:val="right" w:leader="dot" w:pos="9056"/>
            </w:tabs>
            <w:rPr>
              <w:rFonts w:asciiTheme="minorHAnsi" w:eastAsiaTheme="minorEastAsia" w:hAnsiTheme="minorHAnsi" w:cstheme="minorBidi"/>
              <w:noProof/>
              <w:szCs w:val="22"/>
              <w:bdr w:val="none" w:sz="0" w:space="0" w:color="auto"/>
              <w:lang w:eastAsia="cs-CZ"/>
            </w:rPr>
          </w:pPr>
          <w:hyperlink w:anchor="_Toc480010170" w:history="1">
            <w:r w:rsidR="007C55A5" w:rsidRPr="007C55A5">
              <w:rPr>
                <w:rStyle w:val="Hypertextovodkaz"/>
                <w:noProof/>
              </w:rPr>
              <w:t>2.4</w:t>
            </w:r>
            <w:r w:rsidR="007C55A5" w:rsidRPr="007C55A5">
              <w:rPr>
                <w:rFonts w:asciiTheme="minorHAnsi" w:eastAsiaTheme="minorEastAsia" w:hAnsiTheme="minorHAnsi" w:cstheme="minorBidi"/>
                <w:noProof/>
                <w:szCs w:val="22"/>
                <w:bdr w:val="none" w:sz="0" w:space="0" w:color="auto"/>
                <w:lang w:eastAsia="cs-CZ"/>
              </w:rPr>
              <w:tab/>
            </w:r>
            <w:r w:rsidR="007C55A5" w:rsidRPr="007C55A5">
              <w:rPr>
                <w:rStyle w:val="Hypertextovodkaz"/>
                <w:noProof/>
              </w:rPr>
              <w:t>Zákon o hazardních hrách</w:t>
            </w:r>
            <w:r w:rsidR="007C55A5" w:rsidRPr="007C55A5">
              <w:rPr>
                <w:noProof/>
                <w:webHidden/>
              </w:rPr>
              <w:tab/>
            </w:r>
            <w:r w:rsidR="009646EB" w:rsidRPr="007C55A5">
              <w:rPr>
                <w:noProof/>
                <w:webHidden/>
              </w:rPr>
              <w:fldChar w:fldCharType="begin"/>
            </w:r>
            <w:r w:rsidR="007C55A5" w:rsidRPr="007C55A5">
              <w:rPr>
                <w:noProof/>
                <w:webHidden/>
              </w:rPr>
              <w:instrText xml:space="preserve"> PAGEREF _Toc480010170 \h </w:instrText>
            </w:r>
            <w:r w:rsidR="009646EB" w:rsidRPr="007C55A5">
              <w:rPr>
                <w:noProof/>
                <w:webHidden/>
              </w:rPr>
            </w:r>
            <w:r w:rsidR="009646EB" w:rsidRPr="007C55A5">
              <w:rPr>
                <w:noProof/>
                <w:webHidden/>
              </w:rPr>
              <w:fldChar w:fldCharType="separate"/>
            </w:r>
            <w:r w:rsidR="005254EA">
              <w:rPr>
                <w:noProof/>
                <w:webHidden/>
              </w:rPr>
              <w:t>8</w:t>
            </w:r>
            <w:r w:rsidR="009646EB" w:rsidRPr="007C55A5">
              <w:rPr>
                <w:noProof/>
                <w:webHidden/>
              </w:rPr>
              <w:fldChar w:fldCharType="end"/>
            </w:r>
          </w:hyperlink>
        </w:p>
        <w:p w:rsidR="007C55A5" w:rsidRPr="007C55A5" w:rsidRDefault="004C3FF6">
          <w:pPr>
            <w:pStyle w:val="Obsah1"/>
            <w:tabs>
              <w:tab w:val="left" w:pos="440"/>
              <w:tab w:val="right" w:leader="dot" w:pos="9056"/>
            </w:tabs>
            <w:rPr>
              <w:rFonts w:asciiTheme="minorHAnsi" w:eastAsiaTheme="minorEastAsia" w:hAnsiTheme="minorHAnsi" w:cstheme="minorBidi"/>
              <w:noProof/>
              <w:szCs w:val="22"/>
              <w:bdr w:val="none" w:sz="0" w:space="0" w:color="auto"/>
              <w:lang w:eastAsia="cs-CZ"/>
            </w:rPr>
          </w:pPr>
          <w:hyperlink w:anchor="_Toc480010171" w:history="1">
            <w:r w:rsidR="007C55A5" w:rsidRPr="007C55A5">
              <w:rPr>
                <w:rStyle w:val="Hypertextovodkaz"/>
                <w:noProof/>
              </w:rPr>
              <w:t>3.</w:t>
            </w:r>
            <w:r w:rsidR="007C55A5" w:rsidRPr="007C55A5">
              <w:rPr>
                <w:rFonts w:asciiTheme="minorHAnsi" w:eastAsiaTheme="minorEastAsia" w:hAnsiTheme="minorHAnsi" w:cstheme="minorBidi"/>
                <w:noProof/>
                <w:szCs w:val="22"/>
                <w:bdr w:val="none" w:sz="0" w:space="0" w:color="auto"/>
                <w:lang w:eastAsia="cs-CZ"/>
              </w:rPr>
              <w:tab/>
            </w:r>
            <w:r w:rsidR="007C55A5" w:rsidRPr="007C55A5">
              <w:rPr>
                <w:rStyle w:val="Hypertextovodkaz"/>
                <w:noProof/>
              </w:rPr>
              <w:t>Konkrétní připomínky</w:t>
            </w:r>
            <w:r w:rsidR="007C55A5" w:rsidRPr="007C55A5">
              <w:rPr>
                <w:noProof/>
                <w:webHidden/>
              </w:rPr>
              <w:tab/>
            </w:r>
            <w:r w:rsidR="009646EB" w:rsidRPr="007C55A5">
              <w:rPr>
                <w:noProof/>
                <w:webHidden/>
              </w:rPr>
              <w:fldChar w:fldCharType="begin"/>
            </w:r>
            <w:r w:rsidR="007C55A5" w:rsidRPr="007C55A5">
              <w:rPr>
                <w:noProof/>
                <w:webHidden/>
              </w:rPr>
              <w:instrText xml:space="preserve"> PAGEREF _Toc480010171 \h </w:instrText>
            </w:r>
            <w:r w:rsidR="009646EB" w:rsidRPr="007C55A5">
              <w:rPr>
                <w:noProof/>
                <w:webHidden/>
              </w:rPr>
            </w:r>
            <w:r w:rsidR="009646EB" w:rsidRPr="007C55A5">
              <w:rPr>
                <w:noProof/>
                <w:webHidden/>
              </w:rPr>
              <w:fldChar w:fldCharType="separate"/>
            </w:r>
            <w:r w:rsidR="005254EA">
              <w:rPr>
                <w:noProof/>
                <w:webHidden/>
              </w:rPr>
              <w:t>10</w:t>
            </w:r>
            <w:r w:rsidR="009646EB" w:rsidRPr="007C55A5">
              <w:rPr>
                <w:noProof/>
                <w:webHidden/>
              </w:rPr>
              <w:fldChar w:fldCharType="end"/>
            </w:r>
          </w:hyperlink>
        </w:p>
        <w:p w:rsidR="007C55A5" w:rsidRPr="007C55A5" w:rsidRDefault="004C3FF6" w:rsidP="007C55A5">
          <w:pPr>
            <w:pStyle w:val="Obsah2"/>
            <w:tabs>
              <w:tab w:val="left" w:pos="880"/>
              <w:tab w:val="right" w:leader="dot" w:pos="9056"/>
            </w:tabs>
            <w:rPr>
              <w:rFonts w:asciiTheme="minorHAnsi" w:eastAsiaTheme="minorEastAsia" w:hAnsiTheme="minorHAnsi" w:cstheme="minorBidi"/>
              <w:noProof/>
              <w:szCs w:val="22"/>
              <w:bdr w:val="none" w:sz="0" w:space="0" w:color="auto"/>
              <w:lang w:eastAsia="cs-CZ"/>
            </w:rPr>
          </w:pPr>
          <w:hyperlink w:anchor="_Toc480010172" w:history="1">
            <w:r w:rsidR="007C55A5" w:rsidRPr="007C55A5">
              <w:rPr>
                <w:rStyle w:val="Hypertextovodkaz"/>
                <w:noProof/>
              </w:rPr>
              <w:t>3.1</w:t>
            </w:r>
            <w:r w:rsidR="007C55A5" w:rsidRPr="007C55A5">
              <w:rPr>
                <w:rFonts w:asciiTheme="minorHAnsi" w:eastAsiaTheme="minorEastAsia" w:hAnsiTheme="minorHAnsi" w:cstheme="minorBidi"/>
                <w:noProof/>
                <w:szCs w:val="22"/>
                <w:bdr w:val="none" w:sz="0" w:space="0" w:color="auto"/>
                <w:lang w:eastAsia="cs-CZ"/>
              </w:rPr>
              <w:tab/>
            </w:r>
            <w:r w:rsidR="007C55A5" w:rsidRPr="007C55A5">
              <w:rPr>
                <w:rStyle w:val="Hypertextovodkaz"/>
                <w:noProof/>
              </w:rPr>
              <w:t>Ukazatel vstřícnosti hazardu, problematičnost konkrétních příkladů</w:t>
            </w:r>
            <w:r w:rsidR="007C55A5" w:rsidRPr="007C55A5">
              <w:rPr>
                <w:noProof/>
                <w:webHidden/>
              </w:rPr>
              <w:tab/>
            </w:r>
            <w:r w:rsidR="009646EB" w:rsidRPr="007C55A5">
              <w:rPr>
                <w:noProof/>
                <w:webHidden/>
              </w:rPr>
              <w:fldChar w:fldCharType="begin"/>
            </w:r>
            <w:r w:rsidR="007C55A5" w:rsidRPr="007C55A5">
              <w:rPr>
                <w:noProof/>
                <w:webHidden/>
              </w:rPr>
              <w:instrText xml:space="preserve"> PAGEREF _Toc480010172 \h </w:instrText>
            </w:r>
            <w:r w:rsidR="009646EB" w:rsidRPr="007C55A5">
              <w:rPr>
                <w:noProof/>
                <w:webHidden/>
              </w:rPr>
            </w:r>
            <w:r w:rsidR="009646EB" w:rsidRPr="007C55A5">
              <w:rPr>
                <w:noProof/>
                <w:webHidden/>
              </w:rPr>
              <w:fldChar w:fldCharType="separate"/>
            </w:r>
            <w:r w:rsidR="005254EA">
              <w:rPr>
                <w:noProof/>
                <w:webHidden/>
              </w:rPr>
              <w:t>10</w:t>
            </w:r>
            <w:r w:rsidR="009646EB" w:rsidRPr="007C55A5">
              <w:rPr>
                <w:noProof/>
                <w:webHidden/>
              </w:rPr>
              <w:fldChar w:fldCharType="end"/>
            </w:r>
          </w:hyperlink>
        </w:p>
        <w:p w:rsidR="007C55A5" w:rsidRPr="007C55A5" w:rsidRDefault="004C3FF6">
          <w:pPr>
            <w:pStyle w:val="Obsah2"/>
            <w:tabs>
              <w:tab w:val="left" w:pos="880"/>
              <w:tab w:val="right" w:leader="dot" w:pos="9056"/>
            </w:tabs>
            <w:rPr>
              <w:rFonts w:asciiTheme="minorHAnsi" w:eastAsiaTheme="minorEastAsia" w:hAnsiTheme="minorHAnsi" w:cstheme="minorBidi"/>
              <w:noProof/>
              <w:szCs w:val="22"/>
              <w:bdr w:val="none" w:sz="0" w:space="0" w:color="auto"/>
              <w:lang w:eastAsia="cs-CZ"/>
            </w:rPr>
          </w:pPr>
          <w:hyperlink w:anchor="_Toc480010174" w:history="1">
            <w:r w:rsidR="007C55A5" w:rsidRPr="007C55A5">
              <w:rPr>
                <w:rStyle w:val="Hypertextovodkaz"/>
                <w:noProof/>
              </w:rPr>
              <w:t>3.2</w:t>
            </w:r>
            <w:r w:rsidR="007C55A5" w:rsidRPr="007C55A5">
              <w:rPr>
                <w:rFonts w:asciiTheme="minorHAnsi" w:eastAsiaTheme="minorEastAsia" w:hAnsiTheme="minorHAnsi" w:cstheme="minorBidi"/>
                <w:noProof/>
                <w:szCs w:val="22"/>
                <w:bdr w:val="none" w:sz="0" w:space="0" w:color="auto"/>
                <w:lang w:eastAsia="cs-CZ"/>
              </w:rPr>
              <w:tab/>
            </w:r>
            <w:r w:rsidR="007C55A5" w:rsidRPr="007C55A5">
              <w:rPr>
                <w:rStyle w:val="Hypertextovodkaz"/>
                <w:noProof/>
              </w:rPr>
              <w:t>Index kriminality</w:t>
            </w:r>
            <w:r w:rsidR="007C55A5" w:rsidRPr="007C55A5">
              <w:rPr>
                <w:noProof/>
                <w:webHidden/>
              </w:rPr>
              <w:tab/>
            </w:r>
            <w:r w:rsidR="009646EB" w:rsidRPr="007C55A5">
              <w:rPr>
                <w:noProof/>
                <w:webHidden/>
              </w:rPr>
              <w:fldChar w:fldCharType="begin"/>
            </w:r>
            <w:r w:rsidR="007C55A5" w:rsidRPr="007C55A5">
              <w:rPr>
                <w:noProof/>
                <w:webHidden/>
              </w:rPr>
              <w:instrText xml:space="preserve"> PAGEREF _Toc480010174 \h </w:instrText>
            </w:r>
            <w:r w:rsidR="009646EB" w:rsidRPr="007C55A5">
              <w:rPr>
                <w:noProof/>
                <w:webHidden/>
              </w:rPr>
            </w:r>
            <w:r w:rsidR="009646EB" w:rsidRPr="007C55A5">
              <w:rPr>
                <w:noProof/>
                <w:webHidden/>
              </w:rPr>
              <w:fldChar w:fldCharType="separate"/>
            </w:r>
            <w:r w:rsidR="005254EA">
              <w:rPr>
                <w:noProof/>
                <w:webHidden/>
              </w:rPr>
              <w:t>12</w:t>
            </w:r>
            <w:r w:rsidR="009646EB" w:rsidRPr="007C55A5">
              <w:rPr>
                <w:noProof/>
                <w:webHidden/>
              </w:rPr>
              <w:fldChar w:fldCharType="end"/>
            </w:r>
          </w:hyperlink>
        </w:p>
        <w:p w:rsidR="007C55A5" w:rsidRPr="007C55A5" w:rsidRDefault="004C3FF6">
          <w:pPr>
            <w:pStyle w:val="Obsah2"/>
            <w:tabs>
              <w:tab w:val="left" w:pos="880"/>
              <w:tab w:val="right" w:leader="dot" w:pos="9056"/>
            </w:tabs>
            <w:rPr>
              <w:rFonts w:asciiTheme="minorHAnsi" w:eastAsiaTheme="minorEastAsia" w:hAnsiTheme="minorHAnsi" w:cstheme="minorBidi"/>
              <w:noProof/>
              <w:szCs w:val="22"/>
              <w:bdr w:val="none" w:sz="0" w:space="0" w:color="auto"/>
              <w:lang w:eastAsia="cs-CZ"/>
            </w:rPr>
          </w:pPr>
          <w:hyperlink w:anchor="_Toc480010175" w:history="1">
            <w:r w:rsidR="007C55A5" w:rsidRPr="007C55A5">
              <w:rPr>
                <w:rStyle w:val="Hypertextovodkaz"/>
                <w:noProof/>
              </w:rPr>
              <w:t>3.3</w:t>
            </w:r>
            <w:r w:rsidR="007C55A5" w:rsidRPr="007C55A5">
              <w:rPr>
                <w:rFonts w:asciiTheme="minorHAnsi" w:eastAsiaTheme="minorEastAsia" w:hAnsiTheme="minorHAnsi" w:cstheme="minorBidi"/>
                <w:noProof/>
                <w:szCs w:val="22"/>
                <w:bdr w:val="none" w:sz="0" w:space="0" w:color="auto"/>
                <w:lang w:eastAsia="cs-CZ"/>
              </w:rPr>
              <w:tab/>
            </w:r>
            <w:r w:rsidR="007C55A5" w:rsidRPr="007C55A5">
              <w:rPr>
                <w:rStyle w:val="Hypertextovodkaz"/>
                <w:noProof/>
              </w:rPr>
              <w:t>Příklad Vysokého Mýta</w:t>
            </w:r>
            <w:r w:rsidR="007C55A5" w:rsidRPr="007C55A5">
              <w:rPr>
                <w:noProof/>
                <w:webHidden/>
              </w:rPr>
              <w:tab/>
            </w:r>
            <w:r w:rsidR="009646EB" w:rsidRPr="007C55A5">
              <w:rPr>
                <w:noProof/>
                <w:webHidden/>
              </w:rPr>
              <w:fldChar w:fldCharType="begin"/>
            </w:r>
            <w:r w:rsidR="007C55A5" w:rsidRPr="007C55A5">
              <w:rPr>
                <w:noProof/>
                <w:webHidden/>
              </w:rPr>
              <w:instrText xml:space="preserve"> PAGEREF _Toc480010175 \h </w:instrText>
            </w:r>
            <w:r w:rsidR="009646EB" w:rsidRPr="007C55A5">
              <w:rPr>
                <w:noProof/>
                <w:webHidden/>
              </w:rPr>
            </w:r>
            <w:r w:rsidR="009646EB" w:rsidRPr="007C55A5">
              <w:rPr>
                <w:noProof/>
                <w:webHidden/>
              </w:rPr>
              <w:fldChar w:fldCharType="separate"/>
            </w:r>
            <w:r w:rsidR="005254EA">
              <w:rPr>
                <w:noProof/>
                <w:webHidden/>
              </w:rPr>
              <w:t>13</w:t>
            </w:r>
            <w:r w:rsidR="009646EB" w:rsidRPr="007C55A5">
              <w:rPr>
                <w:noProof/>
                <w:webHidden/>
              </w:rPr>
              <w:fldChar w:fldCharType="end"/>
            </w:r>
          </w:hyperlink>
        </w:p>
        <w:p w:rsidR="007C55A5" w:rsidRPr="007C55A5" w:rsidRDefault="004C3FF6">
          <w:pPr>
            <w:pStyle w:val="Obsah2"/>
            <w:tabs>
              <w:tab w:val="left" w:pos="880"/>
              <w:tab w:val="right" w:leader="dot" w:pos="9056"/>
            </w:tabs>
            <w:rPr>
              <w:rFonts w:asciiTheme="minorHAnsi" w:eastAsiaTheme="minorEastAsia" w:hAnsiTheme="minorHAnsi" w:cstheme="minorBidi"/>
              <w:noProof/>
              <w:szCs w:val="22"/>
              <w:bdr w:val="none" w:sz="0" w:space="0" w:color="auto"/>
              <w:lang w:eastAsia="cs-CZ"/>
            </w:rPr>
          </w:pPr>
          <w:hyperlink w:anchor="_Toc480010177" w:history="1">
            <w:r w:rsidR="007C55A5" w:rsidRPr="007C55A5">
              <w:rPr>
                <w:rStyle w:val="Hypertextovodkaz"/>
                <w:noProof/>
              </w:rPr>
              <w:t>3.4</w:t>
            </w:r>
            <w:r w:rsidR="007C55A5" w:rsidRPr="007C55A5">
              <w:rPr>
                <w:rFonts w:asciiTheme="minorHAnsi" w:eastAsiaTheme="minorEastAsia" w:hAnsiTheme="minorHAnsi" w:cstheme="minorBidi"/>
                <w:noProof/>
                <w:szCs w:val="22"/>
                <w:bdr w:val="none" w:sz="0" w:space="0" w:color="auto"/>
                <w:lang w:eastAsia="cs-CZ"/>
              </w:rPr>
              <w:tab/>
            </w:r>
            <w:r w:rsidR="007C55A5" w:rsidRPr="007C55A5">
              <w:rPr>
                <w:rStyle w:val="Hypertextovodkaz"/>
                <w:noProof/>
              </w:rPr>
              <w:t>Příklad Moravskoslezského kraje</w:t>
            </w:r>
            <w:r w:rsidR="007C55A5" w:rsidRPr="007C55A5">
              <w:rPr>
                <w:noProof/>
                <w:webHidden/>
              </w:rPr>
              <w:tab/>
            </w:r>
            <w:r w:rsidR="009646EB" w:rsidRPr="007C55A5">
              <w:rPr>
                <w:noProof/>
                <w:webHidden/>
              </w:rPr>
              <w:fldChar w:fldCharType="begin"/>
            </w:r>
            <w:r w:rsidR="007C55A5" w:rsidRPr="007C55A5">
              <w:rPr>
                <w:noProof/>
                <w:webHidden/>
              </w:rPr>
              <w:instrText xml:space="preserve"> PAGEREF _Toc480010177 \h </w:instrText>
            </w:r>
            <w:r w:rsidR="009646EB" w:rsidRPr="007C55A5">
              <w:rPr>
                <w:noProof/>
                <w:webHidden/>
              </w:rPr>
            </w:r>
            <w:r w:rsidR="009646EB" w:rsidRPr="007C55A5">
              <w:rPr>
                <w:noProof/>
                <w:webHidden/>
              </w:rPr>
              <w:fldChar w:fldCharType="separate"/>
            </w:r>
            <w:r w:rsidR="005254EA">
              <w:rPr>
                <w:noProof/>
                <w:webHidden/>
              </w:rPr>
              <w:t>14</w:t>
            </w:r>
            <w:r w:rsidR="009646EB" w:rsidRPr="007C55A5">
              <w:rPr>
                <w:noProof/>
                <w:webHidden/>
              </w:rPr>
              <w:fldChar w:fldCharType="end"/>
            </w:r>
          </w:hyperlink>
        </w:p>
        <w:p w:rsidR="007C55A5" w:rsidRPr="007C55A5" w:rsidRDefault="004C3FF6">
          <w:pPr>
            <w:pStyle w:val="Obsah2"/>
            <w:tabs>
              <w:tab w:val="left" w:pos="880"/>
              <w:tab w:val="right" w:leader="dot" w:pos="9056"/>
            </w:tabs>
            <w:rPr>
              <w:rFonts w:asciiTheme="minorHAnsi" w:eastAsiaTheme="minorEastAsia" w:hAnsiTheme="minorHAnsi" w:cstheme="minorBidi"/>
              <w:noProof/>
              <w:szCs w:val="22"/>
              <w:bdr w:val="none" w:sz="0" w:space="0" w:color="auto"/>
              <w:lang w:eastAsia="cs-CZ"/>
            </w:rPr>
          </w:pPr>
          <w:hyperlink w:anchor="_Toc480010178" w:history="1">
            <w:r w:rsidR="007C55A5" w:rsidRPr="007C55A5">
              <w:rPr>
                <w:rStyle w:val="Hypertextovodkaz"/>
                <w:noProof/>
              </w:rPr>
              <w:t>3.5</w:t>
            </w:r>
            <w:r w:rsidR="007C55A5" w:rsidRPr="007C55A5">
              <w:rPr>
                <w:rFonts w:asciiTheme="minorHAnsi" w:eastAsiaTheme="minorEastAsia" w:hAnsiTheme="minorHAnsi" w:cstheme="minorBidi"/>
                <w:noProof/>
                <w:szCs w:val="22"/>
                <w:bdr w:val="none" w:sz="0" w:space="0" w:color="auto"/>
                <w:lang w:eastAsia="cs-CZ"/>
              </w:rPr>
              <w:tab/>
            </w:r>
            <w:r w:rsidR="007C55A5" w:rsidRPr="007C55A5">
              <w:rPr>
                <w:rStyle w:val="Hypertextovodkaz"/>
                <w:noProof/>
              </w:rPr>
              <w:t>Některé další kraje</w:t>
            </w:r>
            <w:r w:rsidR="007C55A5" w:rsidRPr="007C55A5">
              <w:rPr>
                <w:noProof/>
                <w:webHidden/>
              </w:rPr>
              <w:tab/>
            </w:r>
            <w:r w:rsidR="009646EB" w:rsidRPr="007C55A5">
              <w:rPr>
                <w:noProof/>
                <w:webHidden/>
              </w:rPr>
              <w:fldChar w:fldCharType="begin"/>
            </w:r>
            <w:r w:rsidR="007C55A5" w:rsidRPr="007C55A5">
              <w:rPr>
                <w:noProof/>
                <w:webHidden/>
              </w:rPr>
              <w:instrText xml:space="preserve"> PAGEREF _Toc480010178 \h </w:instrText>
            </w:r>
            <w:r w:rsidR="009646EB" w:rsidRPr="007C55A5">
              <w:rPr>
                <w:noProof/>
                <w:webHidden/>
              </w:rPr>
            </w:r>
            <w:r w:rsidR="009646EB" w:rsidRPr="007C55A5">
              <w:rPr>
                <w:noProof/>
                <w:webHidden/>
              </w:rPr>
              <w:fldChar w:fldCharType="separate"/>
            </w:r>
            <w:r w:rsidR="005254EA">
              <w:rPr>
                <w:noProof/>
                <w:webHidden/>
              </w:rPr>
              <w:t>15</w:t>
            </w:r>
            <w:r w:rsidR="009646EB" w:rsidRPr="007C55A5">
              <w:rPr>
                <w:noProof/>
                <w:webHidden/>
              </w:rPr>
              <w:fldChar w:fldCharType="end"/>
            </w:r>
          </w:hyperlink>
        </w:p>
        <w:p w:rsidR="007C55A5" w:rsidRPr="007C55A5" w:rsidRDefault="004C3FF6">
          <w:pPr>
            <w:pStyle w:val="Obsah2"/>
            <w:tabs>
              <w:tab w:val="left" w:pos="880"/>
              <w:tab w:val="right" w:leader="dot" w:pos="9056"/>
            </w:tabs>
            <w:rPr>
              <w:rFonts w:asciiTheme="minorHAnsi" w:eastAsiaTheme="minorEastAsia" w:hAnsiTheme="minorHAnsi" w:cstheme="minorBidi"/>
              <w:noProof/>
              <w:szCs w:val="22"/>
              <w:bdr w:val="none" w:sz="0" w:space="0" w:color="auto"/>
              <w:lang w:eastAsia="cs-CZ"/>
            </w:rPr>
          </w:pPr>
          <w:hyperlink w:anchor="_Toc480010179" w:history="1">
            <w:r w:rsidR="007C55A5" w:rsidRPr="007C55A5">
              <w:rPr>
                <w:rStyle w:val="Hypertextovodkaz"/>
                <w:noProof/>
              </w:rPr>
              <w:t>3.6</w:t>
            </w:r>
            <w:r w:rsidR="007C55A5" w:rsidRPr="007C55A5">
              <w:rPr>
                <w:rFonts w:asciiTheme="minorHAnsi" w:eastAsiaTheme="minorEastAsia" w:hAnsiTheme="minorHAnsi" w:cstheme="minorBidi"/>
                <w:noProof/>
                <w:szCs w:val="22"/>
                <w:bdr w:val="none" w:sz="0" w:space="0" w:color="auto"/>
                <w:lang w:eastAsia="cs-CZ"/>
              </w:rPr>
              <w:tab/>
            </w:r>
            <w:r w:rsidR="007C55A5" w:rsidRPr="007C55A5">
              <w:rPr>
                <w:rStyle w:val="Hypertextovodkaz"/>
                <w:noProof/>
              </w:rPr>
              <w:t>Ostatní připomínky</w:t>
            </w:r>
            <w:r w:rsidR="007C55A5" w:rsidRPr="007C55A5">
              <w:rPr>
                <w:noProof/>
                <w:webHidden/>
              </w:rPr>
              <w:tab/>
            </w:r>
            <w:r w:rsidR="009646EB" w:rsidRPr="007C55A5">
              <w:rPr>
                <w:noProof/>
                <w:webHidden/>
              </w:rPr>
              <w:fldChar w:fldCharType="begin"/>
            </w:r>
            <w:r w:rsidR="007C55A5" w:rsidRPr="007C55A5">
              <w:rPr>
                <w:noProof/>
                <w:webHidden/>
              </w:rPr>
              <w:instrText xml:space="preserve"> PAGEREF _Toc480010179 \h </w:instrText>
            </w:r>
            <w:r w:rsidR="009646EB" w:rsidRPr="007C55A5">
              <w:rPr>
                <w:noProof/>
                <w:webHidden/>
              </w:rPr>
            </w:r>
            <w:r w:rsidR="009646EB" w:rsidRPr="007C55A5">
              <w:rPr>
                <w:noProof/>
                <w:webHidden/>
              </w:rPr>
              <w:fldChar w:fldCharType="separate"/>
            </w:r>
            <w:r w:rsidR="005254EA">
              <w:rPr>
                <w:noProof/>
                <w:webHidden/>
              </w:rPr>
              <w:t>16</w:t>
            </w:r>
            <w:r w:rsidR="009646EB" w:rsidRPr="007C55A5">
              <w:rPr>
                <w:noProof/>
                <w:webHidden/>
              </w:rPr>
              <w:fldChar w:fldCharType="end"/>
            </w:r>
          </w:hyperlink>
        </w:p>
        <w:p w:rsidR="007C55A5" w:rsidRDefault="004C3FF6">
          <w:pPr>
            <w:pStyle w:val="Obsah1"/>
            <w:tabs>
              <w:tab w:val="left" w:pos="440"/>
              <w:tab w:val="right" w:leader="dot" w:pos="9056"/>
            </w:tabs>
            <w:rPr>
              <w:rFonts w:asciiTheme="minorHAnsi" w:eastAsiaTheme="minorEastAsia" w:hAnsiTheme="minorHAnsi" w:cstheme="minorBidi"/>
              <w:noProof/>
              <w:szCs w:val="22"/>
              <w:bdr w:val="none" w:sz="0" w:space="0" w:color="auto"/>
              <w:lang w:eastAsia="cs-CZ"/>
            </w:rPr>
          </w:pPr>
          <w:hyperlink w:anchor="_Toc480010181" w:history="1">
            <w:r w:rsidR="007C55A5" w:rsidRPr="007C55A5">
              <w:rPr>
                <w:rStyle w:val="Hypertextovodkaz"/>
                <w:noProof/>
              </w:rPr>
              <w:t>4.</w:t>
            </w:r>
            <w:r w:rsidR="007C55A5" w:rsidRPr="007C55A5">
              <w:rPr>
                <w:rFonts w:asciiTheme="minorHAnsi" w:eastAsiaTheme="minorEastAsia" w:hAnsiTheme="minorHAnsi" w:cstheme="minorBidi"/>
                <w:noProof/>
                <w:szCs w:val="22"/>
                <w:bdr w:val="none" w:sz="0" w:space="0" w:color="auto"/>
                <w:lang w:eastAsia="cs-CZ"/>
              </w:rPr>
              <w:tab/>
            </w:r>
            <w:r w:rsidR="007C55A5" w:rsidRPr="007C55A5">
              <w:rPr>
                <w:rStyle w:val="Hypertextovodkaz"/>
                <w:noProof/>
              </w:rPr>
              <w:t>Závěr</w:t>
            </w:r>
            <w:r w:rsidR="007C55A5" w:rsidRPr="007C55A5">
              <w:rPr>
                <w:noProof/>
                <w:webHidden/>
              </w:rPr>
              <w:tab/>
            </w:r>
            <w:r w:rsidR="009646EB" w:rsidRPr="007C55A5">
              <w:rPr>
                <w:noProof/>
                <w:webHidden/>
              </w:rPr>
              <w:fldChar w:fldCharType="begin"/>
            </w:r>
            <w:r w:rsidR="007C55A5" w:rsidRPr="007C55A5">
              <w:rPr>
                <w:noProof/>
                <w:webHidden/>
              </w:rPr>
              <w:instrText xml:space="preserve"> PAGEREF _Toc480010181 \h </w:instrText>
            </w:r>
            <w:r w:rsidR="009646EB" w:rsidRPr="007C55A5">
              <w:rPr>
                <w:noProof/>
                <w:webHidden/>
              </w:rPr>
            </w:r>
            <w:r w:rsidR="009646EB" w:rsidRPr="007C55A5">
              <w:rPr>
                <w:noProof/>
                <w:webHidden/>
              </w:rPr>
              <w:fldChar w:fldCharType="separate"/>
            </w:r>
            <w:r w:rsidR="005254EA">
              <w:rPr>
                <w:noProof/>
                <w:webHidden/>
              </w:rPr>
              <w:t>17</w:t>
            </w:r>
            <w:r w:rsidR="009646EB" w:rsidRPr="007C55A5">
              <w:rPr>
                <w:noProof/>
                <w:webHidden/>
              </w:rPr>
              <w:fldChar w:fldCharType="end"/>
            </w:r>
          </w:hyperlink>
        </w:p>
        <w:p w:rsidR="007C55A5" w:rsidRDefault="009646EB">
          <w:r>
            <w:fldChar w:fldCharType="end"/>
          </w:r>
        </w:p>
      </w:sdtContent>
    </w:sdt>
    <w:p w:rsidR="00457648" w:rsidRPr="001F220C" w:rsidRDefault="00457648">
      <w:pPr>
        <w:rPr>
          <w:sz w:val="24"/>
        </w:rPr>
      </w:pPr>
    </w:p>
    <w:tbl>
      <w:tblPr>
        <w:tblStyle w:val="Mkatabulky"/>
        <w:tblW w:w="9185"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5"/>
      </w:tblGrid>
      <w:tr w:rsidR="001D08F4" w:rsidRPr="001F220C" w:rsidTr="000022BD">
        <w:trPr>
          <w:trHeight w:val="298"/>
        </w:trPr>
        <w:tc>
          <w:tcPr>
            <w:tcW w:w="9185" w:type="dxa"/>
          </w:tcPr>
          <w:p w:rsidR="001D08F4" w:rsidRPr="001F220C" w:rsidRDefault="00905054" w:rsidP="00905054">
            <w:pPr>
              <w:pStyle w:val="Vchoz"/>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Morava, Brno, duben 2017</w:t>
            </w:r>
          </w:p>
        </w:tc>
      </w:tr>
    </w:tbl>
    <w:p w:rsidR="00223B4D" w:rsidRPr="004306DF" w:rsidRDefault="001F220C" w:rsidP="007C55A5">
      <w:pPr>
        <w:pStyle w:val="Nadpis1"/>
        <w:keepNext w:val="0"/>
        <w:pageBreakBefore/>
        <w:widowControl w:val="0"/>
        <w:spacing w:before="120" w:after="0" w:line="240" w:lineRule="auto"/>
        <w:rPr>
          <w:sz w:val="24"/>
          <w:szCs w:val="24"/>
        </w:rPr>
      </w:pPr>
      <w:bookmarkStart w:id="1" w:name="_Ref459829628"/>
      <w:bookmarkStart w:id="2" w:name="_Toc480010165"/>
      <w:r w:rsidRPr="004306DF">
        <w:rPr>
          <w:sz w:val="24"/>
          <w:szCs w:val="24"/>
        </w:rPr>
        <w:lastRenderedPageBreak/>
        <w:t>Úvodní údaje</w:t>
      </w:r>
      <w:bookmarkEnd w:id="1"/>
      <w:bookmarkEnd w:id="2"/>
    </w:p>
    <w:p w:rsidR="00DD1915" w:rsidRPr="004306DF" w:rsidRDefault="00DD1915" w:rsidP="004306DF">
      <w:pPr>
        <w:spacing w:before="120" w:after="0" w:line="240" w:lineRule="auto"/>
        <w:rPr>
          <w:rFonts w:eastAsia="Batang"/>
          <w:sz w:val="24"/>
          <w:bdr w:val="none" w:sz="0" w:space="0" w:color="auto"/>
          <w:lang w:eastAsia="en-GB"/>
        </w:rPr>
      </w:pPr>
    </w:p>
    <w:p w:rsidR="001F220C" w:rsidRPr="004306DF" w:rsidRDefault="001F220C" w:rsidP="004306DF">
      <w:pPr>
        <w:pStyle w:val="Odstavecseseznamem"/>
        <w:numPr>
          <w:ilvl w:val="0"/>
          <w:numId w:val="37"/>
        </w:numPr>
        <w:spacing w:before="120" w:after="0" w:line="240" w:lineRule="auto"/>
        <w:contextualSpacing w:val="0"/>
        <w:rPr>
          <w:sz w:val="24"/>
        </w:rPr>
      </w:pPr>
      <w:r w:rsidRPr="004306DF">
        <w:rPr>
          <w:b/>
          <w:sz w:val="24"/>
        </w:rPr>
        <w:t>Předmět oponentu</w:t>
      </w:r>
      <w:r w:rsidRPr="004306DF">
        <w:rPr>
          <w:sz w:val="24"/>
        </w:rPr>
        <w:t>ry</w:t>
      </w:r>
    </w:p>
    <w:p w:rsidR="00B6736A" w:rsidRPr="004306DF" w:rsidRDefault="00E40F1E" w:rsidP="004306DF">
      <w:pPr>
        <w:spacing w:before="120" w:after="0" w:line="240" w:lineRule="auto"/>
        <w:rPr>
          <w:sz w:val="24"/>
        </w:rPr>
      </w:pPr>
      <w:r w:rsidRPr="004306DF">
        <w:rPr>
          <w:sz w:val="24"/>
        </w:rPr>
        <w:t xml:space="preserve">Předmětem tohoto </w:t>
      </w:r>
      <w:r w:rsidR="008C5F4C" w:rsidRPr="004306DF">
        <w:rPr>
          <w:sz w:val="24"/>
        </w:rPr>
        <w:t xml:space="preserve">posouzení </w:t>
      </w:r>
      <w:r w:rsidRPr="004306DF">
        <w:rPr>
          <w:sz w:val="24"/>
        </w:rPr>
        <w:t xml:space="preserve">je </w:t>
      </w:r>
      <w:r w:rsidR="008C5F4C" w:rsidRPr="004306DF">
        <w:rPr>
          <w:sz w:val="24"/>
        </w:rPr>
        <w:t>zjištění důvěryhodnosti, relevantnosti a</w:t>
      </w:r>
      <w:r w:rsidR="0048280F" w:rsidRPr="004306DF">
        <w:rPr>
          <w:sz w:val="24"/>
        </w:rPr>
        <w:t> </w:t>
      </w:r>
      <w:r w:rsidR="00FF66C8">
        <w:rPr>
          <w:sz w:val="24"/>
        </w:rPr>
        <w:t>s</w:t>
      </w:r>
      <w:r w:rsidR="008C5F4C" w:rsidRPr="004306DF">
        <w:rPr>
          <w:sz w:val="24"/>
        </w:rPr>
        <w:t xml:space="preserve">právnosti závěrů </w:t>
      </w:r>
      <w:r w:rsidR="008C5F4C" w:rsidRPr="004306DF">
        <w:rPr>
          <w:i/>
          <w:sz w:val="24"/>
        </w:rPr>
        <w:t>Studie vlivu tvrdého hazardu na kriminalitu</w:t>
      </w:r>
      <w:r w:rsidR="008C5F4C" w:rsidRPr="004306DF">
        <w:rPr>
          <w:sz w:val="24"/>
        </w:rPr>
        <w:t xml:space="preserve"> zpracované Nadační</w:t>
      </w:r>
      <w:r w:rsidR="00FF66C8">
        <w:rPr>
          <w:sz w:val="24"/>
        </w:rPr>
        <w:t>m</w:t>
      </w:r>
      <w:r w:rsidR="008C5F4C" w:rsidRPr="004306DF">
        <w:rPr>
          <w:sz w:val="24"/>
        </w:rPr>
        <w:t xml:space="preserve"> fond</w:t>
      </w:r>
      <w:r w:rsidR="00FF66C8">
        <w:rPr>
          <w:sz w:val="24"/>
        </w:rPr>
        <w:t>em</w:t>
      </w:r>
      <w:r w:rsidR="008C5F4C" w:rsidRPr="004306DF">
        <w:rPr>
          <w:sz w:val="24"/>
        </w:rPr>
        <w:t xml:space="preserve"> proti korupci a s</w:t>
      </w:r>
      <w:r w:rsidR="00030162">
        <w:rPr>
          <w:sz w:val="24"/>
        </w:rPr>
        <w:t>polkem</w:t>
      </w:r>
      <w:r w:rsidR="008C5F4C" w:rsidRPr="004306DF">
        <w:rPr>
          <w:sz w:val="24"/>
        </w:rPr>
        <w:t xml:space="preserve"> Naši politici, která byla zveřejněna na webových stránkách Nadačního fondu proti korupci dne 2. 3. 2017 (dále jen „</w:t>
      </w:r>
      <w:r w:rsidR="008C5F4C" w:rsidRPr="004306DF">
        <w:rPr>
          <w:b/>
          <w:sz w:val="24"/>
        </w:rPr>
        <w:t>Studie</w:t>
      </w:r>
      <w:r w:rsidR="008C5F4C" w:rsidRPr="004306DF">
        <w:rPr>
          <w:sz w:val="24"/>
        </w:rPr>
        <w:t>“).</w:t>
      </w:r>
      <w:r w:rsidR="00F279B7" w:rsidRPr="004306DF">
        <w:rPr>
          <w:rStyle w:val="Znakapoznpodarou"/>
          <w:sz w:val="24"/>
        </w:rPr>
        <w:footnoteReference w:id="1"/>
      </w:r>
    </w:p>
    <w:p w:rsidR="00142CA0" w:rsidRPr="004306DF" w:rsidRDefault="00142CA0" w:rsidP="004306DF">
      <w:pPr>
        <w:spacing w:before="120" w:after="0" w:line="240" w:lineRule="auto"/>
        <w:rPr>
          <w:sz w:val="24"/>
        </w:rPr>
      </w:pPr>
    </w:p>
    <w:p w:rsidR="001F220C" w:rsidRPr="004306DF" w:rsidRDefault="001F220C" w:rsidP="004306DF">
      <w:pPr>
        <w:pStyle w:val="Odstavecseseznamem"/>
        <w:numPr>
          <w:ilvl w:val="0"/>
          <w:numId w:val="37"/>
        </w:numPr>
        <w:spacing w:before="120" w:after="0" w:line="240" w:lineRule="auto"/>
        <w:contextualSpacing w:val="0"/>
        <w:rPr>
          <w:sz w:val="24"/>
        </w:rPr>
      </w:pPr>
      <w:r w:rsidRPr="004306DF">
        <w:rPr>
          <w:b/>
          <w:sz w:val="24"/>
        </w:rPr>
        <w:t>Zpracovatel oponentní zprávy</w:t>
      </w:r>
    </w:p>
    <w:p w:rsidR="001F220C" w:rsidRPr="004306DF" w:rsidRDefault="001F220C" w:rsidP="004306DF">
      <w:pPr>
        <w:pStyle w:val="Vchoz"/>
        <w:spacing w:before="120"/>
        <w:jc w:val="both"/>
        <w:rPr>
          <w:rFonts w:ascii="Times New Roman" w:hAnsi="Times New Roman" w:cs="Times New Roman"/>
          <w:b/>
          <w:bCs/>
          <w:sz w:val="24"/>
          <w:szCs w:val="24"/>
        </w:rPr>
      </w:pPr>
      <w:r w:rsidRPr="004306DF">
        <w:rPr>
          <w:rFonts w:ascii="Times New Roman" w:hAnsi="Times New Roman" w:cs="Times New Roman"/>
          <w:b/>
          <w:bCs/>
          <w:sz w:val="24"/>
          <w:szCs w:val="24"/>
        </w:rPr>
        <w:tab/>
        <w:t>Vysoká škola Karla Engliše Brno, Mezírka 1.</w:t>
      </w:r>
    </w:p>
    <w:p w:rsidR="00142CA0" w:rsidRPr="004306DF" w:rsidRDefault="00142CA0" w:rsidP="004306DF">
      <w:pPr>
        <w:pStyle w:val="Vchoz"/>
        <w:spacing w:before="120"/>
        <w:jc w:val="both"/>
        <w:rPr>
          <w:rFonts w:ascii="Times New Roman" w:hAnsi="Times New Roman" w:cs="Times New Roman"/>
          <w:b/>
          <w:bCs/>
          <w:sz w:val="24"/>
          <w:szCs w:val="24"/>
        </w:rPr>
      </w:pPr>
    </w:p>
    <w:p w:rsidR="001F220C" w:rsidRPr="004306DF" w:rsidRDefault="00BE4616" w:rsidP="004306DF">
      <w:pPr>
        <w:pStyle w:val="Odstavecseseznamem"/>
        <w:numPr>
          <w:ilvl w:val="0"/>
          <w:numId w:val="37"/>
        </w:numPr>
        <w:spacing w:before="120" w:after="0" w:line="240" w:lineRule="auto"/>
        <w:contextualSpacing w:val="0"/>
        <w:rPr>
          <w:sz w:val="24"/>
        </w:rPr>
      </w:pPr>
      <w:r>
        <w:rPr>
          <w:b/>
          <w:bCs/>
          <w:sz w:val="24"/>
        </w:rPr>
        <w:t>Řešitelský t</w:t>
      </w:r>
      <w:r w:rsidR="001F220C" w:rsidRPr="004306DF">
        <w:rPr>
          <w:b/>
          <w:bCs/>
          <w:sz w:val="24"/>
        </w:rPr>
        <w:t xml:space="preserve">ým </w:t>
      </w:r>
      <w:r w:rsidR="00142CA0" w:rsidRPr="004306DF">
        <w:rPr>
          <w:b/>
          <w:bCs/>
          <w:sz w:val="24"/>
        </w:rPr>
        <w:t xml:space="preserve">akademických pracovníků </w:t>
      </w:r>
      <w:r w:rsidR="001F220C" w:rsidRPr="004306DF">
        <w:rPr>
          <w:b/>
          <w:bCs/>
          <w:sz w:val="24"/>
        </w:rPr>
        <w:t>zpracovatele</w:t>
      </w:r>
    </w:p>
    <w:p w:rsidR="001F220C" w:rsidRDefault="001F220C" w:rsidP="004306DF">
      <w:pPr>
        <w:pStyle w:val="Vchoz"/>
        <w:spacing w:before="120"/>
        <w:jc w:val="both"/>
        <w:rPr>
          <w:rFonts w:ascii="Times New Roman" w:hAnsi="Times New Roman" w:cs="Times New Roman"/>
          <w:bCs/>
          <w:sz w:val="24"/>
          <w:szCs w:val="24"/>
        </w:rPr>
      </w:pPr>
      <w:r w:rsidRPr="004306DF">
        <w:rPr>
          <w:rFonts w:ascii="Times New Roman" w:hAnsi="Times New Roman" w:cs="Times New Roman"/>
          <w:bCs/>
          <w:sz w:val="24"/>
          <w:szCs w:val="24"/>
        </w:rPr>
        <w:tab/>
        <w:t>Doc. JUDr. Zdeněk Koudelka Ph.D.</w:t>
      </w:r>
      <w:r w:rsidR="00142CA0" w:rsidRPr="004306DF">
        <w:rPr>
          <w:rFonts w:ascii="Times New Roman" w:hAnsi="Times New Roman" w:cs="Times New Roman"/>
          <w:bCs/>
          <w:sz w:val="24"/>
          <w:szCs w:val="24"/>
        </w:rPr>
        <w:t xml:space="preserve"> (vedoucí týmu)</w:t>
      </w:r>
      <w:r w:rsidRPr="004306DF">
        <w:rPr>
          <w:rFonts w:ascii="Times New Roman" w:hAnsi="Times New Roman" w:cs="Times New Roman"/>
          <w:bCs/>
          <w:sz w:val="24"/>
          <w:szCs w:val="24"/>
        </w:rPr>
        <w:t xml:space="preserve">, prof. PhDr. Miroslav Foret CSc., </w:t>
      </w:r>
      <w:r w:rsidR="00142CA0" w:rsidRPr="004306DF">
        <w:rPr>
          <w:rFonts w:ascii="Times New Roman" w:hAnsi="Times New Roman" w:cs="Times New Roman"/>
          <w:bCs/>
          <w:sz w:val="24"/>
          <w:szCs w:val="24"/>
        </w:rPr>
        <w:tab/>
      </w:r>
      <w:r w:rsidRPr="004306DF">
        <w:rPr>
          <w:rFonts w:ascii="Times New Roman" w:hAnsi="Times New Roman" w:cs="Times New Roman"/>
          <w:bCs/>
          <w:sz w:val="24"/>
          <w:szCs w:val="24"/>
        </w:rPr>
        <w:t xml:space="preserve">Doc. JUDr. Jiří Kroupa CSc., </w:t>
      </w:r>
      <w:r w:rsidR="00545E0A" w:rsidRPr="004306DF">
        <w:rPr>
          <w:rFonts w:ascii="Times New Roman" w:hAnsi="Times New Roman" w:cs="Times New Roman"/>
          <w:bCs/>
          <w:sz w:val="24"/>
          <w:szCs w:val="24"/>
        </w:rPr>
        <w:t>Mgr. Martin Pelikán</w:t>
      </w:r>
      <w:r w:rsidR="00545E0A">
        <w:rPr>
          <w:rFonts w:ascii="Times New Roman" w:hAnsi="Times New Roman" w:cs="Times New Roman"/>
          <w:bCs/>
          <w:sz w:val="24"/>
          <w:szCs w:val="24"/>
        </w:rPr>
        <w:t>,</w:t>
      </w:r>
      <w:r w:rsidR="00545E0A" w:rsidRPr="004306DF">
        <w:rPr>
          <w:rFonts w:ascii="Times New Roman" w:hAnsi="Times New Roman" w:cs="Times New Roman"/>
          <w:bCs/>
          <w:sz w:val="24"/>
          <w:szCs w:val="24"/>
        </w:rPr>
        <w:t xml:space="preserve"> </w:t>
      </w:r>
      <w:r w:rsidRPr="004306DF">
        <w:rPr>
          <w:rFonts w:ascii="Times New Roman" w:hAnsi="Times New Roman" w:cs="Times New Roman"/>
          <w:bCs/>
          <w:sz w:val="24"/>
          <w:szCs w:val="24"/>
        </w:rPr>
        <w:t xml:space="preserve">JUDr. </w:t>
      </w:r>
      <w:r w:rsidR="005C7419">
        <w:rPr>
          <w:rFonts w:ascii="Times New Roman" w:hAnsi="Times New Roman" w:cs="Times New Roman"/>
          <w:bCs/>
          <w:sz w:val="24"/>
          <w:szCs w:val="24"/>
        </w:rPr>
        <w:t>Mgr. Filip</w:t>
      </w:r>
      <w:r w:rsidRPr="004306DF">
        <w:rPr>
          <w:rFonts w:ascii="Times New Roman" w:hAnsi="Times New Roman" w:cs="Times New Roman"/>
          <w:bCs/>
          <w:sz w:val="24"/>
          <w:szCs w:val="24"/>
        </w:rPr>
        <w:t xml:space="preserve"> Rigel Ph.D.</w:t>
      </w:r>
    </w:p>
    <w:p w:rsidR="00905054" w:rsidRPr="004306DF" w:rsidRDefault="00905054" w:rsidP="004306DF">
      <w:pPr>
        <w:pStyle w:val="Vchoz"/>
        <w:spacing w:before="120"/>
        <w:jc w:val="both"/>
        <w:rPr>
          <w:rFonts w:ascii="Times New Roman" w:hAnsi="Times New Roman" w:cs="Times New Roman"/>
          <w:bCs/>
          <w:sz w:val="24"/>
          <w:szCs w:val="24"/>
        </w:rPr>
      </w:pPr>
    </w:p>
    <w:p w:rsidR="00223B4D" w:rsidRDefault="007B007D" w:rsidP="004306DF">
      <w:pPr>
        <w:pStyle w:val="Nadpis1"/>
        <w:keepNext w:val="0"/>
        <w:pageBreakBefore/>
        <w:widowControl w:val="0"/>
        <w:spacing w:before="120" w:after="0" w:line="240" w:lineRule="auto"/>
        <w:rPr>
          <w:sz w:val="24"/>
          <w:szCs w:val="24"/>
        </w:rPr>
      </w:pPr>
      <w:bookmarkStart w:id="3" w:name="_Toc480010166"/>
      <w:r w:rsidRPr="004306DF">
        <w:rPr>
          <w:sz w:val="24"/>
          <w:szCs w:val="24"/>
        </w:rPr>
        <w:lastRenderedPageBreak/>
        <w:t>Posouzení Studie</w:t>
      </w:r>
      <w:bookmarkEnd w:id="3"/>
    </w:p>
    <w:p w:rsidR="00D4101C" w:rsidRPr="00D4101C" w:rsidRDefault="00D4101C" w:rsidP="00D4101C">
      <w:pPr>
        <w:pStyle w:val="Zkladntext"/>
      </w:pPr>
    </w:p>
    <w:p w:rsidR="00D44150" w:rsidRDefault="00D44150" w:rsidP="004306DF">
      <w:pPr>
        <w:pStyle w:val="Nadpis2"/>
        <w:spacing w:before="120" w:after="0" w:line="240" w:lineRule="auto"/>
        <w:rPr>
          <w:b/>
          <w:sz w:val="24"/>
          <w:szCs w:val="24"/>
        </w:rPr>
      </w:pPr>
      <w:bookmarkStart w:id="4" w:name="_Toc480010167"/>
      <w:r w:rsidRPr="004306DF">
        <w:rPr>
          <w:b/>
          <w:sz w:val="24"/>
          <w:szCs w:val="24"/>
        </w:rPr>
        <w:t>Obecné připomínky</w:t>
      </w:r>
      <w:bookmarkEnd w:id="4"/>
    </w:p>
    <w:p w:rsidR="00DB3B0D" w:rsidRPr="00DB3B0D" w:rsidRDefault="00DB3B0D" w:rsidP="00DB3B0D">
      <w:pPr>
        <w:pStyle w:val="Zkladntext"/>
      </w:pPr>
    </w:p>
    <w:p w:rsidR="00D44150" w:rsidRPr="004306DF" w:rsidRDefault="00D44150" w:rsidP="004306DF">
      <w:pPr>
        <w:spacing w:before="120" w:after="0" w:line="240" w:lineRule="auto"/>
        <w:rPr>
          <w:sz w:val="24"/>
        </w:rPr>
      </w:pPr>
      <w:r w:rsidRPr="004306DF">
        <w:rPr>
          <w:sz w:val="24"/>
        </w:rPr>
        <w:t>Autoři Studie se pokusili zpracovat kriminologickou studii, avšak bez t</w:t>
      </w:r>
      <w:r w:rsidR="00ED4020">
        <w:rPr>
          <w:sz w:val="24"/>
        </w:rPr>
        <w:t xml:space="preserve">oho, aby vzali v potaz alespoň </w:t>
      </w:r>
      <w:r w:rsidRPr="004306DF">
        <w:rPr>
          <w:sz w:val="24"/>
        </w:rPr>
        <w:t>základní kriminologickou literaturu, která by je zejména seznámila s následujícími fakty, s nimiž autoři nepracovali</w:t>
      </w:r>
      <w:r w:rsidR="00ED4020">
        <w:rPr>
          <w:sz w:val="24"/>
        </w:rPr>
        <w:t>,</w:t>
      </w:r>
      <w:r w:rsidRPr="004306DF">
        <w:rPr>
          <w:sz w:val="24"/>
        </w:rPr>
        <w:t xml:space="preserve"> a závěry, které </w:t>
      </w:r>
      <w:r w:rsidR="00F447AB" w:rsidRPr="004306DF">
        <w:rPr>
          <w:sz w:val="24"/>
        </w:rPr>
        <w:t>S</w:t>
      </w:r>
      <w:r w:rsidRPr="004306DF">
        <w:rPr>
          <w:sz w:val="24"/>
        </w:rPr>
        <w:t>tudie přináší, jsou proto značně zkreslené:</w:t>
      </w:r>
    </w:p>
    <w:p w:rsidR="00D44150" w:rsidRPr="00F401AD" w:rsidRDefault="00D44150" w:rsidP="00F401AD">
      <w:pPr>
        <w:pStyle w:val="Odstavecseseznamem"/>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rPr>
          <w:sz w:val="24"/>
        </w:rPr>
      </w:pPr>
      <w:r w:rsidRPr="00500980">
        <w:rPr>
          <w:sz w:val="24"/>
        </w:rPr>
        <w:t>Obecným celorepublikovým trendem kriminality je její postupný pokles, zejména od roku 2000.</w:t>
      </w:r>
      <w:r w:rsidRPr="004306DF">
        <w:rPr>
          <w:rStyle w:val="Znakapoznpodarou"/>
          <w:sz w:val="24"/>
        </w:rPr>
        <w:footnoteReference w:id="2"/>
      </w:r>
      <w:r w:rsidRPr="00500980">
        <w:rPr>
          <w:sz w:val="24"/>
        </w:rPr>
        <w:t xml:space="preserve"> V roce 2015 došlo k celorepublikovému poklesu kriminality</w:t>
      </w:r>
      <w:r w:rsidR="008E0ABA" w:rsidRPr="00500980">
        <w:rPr>
          <w:sz w:val="24"/>
        </w:rPr>
        <w:t>.</w:t>
      </w:r>
      <w:r w:rsidR="00F401AD" w:rsidRPr="00F401AD">
        <w:rPr>
          <w:sz w:val="24"/>
        </w:rPr>
        <w:t xml:space="preserve"> </w:t>
      </w:r>
      <w:r w:rsidR="00F401AD" w:rsidRPr="0062052F">
        <w:rPr>
          <w:sz w:val="24"/>
        </w:rPr>
        <w:t>Pro rok 2015 je z pohledu vývoje kriminality charakteristický úbytek registrovaných skutků. V roce 2015 bylo registrováno celkem 247 628 trestných činů, což je nejnižší počet od roku 1991. Pokles nápadu trestné činnosti oproti roku 2014 činí 14,2 % (tj. o 41 032 trestných činů).</w:t>
      </w:r>
      <w:r w:rsidR="00F401AD">
        <w:rPr>
          <w:rStyle w:val="Znakapoznpodarou"/>
          <w:sz w:val="24"/>
        </w:rPr>
        <w:footnoteReference w:id="3"/>
      </w:r>
    </w:p>
    <w:p w:rsidR="00D44150" w:rsidRPr="004306DF" w:rsidRDefault="00D44150" w:rsidP="004306DF">
      <w:pPr>
        <w:pStyle w:val="Odstavecseseznamem"/>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ontextualSpacing w:val="0"/>
        <w:rPr>
          <w:sz w:val="24"/>
        </w:rPr>
      </w:pPr>
      <w:r w:rsidRPr="004306DF">
        <w:rPr>
          <w:sz w:val="24"/>
        </w:rPr>
        <w:t>Větší podíl kriminality lze vždy zaregistrovat ve větších městech</w:t>
      </w:r>
      <w:r w:rsidR="008E0ABA">
        <w:rPr>
          <w:sz w:val="24"/>
        </w:rPr>
        <w:t>.</w:t>
      </w:r>
      <w:r w:rsidR="00F401AD">
        <w:rPr>
          <w:rStyle w:val="Znakapoznpodarou"/>
          <w:sz w:val="24"/>
        </w:rPr>
        <w:footnoteReference w:id="4"/>
      </w:r>
    </w:p>
    <w:p w:rsidR="00D44150" w:rsidRPr="004306DF" w:rsidRDefault="00D44150" w:rsidP="004306DF">
      <w:pPr>
        <w:pStyle w:val="Odstavecseseznamem"/>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ontextualSpacing w:val="0"/>
        <w:rPr>
          <w:sz w:val="24"/>
        </w:rPr>
      </w:pPr>
      <w:r w:rsidRPr="004306DF">
        <w:rPr>
          <w:sz w:val="24"/>
        </w:rPr>
        <w:t>Existují problémové lokality, kterými jsou zejména ty, kde je větší množství tzv. vyloučených lokalit, které se vyznačují zejména vyšší nezaměstnaností, z čehož plyne vyšší počet osob závislých na sociálních dávkách</w:t>
      </w:r>
      <w:r w:rsidR="0013501A">
        <w:rPr>
          <w:sz w:val="24"/>
        </w:rPr>
        <w:t>. V</w:t>
      </w:r>
      <w:r w:rsidRPr="004306DF">
        <w:rPr>
          <w:sz w:val="24"/>
        </w:rPr>
        <w:t> těchto lokalitách se zároveň obecně vyskytuje větší množství osob závislých na návykových látkách</w:t>
      </w:r>
      <w:r w:rsidR="0013501A">
        <w:rPr>
          <w:sz w:val="24"/>
        </w:rPr>
        <w:t xml:space="preserve"> a je </w:t>
      </w:r>
      <w:r w:rsidRPr="004306DF">
        <w:rPr>
          <w:sz w:val="24"/>
        </w:rPr>
        <w:t>vykazována</w:t>
      </w:r>
      <w:r w:rsidR="0013501A">
        <w:rPr>
          <w:sz w:val="24"/>
        </w:rPr>
        <w:t>,</w:t>
      </w:r>
      <w:r w:rsidRPr="004306DF">
        <w:rPr>
          <w:sz w:val="24"/>
        </w:rPr>
        <w:t xml:space="preserve"> vzhledem k vyjmenovaným kriminogenním faktorům</w:t>
      </w:r>
      <w:r w:rsidR="0013501A">
        <w:rPr>
          <w:sz w:val="24"/>
        </w:rPr>
        <w:t>,</w:t>
      </w:r>
      <w:r w:rsidRPr="004306DF">
        <w:rPr>
          <w:sz w:val="24"/>
        </w:rPr>
        <w:t xml:space="preserve"> vyšší míra kriminality</w:t>
      </w:r>
      <w:r w:rsidR="008E0ABA">
        <w:rPr>
          <w:sz w:val="24"/>
        </w:rPr>
        <w:t>.</w:t>
      </w:r>
    </w:p>
    <w:p w:rsidR="00D44150" w:rsidRPr="004306DF" w:rsidRDefault="00D44150" w:rsidP="004306DF">
      <w:pPr>
        <w:pStyle w:val="Odstavecseseznamem"/>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ontextualSpacing w:val="0"/>
        <w:rPr>
          <w:sz w:val="24"/>
        </w:rPr>
      </w:pPr>
      <w:r w:rsidRPr="004306DF">
        <w:rPr>
          <w:sz w:val="24"/>
        </w:rPr>
        <w:t xml:space="preserve">Kriminogenní faktory se </w:t>
      </w:r>
      <w:r w:rsidR="00F401AD">
        <w:rPr>
          <w:sz w:val="24"/>
        </w:rPr>
        <w:t xml:space="preserve">obvykle </w:t>
      </w:r>
      <w:r w:rsidRPr="004306DF">
        <w:rPr>
          <w:sz w:val="24"/>
        </w:rPr>
        <w:t>na sebe nabalují, kumulují se</w:t>
      </w:r>
      <w:r w:rsidR="0013501A">
        <w:rPr>
          <w:sz w:val="24"/>
        </w:rPr>
        <w:t>. V</w:t>
      </w:r>
      <w:r w:rsidRPr="004306DF">
        <w:rPr>
          <w:sz w:val="24"/>
        </w:rPr>
        <w:t>e většině případů existuje několik kriminogenních faktorů vedle sebe, které ve svém důsledku vedou k páchání kriminality. Zohlednění pouze jednoho takového faktoru, kterým je existence h</w:t>
      </w:r>
      <w:r w:rsidR="0013501A">
        <w:rPr>
          <w:sz w:val="24"/>
        </w:rPr>
        <w:t>erního průmyslu</w:t>
      </w:r>
      <w:r w:rsidRPr="004306DF">
        <w:rPr>
          <w:sz w:val="24"/>
        </w:rPr>
        <w:t xml:space="preserve">, je značně zjednodušující a vypovídací hodnota takové </w:t>
      </w:r>
      <w:r w:rsidR="00F447AB" w:rsidRPr="004306DF">
        <w:rPr>
          <w:sz w:val="24"/>
        </w:rPr>
        <w:t>S</w:t>
      </w:r>
      <w:r w:rsidRPr="004306DF">
        <w:rPr>
          <w:sz w:val="24"/>
        </w:rPr>
        <w:t>tudie je velice nízká, jelikož problém není zobrazován komplexn</w:t>
      </w:r>
      <w:r w:rsidR="008C70CD">
        <w:rPr>
          <w:sz w:val="24"/>
        </w:rPr>
        <w:t>ím způsobem</w:t>
      </w:r>
      <w:r w:rsidRPr="004306DF">
        <w:rPr>
          <w:sz w:val="24"/>
        </w:rPr>
        <w:t>. Hazard lze zařadit jako dílčí kriminogenní faktor v rámci vlivů prostředí, v němž jedinec žije – zásadním faktorem je ovšem bezprostřední rodina</w:t>
      </w:r>
      <w:r w:rsidR="00EA4149" w:rsidRPr="004306DF">
        <w:rPr>
          <w:sz w:val="24"/>
        </w:rPr>
        <w:t xml:space="preserve"> a</w:t>
      </w:r>
      <w:r w:rsidRPr="004306DF">
        <w:rPr>
          <w:sz w:val="24"/>
        </w:rPr>
        <w:t xml:space="preserve"> vliv komunity, v níž se jedinec pohybuje. Stručně řečeno, z pouhého faktu, že </w:t>
      </w:r>
      <w:r w:rsidR="008C70CD">
        <w:rPr>
          <w:sz w:val="24"/>
        </w:rPr>
        <w:t xml:space="preserve">je </w:t>
      </w:r>
      <w:r w:rsidRPr="004306DF">
        <w:rPr>
          <w:sz w:val="24"/>
        </w:rPr>
        <w:t>v obci určité množství heren, příp. kasin, nelze vyvozovat stav kriminality. Je třeba zkoumat problematiku hlouběji, zejména existenci dalších kriminogenních faktorů v dané obci</w:t>
      </w:r>
      <w:r w:rsidR="008E0ABA">
        <w:rPr>
          <w:sz w:val="24"/>
        </w:rPr>
        <w:t>.</w:t>
      </w:r>
    </w:p>
    <w:p w:rsidR="00D44150" w:rsidRDefault="00D44150" w:rsidP="004306DF">
      <w:pPr>
        <w:pStyle w:val="Odstavecseseznamem"/>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ontextualSpacing w:val="0"/>
        <w:rPr>
          <w:sz w:val="24"/>
        </w:rPr>
      </w:pPr>
      <w:r w:rsidRPr="004306DF">
        <w:rPr>
          <w:sz w:val="24"/>
        </w:rPr>
        <w:lastRenderedPageBreak/>
        <w:t xml:space="preserve">V případě nelegálního provozování hazardních her existuje nepochybně vysoká </w:t>
      </w:r>
      <w:r w:rsidR="008311DC">
        <w:rPr>
          <w:sz w:val="24"/>
        </w:rPr>
        <w:t xml:space="preserve">míra </w:t>
      </w:r>
      <w:r w:rsidRPr="004306DF">
        <w:rPr>
          <w:sz w:val="24"/>
        </w:rPr>
        <w:t>latence, což lze doložit např. statistikou ze Zprávy o činnosti Nejvyššího stát</w:t>
      </w:r>
      <w:r w:rsidR="00EA4149" w:rsidRPr="004306DF">
        <w:rPr>
          <w:sz w:val="24"/>
        </w:rPr>
        <w:t>ního zastupitelství za rok 2015</w:t>
      </w:r>
      <w:r w:rsidRPr="004306DF">
        <w:rPr>
          <w:sz w:val="24"/>
        </w:rPr>
        <w:t>, z níž je patrné, že množství st</w:t>
      </w:r>
      <w:r w:rsidR="00EA4149" w:rsidRPr="004306DF">
        <w:rPr>
          <w:sz w:val="24"/>
        </w:rPr>
        <w:t>íhaných a obžalovaných osob za trestný čin</w:t>
      </w:r>
      <w:r w:rsidRPr="004306DF">
        <w:rPr>
          <w:sz w:val="24"/>
        </w:rPr>
        <w:t xml:space="preserve"> </w:t>
      </w:r>
      <w:r w:rsidR="00EA4149" w:rsidRPr="004306DF">
        <w:rPr>
          <w:sz w:val="24"/>
        </w:rPr>
        <w:t xml:space="preserve">neoprávněného provozování loterie a podobné sázkové hry </w:t>
      </w:r>
      <w:r w:rsidRPr="004306DF">
        <w:rPr>
          <w:sz w:val="24"/>
        </w:rPr>
        <w:t>dle § 252</w:t>
      </w:r>
      <w:r w:rsidR="00EA4149" w:rsidRPr="004306DF">
        <w:rPr>
          <w:sz w:val="24"/>
        </w:rPr>
        <w:t xml:space="preserve"> trestního zákoníku</w:t>
      </w:r>
      <w:r w:rsidR="00832DC6" w:rsidRPr="004306DF">
        <w:rPr>
          <w:sz w:val="24"/>
        </w:rPr>
        <w:t xml:space="preserve"> č. 40/2009 Sb.</w:t>
      </w:r>
      <w:r w:rsidR="00EA4149" w:rsidRPr="004306DF">
        <w:rPr>
          <w:sz w:val="24"/>
        </w:rPr>
        <w:t xml:space="preserve"> </w:t>
      </w:r>
      <w:r w:rsidRPr="004306DF">
        <w:rPr>
          <w:sz w:val="24"/>
        </w:rPr>
        <w:t>konstantně klesá, přičemž v roce 2015 bylo z toho</w:t>
      </w:r>
      <w:r w:rsidR="008311DC">
        <w:rPr>
          <w:sz w:val="24"/>
        </w:rPr>
        <w:t>to</w:t>
      </w:r>
      <w:r w:rsidRPr="004306DF">
        <w:rPr>
          <w:sz w:val="24"/>
        </w:rPr>
        <w:t xml:space="preserve"> </w:t>
      </w:r>
      <w:r w:rsidR="00EA4149" w:rsidRPr="004306DF">
        <w:rPr>
          <w:sz w:val="24"/>
        </w:rPr>
        <w:t>trestného činu</w:t>
      </w:r>
      <w:r w:rsidRPr="004306DF">
        <w:rPr>
          <w:sz w:val="24"/>
        </w:rPr>
        <w:t xml:space="preserve"> obviněno pouze 16 osob a obžalováno bylo pouze 13</w:t>
      </w:r>
      <w:r w:rsidR="008E0ABA">
        <w:rPr>
          <w:sz w:val="24"/>
        </w:rPr>
        <w:t>.</w:t>
      </w:r>
      <w:r w:rsidRPr="004306DF">
        <w:rPr>
          <w:rStyle w:val="Znakapoznpodarou"/>
          <w:sz w:val="24"/>
        </w:rPr>
        <w:footnoteReference w:id="5"/>
      </w:r>
      <w:r w:rsidR="00F401AD">
        <w:rPr>
          <w:sz w:val="24"/>
        </w:rPr>
        <w:t xml:space="preserve"> Existenci vysoké latence zdůrazňuje taktéž již zmiňovaná studie Institutu pro kriminologii a sociální prevenci Ministerstva spravedlnosti o trendech kriminality v roce 2015, která uvádí jako nový fenomén provozování nelegálních heren či hracích přístrojů,</w:t>
      </w:r>
      <w:r w:rsidR="00F401AD">
        <w:rPr>
          <w:rStyle w:val="Znakapoznpodarou"/>
          <w:sz w:val="24"/>
        </w:rPr>
        <w:footnoteReference w:id="6"/>
      </w:r>
      <w:r w:rsidR="00F401AD">
        <w:rPr>
          <w:sz w:val="24"/>
        </w:rPr>
        <w:t xml:space="preserve"> což pouze dokladuje další aspekt značného zkreslení výsledků Studie.</w:t>
      </w:r>
    </w:p>
    <w:p w:rsidR="00832DC6" w:rsidRPr="00D4101C" w:rsidRDefault="00832DC6" w:rsidP="00D4101C">
      <w:pPr>
        <w:pStyle w:val="Odstavecseseznamem"/>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ontextualSpacing w:val="0"/>
        <w:rPr>
          <w:sz w:val="24"/>
        </w:rPr>
      </w:pPr>
      <w:r w:rsidRPr="00D4101C">
        <w:rPr>
          <w:sz w:val="24"/>
        </w:rPr>
        <w:t>Regulovat lze jen to, co není zakázáno. Zákaz určité činnosti vlastní lidské společnosti neznamená její likvidaci, ale přesun do nelegální černé sféry. Jak katastrof</w:t>
      </w:r>
      <w:r w:rsidR="00AE50FC">
        <w:rPr>
          <w:sz w:val="24"/>
        </w:rPr>
        <w:t>álně</w:t>
      </w:r>
      <w:r w:rsidRPr="00D4101C">
        <w:rPr>
          <w:sz w:val="24"/>
        </w:rPr>
        <w:t xml:space="preserve"> skončil pokus o poroučení lidským zájmům, dokazuje americká prohibic</w:t>
      </w:r>
      <w:r w:rsidR="00AE50FC">
        <w:rPr>
          <w:sz w:val="24"/>
        </w:rPr>
        <w:t>e</w:t>
      </w:r>
      <w:r w:rsidRPr="00D4101C">
        <w:rPr>
          <w:sz w:val="24"/>
        </w:rPr>
        <w:t xml:space="preserve"> </w:t>
      </w:r>
      <w:r w:rsidR="00F401AD">
        <w:rPr>
          <w:sz w:val="24"/>
        </w:rPr>
        <w:t xml:space="preserve">v letech </w:t>
      </w:r>
      <w:r w:rsidRPr="00D4101C">
        <w:rPr>
          <w:sz w:val="24"/>
        </w:rPr>
        <w:t>1919-33, která byla nejsilnějším kriminogenním faktorem pro růst moci organizovaného zločinu ve své době v USA.</w:t>
      </w:r>
      <w:r w:rsidR="00D4101C" w:rsidRPr="00D4101C">
        <w:rPr>
          <w:sz w:val="24"/>
        </w:rPr>
        <w:t xml:space="preserve"> Samotná Studie naznačuje, že snad dochází k přelévání hazardu z míst, kde je zakázán, do míst, kde zůstává povolen. Tato skutečnost naznačuje, že hazard je jevem, který lze těžko vymýtit zákazy a že v případě úplného zákazu dojde k jeho přesunu do podzemních heren bez možnosti státní kontroly (jiné než trestněprávní).</w:t>
      </w:r>
    </w:p>
    <w:p w:rsidR="00D44150" w:rsidRPr="004306DF" w:rsidRDefault="00D44150" w:rsidP="004306DF">
      <w:pPr>
        <w:pStyle w:val="Zkladntext"/>
        <w:spacing w:before="120" w:after="0" w:line="240" w:lineRule="auto"/>
        <w:rPr>
          <w:sz w:val="24"/>
          <w:szCs w:val="24"/>
        </w:rPr>
      </w:pPr>
    </w:p>
    <w:p w:rsidR="00343DED" w:rsidRDefault="00F065A5" w:rsidP="004306DF">
      <w:pPr>
        <w:pStyle w:val="Nadpis2"/>
        <w:keepNext/>
        <w:spacing w:before="120" w:after="0" w:line="240" w:lineRule="auto"/>
        <w:rPr>
          <w:b/>
          <w:sz w:val="24"/>
          <w:szCs w:val="24"/>
        </w:rPr>
      </w:pPr>
      <w:bookmarkStart w:id="5" w:name="_Toc480010168"/>
      <w:r w:rsidRPr="004306DF">
        <w:rPr>
          <w:b/>
          <w:sz w:val="24"/>
          <w:szCs w:val="24"/>
        </w:rPr>
        <w:t>T</w:t>
      </w:r>
      <w:r w:rsidR="007B007D" w:rsidRPr="004306DF">
        <w:rPr>
          <w:b/>
          <w:sz w:val="24"/>
          <w:szCs w:val="24"/>
        </w:rPr>
        <w:t>endenčnost obsahu Studie</w:t>
      </w:r>
      <w:bookmarkEnd w:id="5"/>
    </w:p>
    <w:p w:rsidR="00DB3B0D" w:rsidRPr="00DB3B0D" w:rsidRDefault="00DB3B0D" w:rsidP="00DB3B0D">
      <w:pPr>
        <w:pStyle w:val="Zkladntext"/>
      </w:pPr>
    </w:p>
    <w:p w:rsidR="001F220C" w:rsidRPr="004306DF" w:rsidRDefault="001F220C" w:rsidP="004306DF">
      <w:pPr>
        <w:spacing w:before="120" w:after="0" w:line="240" w:lineRule="auto"/>
        <w:rPr>
          <w:sz w:val="24"/>
        </w:rPr>
      </w:pPr>
      <w:r w:rsidRPr="004306DF">
        <w:rPr>
          <w:sz w:val="24"/>
        </w:rPr>
        <w:t xml:space="preserve">Text </w:t>
      </w:r>
      <w:r w:rsidR="00F065A5" w:rsidRPr="004306DF">
        <w:rPr>
          <w:sz w:val="24"/>
        </w:rPr>
        <w:t xml:space="preserve">Studie </w:t>
      </w:r>
      <w:r w:rsidRPr="004306DF">
        <w:rPr>
          <w:sz w:val="24"/>
        </w:rPr>
        <w:t>není na mnoha místech</w:t>
      </w:r>
      <w:r w:rsidR="005C7419">
        <w:rPr>
          <w:sz w:val="24"/>
        </w:rPr>
        <w:t xml:space="preserve"> opatřen zdroji</w:t>
      </w:r>
      <w:r w:rsidRPr="004306DF">
        <w:rPr>
          <w:sz w:val="24"/>
        </w:rPr>
        <w:t xml:space="preserve">, používá více dojmů než argumentů. Na </w:t>
      </w:r>
      <w:r w:rsidR="0013501A">
        <w:rPr>
          <w:sz w:val="24"/>
        </w:rPr>
        <w:t>více</w:t>
      </w:r>
      <w:r w:rsidRPr="004306DF">
        <w:rPr>
          <w:sz w:val="24"/>
        </w:rPr>
        <w:t xml:space="preserve"> místech je užívána nesprávná terminologie (např. str. 4 výraz </w:t>
      </w:r>
      <w:r w:rsidRPr="00F401AD">
        <w:rPr>
          <w:i/>
          <w:sz w:val="24"/>
        </w:rPr>
        <w:t>„zcizit“</w:t>
      </w:r>
      <w:r w:rsidRPr="004306DF">
        <w:rPr>
          <w:sz w:val="24"/>
        </w:rPr>
        <w:t>, což je pr</w:t>
      </w:r>
      <w:r w:rsidR="00F401AD">
        <w:rPr>
          <w:sz w:val="24"/>
        </w:rPr>
        <w:t>á</w:t>
      </w:r>
      <w:r w:rsidRPr="004306DF">
        <w:rPr>
          <w:sz w:val="24"/>
        </w:rPr>
        <w:t xml:space="preserve">vní termín pro oprávněnou změnu vlastníka věci, ne pro krádež). Text není vědeckou prací, ale je </w:t>
      </w:r>
      <w:r w:rsidR="008311DC">
        <w:rPr>
          <w:sz w:val="24"/>
        </w:rPr>
        <w:t xml:space="preserve">spíše </w:t>
      </w:r>
      <w:r w:rsidRPr="004306DF">
        <w:rPr>
          <w:sz w:val="24"/>
        </w:rPr>
        <w:t xml:space="preserve">pamfletem, užívá žurnalismy či jiné pojmy, jež nepatří do díla, jež má být odborné (např. </w:t>
      </w:r>
      <w:r w:rsidRPr="00F401AD">
        <w:rPr>
          <w:i/>
          <w:sz w:val="24"/>
        </w:rPr>
        <w:t>„nechvalně proslulý“</w:t>
      </w:r>
      <w:r w:rsidR="00F401AD">
        <w:rPr>
          <w:rStyle w:val="Znakapoznpodarou"/>
          <w:sz w:val="24"/>
        </w:rPr>
        <w:footnoteReference w:id="7"/>
      </w:r>
      <w:r w:rsidRPr="004306DF">
        <w:rPr>
          <w:sz w:val="24"/>
        </w:rPr>
        <w:t>).</w:t>
      </w:r>
      <w:r w:rsidR="00B94989" w:rsidRPr="004306DF">
        <w:rPr>
          <w:sz w:val="24"/>
        </w:rPr>
        <w:t xml:space="preserve"> Text je psán velice sugestivně, ve vyjadřování chybí snaha po nestrannosti, objektivitě a serióznosti – viz poslední 3 věty na s. 10-11.</w:t>
      </w:r>
    </w:p>
    <w:p w:rsidR="00207E92" w:rsidRPr="004306DF" w:rsidRDefault="007B007D" w:rsidP="004306DF">
      <w:pPr>
        <w:pStyle w:val="Zkladntext"/>
        <w:widowControl w:val="0"/>
        <w:spacing w:before="120" w:after="0" w:line="240" w:lineRule="auto"/>
        <w:rPr>
          <w:sz w:val="24"/>
          <w:szCs w:val="24"/>
        </w:rPr>
      </w:pPr>
      <w:r w:rsidRPr="004306DF">
        <w:rPr>
          <w:sz w:val="24"/>
          <w:szCs w:val="24"/>
        </w:rPr>
        <w:t>Studie dochází k závěru, který byl pravděpodobně i její výchozí hypotézou, že existuje přímá souvislost mezi vysokou mírou kriminality a tzv. vstřícností příslušné obce k hazardu (tj. k povolení výherních hracích přístrojů na území obce).</w:t>
      </w:r>
    </w:p>
    <w:p w:rsidR="00C61961" w:rsidRPr="00500980" w:rsidRDefault="007B007D" w:rsidP="00500980">
      <w:pPr>
        <w:pStyle w:val="Zkladntext"/>
        <w:widowControl w:val="0"/>
        <w:spacing w:before="120" w:after="0" w:line="240" w:lineRule="auto"/>
        <w:rPr>
          <w:sz w:val="24"/>
          <w:szCs w:val="24"/>
        </w:rPr>
      </w:pPr>
      <w:r w:rsidRPr="004306DF">
        <w:rPr>
          <w:sz w:val="24"/>
          <w:szCs w:val="24"/>
        </w:rPr>
        <w:t xml:space="preserve">Na řadě míst Studie je patrné, že se její autoři snaží s jejími adresáty (čtenáři) manipulovat, uvádět informace dílčím, neúplným způsobem, používat přirovnání, která při bližší analýze nemohou obstát, popřípadě obstojí jen se značnými výhradami, jakož </w:t>
      </w:r>
      <w:r w:rsidRPr="00500980">
        <w:rPr>
          <w:sz w:val="24"/>
          <w:szCs w:val="24"/>
        </w:rPr>
        <w:t>i používat výrazy s citovým zabarvením, navádějí</w:t>
      </w:r>
      <w:r w:rsidR="00C61961" w:rsidRPr="00500980">
        <w:rPr>
          <w:sz w:val="24"/>
          <w:szCs w:val="24"/>
        </w:rPr>
        <w:t>cí</w:t>
      </w:r>
      <w:r w:rsidRPr="00500980">
        <w:rPr>
          <w:sz w:val="24"/>
          <w:szCs w:val="24"/>
        </w:rPr>
        <w:t xml:space="preserve"> k učinění určitého závěru bez </w:t>
      </w:r>
      <w:r w:rsidRPr="00500980">
        <w:rPr>
          <w:sz w:val="24"/>
          <w:szCs w:val="24"/>
        </w:rPr>
        <w:lastRenderedPageBreak/>
        <w:t xml:space="preserve">ohledu k obsahu sdělení. </w:t>
      </w:r>
    </w:p>
    <w:p w:rsidR="007B007D" w:rsidRPr="00500980" w:rsidRDefault="007B007D" w:rsidP="00500980">
      <w:pPr>
        <w:pStyle w:val="Zkladntext"/>
        <w:widowControl w:val="0"/>
        <w:spacing w:before="120" w:after="0" w:line="240" w:lineRule="auto"/>
        <w:rPr>
          <w:sz w:val="24"/>
          <w:szCs w:val="24"/>
        </w:rPr>
      </w:pPr>
      <w:r w:rsidRPr="00500980">
        <w:rPr>
          <w:sz w:val="24"/>
          <w:szCs w:val="24"/>
        </w:rPr>
        <w:t>Uvedené je patrné například z následujících částí Studie:</w:t>
      </w:r>
    </w:p>
    <w:p w:rsidR="00500980" w:rsidRPr="00500980" w:rsidRDefault="007B007D" w:rsidP="006E0DB1">
      <w:pPr>
        <w:pStyle w:val="Nadpis4"/>
        <w:spacing w:before="120" w:after="0" w:line="240" w:lineRule="auto"/>
        <w:ind w:left="1417" w:hanging="340"/>
        <w:rPr>
          <w:sz w:val="24"/>
          <w:szCs w:val="24"/>
        </w:rPr>
      </w:pPr>
      <w:r w:rsidRPr="00500980">
        <w:rPr>
          <w:sz w:val="24"/>
          <w:szCs w:val="24"/>
        </w:rPr>
        <w:t xml:space="preserve">Studie používá výrazy jako </w:t>
      </w:r>
      <w:r w:rsidRPr="00A61F66">
        <w:rPr>
          <w:i/>
          <w:sz w:val="24"/>
          <w:szCs w:val="24"/>
        </w:rPr>
        <w:t>„</w:t>
      </w:r>
      <w:r w:rsidR="00C61961" w:rsidRPr="00A61F66">
        <w:rPr>
          <w:i/>
          <w:sz w:val="24"/>
          <w:szCs w:val="24"/>
        </w:rPr>
        <w:t xml:space="preserve">takové vysvětlení vnímáme jako </w:t>
      </w:r>
      <w:r w:rsidRPr="00A61F66">
        <w:rPr>
          <w:i/>
          <w:sz w:val="24"/>
          <w:szCs w:val="24"/>
        </w:rPr>
        <w:t>zcela nedůvěryhodné“</w:t>
      </w:r>
      <w:r w:rsidRPr="00500980">
        <w:rPr>
          <w:sz w:val="24"/>
          <w:szCs w:val="24"/>
        </w:rPr>
        <w:t>,</w:t>
      </w:r>
      <w:r w:rsidR="00C61961" w:rsidRPr="00500980">
        <w:rPr>
          <w:rStyle w:val="Znakapoznpodarou"/>
          <w:sz w:val="24"/>
          <w:szCs w:val="24"/>
        </w:rPr>
        <w:footnoteReference w:id="8"/>
      </w:r>
      <w:r w:rsidR="00C61961" w:rsidRPr="00500980">
        <w:rPr>
          <w:sz w:val="24"/>
          <w:szCs w:val="24"/>
        </w:rPr>
        <w:t>„</w:t>
      </w:r>
      <w:r w:rsidR="00C61961" w:rsidRPr="00A61F66">
        <w:rPr>
          <w:i/>
          <w:sz w:val="24"/>
          <w:szCs w:val="24"/>
        </w:rPr>
        <w:t>je zcela vyloučené, aby (…)“,</w:t>
      </w:r>
      <w:r w:rsidR="00C61961" w:rsidRPr="00A61F66">
        <w:rPr>
          <w:rStyle w:val="Znakapoznpodarou"/>
          <w:i/>
          <w:sz w:val="24"/>
          <w:szCs w:val="24"/>
        </w:rPr>
        <w:footnoteReference w:id="9"/>
      </w:r>
      <w:r w:rsidR="00C61961" w:rsidRPr="00A61F66">
        <w:rPr>
          <w:i/>
          <w:sz w:val="24"/>
          <w:szCs w:val="24"/>
        </w:rPr>
        <w:t xml:space="preserve"> „obrovské částky peněz“</w:t>
      </w:r>
      <w:r w:rsidR="00C61961" w:rsidRPr="00500980">
        <w:rPr>
          <w:rStyle w:val="Znakapoznpodarou"/>
          <w:sz w:val="24"/>
          <w:szCs w:val="24"/>
        </w:rPr>
        <w:footnoteReference w:id="10"/>
      </w:r>
      <w:r w:rsidR="00C61961" w:rsidRPr="00500980">
        <w:rPr>
          <w:sz w:val="24"/>
          <w:szCs w:val="24"/>
        </w:rPr>
        <w:t xml:space="preserve">, </w:t>
      </w:r>
      <w:r w:rsidR="00C61961" w:rsidRPr="00A61F66">
        <w:rPr>
          <w:i/>
          <w:sz w:val="24"/>
          <w:szCs w:val="24"/>
        </w:rPr>
        <w:t>„nezřídka provázání s politickou garniturou“</w:t>
      </w:r>
      <w:r w:rsidR="00C61961" w:rsidRPr="00500980">
        <w:rPr>
          <w:sz w:val="24"/>
          <w:szCs w:val="24"/>
        </w:rPr>
        <w:t>,</w:t>
      </w:r>
      <w:r w:rsidR="00C61961" w:rsidRPr="00500980">
        <w:rPr>
          <w:rStyle w:val="Znakapoznpodarou"/>
          <w:sz w:val="24"/>
          <w:szCs w:val="24"/>
        </w:rPr>
        <w:footnoteReference w:id="11"/>
      </w:r>
      <w:r w:rsidR="00C61961" w:rsidRPr="00500980">
        <w:rPr>
          <w:sz w:val="24"/>
          <w:szCs w:val="24"/>
        </w:rPr>
        <w:t xml:space="preserve"> </w:t>
      </w:r>
      <w:r w:rsidR="00C61961" w:rsidRPr="00A61F66">
        <w:rPr>
          <w:i/>
          <w:sz w:val="24"/>
          <w:szCs w:val="24"/>
        </w:rPr>
        <w:t>„čelit nemilosrdnému nátlaku ze strany hazardní lobby“</w:t>
      </w:r>
      <w:r w:rsidR="00C61961" w:rsidRPr="00500980">
        <w:rPr>
          <w:sz w:val="24"/>
          <w:szCs w:val="24"/>
        </w:rPr>
        <w:t>,</w:t>
      </w:r>
      <w:r w:rsidR="00C61961" w:rsidRPr="00500980">
        <w:rPr>
          <w:rStyle w:val="Znakapoznpodarou"/>
          <w:sz w:val="24"/>
          <w:szCs w:val="24"/>
        </w:rPr>
        <w:footnoteReference w:id="12"/>
      </w:r>
      <w:r w:rsidR="00C61961" w:rsidRPr="00500980">
        <w:rPr>
          <w:sz w:val="24"/>
          <w:szCs w:val="24"/>
        </w:rPr>
        <w:t xml:space="preserve"> </w:t>
      </w:r>
      <w:r w:rsidR="00C61961" w:rsidRPr="00A61F66">
        <w:rPr>
          <w:i/>
          <w:sz w:val="24"/>
          <w:szCs w:val="24"/>
        </w:rPr>
        <w:t>„je nepochybné, že k takto radikálnímu snížení kriminality…</w:t>
      </w:r>
      <w:r w:rsidR="00C61961" w:rsidRPr="00500980">
        <w:rPr>
          <w:sz w:val="24"/>
          <w:szCs w:val="24"/>
        </w:rPr>
        <w:t>“,</w:t>
      </w:r>
      <w:r w:rsidR="00C61961" w:rsidRPr="00500980">
        <w:rPr>
          <w:rStyle w:val="Znakapoznpodarou"/>
          <w:sz w:val="24"/>
          <w:szCs w:val="24"/>
        </w:rPr>
        <w:footnoteReference w:id="13"/>
      </w:r>
      <w:r w:rsidR="00C61961" w:rsidRPr="00500980">
        <w:rPr>
          <w:sz w:val="24"/>
          <w:szCs w:val="24"/>
        </w:rPr>
        <w:t xml:space="preserve"> přičemž uvedená tvrzení (závěry) nejsou podložena konkrétními argumenty, respektive konkrétními ověřitelnými daty a zjevně se tak snaží přesvědčit výhradně svým emočním zabarvením o extrémnosti či nezpochybnitelnosti určité </w:t>
      </w:r>
      <w:r w:rsidR="0048280F" w:rsidRPr="00500980">
        <w:rPr>
          <w:sz w:val="24"/>
          <w:szCs w:val="24"/>
        </w:rPr>
        <w:t>skutečnosti</w:t>
      </w:r>
      <w:r w:rsidR="008E0ABA" w:rsidRPr="00500980">
        <w:rPr>
          <w:sz w:val="24"/>
          <w:szCs w:val="24"/>
        </w:rPr>
        <w:t>.</w:t>
      </w:r>
    </w:p>
    <w:p w:rsidR="000C5373" w:rsidRPr="004306DF" w:rsidRDefault="006E0DB1" w:rsidP="006E0DB1">
      <w:pPr>
        <w:pStyle w:val="Nadpis4"/>
        <w:tabs>
          <w:tab w:val="clear" w:pos="1928"/>
          <w:tab w:val="num" w:pos="1276"/>
        </w:tabs>
        <w:spacing w:before="120" w:after="0" w:line="240" w:lineRule="auto"/>
        <w:ind w:left="1417" w:hanging="340"/>
        <w:rPr>
          <w:sz w:val="24"/>
          <w:szCs w:val="24"/>
        </w:rPr>
      </w:pPr>
      <w:r>
        <w:rPr>
          <w:sz w:val="24"/>
          <w:szCs w:val="24"/>
        </w:rPr>
        <w:t xml:space="preserve"> </w:t>
      </w:r>
      <w:r w:rsidR="000C5373" w:rsidRPr="00500980">
        <w:rPr>
          <w:sz w:val="24"/>
          <w:szCs w:val="24"/>
        </w:rPr>
        <w:t>Studie výslovně uvádí: „</w:t>
      </w:r>
      <w:r w:rsidR="000C5373" w:rsidRPr="00500980">
        <w:rPr>
          <w:i/>
          <w:sz w:val="24"/>
          <w:szCs w:val="24"/>
        </w:rPr>
        <w:t>Zcela analogicky vzniká potřeba značných finančních prostředků i u uživatelů tvrdých drog. Ne náhodou se hazard, stejně jako drogy, dělí na tvrdý a měkký. (…) Zajisté není pochyb o tom, že užívání tvrdých drog zvyšuje kriminalitu. Dokonce byl zaveden termín jako „drogová kriminalita“.</w:t>
      </w:r>
      <w:r w:rsidR="000C5373" w:rsidRPr="004306DF">
        <w:rPr>
          <w:i/>
          <w:sz w:val="24"/>
          <w:szCs w:val="24"/>
        </w:rPr>
        <w:t xml:space="preserve"> Velice názorně je vztah kriminality a drog znázorněn ve filmu My děti ze stanice ZOO.</w:t>
      </w:r>
      <w:r w:rsidR="000C5373" w:rsidRPr="004306DF">
        <w:rPr>
          <w:sz w:val="24"/>
          <w:szCs w:val="24"/>
        </w:rPr>
        <w:t>“</w:t>
      </w:r>
      <w:r w:rsidR="00FB1ECB" w:rsidRPr="004306DF">
        <w:rPr>
          <w:sz w:val="24"/>
          <w:szCs w:val="24"/>
        </w:rPr>
        <w:t>.</w:t>
      </w:r>
      <w:r w:rsidR="000C5373" w:rsidRPr="004306DF">
        <w:rPr>
          <w:sz w:val="24"/>
          <w:szCs w:val="24"/>
        </w:rPr>
        <w:t xml:space="preserve"> </w:t>
      </w:r>
      <w:r w:rsidR="004B5635">
        <w:rPr>
          <w:sz w:val="24"/>
          <w:szCs w:val="24"/>
        </w:rPr>
        <w:t xml:space="preserve">Odvolávat se ve vědecké studii na film je nestandardní a navíc se film věnuje problematice drog a ne her. </w:t>
      </w:r>
      <w:r w:rsidR="000C5373" w:rsidRPr="004306DF">
        <w:rPr>
          <w:sz w:val="24"/>
          <w:szCs w:val="24"/>
        </w:rPr>
        <w:t xml:space="preserve">Textová část Studie má celkem 13 stran (při počítání normostran by se dospělo zhruba k polovičnímu rozsahu), přesto její autoři věnují podstatnou část dopadům tvrdých drog, a to bez podložení toho, zda jde o analogii, která by skutečně obstála. Jistě nelze tvrdit, že existuje stejný vztah mezi </w:t>
      </w:r>
      <w:r w:rsidR="00FB1ECB" w:rsidRPr="004306DF">
        <w:rPr>
          <w:sz w:val="24"/>
          <w:szCs w:val="24"/>
        </w:rPr>
        <w:t>herním podnikáním</w:t>
      </w:r>
      <w:r w:rsidR="000C5373" w:rsidRPr="004306DF">
        <w:rPr>
          <w:sz w:val="24"/>
          <w:szCs w:val="24"/>
        </w:rPr>
        <w:t xml:space="preserve"> a mírou kriminality, jako mezi drogami a mírou kriminality, stejně jako nelze tvrdit, že je dán stejný </w:t>
      </w:r>
      <w:r w:rsidR="0048280F" w:rsidRPr="004306DF">
        <w:rPr>
          <w:sz w:val="24"/>
          <w:szCs w:val="24"/>
        </w:rPr>
        <w:t xml:space="preserve">vztah </w:t>
      </w:r>
      <w:r w:rsidR="000C5373" w:rsidRPr="004306DF">
        <w:rPr>
          <w:sz w:val="24"/>
          <w:szCs w:val="24"/>
        </w:rPr>
        <w:t>mezi alkoholem a mírou kriminality a h</w:t>
      </w:r>
      <w:r w:rsidR="00FB1ECB" w:rsidRPr="004306DF">
        <w:rPr>
          <w:sz w:val="24"/>
          <w:szCs w:val="24"/>
        </w:rPr>
        <w:t>erní činností</w:t>
      </w:r>
      <w:r w:rsidR="000C5373" w:rsidRPr="004306DF">
        <w:rPr>
          <w:sz w:val="24"/>
          <w:szCs w:val="24"/>
        </w:rPr>
        <w:t xml:space="preserve"> a</w:t>
      </w:r>
      <w:r w:rsidR="0048280F" w:rsidRPr="004306DF">
        <w:rPr>
          <w:sz w:val="24"/>
          <w:szCs w:val="24"/>
        </w:rPr>
        <w:t> </w:t>
      </w:r>
      <w:r w:rsidR="000C5373" w:rsidRPr="004306DF">
        <w:rPr>
          <w:sz w:val="24"/>
          <w:szCs w:val="24"/>
        </w:rPr>
        <w:t xml:space="preserve">mírou kriminality. Navíc je </w:t>
      </w:r>
      <w:r w:rsidR="0070069D" w:rsidRPr="004306DF">
        <w:rPr>
          <w:sz w:val="24"/>
          <w:szCs w:val="24"/>
        </w:rPr>
        <w:t xml:space="preserve">otázkou, zda se Studie neměla zabývat rozlišováním </w:t>
      </w:r>
      <w:r w:rsidR="000C5373" w:rsidRPr="004306DF">
        <w:rPr>
          <w:sz w:val="24"/>
          <w:szCs w:val="24"/>
        </w:rPr>
        <w:t xml:space="preserve">mezi </w:t>
      </w:r>
      <w:r w:rsidR="00FB1ECB" w:rsidRPr="004306DF">
        <w:rPr>
          <w:sz w:val="24"/>
          <w:szCs w:val="24"/>
        </w:rPr>
        <w:t xml:space="preserve">herní činností, herním průmyslem, </w:t>
      </w:r>
      <w:r w:rsidR="000C5373" w:rsidRPr="004306DF">
        <w:rPr>
          <w:sz w:val="24"/>
          <w:szCs w:val="24"/>
        </w:rPr>
        <w:t>hazardem a závislostí na haza</w:t>
      </w:r>
      <w:r w:rsidR="00971D7A" w:rsidRPr="004306DF">
        <w:rPr>
          <w:sz w:val="24"/>
          <w:szCs w:val="24"/>
        </w:rPr>
        <w:t>rdu, což Studie nezřídka nečiní</w:t>
      </w:r>
      <w:r w:rsidR="008E0ABA">
        <w:rPr>
          <w:sz w:val="24"/>
          <w:szCs w:val="24"/>
        </w:rPr>
        <w:t>.</w:t>
      </w:r>
    </w:p>
    <w:p w:rsidR="00971D7A" w:rsidRPr="004306DF" w:rsidRDefault="006E0DB1" w:rsidP="006E0DB1">
      <w:pPr>
        <w:pStyle w:val="Nadpis4"/>
        <w:tabs>
          <w:tab w:val="clear" w:pos="1928"/>
          <w:tab w:val="num" w:pos="1276"/>
        </w:tabs>
        <w:spacing w:before="120" w:after="0" w:line="240" w:lineRule="auto"/>
        <w:ind w:left="1417" w:hanging="340"/>
        <w:rPr>
          <w:sz w:val="24"/>
          <w:szCs w:val="24"/>
        </w:rPr>
      </w:pPr>
      <w:r>
        <w:rPr>
          <w:sz w:val="24"/>
          <w:szCs w:val="24"/>
        </w:rPr>
        <w:t xml:space="preserve"> </w:t>
      </w:r>
      <w:r w:rsidR="000C5373" w:rsidRPr="004306DF">
        <w:rPr>
          <w:sz w:val="24"/>
          <w:szCs w:val="24"/>
        </w:rPr>
        <w:t>Studie výslovně uvádí, že jejím zpracovatelům bylo při návštěvě tzv. vyloučených lokalit nabídnuto místními zajištění ochrany. Není přitom zřejmé, proč je tato informace bez dalších podrobností uváděna. V</w:t>
      </w:r>
      <w:r w:rsidR="00007FC5">
        <w:rPr>
          <w:sz w:val="24"/>
          <w:szCs w:val="24"/>
        </w:rPr>
        <w:t>e</w:t>
      </w:r>
      <w:r w:rsidR="000C5373" w:rsidRPr="004306DF">
        <w:rPr>
          <w:sz w:val="24"/>
          <w:szCs w:val="24"/>
        </w:rPr>
        <w:t xml:space="preserve"> čtenáři má zjevně vzbudit </w:t>
      </w:r>
      <w:r w:rsidR="0048280F" w:rsidRPr="004306DF">
        <w:rPr>
          <w:sz w:val="24"/>
          <w:szCs w:val="24"/>
        </w:rPr>
        <w:t>dojem</w:t>
      </w:r>
      <w:r w:rsidR="000C5373" w:rsidRPr="004306DF">
        <w:rPr>
          <w:sz w:val="24"/>
          <w:szCs w:val="24"/>
        </w:rPr>
        <w:t xml:space="preserve">, že zpracovatelé Studie byli </w:t>
      </w:r>
      <w:r w:rsidR="00971D7A" w:rsidRPr="004306DF">
        <w:rPr>
          <w:sz w:val="24"/>
          <w:szCs w:val="24"/>
        </w:rPr>
        <w:t xml:space="preserve">při jejím zpracování </w:t>
      </w:r>
      <w:r w:rsidR="000C5373" w:rsidRPr="004306DF">
        <w:rPr>
          <w:sz w:val="24"/>
          <w:szCs w:val="24"/>
        </w:rPr>
        <w:t>vystaveni vysoké míře nebezpečí</w:t>
      </w:r>
      <w:r w:rsidR="00971D7A" w:rsidRPr="004306DF">
        <w:rPr>
          <w:sz w:val="24"/>
          <w:szCs w:val="24"/>
        </w:rPr>
        <w:t>, a to</w:t>
      </w:r>
      <w:r w:rsidR="000C5373" w:rsidRPr="004306DF">
        <w:rPr>
          <w:sz w:val="24"/>
          <w:szCs w:val="24"/>
        </w:rPr>
        <w:t xml:space="preserve"> mezi hráči hazardních her, kteří jsou </w:t>
      </w:r>
      <w:r w:rsidR="00971D7A" w:rsidRPr="004306DF">
        <w:rPr>
          <w:sz w:val="24"/>
          <w:szCs w:val="24"/>
        </w:rPr>
        <w:t xml:space="preserve">buď nebezpeční, jelikož od nich hrozí násilné chování, nebo jsou ochotni takovéto nebezpečí </w:t>
      </w:r>
      <w:r w:rsidR="0048280F" w:rsidRPr="004306DF">
        <w:rPr>
          <w:sz w:val="24"/>
          <w:szCs w:val="24"/>
        </w:rPr>
        <w:t>tvrdit</w:t>
      </w:r>
      <w:r w:rsidR="00971D7A" w:rsidRPr="004306DF">
        <w:rPr>
          <w:sz w:val="24"/>
          <w:szCs w:val="24"/>
        </w:rPr>
        <w:t>, aby získali podvodně finanční prostředky od zpracovatelů Studie. Rovněž může být tato informace uvedena jako odůvodnění, proč byl terénní výzkum prováděn pouze na zcela nereprezentativním vzorku 2 osob, „</w:t>
      </w:r>
      <w:r w:rsidR="00971D7A" w:rsidRPr="004306DF">
        <w:rPr>
          <w:i/>
          <w:sz w:val="24"/>
          <w:szCs w:val="24"/>
        </w:rPr>
        <w:t>které vyhrály v herně jackpot a místo štěstí jim tento jackpot přinesl ve výsledku vážné problémy</w:t>
      </w:r>
      <w:r w:rsidR="0048280F" w:rsidRPr="004306DF">
        <w:rPr>
          <w:sz w:val="24"/>
          <w:szCs w:val="24"/>
        </w:rPr>
        <w:t>“</w:t>
      </w:r>
      <w:r w:rsidR="00971D7A" w:rsidRPr="004306DF">
        <w:rPr>
          <w:rStyle w:val="Znakapoznpodarou"/>
          <w:sz w:val="24"/>
          <w:szCs w:val="24"/>
        </w:rPr>
        <w:footnoteReference w:id="14"/>
      </w:r>
      <w:r w:rsidR="008E0ABA">
        <w:rPr>
          <w:sz w:val="24"/>
          <w:szCs w:val="24"/>
        </w:rPr>
        <w:t>.</w:t>
      </w:r>
    </w:p>
    <w:p w:rsidR="00971D7A" w:rsidRPr="004306DF" w:rsidRDefault="006E0DB1" w:rsidP="006E0DB1">
      <w:pPr>
        <w:pStyle w:val="Nadpis4"/>
        <w:tabs>
          <w:tab w:val="clear" w:pos="1928"/>
          <w:tab w:val="num" w:pos="1276"/>
        </w:tabs>
        <w:spacing w:before="120" w:after="0" w:line="240" w:lineRule="auto"/>
        <w:ind w:left="1417" w:hanging="340"/>
        <w:rPr>
          <w:sz w:val="24"/>
          <w:szCs w:val="24"/>
        </w:rPr>
      </w:pPr>
      <w:r>
        <w:rPr>
          <w:sz w:val="24"/>
          <w:szCs w:val="24"/>
        </w:rPr>
        <w:lastRenderedPageBreak/>
        <w:t xml:space="preserve"> </w:t>
      </w:r>
      <w:r w:rsidR="00971D7A" w:rsidRPr="004306DF">
        <w:rPr>
          <w:sz w:val="24"/>
          <w:szCs w:val="24"/>
        </w:rPr>
        <w:t>Studie nepokrytě kritizuje obce, které výherní automaty na svém území zcela nezakázaly, a to například tímto způsobem: „</w:t>
      </w:r>
      <w:r w:rsidR="00971D7A" w:rsidRPr="004306DF">
        <w:rPr>
          <w:i/>
          <w:sz w:val="24"/>
          <w:szCs w:val="24"/>
        </w:rPr>
        <w:t>Přesto se některá města pořád tvrdohlavě a prokazatelně mylně svoji vstřícnost k hazardu (…)</w:t>
      </w:r>
      <w:r w:rsidR="00971D7A" w:rsidRPr="004306DF">
        <w:rPr>
          <w:sz w:val="24"/>
          <w:szCs w:val="24"/>
        </w:rPr>
        <w:t>“</w:t>
      </w:r>
      <w:r w:rsidR="00971D7A" w:rsidRPr="004306DF">
        <w:rPr>
          <w:rStyle w:val="Znakapoznpodarou"/>
          <w:sz w:val="24"/>
          <w:szCs w:val="24"/>
        </w:rPr>
        <w:footnoteReference w:id="15"/>
      </w:r>
      <w:r w:rsidR="00756840" w:rsidRPr="004306DF">
        <w:rPr>
          <w:sz w:val="24"/>
          <w:szCs w:val="24"/>
        </w:rPr>
        <w:t>,</w:t>
      </w:r>
      <w:r w:rsidR="00606341" w:rsidRPr="004306DF">
        <w:rPr>
          <w:sz w:val="24"/>
          <w:szCs w:val="24"/>
        </w:rPr>
        <w:t xml:space="preserve"> ačkoli není jakkoli přihlédnuto k protiargumentům odůvodňujícím takový postup. Není například rozhodně nezpochybnitelné, že by příjmy z her byly vždy nutně nižší, než náklady na ně vynaložené. </w:t>
      </w:r>
      <w:r w:rsidR="00756840" w:rsidRPr="004306DF">
        <w:rPr>
          <w:sz w:val="24"/>
          <w:szCs w:val="24"/>
        </w:rPr>
        <w:t>Známý je případ obce Chvalovic</w:t>
      </w:r>
      <w:r w:rsidR="000B0B36">
        <w:rPr>
          <w:sz w:val="24"/>
          <w:szCs w:val="24"/>
        </w:rPr>
        <w:t>e</w:t>
      </w:r>
      <w:r w:rsidR="00756840" w:rsidRPr="004306DF">
        <w:rPr>
          <w:sz w:val="24"/>
          <w:szCs w:val="24"/>
        </w:rPr>
        <w:t xml:space="preserve"> </w:t>
      </w:r>
      <w:r w:rsidR="00CA53C7" w:rsidRPr="004306DF">
        <w:rPr>
          <w:sz w:val="24"/>
          <w:szCs w:val="24"/>
        </w:rPr>
        <w:t>na Znojemsku</w:t>
      </w:r>
      <w:r w:rsidR="00756840" w:rsidRPr="004306DF">
        <w:rPr>
          <w:sz w:val="24"/>
          <w:szCs w:val="24"/>
        </w:rPr>
        <w:t>, kde činil roční příjem z hazardu na 630 obyvatel 165 mil. Kč, které obec investuje do svého rozvoje.</w:t>
      </w:r>
      <w:r w:rsidR="00756840" w:rsidRPr="004306DF">
        <w:rPr>
          <w:rStyle w:val="Znakapoznpodarou"/>
          <w:sz w:val="24"/>
          <w:szCs w:val="24"/>
        </w:rPr>
        <w:footnoteReference w:id="16"/>
      </w:r>
      <w:r w:rsidR="00756840" w:rsidRPr="004306DF">
        <w:rPr>
          <w:sz w:val="24"/>
          <w:szCs w:val="24"/>
        </w:rPr>
        <w:t xml:space="preserve"> Přitom podle ve Studii používané Mapy kriminality (</w:t>
      </w:r>
      <w:hyperlink r:id="rId8" w:history="1">
        <w:r w:rsidR="00756840" w:rsidRPr="004306DF">
          <w:rPr>
            <w:rStyle w:val="Hypertextovodkaz"/>
            <w:sz w:val="24"/>
            <w:szCs w:val="24"/>
          </w:rPr>
          <w:t>www.mapakriminality.cz</w:t>
        </w:r>
      </w:hyperlink>
      <w:r w:rsidR="00756840" w:rsidRPr="004306DF">
        <w:rPr>
          <w:sz w:val="24"/>
          <w:szCs w:val="24"/>
        </w:rPr>
        <w:t>) poklesla v obci Chvalovice kriminalita v roce 2016 oproti roku 2013 zhruba o jednu třetinu. Přesto autoři Studie uvádějí, že města nerespektující jejich názor jsou „</w:t>
      </w:r>
      <w:r w:rsidR="00756840" w:rsidRPr="004306DF">
        <w:rPr>
          <w:i/>
          <w:sz w:val="24"/>
          <w:szCs w:val="24"/>
        </w:rPr>
        <w:t>tvrdohlavá</w:t>
      </w:r>
      <w:r w:rsidR="00756840" w:rsidRPr="004306DF">
        <w:rPr>
          <w:sz w:val="24"/>
          <w:szCs w:val="24"/>
        </w:rPr>
        <w:t>“ a „</w:t>
      </w:r>
      <w:r w:rsidR="00756840" w:rsidRPr="004306DF">
        <w:rPr>
          <w:i/>
          <w:sz w:val="24"/>
          <w:szCs w:val="24"/>
        </w:rPr>
        <w:t>prokazatelně se mýlící</w:t>
      </w:r>
      <w:r w:rsidR="008E0ABA">
        <w:rPr>
          <w:sz w:val="24"/>
          <w:szCs w:val="24"/>
        </w:rPr>
        <w:t>“.</w:t>
      </w:r>
    </w:p>
    <w:p w:rsidR="00756840" w:rsidRDefault="006E0DB1" w:rsidP="006E0DB1">
      <w:pPr>
        <w:pStyle w:val="Nadpis4"/>
        <w:tabs>
          <w:tab w:val="clear" w:pos="1928"/>
          <w:tab w:val="num" w:pos="1276"/>
        </w:tabs>
        <w:spacing w:before="120" w:after="0" w:line="240" w:lineRule="auto"/>
        <w:ind w:left="1417" w:hanging="340"/>
        <w:rPr>
          <w:sz w:val="24"/>
          <w:szCs w:val="24"/>
        </w:rPr>
      </w:pPr>
      <w:r>
        <w:rPr>
          <w:sz w:val="24"/>
          <w:szCs w:val="24"/>
        </w:rPr>
        <w:t xml:space="preserve"> </w:t>
      </w:r>
      <w:r w:rsidR="00971D7A" w:rsidRPr="004306DF">
        <w:rPr>
          <w:sz w:val="24"/>
          <w:szCs w:val="24"/>
        </w:rPr>
        <w:t>Z textové části Studie není patrné, která města</w:t>
      </w:r>
      <w:r w:rsidR="006B658E" w:rsidRPr="004306DF">
        <w:rPr>
          <w:rStyle w:val="Znakapoznpodarou"/>
          <w:sz w:val="24"/>
          <w:szCs w:val="24"/>
        </w:rPr>
        <w:footnoteReference w:id="17"/>
      </w:r>
      <w:r w:rsidR="00971D7A" w:rsidRPr="004306DF">
        <w:rPr>
          <w:sz w:val="24"/>
          <w:szCs w:val="24"/>
        </w:rPr>
        <w:t xml:space="preserve"> mají být považována za</w:t>
      </w:r>
      <w:r w:rsidR="006B658E" w:rsidRPr="004306DF">
        <w:rPr>
          <w:sz w:val="24"/>
          <w:szCs w:val="24"/>
        </w:rPr>
        <w:t> </w:t>
      </w:r>
      <w:r w:rsidR="00606341" w:rsidRPr="004306DF">
        <w:rPr>
          <w:sz w:val="24"/>
          <w:szCs w:val="24"/>
        </w:rPr>
        <w:t>ta, která učinila „</w:t>
      </w:r>
      <w:r w:rsidR="00606341" w:rsidRPr="004306DF">
        <w:rPr>
          <w:i/>
          <w:sz w:val="24"/>
          <w:szCs w:val="24"/>
        </w:rPr>
        <w:t>zásadní omezení</w:t>
      </w:r>
      <w:r w:rsidR="00606341" w:rsidRPr="004306DF">
        <w:rPr>
          <w:sz w:val="24"/>
          <w:szCs w:val="24"/>
        </w:rPr>
        <w:t>“ vůči hazardu, respektive která zaujala vůči hazardu „</w:t>
      </w:r>
      <w:r w:rsidR="00606341" w:rsidRPr="004306DF">
        <w:rPr>
          <w:i/>
          <w:sz w:val="24"/>
          <w:szCs w:val="24"/>
        </w:rPr>
        <w:t>nekompromisní přístup</w:t>
      </w:r>
      <w:r w:rsidR="00606341" w:rsidRPr="004306DF">
        <w:rPr>
          <w:sz w:val="24"/>
          <w:szCs w:val="24"/>
        </w:rPr>
        <w:t>“, jak je v rámci Studie často skloňováno, ačkoli jsou vůči těmto subjektům činěny některé navazující negativní závěry, které mohou vést ke značnému snížení jejich důvěryhodnosti</w:t>
      </w:r>
      <w:r w:rsidR="00756840" w:rsidRPr="004306DF">
        <w:rPr>
          <w:sz w:val="24"/>
          <w:szCs w:val="24"/>
        </w:rPr>
        <w:t>. Jedná se například o konstatování, že rozhodování radnic o umístění hracích přístrojů (heren) sebou nese „</w:t>
      </w:r>
      <w:r w:rsidR="00756840" w:rsidRPr="004306DF">
        <w:rPr>
          <w:i/>
          <w:sz w:val="24"/>
          <w:szCs w:val="24"/>
        </w:rPr>
        <w:t>značné korupční riziko</w:t>
      </w:r>
      <w:r w:rsidR="00756840" w:rsidRPr="004306DF">
        <w:rPr>
          <w:sz w:val="24"/>
          <w:szCs w:val="24"/>
        </w:rPr>
        <w:t>“,</w:t>
      </w:r>
      <w:r w:rsidR="00756840" w:rsidRPr="004306DF">
        <w:rPr>
          <w:rStyle w:val="Znakapoznpodarou"/>
          <w:sz w:val="24"/>
          <w:szCs w:val="24"/>
        </w:rPr>
        <w:footnoteReference w:id="18"/>
      </w:r>
      <w:r w:rsidR="00756840" w:rsidRPr="004306DF">
        <w:rPr>
          <w:sz w:val="24"/>
          <w:szCs w:val="24"/>
        </w:rPr>
        <w:t>nebo podle vyjádření autora Studie Janusze Koniecznyho, že „</w:t>
      </w:r>
      <w:r w:rsidR="00756840" w:rsidRPr="004306DF">
        <w:rPr>
          <w:i/>
          <w:sz w:val="24"/>
          <w:szCs w:val="24"/>
        </w:rPr>
        <w:t>vysvětlení podpory hazardu lze hledat v těchto lokalitách ve skrytých či vedlejších úmyslech různých zlojedů</w:t>
      </w:r>
      <w:r w:rsidR="00756840" w:rsidRPr="004306DF">
        <w:rPr>
          <w:sz w:val="24"/>
          <w:szCs w:val="24"/>
        </w:rPr>
        <w:t>“.</w:t>
      </w:r>
      <w:r w:rsidR="00756840" w:rsidRPr="004306DF">
        <w:rPr>
          <w:rStyle w:val="Znakapoznpodarou"/>
          <w:sz w:val="24"/>
          <w:szCs w:val="24"/>
        </w:rPr>
        <w:footnoteReference w:id="19"/>
      </w:r>
    </w:p>
    <w:p w:rsidR="00D4101C" w:rsidRPr="00D4101C" w:rsidRDefault="00D4101C" w:rsidP="00D4101C">
      <w:pPr>
        <w:pStyle w:val="Zkladntext3"/>
        <w:rPr>
          <w:lang w:eastAsia="en-GB"/>
        </w:rPr>
      </w:pPr>
    </w:p>
    <w:p w:rsidR="00756840" w:rsidRDefault="00756840" w:rsidP="004306DF">
      <w:pPr>
        <w:pStyle w:val="Nadpis2"/>
        <w:spacing w:before="120" w:after="0" w:line="240" w:lineRule="auto"/>
        <w:rPr>
          <w:b/>
          <w:sz w:val="24"/>
          <w:szCs w:val="24"/>
        </w:rPr>
      </w:pPr>
      <w:bookmarkStart w:id="6" w:name="_Toc480010169"/>
      <w:r w:rsidRPr="004306DF">
        <w:rPr>
          <w:b/>
          <w:sz w:val="24"/>
          <w:szCs w:val="24"/>
        </w:rPr>
        <w:t>K</w:t>
      </w:r>
      <w:r w:rsidR="0048280F" w:rsidRPr="004306DF">
        <w:rPr>
          <w:b/>
          <w:sz w:val="24"/>
          <w:szCs w:val="24"/>
        </w:rPr>
        <w:t> </w:t>
      </w:r>
      <w:r w:rsidRPr="004306DF">
        <w:rPr>
          <w:b/>
          <w:sz w:val="24"/>
          <w:szCs w:val="24"/>
        </w:rPr>
        <w:t>vědeck</w:t>
      </w:r>
      <w:r w:rsidR="0048280F" w:rsidRPr="004306DF">
        <w:rPr>
          <w:b/>
          <w:sz w:val="24"/>
          <w:szCs w:val="24"/>
        </w:rPr>
        <w:t>ému přístupu</w:t>
      </w:r>
      <w:r w:rsidRPr="004306DF">
        <w:rPr>
          <w:b/>
          <w:sz w:val="24"/>
          <w:szCs w:val="24"/>
        </w:rPr>
        <w:t xml:space="preserve"> Studie</w:t>
      </w:r>
      <w:bookmarkEnd w:id="6"/>
    </w:p>
    <w:p w:rsidR="00DB3B0D" w:rsidRPr="00DB3B0D" w:rsidRDefault="00DB3B0D" w:rsidP="00DB3B0D">
      <w:pPr>
        <w:pStyle w:val="Zkladntext"/>
      </w:pPr>
    </w:p>
    <w:p w:rsidR="00756840" w:rsidRPr="004306DF" w:rsidRDefault="005540CD" w:rsidP="004306DF">
      <w:pPr>
        <w:pStyle w:val="Zkladntext"/>
        <w:widowControl w:val="0"/>
        <w:spacing w:before="120" w:after="0" w:line="240" w:lineRule="auto"/>
        <w:rPr>
          <w:sz w:val="24"/>
          <w:szCs w:val="24"/>
        </w:rPr>
      </w:pPr>
      <w:r>
        <w:rPr>
          <w:sz w:val="24"/>
          <w:szCs w:val="24"/>
        </w:rPr>
        <w:t>Studie se ji</w:t>
      </w:r>
      <w:r w:rsidR="00756840" w:rsidRPr="004306DF">
        <w:rPr>
          <w:sz w:val="24"/>
          <w:szCs w:val="24"/>
        </w:rPr>
        <w:t xml:space="preserve">ž svým názvem snaží doložit, že byla zpracována </w:t>
      </w:r>
      <w:r w:rsidR="00BB6C76" w:rsidRPr="004306DF">
        <w:rPr>
          <w:sz w:val="24"/>
          <w:szCs w:val="24"/>
        </w:rPr>
        <w:t xml:space="preserve">při dodržování obvyklých vědeckých standardů. Tento dojem budí ostatně i struktura Studie, používání zdrojů v poznámkách pod čarou, snaha o vysvětlení metodologie Studie apod. </w:t>
      </w:r>
    </w:p>
    <w:p w:rsidR="00BB6C76" w:rsidRPr="004306DF" w:rsidRDefault="00BB6C76" w:rsidP="004306DF">
      <w:pPr>
        <w:pStyle w:val="Zkladntext"/>
        <w:widowControl w:val="0"/>
        <w:spacing w:before="120" w:after="0" w:line="240" w:lineRule="auto"/>
        <w:rPr>
          <w:sz w:val="24"/>
          <w:szCs w:val="24"/>
        </w:rPr>
      </w:pPr>
      <w:r w:rsidRPr="004306DF">
        <w:rPr>
          <w:sz w:val="24"/>
          <w:szCs w:val="24"/>
        </w:rPr>
        <w:t xml:space="preserve">Obvyklé vědecké standardy byly nicméně </w:t>
      </w:r>
      <w:r w:rsidR="0048280F" w:rsidRPr="004306DF">
        <w:rPr>
          <w:sz w:val="24"/>
          <w:szCs w:val="24"/>
        </w:rPr>
        <w:t xml:space="preserve">ve Studii </w:t>
      </w:r>
      <w:r w:rsidRPr="004306DF">
        <w:rPr>
          <w:sz w:val="24"/>
          <w:szCs w:val="24"/>
        </w:rPr>
        <w:t>porušeny</w:t>
      </w:r>
      <w:r w:rsidR="0048280F" w:rsidRPr="004306DF">
        <w:rPr>
          <w:sz w:val="24"/>
          <w:szCs w:val="24"/>
        </w:rPr>
        <w:t>, a to</w:t>
      </w:r>
      <w:r w:rsidRPr="004306DF">
        <w:rPr>
          <w:sz w:val="24"/>
          <w:szCs w:val="24"/>
        </w:rPr>
        <w:t xml:space="preserve"> zejména z následujících důvodů:</w:t>
      </w:r>
    </w:p>
    <w:p w:rsidR="00BB6C76" w:rsidRPr="004306DF" w:rsidRDefault="00BB6C76" w:rsidP="004306DF">
      <w:pPr>
        <w:pStyle w:val="Nadpis4"/>
        <w:tabs>
          <w:tab w:val="clear" w:pos="1928"/>
          <w:tab w:val="num" w:pos="1276"/>
        </w:tabs>
        <w:spacing w:before="120" w:after="0" w:line="240" w:lineRule="auto"/>
        <w:ind w:left="1276" w:hanging="709"/>
        <w:rPr>
          <w:sz w:val="24"/>
          <w:szCs w:val="24"/>
        </w:rPr>
      </w:pPr>
      <w:r w:rsidRPr="004306DF">
        <w:rPr>
          <w:sz w:val="24"/>
          <w:szCs w:val="24"/>
        </w:rPr>
        <w:t>Studie dospívá k závěrům při současném předložení určitých hrubých dat bez jejich vzájemného propojení. Může být sice zjištěno, že na určitém místě, kde byla nastavena tzv. nulová tolerance k výherním automatům (respektive k hazardu obecně), došlo k poklesu kriminality. Studie však neuvádí, o jaký druh kriminality je třeba se zajímat. Mělo by se jednat o majetkovou trestnou činnost, hospodářskou trestnou činnost, násilnou trestnou činnost, trestnou činnost obecně nebezpečnou, trestnou činnost proti rodině a</w:t>
      </w:r>
      <w:r w:rsidR="0048280F" w:rsidRPr="004306DF">
        <w:rPr>
          <w:sz w:val="24"/>
          <w:szCs w:val="24"/>
        </w:rPr>
        <w:t> </w:t>
      </w:r>
      <w:r w:rsidRPr="004306DF">
        <w:rPr>
          <w:sz w:val="24"/>
          <w:szCs w:val="24"/>
        </w:rPr>
        <w:t>dětem, trestnou činnost proti svobodě a právům na ochranu osobnosti, trestnou činnost proti životní</w:t>
      </w:r>
      <w:r w:rsidR="0048280F" w:rsidRPr="004306DF">
        <w:rPr>
          <w:sz w:val="24"/>
          <w:szCs w:val="24"/>
        </w:rPr>
        <w:t>mu prostředí? Pro závěry učiněné</w:t>
      </w:r>
      <w:r w:rsidRPr="004306DF">
        <w:rPr>
          <w:sz w:val="24"/>
          <w:szCs w:val="24"/>
        </w:rPr>
        <w:t xml:space="preserve"> ve Studii nebylo zjištěno to nejdůležitější – má-li </w:t>
      </w:r>
      <w:r w:rsidRPr="004306DF">
        <w:rPr>
          <w:sz w:val="24"/>
          <w:szCs w:val="24"/>
        </w:rPr>
        <w:lastRenderedPageBreak/>
        <w:t>závislost na hazardu vliv na vyšší míru kriminality, o jaký druh kriminality se jedná? Bez takovéhoto zjištění nelze průzkum provést takovým způsobem, aby byly učiněny jakékoli relevantní závěry</w:t>
      </w:r>
      <w:r w:rsidR="008E0ABA">
        <w:rPr>
          <w:sz w:val="24"/>
          <w:szCs w:val="24"/>
        </w:rPr>
        <w:t>.</w:t>
      </w:r>
    </w:p>
    <w:p w:rsidR="00170594" w:rsidRPr="004306DF" w:rsidRDefault="00BB6C76" w:rsidP="004306DF">
      <w:pPr>
        <w:pStyle w:val="Nadpis4"/>
        <w:tabs>
          <w:tab w:val="clear" w:pos="1928"/>
          <w:tab w:val="num" w:pos="1276"/>
        </w:tabs>
        <w:spacing w:before="120" w:after="0" w:line="240" w:lineRule="auto"/>
        <w:ind w:left="1276" w:hanging="709"/>
        <w:rPr>
          <w:sz w:val="24"/>
          <w:szCs w:val="24"/>
        </w:rPr>
      </w:pPr>
      <w:r w:rsidRPr="004306DF">
        <w:rPr>
          <w:sz w:val="24"/>
          <w:szCs w:val="24"/>
        </w:rPr>
        <w:t>Studie v úvodu definuje termíny výherní hrací přístroj a dále hazard. Oba tyto pojmy nepoužívá zákon č. 186/2016 Sb., o hazardních hrách</w:t>
      </w:r>
      <w:r w:rsidR="00170594" w:rsidRPr="004306DF">
        <w:rPr>
          <w:sz w:val="24"/>
          <w:szCs w:val="24"/>
        </w:rPr>
        <w:t>, přičemž není zřejmé, jak autoři Studie dospěl</w:t>
      </w:r>
      <w:r w:rsidR="00127951">
        <w:rPr>
          <w:sz w:val="24"/>
          <w:szCs w:val="24"/>
        </w:rPr>
        <w:t>i</w:t>
      </w:r>
      <w:r w:rsidR="00170594" w:rsidRPr="004306DF">
        <w:rPr>
          <w:sz w:val="24"/>
          <w:szCs w:val="24"/>
        </w:rPr>
        <w:t xml:space="preserve"> ke svým definicím. Je přitom důležité pracovat s takovými pojmy, jejichž obsah je adresátům Studie znám. V opačném případ</w:t>
      </w:r>
      <w:r w:rsidR="008E0ABA">
        <w:rPr>
          <w:sz w:val="24"/>
          <w:szCs w:val="24"/>
        </w:rPr>
        <w:t>ě jsou závěry Studie zavádějící.</w:t>
      </w:r>
    </w:p>
    <w:p w:rsidR="00170594" w:rsidRPr="00764344" w:rsidRDefault="00170594" w:rsidP="004306DF">
      <w:pPr>
        <w:pStyle w:val="Nadpis4"/>
        <w:tabs>
          <w:tab w:val="clear" w:pos="1928"/>
          <w:tab w:val="num" w:pos="1276"/>
        </w:tabs>
        <w:spacing w:before="120" w:after="0" w:line="240" w:lineRule="auto"/>
        <w:ind w:left="1276" w:hanging="709"/>
        <w:rPr>
          <w:sz w:val="24"/>
          <w:szCs w:val="24"/>
        </w:rPr>
      </w:pPr>
      <w:r w:rsidRPr="004306DF">
        <w:rPr>
          <w:sz w:val="24"/>
          <w:szCs w:val="24"/>
        </w:rPr>
        <w:t>Studie tvrdí, že je nesporné rozlišování tzv. tvrdého a měkkého hazardu (jak</w:t>
      </w:r>
      <w:r w:rsidR="0048280F" w:rsidRPr="004306DF">
        <w:rPr>
          <w:sz w:val="24"/>
          <w:szCs w:val="24"/>
        </w:rPr>
        <w:t>o</w:t>
      </w:r>
      <w:r w:rsidRPr="004306DF">
        <w:rPr>
          <w:sz w:val="24"/>
          <w:szCs w:val="24"/>
        </w:rPr>
        <w:t xml:space="preserve"> se rozlišují tvrdé a měkké drogy). Pro nespornost tohoto rozlišování přitom nejsou předloženy jakékoli argumenty a podle našeho názoru ani takovéto argumenty </w:t>
      </w:r>
      <w:r w:rsidRPr="00764344">
        <w:rPr>
          <w:sz w:val="24"/>
          <w:szCs w:val="24"/>
        </w:rPr>
        <w:t xml:space="preserve">nemohou obstát. Prohrát lze značné finanční prostředky jak na výherních automatech, tak i na ruletě, v pokeru či </w:t>
      </w:r>
      <w:r w:rsidR="0048280F" w:rsidRPr="00764344">
        <w:rPr>
          <w:sz w:val="24"/>
          <w:szCs w:val="24"/>
        </w:rPr>
        <w:t xml:space="preserve">při </w:t>
      </w:r>
      <w:r w:rsidR="008E0ABA" w:rsidRPr="00764344">
        <w:rPr>
          <w:sz w:val="24"/>
          <w:szCs w:val="24"/>
        </w:rPr>
        <w:t>kurzových sázkách.</w:t>
      </w:r>
    </w:p>
    <w:p w:rsidR="00170594" w:rsidRPr="00764344" w:rsidRDefault="00170594" w:rsidP="004306DF">
      <w:pPr>
        <w:pStyle w:val="Nadpis4"/>
        <w:tabs>
          <w:tab w:val="clear" w:pos="1928"/>
          <w:tab w:val="num" w:pos="1276"/>
        </w:tabs>
        <w:spacing w:before="120" w:after="0" w:line="240" w:lineRule="auto"/>
        <w:ind w:left="1276" w:hanging="709"/>
        <w:rPr>
          <w:sz w:val="24"/>
          <w:szCs w:val="24"/>
        </w:rPr>
      </w:pPr>
      <w:r w:rsidRPr="00764344">
        <w:rPr>
          <w:sz w:val="24"/>
          <w:szCs w:val="24"/>
        </w:rPr>
        <w:t xml:space="preserve">Studie </w:t>
      </w:r>
      <w:r w:rsidR="00127951" w:rsidRPr="00764344">
        <w:rPr>
          <w:sz w:val="24"/>
          <w:szCs w:val="24"/>
        </w:rPr>
        <w:t>vyvozuje</w:t>
      </w:r>
      <w:r w:rsidRPr="00764344">
        <w:rPr>
          <w:sz w:val="24"/>
          <w:szCs w:val="24"/>
        </w:rPr>
        <w:t xml:space="preserve"> své závěry nejen ze statistických dat, ale také z terénního průzkumu. O něm </w:t>
      </w:r>
      <w:r w:rsidR="00127951" w:rsidRPr="00764344">
        <w:rPr>
          <w:sz w:val="24"/>
          <w:szCs w:val="24"/>
        </w:rPr>
        <w:t xml:space="preserve">jsou </w:t>
      </w:r>
      <w:r w:rsidRPr="00764344">
        <w:rPr>
          <w:sz w:val="24"/>
          <w:szCs w:val="24"/>
        </w:rPr>
        <w:t xml:space="preserve">však ve Studii podány pouze zcela kusé informace. </w:t>
      </w:r>
      <w:r w:rsidR="00764344" w:rsidRPr="00764344">
        <w:rPr>
          <w:color w:val="222222"/>
          <w:sz w:val="24"/>
          <w:szCs w:val="24"/>
          <w:shd w:val="clear" w:color="auto" w:fill="FFFFFF"/>
        </w:rPr>
        <w:t>Tento výzkum byl se vš</w:t>
      </w:r>
      <w:r w:rsidR="00021C42">
        <w:rPr>
          <w:color w:val="222222"/>
          <w:sz w:val="24"/>
          <w:szCs w:val="24"/>
          <w:shd w:val="clear" w:color="auto" w:fill="FFFFFF"/>
        </w:rPr>
        <w:t>í</w:t>
      </w:r>
      <w:r w:rsidR="00764344" w:rsidRPr="00764344">
        <w:rPr>
          <w:color w:val="222222"/>
          <w:sz w:val="24"/>
          <w:szCs w:val="24"/>
          <w:shd w:val="clear" w:color="auto" w:fill="FFFFFF"/>
        </w:rPr>
        <w:t xml:space="preserve"> pravděpodobností proveden na zcela nahodilém, silně nereprezentativním vzorku, což dokládá například zmínka o tom, že byly vyzpovídány 2 osoby, které o své závislosti podaly určité svědectví</w:t>
      </w:r>
      <w:r w:rsidRPr="00764344">
        <w:rPr>
          <w:sz w:val="24"/>
          <w:szCs w:val="24"/>
        </w:rPr>
        <w:t>.</w:t>
      </w:r>
      <w:r w:rsidRPr="00764344">
        <w:rPr>
          <w:rStyle w:val="Znakapoznpodarou"/>
          <w:sz w:val="24"/>
          <w:szCs w:val="24"/>
        </w:rPr>
        <w:footnoteReference w:id="20"/>
      </w:r>
      <w:r w:rsidRPr="00764344">
        <w:rPr>
          <w:sz w:val="24"/>
          <w:szCs w:val="24"/>
        </w:rPr>
        <w:t xml:space="preserve"> Závěry uvedené ve Studii z terénního výzkumu je proto třeba brát s maximální rezervou a opatrností. Přesto se Studie snaží činit na základě těchto poz</w:t>
      </w:r>
      <w:r w:rsidR="008E0ABA" w:rsidRPr="00764344">
        <w:rPr>
          <w:sz w:val="24"/>
          <w:szCs w:val="24"/>
        </w:rPr>
        <w:t>natků zásadní zobecnění.</w:t>
      </w:r>
    </w:p>
    <w:p w:rsidR="005F06B6" w:rsidRPr="004306DF" w:rsidRDefault="00170594" w:rsidP="004306DF">
      <w:pPr>
        <w:pStyle w:val="Nadpis4"/>
        <w:tabs>
          <w:tab w:val="clear" w:pos="1928"/>
          <w:tab w:val="num" w:pos="1276"/>
        </w:tabs>
        <w:spacing w:before="120" w:after="0" w:line="240" w:lineRule="auto"/>
        <w:ind w:left="1276" w:hanging="709"/>
        <w:rPr>
          <w:sz w:val="24"/>
          <w:szCs w:val="24"/>
        </w:rPr>
      </w:pPr>
      <w:r w:rsidRPr="00764344">
        <w:rPr>
          <w:sz w:val="24"/>
          <w:szCs w:val="24"/>
        </w:rPr>
        <w:t>Zdroje uvedené v poznámkách pod čarou představují často neplatné webové</w:t>
      </w:r>
      <w:r w:rsidRPr="004306DF">
        <w:rPr>
          <w:sz w:val="24"/>
          <w:szCs w:val="24"/>
        </w:rPr>
        <w:t xml:space="preserve"> odkazy. To je případ poznám</w:t>
      </w:r>
      <w:r w:rsidR="00683D31">
        <w:rPr>
          <w:sz w:val="24"/>
          <w:szCs w:val="24"/>
        </w:rPr>
        <w:t>e</w:t>
      </w:r>
      <w:r w:rsidRPr="004306DF">
        <w:rPr>
          <w:sz w:val="24"/>
          <w:szCs w:val="24"/>
        </w:rPr>
        <w:t xml:space="preserve">k pod čarou č. 1, 3 a 14 Studie, přičemž veškeré odkazy nebyly z naší strany prověřeny. </w:t>
      </w:r>
      <w:r w:rsidR="005F06B6" w:rsidRPr="004306DF">
        <w:rPr>
          <w:sz w:val="24"/>
          <w:szCs w:val="24"/>
        </w:rPr>
        <w:t>Na řadě míst nejsou navíc pro určité závěry uvedeny vůbec žádné zdroje. Když již jsou takové prameny předkládány, jedná se o jednotlivý případ, ze kterého je vytvářeno obecné pravidlo.</w:t>
      </w:r>
      <w:r w:rsidR="005F06B6" w:rsidRPr="004306DF">
        <w:rPr>
          <w:rStyle w:val="Znakapoznpodarou"/>
          <w:sz w:val="24"/>
          <w:szCs w:val="24"/>
        </w:rPr>
        <w:footnoteReference w:id="21"/>
      </w:r>
      <w:r w:rsidR="00AA3017" w:rsidRPr="004306DF">
        <w:rPr>
          <w:sz w:val="24"/>
          <w:szCs w:val="24"/>
        </w:rPr>
        <w:t xml:space="preserve"> Tato skutečnost činí Studii </w:t>
      </w:r>
      <w:r w:rsidR="005F06B6" w:rsidRPr="004306DF">
        <w:rPr>
          <w:sz w:val="24"/>
          <w:szCs w:val="24"/>
        </w:rPr>
        <w:t xml:space="preserve">nevědeckou. Lze ji proto označit za práci publicistickou, komentářovou, nikoliv analytickou, přinášející jakékoli podložené, </w:t>
      </w:r>
      <w:r w:rsidR="008E0ABA">
        <w:rPr>
          <w:sz w:val="24"/>
          <w:szCs w:val="24"/>
        </w:rPr>
        <w:t>prokazatelné a nové skutečnosti.</w:t>
      </w:r>
    </w:p>
    <w:p w:rsidR="00052F3D" w:rsidRPr="004306DF" w:rsidRDefault="00052F3D" w:rsidP="004306DF">
      <w:pPr>
        <w:pStyle w:val="Nadpis4"/>
        <w:tabs>
          <w:tab w:val="clear" w:pos="1928"/>
          <w:tab w:val="num" w:pos="1276"/>
        </w:tabs>
        <w:spacing w:before="120" w:after="0" w:line="240" w:lineRule="auto"/>
        <w:ind w:left="1276" w:hanging="709"/>
        <w:rPr>
          <w:sz w:val="24"/>
          <w:szCs w:val="24"/>
        </w:rPr>
      </w:pPr>
      <w:r w:rsidRPr="004306DF">
        <w:rPr>
          <w:sz w:val="24"/>
          <w:szCs w:val="24"/>
        </w:rPr>
        <w:t xml:space="preserve">Ve Studii není žádným způsobem </w:t>
      </w:r>
      <w:r w:rsidR="00B675D1" w:rsidRPr="004306DF">
        <w:rPr>
          <w:sz w:val="24"/>
          <w:szCs w:val="24"/>
        </w:rPr>
        <w:t>přihlédnuto k nabytí účinnosti z</w:t>
      </w:r>
      <w:r w:rsidRPr="004306DF">
        <w:rPr>
          <w:sz w:val="24"/>
          <w:szCs w:val="24"/>
        </w:rPr>
        <w:t xml:space="preserve">ákona o hazardních hrách od 1. 1. 2017, přestože autoři připravovali Studii již při znalosti této nové právní úpravy. Ostatně uvádějí nové pravomoci </w:t>
      </w:r>
      <w:r w:rsidR="00683D31">
        <w:rPr>
          <w:sz w:val="24"/>
          <w:szCs w:val="24"/>
        </w:rPr>
        <w:t>C</w:t>
      </w:r>
      <w:r w:rsidRPr="004306DF">
        <w:rPr>
          <w:sz w:val="24"/>
          <w:szCs w:val="24"/>
        </w:rPr>
        <w:t>elní správy vůči nelegálnímu hazardu (bez bližší specifikace) s účinností od 1. 1. 2017. Mají-li být závěry Studie použitelné v současné době, tj. od roku 2017, pak je třeba zohlednit aktuální právní úpravu hazardních her, včetně provozu výherních hracích přístrojů.</w:t>
      </w:r>
    </w:p>
    <w:p w:rsidR="0048280F" w:rsidRPr="004306DF" w:rsidRDefault="00052F3D" w:rsidP="004306DF">
      <w:pPr>
        <w:pStyle w:val="Zkladntext"/>
        <w:widowControl w:val="0"/>
        <w:spacing w:before="120" w:after="0" w:line="240" w:lineRule="auto"/>
        <w:rPr>
          <w:sz w:val="24"/>
          <w:szCs w:val="24"/>
        </w:rPr>
      </w:pPr>
      <w:r w:rsidRPr="004306DF">
        <w:rPr>
          <w:sz w:val="24"/>
          <w:szCs w:val="24"/>
        </w:rPr>
        <w:t>Studie činí na řadě míst závěr ohledně vztahu hazardu a míry kriminality. Přesto však připouští, že ke snížení míry kriminality došlo spíše „</w:t>
      </w:r>
      <w:r w:rsidRPr="004306DF">
        <w:rPr>
          <w:i/>
          <w:sz w:val="24"/>
          <w:szCs w:val="24"/>
        </w:rPr>
        <w:t>odpovědným a účinným přístupem těchto měst (tj. měst s nižší mírou kriminality</w:t>
      </w:r>
      <w:r w:rsidR="006B658E" w:rsidRPr="004306DF">
        <w:rPr>
          <w:i/>
          <w:sz w:val="24"/>
          <w:szCs w:val="24"/>
        </w:rPr>
        <w:t>, pozn. autora</w:t>
      </w:r>
      <w:r w:rsidRPr="004306DF">
        <w:rPr>
          <w:i/>
          <w:sz w:val="24"/>
          <w:szCs w:val="24"/>
        </w:rPr>
        <w:t xml:space="preserve">) k boji s kriminalitou a na </w:t>
      </w:r>
      <w:r w:rsidRPr="004306DF">
        <w:rPr>
          <w:i/>
          <w:sz w:val="24"/>
          <w:szCs w:val="24"/>
        </w:rPr>
        <w:lastRenderedPageBreak/>
        <w:t>snížení kriminality se podílely i nejrůznější další faktory (práce asistentů prevence kriminality, protidrogová opatření, osvěta atd.).</w:t>
      </w:r>
      <w:r w:rsidRPr="004306DF">
        <w:rPr>
          <w:sz w:val="24"/>
          <w:szCs w:val="24"/>
        </w:rPr>
        <w:t>“</w:t>
      </w:r>
      <w:r w:rsidRPr="004306DF">
        <w:rPr>
          <w:rStyle w:val="Znakapoznpodarou"/>
          <w:sz w:val="24"/>
          <w:szCs w:val="24"/>
        </w:rPr>
        <w:footnoteReference w:id="22"/>
      </w:r>
    </w:p>
    <w:p w:rsidR="00BB6C76" w:rsidRPr="00784FE5" w:rsidRDefault="006B658E" w:rsidP="004306DF">
      <w:pPr>
        <w:pStyle w:val="Zkladntext"/>
        <w:widowControl w:val="0"/>
        <w:spacing w:before="120" w:after="0" w:line="240" w:lineRule="auto"/>
        <w:rPr>
          <w:sz w:val="24"/>
          <w:szCs w:val="24"/>
        </w:rPr>
      </w:pPr>
      <w:r w:rsidRPr="004306DF">
        <w:rPr>
          <w:sz w:val="24"/>
          <w:szCs w:val="24"/>
        </w:rPr>
        <w:t>Jinými slovy, Studie připouští, že opakované závěry v ní obsažené, nemusí být pravdivé. Přitom aprobovaným cílem Studie mělo být ověření hypotézy, zda existuje vztah mezi příčinou (počtem výherních přístrojů na území města) a následkem (vyšší mírou kriminality). Jelikož se autoři Studie nezabýval</w:t>
      </w:r>
      <w:r w:rsidR="008271B0">
        <w:rPr>
          <w:sz w:val="24"/>
          <w:szCs w:val="24"/>
        </w:rPr>
        <w:t>i</w:t>
      </w:r>
      <w:r w:rsidRPr="004306DF">
        <w:rPr>
          <w:sz w:val="24"/>
          <w:szCs w:val="24"/>
        </w:rPr>
        <w:t xml:space="preserve"> ostatními vlivy, které podle jejich vlastního vyjádření jsou zřejmě (tj. pravděpodobně) skutečným důvodem vyšší </w:t>
      </w:r>
      <w:r w:rsidRPr="00784FE5">
        <w:rPr>
          <w:sz w:val="24"/>
          <w:szCs w:val="24"/>
        </w:rPr>
        <w:t xml:space="preserve">míry kriminality na některých místech, nelze zjistit, co v daných lokalitách je příčinou sledovaných jevů. Něco takového by vyžadovalo zevrubnější výzkum, který </w:t>
      </w:r>
      <w:r w:rsidR="0048280F" w:rsidRPr="00784FE5">
        <w:rPr>
          <w:sz w:val="24"/>
          <w:szCs w:val="24"/>
        </w:rPr>
        <w:t xml:space="preserve">však </w:t>
      </w:r>
      <w:r w:rsidR="00AA3017" w:rsidRPr="00784FE5">
        <w:rPr>
          <w:sz w:val="24"/>
          <w:szCs w:val="24"/>
        </w:rPr>
        <w:t>autoři Studie neprovedli</w:t>
      </w:r>
      <w:r w:rsidR="00D4101C" w:rsidRPr="00784FE5">
        <w:rPr>
          <w:sz w:val="24"/>
          <w:szCs w:val="24"/>
        </w:rPr>
        <w:t>.</w:t>
      </w:r>
    </w:p>
    <w:p w:rsidR="00784FE5" w:rsidRPr="00784FE5" w:rsidRDefault="00784FE5" w:rsidP="004306DF">
      <w:pPr>
        <w:pStyle w:val="Zkladntext"/>
        <w:widowControl w:val="0"/>
        <w:spacing w:before="120" w:after="0" w:line="240" w:lineRule="auto"/>
        <w:rPr>
          <w:sz w:val="24"/>
          <w:szCs w:val="24"/>
        </w:rPr>
      </w:pPr>
      <w:r w:rsidRPr="00784FE5">
        <w:rPr>
          <w:color w:val="222222"/>
          <w:sz w:val="24"/>
          <w:szCs w:val="24"/>
          <w:shd w:val="clear" w:color="auto" w:fill="FFFFFF"/>
        </w:rPr>
        <w:t>V této souvislosti j</w:t>
      </w:r>
      <w:r w:rsidR="008E7B15">
        <w:rPr>
          <w:color w:val="222222"/>
          <w:sz w:val="24"/>
          <w:szCs w:val="24"/>
          <w:shd w:val="clear" w:color="auto" w:fill="FFFFFF"/>
        </w:rPr>
        <w:t xml:space="preserve">e možno uvést </w:t>
      </w:r>
      <w:r w:rsidRPr="00784FE5">
        <w:rPr>
          <w:color w:val="222222"/>
          <w:sz w:val="24"/>
          <w:szCs w:val="24"/>
          <w:shd w:val="clear" w:color="auto" w:fill="FFFFFF"/>
        </w:rPr>
        <w:t>informaci podle statistik Ministerstva spravedlnosti</w:t>
      </w:r>
      <w:r w:rsidR="00533DDB">
        <w:rPr>
          <w:color w:val="222222"/>
          <w:sz w:val="24"/>
          <w:szCs w:val="24"/>
          <w:shd w:val="clear" w:color="auto" w:fill="FFFFFF"/>
        </w:rPr>
        <w:t>,</w:t>
      </w:r>
      <w:r w:rsidRPr="00784FE5">
        <w:rPr>
          <w:color w:val="222222"/>
          <w:sz w:val="24"/>
          <w:szCs w:val="24"/>
          <w:shd w:val="clear" w:color="auto" w:fill="FFFFFF"/>
        </w:rPr>
        <w:t xml:space="preserve"> </w:t>
      </w:r>
      <w:r w:rsidR="00533DDB">
        <w:rPr>
          <w:color w:val="222222"/>
          <w:sz w:val="24"/>
          <w:szCs w:val="24"/>
          <w:shd w:val="clear" w:color="auto" w:fill="FFFFFF"/>
        </w:rPr>
        <w:t xml:space="preserve">že </w:t>
      </w:r>
      <w:r w:rsidRPr="00784FE5">
        <w:rPr>
          <w:color w:val="222222"/>
          <w:sz w:val="24"/>
          <w:szCs w:val="24"/>
          <w:shd w:val="clear" w:color="auto" w:fill="FFFFFF"/>
        </w:rPr>
        <w:t xml:space="preserve">v roce 2012 </w:t>
      </w:r>
      <w:r w:rsidR="00533DDB">
        <w:rPr>
          <w:color w:val="222222"/>
          <w:sz w:val="24"/>
          <w:szCs w:val="24"/>
          <w:shd w:val="clear" w:color="auto" w:fill="FFFFFF"/>
        </w:rPr>
        <w:t xml:space="preserve">nebylo </w:t>
      </w:r>
      <w:r w:rsidRPr="00784FE5">
        <w:rPr>
          <w:color w:val="222222"/>
          <w:sz w:val="24"/>
          <w:szCs w:val="24"/>
          <w:shd w:val="clear" w:color="auto" w:fill="FFFFFF"/>
        </w:rPr>
        <w:t>uloženo žádné léčebné ochranné opatření proti patologickému hráčství v ústavní formě, v roce 2013 jen v jednom případě, v roce 2014 opět žádné.</w:t>
      </w:r>
      <w:r w:rsidR="008311DC">
        <w:rPr>
          <w:rStyle w:val="Znakapoznpodarou"/>
          <w:color w:val="222222"/>
          <w:sz w:val="24"/>
          <w:szCs w:val="24"/>
          <w:shd w:val="clear" w:color="auto" w:fill="FFFFFF"/>
        </w:rPr>
        <w:footnoteReference w:id="23"/>
      </w:r>
      <w:r w:rsidRPr="00784FE5">
        <w:rPr>
          <w:color w:val="222222"/>
          <w:sz w:val="24"/>
          <w:szCs w:val="24"/>
          <w:shd w:val="clear" w:color="auto" w:fill="FFFFFF"/>
        </w:rPr>
        <w:t xml:space="preserve"> Podobně tomu bylo u ambulantní formy léčby patologického hráčství </w:t>
      </w:r>
      <w:r w:rsidR="00533DDB">
        <w:rPr>
          <w:color w:val="222222"/>
          <w:sz w:val="24"/>
          <w:szCs w:val="24"/>
          <w:shd w:val="clear" w:color="auto" w:fill="FFFFFF"/>
        </w:rPr>
        <w:t xml:space="preserve">- </w:t>
      </w:r>
      <w:r w:rsidRPr="00784FE5">
        <w:rPr>
          <w:color w:val="222222"/>
          <w:sz w:val="24"/>
          <w:szCs w:val="24"/>
          <w:shd w:val="clear" w:color="auto" w:fill="FFFFFF"/>
        </w:rPr>
        <w:t>2012 žádné, 2013 jeden případ, 2014 jeden případ.</w:t>
      </w:r>
      <w:r w:rsidR="00533DDB">
        <w:rPr>
          <w:color w:val="222222"/>
          <w:sz w:val="24"/>
          <w:szCs w:val="24"/>
          <w:shd w:val="clear" w:color="auto" w:fill="FFFFFF"/>
        </w:rPr>
        <w:t xml:space="preserve"> </w:t>
      </w:r>
      <w:r w:rsidRPr="00784FE5">
        <w:rPr>
          <w:color w:val="222222"/>
          <w:sz w:val="24"/>
          <w:szCs w:val="24"/>
          <w:shd w:val="clear" w:color="auto" w:fill="FFFFFF"/>
        </w:rPr>
        <w:t>Čísla co do uložených ochranných opatření proti alkoholu jsou přitom zcela odlišná</w:t>
      </w:r>
      <w:r w:rsidR="00533DDB">
        <w:rPr>
          <w:color w:val="222222"/>
          <w:sz w:val="24"/>
          <w:szCs w:val="24"/>
          <w:shd w:val="clear" w:color="auto" w:fill="FFFFFF"/>
        </w:rPr>
        <w:t xml:space="preserve"> - </w:t>
      </w:r>
      <w:r w:rsidRPr="00784FE5">
        <w:rPr>
          <w:color w:val="222222"/>
          <w:sz w:val="24"/>
          <w:szCs w:val="24"/>
          <w:shd w:val="clear" w:color="auto" w:fill="FFFFFF"/>
        </w:rPr>
        <w:t xml:space="preserve">v </w:t>
      </w:r>
      <w:r w:rsidR="00533DDB">
        <w:rPr>
          <w:color w:val="222222"/>
          <w:sz w:val="24"/>
          <w:szCs w:val="24"/>
          <w:shd w:val="clear" w:color="auto" w:fill="FFFFFF"/>
        </w:rPr>
        <w:t xml:space="preserve">roce 2012 bylo v </w:t>
      </w:r>
      <w:r w:rsidRPr="00784FE5">
        <w:rPr>
          <w:color w:val="222222"/>
          <w:sz w:val="24"/>
          <w:szCs w:val="24"/>
          <w:shd w:val="clear" w:color="auto" w:fill="FFFFFF"/>
        </w:rPr>
        <w:t>ústavní formě 116</w:t>
      </w:r>
      <w:r w:rsidR="00533DDB">
        <w:rPr>
          <w:color w:val="222222"/>
          <w:sz w:val="24"/>
          <w:szCs w:val="24"/>
          <w:shd w:val="clear" w:color="auto" w:fill="FFFFFF"/>
        </w:rPr>
        <w:t xml:space="preserve"> opatření</w:t>
      </w:r>
      <w:r w:rsidRPr="00784FE5">
        <w:rPr>
          <w:color w:val="222222"/>
          <w:sz w:val="24"/>
          <w:szCs w:val="24"/>
          <w:shd w:val="clear" w:color="auto" w:fill="FFFFFF"/>
        </w:rPr>
        <w:t xml:space="preserve">, za rok 2013 </w:t>
      </w:r>
      <w:r w:rsidR="00533DDB">
        <w:rPr>
          <w:color w:val="222222"/>
          <w:sz w:val="24"/>
          <w:szCs w:val="24"/>
          <w:shd w:val="clear" w:color="auto" w:fill="FFFFFF"/>
        </w:rPr>
        <w:t xml:space="preserve">bylo </w:t>
      </w:r>
      <w:r w:rsidRPr="00784FE5">
        <w:rPr>
          <w:color w:val="222222"/>
          <w:sz w:val="24"/>
          <w:szCs w:val="24"/>
          <w:shd w:val="clear" w:color="auto" w:fill="FFFFFF"/>
        </w:rPr>
        <w:t xml:space="preserve">97, za rok 2014 </w:t>
      </w:r>
      <w:r w:rsidR="00533DDB">
        <w:rPr>
          <w:color w:val="222222"/>
          <w:sz w:val="24"/>
          <w:szCs w:val="24"/>
          <w:shd w:val="clear" w:color="auto" w:fill="FFFFFF"/>
        </w:rPr>
        <w:t xml:space="preserve">bylo </w:t>
      </w:r>
      <w:r w:rsidRPr="00784FE5">
        <w:rPr>
          <w:color w:val="222222"/>
          <w:sz w:val="24"/>
          <w:szCs w:val="24"/>
          <w:shd w:val="clear" w:color="auto" w:fill="FFFFFF"/>
        </w:rPr>
        <w:t>125</w:t>
      </w:r>
      <w:r w:rsidR="00533DDB">
        <w:rPr>
          <w:color w:val="222222"/>
          <w:sz w:val="24"/>
          <w:szCs w:val="24"/>
          <w:shd w:val="clear" w:color="auto" w:fill="FFFFFF"/>
        </w:rPr>
        <w:t xml:space="preserve"> opatření. V</w:t>
      </w:r>
      <w:r w:rsidRPr="00784FE5">
        <w:rPr>
          <w:color w:val="222222"/>
          <w:sz w:val="24"/>
          <w:szCs w:val="24"/>
          <w:shd w:val="clear" w:color="auto" w:fill="FFFFFF"/>
        </w:rPr>
        <w:t xml:space="preserve"> ambulantní formě za rok 2012 </w:t>
      </w:r>
      <w:r w:rsidR="00533DDB">
        <w:rPr>
          <w:color w:val="222222"/>
          <w:sz w:val="24"/>
          <w:szCs w:val="24"/>
          <w:shd w:val="clear" w:color="auto" w:fill="FFFFFF"/>
        </w:rPr>
        <w:t xml:space="preserve">bylo </w:t>
      </w:r>
      <w:r w:rsidRPr="00784FE5">
        <w:rPr>
          <w:color w:val="222222"/>
          <w:sz w:val="24"/>
          <w:szCs w:val="24"/>
          <w:shd w:val="clear" w:color="auto" w:fill="FFFFFF"/>
        </w:rPr>
        <w:t xml:space="preserve">125, za rok 2013 </w:t>
      </w:r>
      <w:r w:rsidR="00533DDB">
        <w:rPr>
          <w:color w:val="222222"/>
          <w:sz w:val="24"/>
          <w:szCs w:val="24"/>
          <w:shd w:val="clear" w:color="auto" w:fill="FFFFFF"/>
        </w:rPr>
        <w:t xml:space="preserve">bylo </w:t>
      </w:r>
      <w:r w:rsidRPr="00784FE5">
        <w:rPr>
          <w:color w:val="222222"/>
          <w:sz w:val="24"/>
          <w:szCs w:val="24"/>
          <w:shd w:val="clear" w:color="auto" w:fill="FFFFFF"/>
        </w:rPr>
        <w:t xml:space="preserve">178 a za rok 2014 </w:t>
      </w:r>
      <w:r w:rsidR="008311DC">
        <w:rPr>
          <w:color w:val="222222"/>
          <w:sz w:val="24"/>
          <w:szCs w:val="24"/>
          <w:shd w:val="clear" w:color="auto" w:fill="FFFFFF"/>
        </w:rPr>
        <w:t xml:space="preserve">to </w:t>
      </w:r>
      <w:r w:rsidR="00533DDB">
        <w:rPr>
          <w:color w:val="222222"/>
          <w:sz w:val="24"/>
          <w:szCs w:val="24"/>
          <w:shd w:val="clear" w:color="auto" w:fill="FFFFFF"/>
        </w:rPr>
        <w:t xml:space="preserve">bylo </w:t>
      </w:r>
      <w:r w:rsidRPr="00784FE5">
        <w:rPr>
          <w:color w:val="222222"/>
          <w:sz w:val="24"/>
          <w:szCs w:val="24"/>
          <w:shd w:val="clear" w:color="auto" w:fill="FFFFFF"/>
        </w:rPr>
        <w:t>171</w:t>
      </w:r>
      <w:r w:rsidR="00533DDB">
        <w:rPr>
          <w:color w:val="222222"/>
          <w:sz w:val="24"/>
          <w:szCs w:val="24"/>
          <w:shd w:val="clear" w:color="auto" w:fill="FFFFFF"/>
        </w:rPr>
        <w:t xml:space="preserve"> opatření</w:t>
      </w:r>
      <w:r w:rsidRPr="00784FE5">
        <w:rPr>
          <w:color w:val="222222"/>
          <w:sz w:val="24"/>
          <w:szCs w:val="24"/>
          <w:shd w:val="clear" w:color="auto" w:fill="FFFFFF"/>
        </w:rPr>
        <w:t xml:space="preserve">. Podobně je tomu u ochranných opatření protidrogových (ústavní </w:t>
      </w:r>
      <w:r w:rsidR="00533DDB">
        <w:rPr>
          <w:color w:val="222222"/>
          <w:sz w:val="24"/>
          <w:szCs w:val="24"/>
          <w:shd w:val="clear" w:color="auto" w:fill="FFFFFF"/>
        </w:rPr>
        <w:t xml:space="preserve">86 </w:t>
      </w:r>
      <w:r w:rsidRPr="00784FE5">
        <w:rPr>
          <w:color w:val="222222"/>
          <w:sz w:val="24"/>
          <w:szCs w:val="24"/>
          <w:shd w:val="clear" w:color="auto" w:fill="FFFFFF"/>
        </w:rPr>
        <w:t xml:space="preserve">za rok 2012, 2013 </w:t>
      </w:r>
      <w:r w:rsidR="00533DDB">
        <w:rPr>
          <w:color w:val="222222"/>
          <w:sz w:val="24"/>
          <w:szCs w:val="24"/>
          <w:shd w:val="clear" w:color="auto" w:fill="FFFFFF"/>
        </w:rPr>
        <w:t xml:space="preserve">bylo </w:t>
      </w:r>
      <w:r w:rsidRPr="00784FE5">
        <w:rPr>
          <w:color w:val="222222"/>
          <w:sz w:val="24"/>
          <w:szCs w:val="24"/>
          <w:shd w:val="clear" w:color="auto" w:fill="FFFFFF"/>
        </w:rPr>
        <w:t xml:space="preserve">96, 2014 </w:t>
      </w:r>
      <w:r w:rsidR="00533DDB">
        <w:rPr>
          <w:color w:val="222222"/>
          <w:sz w:val="24"/>
          <w:szCs w:val="24"/>
          <w:shd w:val="clear" w:color="auto" w:fill="FFFFFF"/>
        </w:rPr>
        <w:t xml:space="preserve">bylo </w:t>
      </w:r>
      <w:r w:rsidRPr="00784FE5">
        <w:rPr>
          <w:color w:val="222222"/>
          <w:sz w:val="24"/>
          <w:szCs w:val="24"/>
          <w:shd w:val="clear" w:color="auto" w:fill="FFFFFF"/>
        </w:rPr>
        <w:t xml:space="preserve">97, ambulantní pak za </w:t>
      </w:r>
      <w:r w:rsidR="00533DDB">
        <w:rPr>
          <w:color w:val="222222"/>
          <w:sz w:val="24"/>
          <w:szCs w:val="24"/>
          <w:shd w:val="clear" w:color="auto" w:fill="FFFFFF"/>
        </w:rPr>
        <w:t xml:space="preserve">rok </w:t>
      </w:r>
      <w:r w:rsidRPr="00784FE5">
        <w:rPr>
          <w:color w:val="222222"/>
          <w:sz w:val="24"/>
          <w:szCs w:val="24"/>
          <w:shd w:val="clear" w:color="auto" w:fill="FFFFFF"/>
        </w:rPr>
        <w:t xml:space="preserve">2012 </w:t>
      </w:r>
      <w:r w:rsidR="00533DDB">
        <w:rPr>
          <w:color w:val="222222"/>
          <w:sz w:val="24"/>
          <w:szCs w:val="24"/>
          <w:shd w:val="clear" w:color="auto" w:fill="FFFFFF"/>
        </w:rPr>
        <w:t xml:space="preserve">bylo </w:t>
      </w:r>
      <w:r w:rsidRPr="00784FE5">
        <w:rPr>
          <w:color w:val="222222"/>
          <w:sz w:val="24"/>
          <w:szCs w:val="24"/>
          <w:shd w:val="clear" w:color="auto" w:fill="FFFFFF"/>
        </w:rPr>
        <w:t xml:space="preserve">80, 2013 </w:t>
      </w:r>
      <w:r w:rsidR="00533DDB">
        <w:rPr>
          <w:color w:val="222222"/>
          <w:sz w:val="24"/>
          <w:szCs w:val="24"/>
          <w:shd w:val="clear" w:color="auto" w:fill="FFFFFF"/>
        </w:rPr>
        <w:t xml:space="preserve">bylo </w:t>
      </w:r>
      <w:r w:rsidRPr="00784FE5">
        <w:rPr>
          <w:color w:val="222222"/>
          <w:sz w:val="24"/>
          <w:szCs w:val="24"/>
          <w:shd w:val="clear" w:color="auto" w:fill="FFFFFF"/>
        </w:rPr>
        <w:t xml:space="preserve">96 a za 2014 </w:t>
      </w:r>
      <w:r w:rsidR="00533DDB">
        <w:rPr>
          <w:color w:val="222222"/>
          <w:sz w:val="24"/>
          <w:szCs w:val="24"/>
          <w:shd w:val="clear" w:color="auto" w:fill="FFFFFF"/>
        </w:rPr>
        <w:t xml:space="preserve">bylo </w:t>
      </w:r>
      <w:r w:rsidRPr="00784FE5">
        <w:rPr>
          <w:color w:val="222222"/>
          <w:sz w:val="24"/>
          <w:szCs w:val="24"/>
          <w:shd w:val="clear" w:color="auto" w:fill="FFFFFF"/>
        </w:rPr>
        <w:t>117</w:t>
      </w:r>
      <w:r w:rsidR="00533DDB">
        <w:rPr>
          <w:color w:val="222222"/>
          <w:sz w:val="24"/>
          <w:szCs w:val="24"/>
          <w:shd w:val="clear" w:color="auto" w:fill="FFFFFF"/>
        </w:rPr>
        <w:t xml:space="preserve"> opatření</w:t>
      </w:r>
      <w:r w:rsidRPr="00784FE5">
        <w:rPr>
          <w:color w:val="222222"/>
          <w:sz w:val="24"/>
          <w:szCs w:val="24"/>
          <w:shd w:val="clear" w:color="auto" w:fill="FFFFFF"/>
        </w:rPr>
        <w:t>.</w:t>
      </w:r>
      <w:r w:rsidRPr="00784FE5">
        <w:rPr>
          <w:rStyle w:val="apple-converted-space"/>
          <w:color w:val="222222"/>
          <w:sz w:val="24"/>
          <w:szCs w:val="24"/>
          <w:shd w:val="clear" w:color="auto" w:fill="FFFFFF"/>
        </w:rPr>
        <w:t> </w:t>
      </w:r>
      <w:r w:rsidRPr="00784FE5">
        <w:rPr>
          <w:color w:val="222222"/>
          <w:sz w:val="24"/>
          <w:szCs w:val="24"/>
          <w:shd w:val="clear" w:color="auto" w:fill="FFFFFF"/>
        </w:rPr>
        <w:t>Z těchto čísel je patrné, jak na nebezpečnost hazardu oproti jiným závislostem pohlíže</w:t>
      </w:r>
      <w:r w:rsidR="00533DDB">
        <w:rPr>
          <w:color w:val="222222"/>
          <w:sz w:val="24"/>
          <w:szCs w:val="24"/>
          <w:shd w:val="clear" w:color="auto" w:fill="FFFFFF"/>
        </w:rPr>
        <w:t>ly soudy v</w:t>
      </w:r>
      <w:r w:rsidRPr="00784FE5">
        <w:rPr>
          <w:color w:val="222222"/>
          <w:sz w:val="24"/>
          <w:szCs w:val="24"/>
          <w:shd w:val="clear" w:color="auto" w:fill="FFFFFF"/>
        </w:rPr>
        <w:t xml:space="preserve"> let</w:t>
      </w:r>
      <w:r w:rsidR="00533DDB">
        <w:rPr>
          <w:color w:val="222222"/>
          <w:sz w:val="24"/>
          <w:szCs w:val="24"/>
          <w:shd w:val="clear" w:color="auto" w:fill="FFFFFF"/>
        </w:rPr>
        <w:t>ech 2012-</w:t>
      </w:r>
      <w:r w:rsidRPr="00784FE5">
        <w:rPr>
          <w:color w:val="222222"/>
          <w:sz w:val="24"/>
          <w:szCs w:val="24"/>
          <w:shd w:val="clear" w:color="auto" w:fill="FFFFFF"/>
        </w:rPr>
        <w:t>14.</w:t>
      </w:r>
      <w:r w:rsidR="00127951">
        <w:rPr>
          <w:rStyle w:val="Znakapoznpodarou"/>
          <w:color w:val="222222"/>
          <w:sz w:val="24"/>
          <w:szCs w:val="24"/>
          <w:shd w:val="clear" w:color="auto" w:fill="FFFFFF"/>
        </w:rPr>
        <w:footnoteReference w:id="24"/>
      </w:r>
    </w:p>
    <w:p w:rsidR="00D4101C" w:rsidRPr="00784FE5" w:rsidRDefault="00D4101C" w:rsidP="004306DF">
      <w:pPr>
        <w:pStyle w:val="Zkladntext"/>
        <w:widowControl w:val="0"/>
        <w:spacing w:before="120" w:after="0" w:line="240" w:lineRule="auto"/>
        <w:rPr>
          <w:sz w:val="24"/>
          <w:szCs w:val="24"/>
        </w:rPr>
      </w:pPr>
    </w:p>
    <w:p w:rsidR="00052F3D" w:rsidRDefault="00052F3D" w:rsidP="004306DF">
      <w:pPr>
        <w:pStyle w:val="Nadpis2"/>
        <w:spacing w:before="120" w:after="0" w:line="240" w:lineRule="auto"/>
        <w:rPr>
          <w:b/>
          <w:sz w:val="24"/>
          <w:szCs w:val="24"/>
        </w:rPr>
      </w:pPr>
      <w:bookmarkStart w:id="7" w:name="_Ref479355445"/>
      <w:bookmarkStart w:id="8" w:name="_Toc480010170"/>
      <w:r w:rsidRPr="00784FE5">
        <w:rPr>
          <w:b/>
          <w:sz w:val="24"/>
          <w:szCs w:val="24"/>
        </w:rPr>
        <w:t>Zákon o hazardních hrách</w:t>
      </w:r>
      <w:bookmarkEnd w:id="7"/>
      <w:bookmarkEnd w:id="8"/>
    </w:p>
    <w:p w:rsidR="00DB3B0D" w:rsidRPr="00DB3B0D" w:rsidRDefault="00DB3B0D" w:rsidP="00DB3B0D">
      <w:pPr>
        <w:pStyle w:val="Zkladntext"/>
      </w:pPr>
    </w:p>
    <w:p w:rsidR="001911E8" w:rsidRPr="004306DF" w:rsidRDefault="006B658E" w:rsidP="004306DF">
      <w:pPr>
        <w:pStyle w:val="Zkladntext"/>
        <w:widowControl w:val="0"/>
        <w:spacing w:before="120" w:after="0" w:line="240" w:lineRule="auto"/>
        <w:rPr>
          <w:sz w:val="24"/>
          <w:szCs w:val="24"/>
        </w:rPr>
      </w:pPr>
      <w:r w:rsidRPr="00784FE5">
        <w:rPr>
          <w:sz w:val="24"/>
          <w:szCs w:val="24"/>
        </w:rPr>
        <w:t>Studie nezohlednila právní vývoj, který dospěl v oblasti regulace her, včetně regulace</w:t>
      </w:r>
      <w:r w:rsidRPr="004306DF">
        <w:rPr>
          <w:sz w:val="24"/>
          <w:szCs w:val="24"/>
        </w:rPr>
        <w:t xml:space="preserve"> provozu výherních hracích přístrojů, ke značným změnám. I pokud by tedy byly závěry uvedené ve Studii jakkoli relevantní, týkaly se situace před 1. 1. 2017. </w:t>
      </w:r>
      <w:r w:rsidR="005E4959" w:rsidRPr="004306DF">
        <w:rPr>
          <w:sz w:val="24"/>
          <w:szCs w:val="24"/>
        </w:rPr>
        <w:t>To je však zásadní chyba. Zpracovatelům musel být obsah připravované zákonné změny znám ještě před účinností zákona č. 186/2016 Sb., o hazardních hrách k 1. 1. 2017, neboť zákon byl přijat již 26. 5. 2016</w:t>
      </w:r>
      <w:r w:rsidR="008E0ABA">
        <w:rPr>
          <w:sz w:val="24"/>
          <w:szCs w:val="24"/>
        </w:rPr>
        <w:t>. P</w:t>
      </w:r>
      <w:r w:rsidR="005E4959" w:rsidRPr="004306DF">
        <w:rPr>
          <w:sz w:val="24"/>
          <w:szCs w:val="24"/>
        </w:rPr>
        <w:t xml:space="preserve">ublikován ve Sbírce zákonů byl 15. 6. 2016. Pokud tedy </w:t>
      </w:r>
      <w:r w:rsidR="00127951">
        <w:rPr>
          <w:sz w:val="24"/>
          <w:szCs w:val="24"/>
        </w:rPr>
        <w:t xml:space="preserve">autoři </w:t>
      </w:r>
      <w:r w:rsidR="005E4959" w:rsidRPr="004306DF">
        <w:rPr>
          <w:sz w:val="24"/>
          <w:szCs w:val="24"/>
        </w:rPr>
        <w:t xml:space="preserve">vůbec nezapracovali do </w:t>
      </w:r>
      <w:r w:rsidR="005245EE" w:rsidRPr="004306DF">
        <w:rPr>
          <w:sz w:val="24"/>
          <w:szCs w:val="24"/>
        </w:rPr>
        <w:t>S</w:t>
      </w:r>
      <w:r w:rsidR="005E4959" w:rsidRPr="004306DF">
        <w:rPr>
          <w:sz w:val="24"/>
          <w:szCs w:val="24"/>
        </w:rPr>
        <w:t xml:space="preserve">tudie tuto významnou zákonnou změnu, je </w:t>
      </w:r>
      <w:r w:rsidR="005245EE" w:rsidRPr="004306DF">
        <w:rPr>
          <w:sz w:val="24"/>
          <w:szCs w:val="24"/>
        </w:rPr>
        <w:t>S</w:t>
      </w:r>
      <w:r w:rsidR="005E4959" w:rsidRPr="004306DF">
        <w:rPr>
          <w:sz w:val="24"/>
          <w:szCs w:val="24"/>
        </w:rPr>
        <w:t>tudie matoucí, nevypovídající a již při svém publikování zastaral</w:t>
      </w:r>
      <w:r w:rsidR="001911E8" w:rsidRPr="004306DF">
        <w:rPr>
          <w:sz w:val="24"/>
          <w:szCs w:val="24"/>
        </w:rPr>
        <w:t xml:space="preserve">á. Pokud šlo o záměr, lze </w:t>
      </w:r>
      <w:r w:rsidR="005245EE" w:rsidRPr="004306DF">
        <w:rPr>
          <w:sz w:val="24"/>
          <w:szCs w:val="24"/>
        </w:rPr>
        <w:t>S</w:t>
      </w:r>
      <w:r w:rsidR="001911E8" w:rsidRPr="004306DF">
        <w:rPr>
          <w:sz w:val="24"/>
          <w:szCs w:val="24"/>
        </w:rPr>
        <w:t xml:space="preserve">tudii hodnotit jako nevědeckou </w:t>
      </w:r>
      <w:r w:rsidR="00127951">
        <w:rPr>
          <w:sz w:val="24"/>
          <w:szCs w:val="24"/>
        </w:rPr>
        <w:t>se</w:t>
      </w:r>
      <w:r w:rsidR="001911E8" w:rsidRPr="004306DF">
        <w:rPr>
          <w:sz w:val="24"/>
          <w:szCs w:val="24"/>
        </w:rPr>
        <w:t xml:space="preserve"> snahou vyvolat klamavý dojem o aktuální legislativní situaci.</w:t>
      </w:r>
    </w:p>
    <w:p w:rsidR="00BB6C76" w:rsidRPr="004306DF" w:rsidRDefault="006B658E" w:rsidP="004306DF">
      <w:pPr>
        <w:pStyle w:val="Zkladntext"/>
        <w:widowControl w:val="0"/>
        <w:spacing w:before="120" w:after="0" w:line="240" w:lineRule="auto"/>
        <w:rPr>
          <w:sz w:val="24"/>
          <w:szCs w:val="24"/>
        </w:rPr>
      </w:pPr>
      <w:r w:rsidRPr="004306DF">
        <w:rPr>
          <w:sz w:val="24"/>
          <w:szCs w:val="24"/>
        </w:rPr>
        <w:t>Tuto skutečnost dokládá například následující část Studie: „</w:t>
      </w:r>
      <w:r w:rsidRPr="004306DF">
        <w:rPr>
          <w:i/>
          <w:sz w:val="24"/>
          <w:szCs w:val="24"/>
        </w:rPr>
        <w:t>K některým kriminálním činům dochází zvlášť v noční době. Mnohdy jediným „veřejným“ místem v noci jsou právě herny a</w:t>
      </w:r>
      <w:r w:rsidR="005F1BF3" w:rsidRPr="004306DF">
        <w:rPr>
          <w:i/>
          <w:sz w:val="24"/>
          <w:szCs w:val="24"/>
        </w:rPr>
        <w:t> </w:t>
      </w:r>
      <w:r w:rsidRPr="004306DF">
        <w:rPr>
          <w:i/>
          <w:sz w:val="24"/>
          <w:szCs w:val="24"/>
        </w:rPr>
        <w:t>kasina. Noční provoz heren nejčastěji postrádá racionální důvody</w:t>
      </w:r>
      <w:r w:rsidR="005F1BF3" w:rsidRPr="004306DF">
        <w:rPr>
          <w:i/>
          <w:sz w:val="24"/>
          <w:szCs w:val="24"/>
        </w:rPr>
        <w:t>, a proto taky logickým krokem je jeho zákaz v nočních hodinách.</w:t>
      </w:r>
      <w:r w:rsidR="005F1BF3" w:rsidRPr="004306DF">
        <w:rPr>
          <w:sz w:val="24"/>
          <w:szCs w:val="24"/>
        </w:rPr>
        <w:t>“</w:t>
      </w:r>
      <w:r w:rsidR="005F1BF3" w:rsidRPr="004306DF">
        <w:rPr>
          <w:rStyle w:val="Znakapoznpodarou"/>
          <w:sz w:val="24"/>
          <w:szCs w:val="24"/>
        </w:rPr>
        <w:footnoteReference w:id="25"/>
      </w:r>
      <w:r w:rsidR="00B675D1" w:rsidRPr="004306DF">
        <w:rPr>
          <w:sz w:val="24"/>
          <w:szCs w:val="24"/>
        </w:rPr>
        <w:t xml:space="preserve"> Podle ustanovení § 67 odst. 3 z</w:t>
      </w:r>
      <w:r w:rsidR="005F1BF3" w:rsidRPr="004306DF">
        <w:rPr>
          <w:sz w:val="24"/>
          <w:szCs w:val="24"/>
        </w:rPr>
        <w:t xml:space="preserve">ákona o hazardních hrách přitom nesmí být herna provozována v době od 3:00 </w:t>
      </w:r>
      <w:r w:rsidR="005F1BF3" w:rsidRPr="004306DF">
        <w:rPr>
          <w:sz w:val="24"/>
          <w:szCs w:val="24"/>
        </w:rPr>
        <w:lastRenderedPageBreak/>
        <w:t xml:space="preserve">do 10:00 hodin. V době zveřejnění Studie se </w:t>
      </w:r>
      <w:r w:rsidR="005245EE" w:rsidRPr="004306DF">
        <w:rPr>
          <w:sz w:val="24"/>
          <w:szCs w:val="24"/>
        </w:rPr>
        <w:t>tedy změnil tento problém radikálně změnou zákona.</w:t>
      </w:r>
    </w:p>
    <w:p w:rsidR="005F1BF3" w:rsidRPr="004306DF" w:rsidRDefault="005F1BF3" w:rsidP="004306DF">
      <w:pPr>
        <w:pStyle w:val="Zkladntext"/>
        <w:widowControl w:val="0"/>
        <w:spacing w:before="120" w:after="0" w:line="240" w:lineRule="auto"/>
        <w:rPr>
          <w:sz w:val="24"/>
          <w:szCs w:val="24"/>
        </w:rPr>
      </w:pPr>
      <w:r w:rsidRPr="004306DF">
        <w:rPr>
          <w:sz w:val="24"/>
          <w:szCs w:val="24"/>
        </w:rPr>
        <w:t xml:space="preserve">Podobně je tomu i co do závěrů o závislosti osob, které se nacházejí v existenčních problémech. Studie používá opakovaně četnost exekučních řízení. Jejich důvodem </w:t>
      </w:r>
      <w:r w:rsidR="00791063">
        <w:rPr>
          <w:sz w:val="24"/>
          <w:szCs w:val="24"/>
        </w:rPr>
        <w:t>však</w:t>
      </w:r>
      <w:r w:rsidRPr="004306DF">
        <w:rPr>
          <w:sz w:val="24"/>
          <w:szCs w:val="24"/>
        </w:rPr>
        <w:t xml:space="preserve"> nemusí být nutně předluženost</w:t>
      </w:r>
      <w:r w:rsidR="0048280F" w:rsidRPr="004306DF">
        <w:rPr>
          <w:sz w:val="24"/>
          <w:szCs w:val="24"/>
        </w:rPr>
        <w:t xml:space="preserve"> osob</w:t>
      </w:r>
      <w:r w:rsidRPr="004306DF">
        <w:rPr>
          <w:sz w:val="24"/>
          <w:szCs w:val="24"/>
        </w:rPr>
        <w:t>, ale pouze neochota</w:t>
      </w:r>
      <w:r w:rsidR="0048280F" w:rsidRPr="004306DF">
        <w:rPr>
          <w:sz w:val="24"/>
          <w:szCs w:val="24"/>
        </w:rPr>
        <w:t xml:space="preserve"> dluhy</w:t>
      </w:r>
      <w:r w:rsidRPr="004306DF">
        <w:rPr>
          <w:sz w:val="24"/>
          <w:szCs w:val="24"/>
        </w:rPr>
        <w:t xml:space="preserve"> splácet. Zákon o hazardních hrách však v § 16 zakazuje osobám, u nichž byl pravomocně zjištěn úpadek, přístup do heren a kasin. Tak tomu bude i u řady dalších osob zapsaných v</w:t>
      </w:r>
      <w:r w:rsidR="0048280F" w:rsidRPr="004306DF">
        <w:rPr>
          <w:sz w:val="24"/>
          <w:szCs w:val="24"/>
        </w:rPr>
        <w:t> </w:t>
      </w:r>
      <w:r w:rsidRPr="004306DF">
        <w:rPr>
          <w:sz w:val="24"/>
          <w:szCs w:val="24"/>
        </w:rPr>
        <w:t xml:space="preserve">rejstříku fyzických osob vyloučených z účasti na </w:t>
      </w:r>
      <w:bookmarkStart w:id="9" w:name="highlightHit_166"/>
      <w:bookmarkStart w:id="10" w:name="highlightHit_167"/>
      <w:bookmarkEnd w:id="9"/>
      <w:bookmarkEnd w:id="10"/>
      <w:r w:rsidRPr="004306DF">
        <w:rPr>
          <w:sz w:val="24"/>
          <w:szCs w:val="24"/>
        </w:rPr>
        <w:t xml:space="preserve">hrách </w:t>
      </w:r>
      <w:r w:rsidR="00791063">
        <w:rPr>
          <w:sz w:val="24"/>
          <w:szCs w:val="24"/>
        </w:rPr>
        <w:t>dle</w:t>
      </w:r>
      <w:r w:rsidRPr="004306DF">
        <w:rPr>
          <w:sz w:val="24"/>
          <w:szCs w:val="24"/>
        </w:rPr>
        <w:t xml:space="preserve"> § 16 </w:t>
      </w:r>
      <w:r w:rsidR="005245EE" w:rsidRPr="004306DF">
        <w:rPr>
          <w:sz w:val="24"/>
          <w:szCs w:val="24"/>
        </w:rPr>
        <w:t>z</w:t>
      </w:r>
      <w:r w:rsidRPr="004306DF">
        <w:rPr>
          <w:sz w:val="24"/>
          <w:szCs w:val="24"/>
        </w:rPr>
        <w:t>ákona o</w:t>
      </w:r>
      <w:r w:rsidR="0048280F" w:rsidRPr="004306DF">
        <w:rPr>
          <w:sz w:val="24"/>
          <w:szCs w:val="24"/>
        </w:rPr>
        <w:t> </w:t>
      </w:r>
      <w:r w:rsidRPr="004306DF">
        <w:rPr>
          <w:sz w:val="24"/>
          <w:szCs w:val="24"/>
        </w:rPr>
        <w:t>hazardních hrách. Bude se jednat například o osoby se zákazem takové činnosti, nebo</w:t>
      </w:r>
      <w:r w:rsidR="0048280F" w:rsidRPr="004306DF">
        <w:rPr>
          <w:sz w:val="24"/>
          <w:szCs w:val="24"/>
        </w:rPr>
        <w:t xml:space="preserve"> o osoby</w:t>
      </w:r>
      <w:r w:rsidRPr="004306DF">
        <w:rPr>
          <w:sz w:val="24"/>
          <w:szCs w:val="24"/>
        </w:rPr>
        <w:t xml:space="preserve"> s uloženým předběžným opatřením. </w:t>
      </w:r>
    </w:p>
    <w:p w:rsidR="0048280F" w:rsidRPr="004306DF" w:rsidRDefault="00604D5D" w:rsidP="004306DF">
      <w:pPr>
        <w:pStyle w:val="Zkladntext"/>
        <w:widowControl w:val="0"/>
        <w:spacing w:before="120" w:after="0" w:line="240" w:lineRule="auto"/>
        <w:rPr>
          <w:sz w:val="24"/>
          <w:szCs w:val="24"/>
        </w:rPr>
      </w:pPr>
      <w:r w:rsidRPr="004306DF">
        <w:rPr>
          <w:sz w:val="24"/>
          <w:szCs w:val="24"/>
        </w:rPr>
        <w:t xml:space="preserve">Studie uvádí také případy osob, s nimiž se její autoři setkali, kterým se nedaří zbavit </w:t>
      </w:r>
      <w:r w:rsidR="00591630">
        <w:rPr>
          <w:sz w:val="24"/>
          <w:szCs w:val="24"/>
        </w:rPr>
        <w:t xml:space="preserve">se </w:t>
      </w:r>
      <w:r w:rsidRPr="004306DF">
        <w:rPr>
          <w:sz w:val="24"/>
          <w:szCs w:val="24"/>
        </w:rPr>
        <w:t xml:space="preserve">závislosti na výherních hracích přístrojích, přitom mají k tomuto alespoň v určité </w:t>
      </w:r>
      <w:r w:rsidR="0048280F" w:rsidRPr="004306DF">
        <w:rPr>
          <w:sz w:val="24"/>
          <w:szCs w:val="24"/>
        </w:rPr>
        <w:t>chvíli rozhodnou</w:t>
      </w:r>
      <w:r w:rsidRPr="004306DF">
        <w:rPr>
          <w:sz w:val="24"/>
          <w:szCs w:val="24"/>
        </w:rPr>
        <w:t xml:space="preserve"> vůli. Tyto osoby se </w:t>
      </w:r>
      <w:r w:rsidR="0048280F" w:rsidRPr="004306DF">
        <w:rPr>
          <w:sz w:val="24"/>
          <w:szCs w:val="24"/>
        </w:rPr>
        <w:t xml:space="preserve">přitom </w:t>
      </w:r>
      <w:r w:rsidRPr="004306DF">
        <w:rPr>
          <w:sz w:val="24"/>
          <w:szCs w:val="24"/>
        </w:rPr>
        <w:t xml:space="preserve">mohou dobrovolně zapsat </w:t>
      </w:r>
      <w:r w:rsidR="00127951">
        <w:rPr>
          <w:sz w:val="24"/>
          <w:szCs w:val="24"/>
        </w:rPr>
        <w:t>do</w:t>
      </w:r>
      <w:r w:rsidRPr="004306DF">
        <w:rPr>
          <w:sz w:val="24"/>
          <w:szCs w:val="24"/>
        </w:rPr>
        <w:t xml:space="preserve"> rejstříku fyzických osob vyloučených z účasti na hazardních hrách. Výmaz z rejstříku lze provést na žádost </w:t>
      </w:r>
      <w:r w:rsidR="0048280F" w:rsidRPr="004306DF">
        <w:rPr>
          <w:sz w:val="24"/>
          <w:szCs w:val="24"/>
        </w:rPr>
        <w:t xml:space="preserve">osob </w:t>
      </w:r>
      <w:r w:rsidRPr="004306DF">
        <w:rPr>
          <w:sz w:val="24"/>
          <w:szCs w:val="24"/>
        </w:rPr>
        <w:t>nejdříve po uplynutí jednoho roku ode dne zápisu.</w:t>
      </w:r>
      <w:r w:rsidRPr="004306DF">
        <w:rPr>
          <w:rStyle w:val="Znakapoznpodarou"/>
          <w:sz w:val="24"/>
          <w:szCs w:val="24"/>
        </w:rPr>
        <w:footnoteReference w:id="26"/>
      </w:r>
    </w:p>
    <w:p w:rsidR="007B007D" w:rsidRPr="004306DF" w:rsidRDefault="00604D5D" w:rsidP="004306DF">
      <w:pPr>
        <w:pStyle w:val="Zkladntext"/>
        <w:widowControl w:val="0"/>
        <w:spacing w:before="120" w:after="0" w:line="240" w:lineRule="auto"/>
        <w:rPr>
          <w:sz w:val="24"/>
          <w:szCs w:val="24"/>
        </w:rPr>
      </w:pPr>
      <w:r w:rsidRPr="004306DF">
        <w:rPr>
          <w:sz w:val="24"/>
          <w:szCs w:val="24"/>
        </w:rPr>
        <w:t>Zákon o hazardních hrách upravuje i řadu dalších opatření směřujících k odpovědnému hraní,</w:t>
      </w:r>
      <w:r w:rsidRPr="004306DF">
        <w:rPr>
          <w:rStyle w:val="Znakapoznpodarou"/>
          <w:sz w:val="24"/>
          <w:szCs w:val="24"/>
        </w:rPr>
        <w:footnoteReference w:id="27"/>
      </w:r>
      <w:r w:rsidR="0048280F" w:rsidRPr="004306DF">
        <w:rPr>
          <w:sz w:val="24"/>
          <w:szCs w:val="24"/>
        </w:rPr>
        <w:t xml:space="preserve"> což není ve Studii</w:t>
      </w:r>
      <w:r w:rsidRPr="004306DF">
        <w:rPr>
          <w:sz w:val="24"/>
          <w:szCs w:val="24"/>
        </w:rPr>
        <w:t xml:space="preserve"> blíže jakkoli reflektováno, stejně jako přijetí zákona č.</w:t>
      </w:r>
      <w:r w:rsidR="00D21D45">
        <w:rPr>
          <w:sz w:val="24"/>
          <w:szCs w:val="24"/>
        </w:rPr>
        <w:t xml:space="preserve"> </w:t>
      </w:r>
      <w:r w:rsidRPr="004306DF">
        <w:rPr>
          <w:sz w:val="24"/>
          <w:szCs w:val="24"/>
        </w:rPr>
        <w:t xml:space="preserve">187/2016 </w:t>
      </w:r>
      <w:r w:rsidR="00D21D45">
        <w:rPr>
          <w:sz w:val="24"/>
          <w:szCs w:val="24"/>
        </w:rPr>
        <w:t>Sb., o dani z hazardních her.</w:t>
      </w:r>
    </w:p>
    <w:p w:rsidR="001F220C" w:rsidRDefault="001F220C" w:rsidP="00EC4899">
      <w:pPr>
        <w:pStyle w:val="Nadpis1"/>
        <w:keepNext w:val="0"/>
        <w:pageBreakBefore/>
        <w:widowControl w:val="0"/>
        <w:spacing w:before="120" w:after="0" w:line="240" w:lineRule="auto"/>
        <w:rPr>
          <w:sz w:val="24"/>
          <w:szCs w:val="24"/>
        </w:rPr>
      </w:pPr>
      <w:bookmarkStart w:id="11" w:name="_Toc480010171"/>
      <w:r w:rsidRPr="00EC4899">
        <w:rPr>
          <w:sz w:val="24"/>
          <w:szCs w:val="24"/>
        </w:rPr>
        <w:lastRenderedPageBreak/>
        <w:t>Konkrétní připomínky</w:t>
      </w:r>
      <w:bookmarkEnd w:id="11"/>
    </w:p>
    <w:p w:rsidR="00D4101C" w:rsidRPr="00D4101C" w:rsidRDefault="00D4101C" w:rsidP="00D4101C">
      <w:pPr>
        <w:pStyle w:val="Zkladntext"/>
      </w:pPr>
    </w:p>
    <w:p w:rsidR="00E55179" w:rsidRDefault="00E55179" w:rsidP="00EC4899">
      <w:pPr>
        <w:pStyle w:val="Nadpis2"/>
        <w:spacing w:before="120" w:after="0" w:line="240" w:lineRule="auto"/>
        <w:rPr>
          <w:b/>
          <w:sz w:val="24"/>
          <w:szCs w:val="24"/>
        </w:rPr>
      </w:pPr>
      <w:bookmarkStart w:id="12" w:name="_Toc480010172"/>
      <w:r w:rsidRPr="00EC4899">
        <w:rPr>
          <w:b/>
          <w:sz w:val="24"/>
          <w:szCs w:val="24"/>
        </w:rPr>
        <w:t>Ukazatel vstřícnosti hazardu</w:t>
      </w:r>
      <w:r w:rsidR="00EC4899" w:rsidRPr="00EC4899">
        <w:rPr>
          <w:b/>
          <w:sz w:val="24"/>
          <w:szCs w:val="24"/>
        </w:rPr>
        <w:t>, problematičnost konkrétních příkladů</w:t>
      </w:r>
      <w:bookmarkEnd w:id="12"/>
    </w:p>
    <w:p w:rsidR="00DB3B0D" w:rsidRPr="00DB3B0D" w:rsidRDefault="00DB3B0D" w:rsidP="00DB3B0D">
      <w:pPr>
        <w:pStyle w:val="Zkladntext"/>
      </w:pPr>
    </w:p>
    <w:p w:rsidR="004306DF" w:rsidRPr="00EC4899" w:rsidRDefault="004306DF" w:rsidP="00EC4899">
      <w:pPr>
        <w:pStyle w:val="Nadpis2"/>
        <w:numPr>
          <w:ilvl w:val="0"/>
          <w:numId w:val="0"/>
        </w:numPr>
        <w:spacing w:before="120" w:after="0" w:line="240" w:lineRule="auto"/>
        <w:ind w:left="624"/>
        <w:rPr>
          <w:sz w:val="24"/>
          <w:szCs w:val="24"/>
        </w:rPr>
      </w:pPr>
      <w:bookmarkStart w:id="13" w:name="_Toc480010173"/>
      <w:r w:rsidRPr="00EC4899">
        <w:rPr>
          <w:sz w:val="24"/>
          <w:szCs w:val="24"/>
        </w:rPr>
        <w:t>U</w:t>
      </w:r>
      <w:r w:rsidR="001F220C" w:rsidRPr="00EC4899">
        <w:rPr>
          <w:sz w:val="24"/>
          <w:szCs w:val="24"/>
        </w:rPr>
        <w:t>kazatel vstřícnosti k hazardu je metodologicky špatně nastaven: jde o přepočet obyvatel obce připadajících na hrací přístroj. Je pak zřejmé, že nejvyšší míru vykazují atraktivní turistická centra (Praha 1, Kutná Hora, Mikulov), lázeňská místa (Mariánské Lázně, Teplice, Poděbrady, Karlovy Vary či Luhačovice) či místa na státních hranicích (Aš, Hodonín, Znojmo), kde je osob pohybujících se v dané lokalitě výrazně vyšší než počet místních obyvatel.</w:t>
      </w:r>
      <w:r w:rsidR="0070069D" w:rsidRPr="00EC4899">
        <w:rPr>
          <w:sz w:val="24"/>
          <w:szCs w:val="24"/>
        </w:rPr>
        <w:t xml:space="preserve"> </w:t>
      </w:r>
      <w:r w:rsidR="0090713B" w:rsidRPr="00EC4899">
        <w:rPr>
          <w:sz w:val="24"/>
          <w:szCs w:val="24"/>
        </w:rPr>
        <w:t>Praha 1 je typickou částí města, kde je sice k pobytu hlášeno jen asi 30 000 obyvatel, ale pohybují se v ní statisíce lidí. Zjišťovat tedy index jen s přihlédnutím k oficiálnímu počtu trvale přihlášený</w:t>
      </w:r>
      <w:r w:rsidR="00F7348F">
        <w:rPr>
          <w:sz w:val="24"/>
          <w:szCs w:val="24"/>
        </w:rPr>
        <w:t>ch</w:t>
      </w:r>
      <w:r w:rsidR="0090713B" w:rsidRPr="00EC4899">
        <w:rPr>
          <w:sz w:val="24"/>
          <w:szCs w:val="24"/>
        </w:rPr>
        <w:t xml:space="preserve"> obyvatel je zcela nevypovídající.</w:t>
      </w:r>
      <w:r w:rsidRPr="00EC4899">
        <w:rPr>
          <w:sz w:val="24"/>
          <w:szCs w:val="24"/>
        </w:rPr>
        <w:t xml:space="preserve"> První místo žebříčku míry vstřícnosti k hazardu v rámci Č</w:t>
      </w:r>
      <w:r w:rsidR="00153868">
        <w:rPr>
          <w:sz w:val="24"/>
          <w:szCs w:val="24"/>
        </w:rPr>
        <w:t>ech, Moravy a Slezska</w:t>
      </w:r>
      <w:r w:rsidRPr="00EC4899">
        <w:rPr>
          <w:sz w:val="24"/>
          <w:szCs w:val="24"/>
        </w:rPr>
        <w:t xml:space="preserve"> zaujala </w:t>
      </w:r>
      <w:r w:rsidRPr="00153868">
        <w:rPr>
          <w:sz w:val="24"/>
          <w:szCs w:val="24"/>
        </w:rPr>
        <w:t>Praha</w:t>
      </w:r>
      <w:r w:rsidR="00E55179" w:rsidRPr="00153868">
        <w:rPr>
          <w:sz w:val="24"/>
          <w:szCs w:val="24"/>
        </w:rPr>
        <w:t xml:space="preserve"> </w:t>
      </w:r>
      <w:r w:rsidRPr="00153868">
        <w:rPr>
          <w:sz w:val="24"/>
          <w:szCs w:val="24"/>
        </w:rPr>
        <w:t>1</w:t>
      </w:r>
      <w:r w:rsidRPr="00EC4899">
        <w:rPr>
          <w:sz w:val="24"/>
          <w:szCs w:val="24"/>
        </w:rPr>
        <w:t xml:space="preserve">, zde jsou však pominuta následující fakta: </w:t>
      </w:r>
      <w:r w:rsidR="00E55179" w:rsidRPr="00EC4899">
        <w:rPr>
          <w:sz w:val="24"/>
          <w:szCs w:val="24"/>
        </w:rPr>
        <w:t>městská část</w:t>
      </w:r>
      <w:r w:rsidRPr="00EC4899">
        <w:rPr>
          <w:sz w:val="24"/>
          <w:szCs w:val="24"/>
        </w:rPr>
        <w:t xml:space="preserve"> je součástí hlavního města, což s sebou nese vždy vyšší míru kriminality; množství osob, které se zde skutečně pohybují</w:t>
      </w:r>
      <w:r w:rsidR="00EC4899" w:rsidRPr="00EC4899">
        <w:rPr>
          <w:sz w:val="24"/>
          <w:szCs w:val="24"/>
        </w:rPr>
        <w:t>,</w:t>
      </w:r>
      <w:r w:rsidRPr="00EC4899">
        <w:rPr>
          <w:sz w:val="24"/>
          <w:szCs w:val="24"/>
        </w:rPr>
        <w:t xml:space="preserve"> mnohonásobně převyšuje počet osob, které jsou zde trvale registrovány; většinu návštěvníků provozoven s hracími přístroji tvoří turist</w:t>
      </w:r>
      <w:r w:rsidR="008311DC">
        <w:rPr>
          <w:sz w:val="24"/>
          <w:szCs w:val="24"/>
        </w:rPr>
        <w:t>é</w:t>
      </w:r>
      <w:r w:rsidRPr="00EC4899">
        <w:rPr>
          <w:sz w:val="24"/>
          <w:szCs w:val="24"/>
        </w:rPr>
        <w:t>.</w:t>
      </w:r>
      <w:r w:rsidRPr="00EC4899">
        <w:rPr>
          <w:rStyle w:val="Znakapoznpodarou"/>
          <w:sz w:val="24"/>
          <w:szCs w:val="24"/>
        </w:rPr>
        <w:footnoteReference w:id="28"/>
      </w:r>
      <w:bookmarkEnd w:id="13"/>
    </w:p>
    <w:p w:rsidR="00EC4899" w:rsidRPr="00EC4899" w:rsidRDefault="004306DF" w:rsidP="00EC4899">
      <w:pPr>
        <w:spacing w:before="120" w:after="0" w:line="240" w:lineRule="auto"/>
        <w:rPr>
          <w:sz w:val="24"/>
        </w:rPr>
      </w:pPr>
      <w:r w:rsidRPr="00EC4899">
        <w:rPr>
          <w:sz w:val="24"/>
        </w:rPr>
        <w:t>Na straně 9</w:t>
      </w:r>
      <w:r w:rsidRPr="00EC4899">
        <w:rPr>
          <w:b/>
          <w:sz w:val="24"/>
        </w:rPr>
        <w:t xml:space="preserve"> </w:t>
      </w:r>
      <w:r w:rsidR="00EC4899" w:rsidRPr="00EC4899">
        <w:rPr>
          <w:sz w:val="24"/>
        </w:rPr>
        <w:t xml:space="preserve">Studie </w:t>
      </w:r>
      <w:r w:rsidRPr="00EC4899">
        <w:rPr>
          <w:sz w:val="24"/>
        </w:rPr>
        <w:t>na žebříček navazuje tvrzení:</w:t>
      </w:r>
      <w:r w:rsidRPr="00EC4899">
        <w:rPr>
          <w:b/>
          <w:sz w:val="24"/>
        </w:rPr>
        <w:t xml:space="preserve"> </w:t>
      </w:r>
      <w:r w:rsidRPr="00EC4899">
        <w:rPr>
          <w:sz w:val="24"/>
        </w:rPr>
        <w:t>„</w:t>
      </w:r>
      <w:r w:rsidRPr="00EC4899">
        <w:rPr>
          <w:i/>
          <w:sz w:val="24"/>
        </w:rPr>
        <w:t>Obrovské množství hracích přístrojů v Mikulově a Aši je pak spojeno s hazardním turismem z Rakouska a Německa. Všechna tato města bojují zároveň s nadprůměrnou kriminalitou a platí tedy závěr, že z důvodu nemalého turismu lze určitou míru hazardu připustit, ovšem jednak nikoliv v takové míře a jednak při splnění řady předpokladů (viz francouzský model regulace hazardu).</w:t>
      </w:r>
      <w:r w:rsidRPr="00EC4899">
        <w:rPr>
          <w:sz w:val="24"/>
        </w:rPr>
        <w:t>“.</w:t>
      </w:r>
      <w:r w:rsidRPr="00EC4899">
        <w:rPr>
          <w:b/>
          <w:sz w:val="24"/>
        </w:rPr>
        <w:t xml:space="preserve"> </w:t>
      </w:r>
      <w:r w:rsidRPr="00EC4899">
        <w:rPr>
          <w:sz w:val="24"/>
        </w:rPr>
        <w:t>Autoři pomíjejí specifickou situaci v Aši a Mikulově a vytvářejí nepodloženě přímou úměru mezi množstvím hracích přístrojů a výskytem kriminality.</w:t>
      </w:r>
    </w:p>
    <w:p w:rsidR="00EC4899" w:rsidRPr="00EC4899" w:rsidRDefault="004306DF" w:rsidP="00EC4899">
      <w:pPr>
        <w:spacing w:before="120" w:after="0" w:line="240" w:lineRule="auto"/>
        <w:rPr>
          <w:sz w:val="24"/>
        </w:rPr>
      </w:pPr>
      <w:r w:rsidRPr="00EC4899">
        <w:rPr>
          <w:sz w:val="24"/>
        </w:rPr>
        <w:t xml:space="preserve">Přitom podrobnějším zkoumáním problémů v dané lokalitě </w:t>
      </w:r>
      <w:r w:rsidR="00EC4899" w:rsidRPr="00EC4899">
        <w:rPr>
          <w:sz w:val="24"/>
        </w:rPr>
        <w:t xml:space="preserve">a za použití veřejně dostupné </w:t>
      </w:r>
      <w:r w:rsidR="00EC4899" w:rsidRPr="00EC4899">
        <w:rPr>
          <w:i/>
          <w:sz w:val="24"/>
        </w:rPr>
        <w:t>Bezpečnostní analýzy koncepce prevence kriminality Karlovarského kraje</w:t>
      </w:r>
      <w:r w:rsidR="00EC4899" w:rsidRPr="00EC4899">
        <w:rPr>
          <w:sz w:val="24"/>
        </w:rPr>
        <w:t xml:space="preserve"> </w:t>
      </w:r>
      <w:r w:rsidR="002E423F">
        <w:rPr>
          <w:sz w:val="24"/>
        </w:rPr>
        <w:t xml:space="preserve">(dále Analýza) </w:t>
      </w:r>
      <w:r w:rsidRPr="00EC4899">
        <w:rPr>
          <w:sz w:val="24"/>
        </w:rPr>
        <w:t>by autoři poměrně snadno mohli zjistit, že mezi významné kriminogenní faktory, které tedy ovlivňují vývoj trestné činnosti v Karlovarském kraji, kam Aš náleží, patří vyšší míra nezaměstnanosti a zvyšující se podíl občanů, kteří si zdroje obživy i životní úrovně obstarávají kriminální činností. Dalším významným kriminogenním faktorem je existence vyloučených komunit, zejména romského etnika. Za další kriminogenní faktor dlouhodobě ovlivňující situaci v Karlovarském kraji lze považovat vysoký příliv cizinců, kteří se v Karlovarském kraji dopouštějí zejména drogové a majetkové kriminality, a za přetrvávající problém je možné též označit problematiku kapesních krádeží v lázeňských střediscích, vloupání do motorových vozidel či mravnostní trestnou činnost a prostituci, související s vysokou frekvencí turistů.</w:t>
      </w:r>
      <w:r w:rsidRPr="00EC4899">
        <w:rPr>
          <w:rStyle w:val="Znakapoznpodarou"/>
          <w:sz w:val="24"/>
        </w:rPr>
        <w:footnoteReference w:id="29"/>
      </w:r>
    </w:p>
    <w:p w:rsidR="00EC4899" w:rsidRPr="00EC4899" w:rsidRDefault="004306DF" w:rsidP="00EC4899">
      <w:pPr>
        <w:spacing w:before="120" w:after="0" w:line="240" w:lineRule="auto"/>
        <w:rPr>
          <w:b/>
          <w:sz w:val="24"/>
        </w:rPr>
      </w:pPr>
      <w:r w:rsidRPr="00EC4899">
        <w:rPr>
          <w:sz w:val="24"/>
        </w:rPr>
        <w:t xml:space="preserve">Dle Analýzy je prevence v Aši zaměřena především na vytváření nebo podporu nabídky volnočasových aktivit, tvorbu  preventivních programů (besedy na školách) a preventivních opatření (Městský dohlížecí kamerový systém, bezpečné zóny, apod.), realizaci pravidelných preventivních akcí (Den prevence, vyhodnocení Ajaxe, akce se </w:t>
      </w:r>
      <w:r w:rsidRPr="00EC4899">
        <w:rPr>
          <w:sz w:val="24"/>
        </w:rPr>
        <w:lastRenderedPageBreak/>
        <w:t>školami, apod.) a v neposlední řadě vytváření propagačních materiálů na různá témata apod. Jedním z podstatných preventivních opatření je vytvoření Multidisciplinárního týmu (dále jen MDTýmu) a jeho pravidelná činnost.</w:t>
      </w:r>
      <w:r w:rsidR="00EC4899" w:rsidRPr="00EC4899">
        <w:rPr>
          <w:sz w:val="24"/>
        </w:rPr>
        <w:t xml:space="preserve"> </w:t>
      </w:r>
      <w:r w:rsidRPr="00EC4899">
        <w:rPr>
          <w:sz w:val="24"/>
        </w:rPr>
        <w:t xml:space="preserve">Regulace hazardu nepochybně může tvořit dílčí opatření v rámci výše zmíněné prevence (trávení volného času), avšak z Analýzy jasně vyplývá, že samotná existence hazardu není hlavní příčinou kriminality v Aši, jak ovšem mylně dovozují autoři Studie vlivu tvrdého hazardu na kriminalitu. </w:t>
      </w:r>
      <w:r w:rsidRPr="00EC4899">
        <w:rPr>
          <w:b/>
          <w:sz w:val="24"/>
        </w:rPr>
        <w:t>Dle Analýzy je totiž klíčové, že Aš patří mezi oblasti s vyšší mírou nezaměstnanosti a s tzv. vyloučenými lokalitami, v nichž se kvůli specifickým kriminogenním faktorům předpokládá vyšší výskyt trestné činnosti.</w:t>
      </w:r>
      <w:r w:rsidR="002E423F">
        <w:rPr>
          <w:rStyle w:val="Znakapoznpodarou"/>
          <w:b/>
          <w:sz w:val="24"/>
        </w:rPr>
        <w:footnoteReference w:id="30"/>
      </w:r>
    </w:p>
    <w:p w:rsidR="0000040C" w:rsidRDefault="004306DF" w:rsidP="00EC4899">
      <w:pPr>
        <w:spacing w:before="120" w:after="0" w:line="240" w:lineRule="auto"/>
        <w:rPr>
          <w:b/>
          <w:sz w:val="24"/>
        </w:rPr>
      </w:pPr>
      <w:r w:rsidRPr="00EC4899">
        <w:rPr>
          <w:sz w:val="24"/>
        </w:rPr>
        <w:t>Pokud jde o situaci v </w:t>
      </w:r>
      <w:r w:rsidRPr="00EC4899">
        <w:rPr>
          <w:b/>
          <w:sz w:val="24"/>
        </w:rPr>
        <w:t>Mikulově</w:t>
      </w:r>
      <w:r w:rsidRPr="00EC4899">
        <w:rPr>
          <w:sz w:val="24"/>
        </w:rPr>
        <w:t xml:space="preserve">, je opět třeba přiblížit si konkrétní podmínky v této </w:t>
      </w:r>
      <w:r w:rsidR="002E423F">
        <w:rPr>
          <w:sz w:val="24"/>
        </w:rPr>
        <w:t>lokalitě. Z</w:t>
      </w:r>
      <w:r w:rsidRPr="00EC4899">
        <w:rPr>
          <w:sz w:val="24"/>
        </w:rPr>
        <w:t xml:space="preserve"> </w:t>
      </w:r>
      <w:r w:rsidR="00603B16">
        <w:rPr>
          <w:sz w:val="24"/>
        </w:rPr>
        <w:t xml:space="preserve">Vyhodnocení trestné a přestupkové činnosti </w:t>
      </w:r>
      <w:r w:rsidRPr="00EC4899">
        <w:rPr>
          <w:sz w:val="24"/>
        </w:rPr>
        <w:t xml:space="preserve">Městské policie </w:t>
      </w:r>
      <w:r w:rsidR="00603B16">
        <w:rPr>
          <w:sz w:val="24"/>
        </w:rPr>
        <w:t xml:space="preserve">Mikulov </w:t>
      </w:r>
      <w:r w:rsidRPr="00EC4899">
        <w:rPr>
          <w:sz w:val="24"/>
        </w:rPr>
        <w:t>za rok 2016</w:t>
      </w:r>
      <w:r w:rsidR="00D04E71">
        <w:rPr>
          <w:rStyle w:val="Znakapoznpodarou"/>
          <w:sz w:val="24"/>
        </w:rPr>
        <w:footnoteReference w:id="31"/>
      </w:r>
      <w:r w:rsidRPr="00EC4899">
        <w:rPr>
          <w:sz w:val="24"/>
        </w:rPr>
        <w:t xml:space="preserve"> se podává, že při posouzení období let 2008 – 2016 a při místní znalosti zjistíme, že nápad trestné činnosti je zejména v posledních dvou letech přímo ovlivněn délkou turistické sezóny, která se v Mikulově prodlužuje na období měsíců duben-říjen. Návštěvníci města a okolí, na sebe vážou zcela přirozeně i zejména majetkovou trestnou činnost, která je v posledních letech nájezdná a organizovaná</w:t>
      </w:r>
      <w:r w:rsidR="00927B9D">
        <w:rPr>
          <w:sz w:val="24"/>
        </w:rPr>
        <w:t>,</w:t>
      </w:r>
      <w:r w:rsidRPr="00EC4899">
        <w:rPr>
          <w:sz w:val="24"/>
        </w:rPr>
        <w:t xml:space="preserve"> a to zejména cizojazyčnými skupinami. Další a zcela nový fenomén jsou zejména ve vztahu k přestupkovosti cizí státní zaměstnanci firem se sídlem v Mikulově. Jedná se především o sezónní a příležitostné zaměstnance s velkou fluktuací. Jsou to Rumuni, Moldavané, Ukrajinci, Bulhaři a Slováci. </w:t>
      </w:r>
      <w:r w:rsidR="005E4E25">
        <w:rPr>
          <w:sz w:val="24"/>
        </w:rPr>
        <w:t>J</w:t>
      </w:r>
      <w:r w:rsidRPr="00EC4899">
        <w:rPr>
          <w:sz w:val="24"/>
        </w:rPr>
        <w:t xml:space="preserve">sou jiné mentality a </w:t>
      </w:r>
      <w:r w:rsidR="005E4E25">
        <w:rPr>
          <w:sz w:val="24"/>
        </w:rPr>
        <w:t xml:space="preserve">je významná </w:t>
      </w:r>
      <w:r w:rsidRPr="00EC4899">
        <w:rPr>
          <w:sz w:val="24"/>
        </w:rPr>
        <w:t>jazyková bariéra. A dále také organizovaná kriminalita nájezdných skupin z okolních měst a ze zahraničí (Brno, Hustopeče, Slovenská republika, Polská republika, Bulharsko</w:t>
      </w:r>
      <w:r w:rsidR="00603B16">
        <w:rPr>
          <w:sz w:val="24"/>
        </w:rPr>
        <w:t>,</w:t>
      </w:r>
      <w:r w:rsidRPr="00EC4899">
        <w:rPr>
          <w:sz w:val="24"/>
        </w:rPr>
        <w:t xml:space="preserve"> Rumunsk</w:t>
      </w:r>
      <w:r w:rsidR="00603B16">
        <w:rPr>
          <w:sz w:val="24"/>
        </w:rPr>
        <w:t>o</w:t>
      </w:r>
      <w:r w:rsidRPr="00EC4899">
        <w:rPr>
          <w:sz w:val="24"/>
        </w:rPr>
        <w:t xml:space="preserve">), které </w:t>
      </w:r>
      <w:r w:rsidR="005E4E25">
        <w:rPr>
          <w:sz w:val="24"/>
        </w:rPr>
        <w:t>při</w:t>
      </w:r>
      <w:r w:rsidRPr="00EC4899">
        <w:rPr>
          <w:sz w:val="24"/>
        </w:rPr>
        <w:t>jíždí za účelem páchání trestné činnosti majetkové povahy do města zejména za turisty a dále pak díky geografické poloze města (hranice s Rakouskou republikou, nedaleko Slovenská republika) a hlavní směrová trasa Východ/Západ. Je nutné se smířit s tím, že jak je město strategicky výhodně situováno pro potencionální návštěvníky, tak je to samo sebou zajímavé i pro pachatele trestné činnosti, kteří se právě na toto specializují.</w:t>
      </w:r>
      <w:r w:rsidR="0000040C">
        <w:rPr>
          <w:sz w:val="24"/>
        </w:rPr>
        <w:t xml:space="preserve"> </w:t>
      </w:r>
      <w:r w:rsidRPr="00EC4899">
        <w:rPr>
          <w:b/>
          <w:sz w:val="24"/>
        </w:rPr>
        <w:t>Z</w:t>
      </w:r>
      <w:r w:rsidR="004F7C24">
        <w:rPr>
          <w:b/>
          <w:sz w:val="24"/>
        </w:rPr>
        <w:t xml:space="preserve"> materiálu M</w:t>
      </w:r>
      <w:r w:rsidRPr="00EC4899">
        <w:rPr>
          <w:b/>
          <w:sz w:val="24"/>
        </w:rPr>
        <w:t xml:space="preserve">ěstské policie </w:t>
      </w:r>
      <w:r w:rsidR="0000040C">
        <w:rPr>
          <w:b/>
          <w:sz w:val="24"/>
        </w:rPr>
        <w:t xml:space="preserve">Mikulov </w:t>
      </w:r>
      <w:r w:rsidRPr="00EC4899">
        <w:rPr>
          <w:b/>
          <w:sz w:val="24"/>
        </w:rPr>
        <w:t xml:space="preserve">vyplývá, že vyšší výskyt kriminality v Mikulově je způsoben zejména tím, že Mikulov je významnou turistickou destinací, která je navíc umístěna na hranici s Rakouskem. </w:t>
      </w:r>
    </w:p>
    <w:p w:rsidR="005E4E25" w:rsidRDefault="004306DF" w:rsidP="00D4101C">
      <w:pPr>
        <w:spacing w:before="120" w:after="0" w:line="240" w:lineRule="auto"/>
        <w:rPr>
          <w:sz w:val="24"/>
        </w:rPr>
      </w:pPr>
      <w:r w:rsidRPr="00EC4899">
        <w:rPr>
          <w:sz w:val="24"/>
        </w:rPr>
        <w:t>Dle výše uvedeného tedy nelze tvrdit, že kriminalita v </w:t>
      </w:r>
      <w:r w:rsidRPr="00D21D45">
        <w:rPr>
          <w:sz w:val="24"/>
        </w:rPr>
        <w:t xml:space="preserve">Mikulově, Aši či </w:t>
      </w:r>
      <w:r w:rsidR="00D21D45" w:rsidRPr="00D21D45">
        <w:rPr>
          <w:sz w:val="24"/>
        </w:rPr>
        <w:t>v</w:t>
      </w:r>
      <w:r w:rsidRPr="00D21D45">
        <w:rPr>
          <w:sz w:val="24"/>
        </w:rPr>
        <w:t xml:space="preserve"> Praze 1</w:t>
      </w:r>
      <w:r w:rsidRPr="00EC4899">
        <w:rPr>
          <w:sz w:val="24"/>
        </w:rPr>
        <w:t xml:space="preserve"> je způsobena vysokým ukazatelem vstřícnosti k hazardu, neboť je zjevné, že např. v Aši se jedná o vyloučenou lokalitu, kde hazard může být jedním z kriminogenních faktorů, </w:t>
      </w:r>
      <w:r w:rsidR="002E423F">
        <w:rPr>
          <w:sz w:val="24"/>
        </w:rPr>
        <w:t xml:space="preserve">zároveň </w:t>
      </w:r>
      <w:r w:rsidRPr="00EC4899">
        <w:rPr>
          <w:sz w:val="24"/>
        </w:rPr>
        <w:t>to však není jediným důvodem, proč právě zde je vyšší míra kriminality. Praha je zase hlavním městem a stejně jako Mikulov je navíc turistickou destinací, což z</w:t>
      </w:r>
      <w:r w:rsidR="005E4E25">
        <w:rPr>
          <w:sz w:val="24"/>
        </w:rPr>
        <w:t>vyšuje taktéž míru kriminality.</w:t>
      </w:r>
    </w:p>
    <w:p w:rsidR="001F220C" w:rsidRDefault="005E4E25" w:rsidP="00D4101C">
      <w:pPr>
        <w:spacing w:before="120" w:after="0" w:line="240" w:lineRule="auto"/>
        <w:rPr>
          <w:sz w:val="24"/>
        </w:rPr>
      </w:pPr>
      <w:r>
        <w:rPr>
          <w:sz w:val="24"/>
        </w:rPr>
        <w:t>Pod</w:t>
      </w:r>
      <w:r w:rsidR="004306DF" w:rsidRPr="00EC4899">
        <w:rPr>
          <w:sz w:val="24"/>
        </w:rPr>
        <w:t xml:space="preserve">le obecných trendů kriminality je zjevné, že např. v pohraničí či ve velkých městech je vyšší podíl kriminality, v menších městech </w:t>
      </w:r>
      <w:r w:rsidR="002E423F">
        <w:rPr>
          <w:sz w:val="24"/>
        </w:rPr>
        <w:t xml:space="preserve">bez dalších dílčích kriminogenních faktorů </w:t>
      </w:r>
      <w:r w:rsidR="004306DF" w:rsidRPr="00EC4899">
        <w:rPr>
          <w:sz w:val="24"/>
        </w:rPr>
        <w:t xml:space="preserve">nikoliv. Pokud je např. vyšší podíl kriminality v menších obcích, je třeba se zaměřit na </w:t>
      </w:r>
      <w:r w:rsidR="004306DF" w:rsidRPr="00D4101C">
        <w:rPr>
          <w:sz w:val="24"/>
        </w:rPr>
        <w:t>to, zda se nejedná o vyloučené lokality, lokality s vyšší mírou nezaměstnanosti atd. Uvádět do souvislosti pouze faktor míry hazardu a míry kriminality je silně zavádějící a neobjektivní,</w:t>
      </w:r>
      <w:r>
        <w:rPr>
          <w:sz w:val="24"/>
        </w:rPr>
        <w:t xml:space="preserve"> až</w:t>
      </w:r>
      <w:r w:rsidR="004306DF" w:rsidRPr="00D4101C">
        <w:rPr>
          <w:sz w:val="24"/>
        </w:rPr>
        <w:t xml:space="preserve"> tendenční.</w:t>
      </w:r>
      <w:r w:rsidR="00D4101C" w:rsidRPr="00D4101C">
        <w:rPr>
          <w:sz w:val="24"/>
        </w:rPr>
        <w:t xml:space="preserve"> Zajímavé je též, jak hodnotí </w:t>
      </w:r>
      <w:r w:rsidR="00D4101C" w:rsidRPr="00D4101C">
        <w:rPr>
          <w:sz w:val="24"/>
        </w:rPr>
        <w:lastRenderedPageBreak/>
        <w:t xml:space="preserve">příčiny kriminality místní zdroje – bezpečnostní </w:t>
      </w:r>
      <w:r w:rsidR="006D68FF">
        <w:rPr>
          <w:sz w:val="24"/>
        </w:rPr>
        <w:t>z</w:t>
      </w:r>
      <w:r w:rsidR="00D4101C" w:rsidRPr="00D4101C">
        <w:rPr>
          <w:sz w:val="24"/>
        </w:rPr>
        <w:t>práva kraje, zpráv</w:t>
      </w:r>
      <w:r w:rsidR="006D68FF">
        <w:rPr>
          <w:sz w:val="24"/>
        </w:rPr>
        <w:t>a</w:t>
      </w:r>
      <w:r w:rsidR="00D4101C" w:rsidRPr="00D4101C">
        <w:rPr>
          <w:sz w:val="24"/>
        </w:rPr>
        <w:t xml:space="preserve"> městské policie, a jak k tomu přistupují zpracovatelé </w:t>
      </w:r>
      <w:r w:rsidR="006D68FF">
        <w:rPr>
          <w:sz w:val="24"/>
        </w:rPr>
        <w:t>S</w:t>
      </w:r>
      <w:r w:rsidR="00D4101C" w:rsidRPr="00D4101C">
        <w:rPr>
          <w:sz w:val="24"/>
        </w:rPr>
        <w:t>tudie z Prahy.</w:t>
      </w:r>
    </w:p>
    <w:p w:rsidR="00D4101C" w:rsidRPr="00D4101C" w:rsidRDefault="00D4101C" w:rsidP="00D4101C">
      <w:pPr>
        <w:spacing w:before="120" w:after="0" w:line="240" w:lineRule="auto"/>
        <w:rPr>
          <w:sz w:val="24"/>
        </w:rPr>
      </w:pPr>
    </w:p>
    <w:p w:rsidR="00D4101C" w:rsidRDefault="00D4101C" w:rsidP="00603B16">
      <w:pPr>
        <w:pStyle w:val="Nadpis2"/>
        <w:keepNext/>
        <w:spacing w:before="120" w:after="0" w:line="240" w:lineRule="auto"/>
        <w:rPr>
          <w:b/>
          <w:sz w:val="24"/>
          <w:szCs w:val="24"/>
        </w:rPr>
      </w:pPr>
      <w:bookmarkStart w:id="14" w:name="_Toc480010174"/>
      <w:r w:rsidRPr="00D4101C">
        <w:rPr>
          <w:b/>
          <w:sz w:val="24"/>
          <w:szCs w:val="24"/>
        </w:rPr>
        <w:t>Index kriminality</w:t>
      </w:r>
      <w:bookmarkEnd w:id="14"/>
    </w:p>
    <w:p w:rsidR="00DB3B0D" w:rsidRPr="00DB3B0D" w:rsidRDefault="00DB3B0D" w:rsidP="00DB3B0D">
      <w:pPr>
        <w:pStyle w:val="Zkladntext"/>
      </w:pPr>
    </w:p>
    <w:p w:rsidR="00D4101C" w:rsidRPr="00D4101C" w:rsidRDefault="00D4101C" w:rsidP="00D4101C">
      <w:pPr>
        <w:spacing w:before="120" w:after="0" w:line="240" w:lineRule="auto"/>
        <w:rPr>
          <w:sz w:val="24"/>
        </w:rPr>
      </w:pPr>
      <w:r w:rsidRPr="00D4101C">
        <w:rPr>
          <w:sz w:val="24"/>
        </w:rPr>
        <w:t xml:space="preserve">Index kriminality je nesprávně propočten, v žádném případě nejde o propočet trestných činů na 10 000 obyvatel, jak uvádí </w:t>
      </w:r>
      <w:r w:rsidR="006D68FF">
        <w:rPr>
          <w:sz w:val="24"/>
        </w:rPr>
        <w:t>S</w:t>
      </w:r>
      <w:r w:rsidRPr="00D4101C">
        <w:rPr>
          <w:sz w:val="24"/>
        </w:rPr>
        <w:t>tudie. Index tak není vůbec osvětlen a nemá vypovídací hodnotu. Index kriminality nekoreluje s indexem hazardu. Je přirozené, že největší sídla mají i nejvyšší míru kriminality. Jde o banální fenomén, který nepřekvapí.</w:t>
      </w:r>
    </w:p>
    <w:p w:rsidR="00D4101C" w:rsidRDefault="00D4101C" w:rsidP="00D4101C">
      <w:pPr>
        <w:spacing w:before="120" w:after="0" w:line="240" w:lineRule="auto"/>
        <w:rPr>
          <w:sz w:val="24"/>
        </w:rPr>
      </w:pPr>
      <w:r w:rsidRPr="00D4101C">
        <w:rPr>
          <w:sz w:val="24"/>
        </w:rPr>
        <w:t>Údaje o snížení kriminality po regulaci hazardu jsou mýty. Jednak lze jen těžko počítat do hazardu přičitatelných trestných činů činy nedbalostní (a nesporně též velkou část činů úmyslných), jak činí Studie. Dále jsou zcela opomenuty jiné faktory vedoucí ke snížení kriminality. Ukazatel kriminality je obsahově na s</w:t>
      </w:r>
      <w:r w:rsidR="005E4E25">
        <w:rPr>
          <w:sz w:val="24"/>
        </w:rPr>
        <w:t>traně</w:t>
      </w:r>
      <w:r w:rsidRPr="00D4101C">
        <w:rPr>
          <w:sz w:val="24"/>
        </w:rPr>
        <w:t xml:space="preserve"> 6 vymezen příliš široce, bylo by vhodnější jej pro potřeby hledání statistického vztahu s hazardem specifikovat například na ukazatel </w:t>
      </w:r>
      <w:r>
        <w:rPr>
          <w:sz w:val="24"/>
        </w:rPr>
        <w:t xml:space="preserve">majetkové </w:t>
      </w:r>
      <w:r w:rsidRPr="00D4101C">
        <w:rPr>
          <w:sz w:val="24"/>
        </w:rPr>
        <w:t>kriminality.</w:t>
      </w:r>
      <w:r w:rsidR="006D68FF">
        <w:rPr>
          <w:rStyle w:val="Znakapoznpodarou"/>
          <w:sz w:val="24"/>
        </w:rPr>
        <w:footnoteReference w:id="32"/>
      </w:r>
      <w:r w:rsidR="006D68FF" w:rsidRPr="00D4101C">
        <w:rPr>
          <w:sz w:val="24"/>
        </w:rPr>
        <w:t xml:space="preserve"> </w:t>
      </w:r>
      <w:r w:rsidRPr="00D4101C">
        <w:rPr>
          <w:sz w:val="24"/>
        </w:rPr>
        <w:t xml:space="preserve"> Rovněž posuzování pouze dvou roků (2013 a 2016) je</w:t>
      </w:r>
      <w:r w:rsidR="005E4E25">
        <w:rPr>
          <w:sz w:val="24"/>
        </w:rPr>
        <w:t xml:space="preserve"> nedostatečné</w:t>
      </w:r>
      <w:r w:rsidR="006D68FF">
        <w:rPr>
          <w:sz w:val="24"/>
        </w:rPr>
        <w:t>,</w:t>
      </w:r>
      <w:r w:rsidR="006D68FF" w:rsidRPr="006D68FF">
        <w:rPr>
          <w:sz w:val="24"/>
        </w:rPr>
        <w:t xml:space="preserve"> </w:t>
      </w:r>
      <w:r w:rsidR="006D68FF">
        <w:rPr>
          <w:sz w:val="24"/>
        </w:rPr>
        <w:t>přičemž zároveň není zmíněn onen významný celorepublikový pokles v roce 2015</w:t>
      </w:r>
      <w:r w:rsidRPr="00D4101C">
        <w:rPr>
          <w:sz w:val="24"/>
        </w:rPr>
        <w:t>. Chtělo by to mít delší a hlavně skutečně roční časové řady například za pět, deset a více let.</w:t>
      </w:r>
    </w:p>
    <w:p w:rsidR="000A1056" w:rsidRDefault="000A1056" w:rsidP="000A1056">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rPr>
          <w:sz w:val="24"/>
        </w:rPr>
      </w:pPr>
      <w:r w:rsidRPr="000A1056">
        <w:rPr>
          <w:sz w:val="24"/>
        </w:rPr>
        <w:t>Na s</w:t>
      </w:r>
      <w:r w:rsidR="005E4E25">
        <w:rPr>
          <w:sz w:val="24"/>
        </w:rPr>
        <w:t>traně</w:t>
      </w:r>
      <w:r w:rsidRPr="000A1056">
        <w:rPr>
          <w:sz w:val="24"/>
        </w:rPr>
        <w:t xml:space="preserve"> 10</w:t>
      </w:r>
      <w:r w:rsidR="00D21D45">
        <w:rPr>
          <w:sz w:val="24"/>
        </w:rPr>
        <w:t xml:space="preserve"> Studie</w:t>
      </w:r>
      <w:r w:rsidRPr="000A1056">
        <w:rPr>
          <w:sz w:val="24"/>
        </w:rPr>
        <w:t xml:space="preserve"> – města s nulovou tolerancí k hazardu </w:t>
      </w:r>
      <w:r>
        <w:rPr>
          <w:sz w:val="24"/>
        </w:rPr>
        <w:t xml:space="preserve">- </w:t>
      </w:r>
      <w:r w:rsidRPr="000A1056">
        <w:rPr>
          <w:sz w:val="24"/>
        </w:rPr>
        <w:t xml:space="preserve">je </w:t>
      </w:r>
      <w:r w:rsidR="005E4E25">
        <w:rPr>
          <w:sz w:val="24"/>
        </w:rPr>
        <w:t>uvedeno</w:t>
      </w:r>
      <w:r w:rsidRPr="000A1056">
        <w:rPr>
          <w:sz w:val="24"/>
        </w:rPr>
        <w:t xml:space="preserve">, že kriminalita se údajně snížila u některých měst na dvojnásobně nižší úroveň – dle autorů to souvisí právě s nulovou tolerancí k hazardu. Je to možné, ale je nutné si klást otázku, zda byl hazard skutečně jediným problémem. Např. Blansko má i nyní s nulovou tolerancí k hazardu mnohem vyšší index kriminality než jiná města </w:t>
      </w:r>
      <w:r w:rsidRPr="00E32DC0">
        <w:rPr>
          <w:sz w:val="24"/>
        </w:rPr>
        <w:t>uvedená v</w:t>
      </w:r>
      <w:r w:rsidR="00E32DC0" w:rsidRPr="00E32DC0">
        <w:rPr>
          <w:sz w:val="24"/>
        </w:rPr>
        <w:t> </w:t>
      </w:r>
      <w:r w:rsidRPr="00E32DC0">
        <w:rPr>
          <w:sz w:val="24"/>
        </w:rPr>
        <w:t>tabulce</w:t>
      </w:r>
      <w:r w:rsidR="00E32DC0" w:rsidRPr="00E32DC0">
        <w:rPr>
          <w:sz w:val="24"/>
        </w:rPr>
        <w:t xml:space="preserve"> -</w:t>
      </w:r>
      <w:r w:rsidRPr="00E32DC0">
        <w:rPr>
          <w:sz w:val="24"/>
        </w:rPr>
        <w:t xml:space="preserve"> </w:t>
      </w:r>
      <w:r w:rsidR="00E32DC0" w:rsidRPr="00E32DC0">
        <w:rPr>
          <w:sz w:val="24"/>
        </w:rPr>
        <w:t>M</w:t>
      </w:r>
      <w:r w:rsidRPr="00E32DC0">
        <w:rPr>
          <w:sz w:val="24"/>
        </w:rPr>
        <w:t>íra vstřícnosti k hazardu. Některá města, která nezavedla nulovou tolera</w:t>
      </w:r>
      <w:r w:rsidRPr="000A1056">
        <w:rPr>
          <w:sz w:val="24"/>
        </w:rPr>
        <w:t xml:space="preserve">nci k hazardu, mají </w:t>
      </w:r>
      <w:r>
        <w:rPr>
          <w:sz w:val="24"/>
        </w:rPr>
        <w:t xml:space="preserve">index kriminality </w:t>
      </w:r>
      <w:r w:rsidRPr="000A1056">
        <w:rPr>
          <w:sz w:val="24"/>
        </w:rPr>
        <w:t>mnohem nižší než města s nulovou tolerancí (Luhačovice, Slavkov u Brna atd.). Z toho lze vyvodit, že hazard byl jedním z dílčích problémů daných lokalit, které se ale vyznačují i jinými problémy, kdy inklinace k hazardním hrám je spíše následkem nežli příčinou jiných problémů v dané lokalitě. Nelze tedy konstatovat, že kde je vstřícnost k</w:t>
      </w:r>
      <w:r>
        <w:rPr>
          <w:sz w:val="24"/>
        </w:rPr>
        <w:t> </w:t>
      </w:r>
      <w:r w:rsidRPr="000A1056">
        <w:rPr>
          <w:sz w:val="24"/>
        </w:rPr>
        <w:t>hazardu</w:t>
      </w:r>
      <w:r>
        <w:rPr>
          <w:sz w:val="24"/>
        </w:rPr>
        <w:t>,</w:t>
      </w:r>
      <w:r w:rsidRPr="000A1056">
        <w:rPr>
          <w:sz w:val="24"/>
        </w:rPr>
        <w:t xml:space="preserve"> je i vyšší kriminalita, vždy je třeba posuzovat danou lokalitu jako celek včetně jejích specifik a dalších dominantních kriminogenních faktorů – např. hodně měst vstřícných k hazardu je v regionu </w:t>
      </w:r>
      <w:r>
        <w:rPr>
          <w:sz w:val="24"/>
        </w:rPr>
        <w:t xml:space="preserve">severních a západních Čech </w:t>
      </w:r>
      <w:r w:rsidRPr="000A1056">
        <w:rPr>
          <w:sz w:val="24"/>
        </w:rPr>
        <w:t>(p</w:t>
      </w:r>
      <w:r>
        <w:rPr>
          <w:sz w:val="24"/>
        </w:rPr>
        <w:t xml:space="preserve">ohraničí </w:t>
      </w:r>
      <w:r w:rsidRPr="000A1056">
        <w:rPr>
          <w:sz w:val="24"/>
        </w:rPr>
        <w:t>s Německem), kde je obecně problém s vyšší mírou kriminality (zejména kvůli vyššímu výskytu tzv. vyloučených lokalit), vstřícnost k hazardu tam může v daném kontextu být jedním z kriminogenních faktorů. Nelze však t</w:t>
      </w:r>
      <w:r w:rsidR="0011291B">
        <w:rPr>
          <w:sz w:val="24"/>
        </w:rPr>
        <w:t>a</w:t>
      </w:r>
      <w:r w:rsidRPr="000A1056">
        <w:rPr>
          <w:sz w:val="24"/>
        </w:rPr>
        <w:t>to problémov</w:t>
      </w:r>
      <w:r w:rsidR="0011291B">
        <w:rPr>
          <w:sz w:val="24"/>
        </w:rPr>
        <w:t>á</w:t>
      </w:r>
      <w:r w:rsidRPr="000A1056">
        <w:rPr>
          <w:sz w:val="24"/>
        </w:rPr>
        <w:t xml:space="preserve"> </w:t>
      </w:r>
      <w:r w:rsidR="0011291B">
        <w:rPr>
          <w:sz w:val="24"/>
        </w:rPr>
        <w:t>místa</w:t>
      </w:r>
      <w:r w:rsidRPr="000A1056">
        <w:rPr>
          <w:sz w:val="24"/>
        </w:rPr>
        <w:t xml:space="preserve"> se sociálně vyloučenými lokalitami srovnávat se situací např. na Mikulovsku, Luhačovicích, Uherskobrodsku atd., kde je vstřícnost k hazardu poměrně vysoká, ale index kriminality je tu nízký a zdrojem kriminality bude tolerance k hazardu pouze v menšině případů, jak lze dovodit např. ze zpráv vyhodnocujících kriminalitu v</w:t>
      </w:r>
      <w:r>
        <w:rPr>
          <w:sz w:val="24"/>
        </w:rPr>
        <w:t xml:space="preserve"> </w:t>
      </w:r>
      <w:r w:rsidRPr="000A1056">
        <w:rPr>
          <w:sz w:val="24"/>
        </w:rPr>
        <w:t>daných lokalitách, z nichž je zjevné, že primární problém nespočívá v hazardu.</w:t>
      </w:r>
    </w:p>
    <w:p w:rsidR="000A1056" w:rsidRDefault="000A1056" w:rsidP="000A1056">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rPr>
          <w:sz w:val="24"/>
        </w:rPr>
      </w:pPr>
    </w:p>
    <w:p w:rsidR="00DB3B0D" w:rsidRDefault="000A1056" w:rsidP="00536B59">
      <w:pPr>
        <w:pStyle w:val="Nadpis2"/>
        <w:keepNext/>
        <w:spacing w:after="0" w:line="240" w:lineRule="auto"/>
        <w:rPr>
          <w:b/>
          <w:sz w:val="24"/>
        </w:rPr>
      </w:pPr>
      <w:bookmarkStart w:id="15" w:name="_Toc480010175"/>
      <w:r>
        <w:rPr>
          <w:b/>
          <w:sz w:val="24"/>
        </w:rPr>
        <w:t>Příklad Vysokého Mýta</w:t>
      </w:r>
      <w:bookmarkEnd w:id="15"/>
    </w:p>
    <w:p w:rsidR="00DB3B0D" w:rsidRPr="00DB3B0D" w:rsidRDefault="00DB3B0D" w:rsidP="00DB3B0D">
      <w:pPr>
        <w:pStyle w:val="Zkladntext"/>
      </w:pPr>
    </w:p>
    <w:p w:rsidR="000A1056" w:rsidRPr="000A1056" w:rsidRDefault="00DB3B0D" w:rsidP="00A64C1E">
      <w:pPr>
        <w:pStyle w:val="Nadpis2"/>
        <w:keepNext/>
        <w:numPr>
          <w:ilvl w:val="0"/>
          <w:numId w:val="0"/>
        </w:numPr>
        <w:spacing w:before="120" w:after="0" w:line="240" w:lineRule="auto"/>
        <w:ind w:left="624"/>
        <w:rPr>
          <w:b/>
          <w:sz w:val="24"/>
        </w:rPr>
      </w:pPr>
      <w:bookmarkStart w:id="16" w:name="_Toc480010176"/>
      <w:r w:rsidRPr="00DB3B0D">
        <w:rPr>
          <w:sz w:val="24"/>
        </w:rPr>
        <w:t xml:space="preserve">V </w:t>
      </w:r>
      <w:r w:rsidR="000A1056" w:rsidRPr="00DB3B0D">
        <w:rPr>
          <w:sz w:val="24"/>
        </w:rPr>
        <w:t>kapitol</w:t>
      </w:r>
      <w:r w:rsidRPr="00DB3B0D">
        <w:rPr>
          <w:sz w:val="24"/>
        </w:rPr>
        <w:t>e</w:t>
      </w:r>
      <w:r w:rsidR="000A1056" w:rsidRPr="00DB3B0D">
        <w:rPr>
          <w:sz w:val="24"/>
        </w:rPr>
        <w:t xml:space="preserve"> 5 Prokázání vlivu na kriminalitu na praktickém příkladu – VYSOKÉ MÝTO</w:t>
      </w:r>
      <w:r w:rsidRPr="00DB3B0D">
        <w:rPr>
          <w:sz w:val="24"/>
        </w:rPr>
        <w:t xml:space="preserve"> jsou uvedeny skutečnosti týkající se</w:t>
      </w:r>
      <w:r>
        <w:rPr>
          <w:sz w:val="24"/>
        </w:rPr>
        <w:t xml:space="preserve"> </w:t>
      </w:r>
      <w:r w:rsidRPr="00DB3B0D">
        <w:rPr>
          <w:sz w:val="24"/>
        </w:rPr>
        <w:t>města Vysoké Mýto.</w:t>
      </w:r>
      <w:r>
        <w:rPr>
          <w:rStyle w:val="Znakapoznpodarou"/>
          <w:sz w:val="24"/>
        </w:rPr>
        <w:footnoteReference w:id="33"/>
      </w:r>
      <w:r w:rsidR="000A1056" w:rsidRPr="000A1056">
        <w:rPr>
          <w:sz w:val="24"/>
        </w:rPr>
        <w:t xml:space="preserve">U měst Vysoké Mýto, Litomyšl, Svitavy a Moravská Třebová je údajně prokázání vlivu hazardu na kriminalitu nejvíce výstižné. Všechna města se nachází v Pardubickém kraji. Vysoké Mýto a Litomyšl vyhlásily nulovou toleranci hazardu a Svitavy a Moravská Třebová hazard naopak dle tvrzení autorů podporují. Vysoké Mýto mělo údajně v roce 2013 nejvyšší kriminalitu ze všech 4 měst, v roce 2016 se pak </w:t>
      </w:r>
      <w:r w:rsidR="006D68FF">
        <w:rPr>
          <w:sz w:val="24"/>
        </w:rPr>
        <w:t xml:space="preserve">dle autorů Studie </w:t>
      </w:r>
      <w:r w:rsidR="000A1056" w:rsidRPr="000A1056">
        <w:rPr>
          <w:sz w:val="24"/>
        </w:rPr>
        <w:t xml:space="preserve">pyšnilo zcela jinými ukazateli. Po roce 2013 se </w:t>
      </w:r>
      <w:r w:rsidR="00D21D45">
        <w:rPr>
          <w:sz w:val="24"/>
        </w:rPr>
        <w:t xml:space="preserve">dle Studie </w:t>
      </w:r>
      <w:r w:rsidR="006D68FF">
        <w:rPr>
          <w:sz w:val="24"/>
        </w:rPr>
        <w:t xml:space="preserve">údajně </w:t>
      </w:r>
      <w:r w:rsidR="000A1056" w:rsidRPr="000A1056">
        <w:rPr>
          <w:sz w:val="24"/>
        </w:rPr>
        <w:t>začala kriminalita přelévat do oblastí okolních, jelikož ve zmiňovaných obcích byla vyhlášena nulová tolerance.</w:t>
      </w:r>
      <w:bookmarkEnd w:id="16"/>
    </w:p>
    <w:p w:rsidR="000A1056" w:rsidRPr="00EC4899" w:rsidRDefault="000A1056" w:rsidP="00A64C1E">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0" w:lineRule="auto"/>
        <w:ind w:left="624"/>
        <w:contextualSpacing w:val="0"/>
        <w:rPr>
          <w:sz w:val="24"/>
        </w:rPr>
      </w:pPr>
      <w:r w:rsidRPr="00EC4899">
        <w:rPr>
          <w:sz w:val="24"/>
        </w:rPr>
        <w:t xml:space="preserve">Pro objektivní náhled na situaci ve Vysokém Mýtě je vhodné nahlédnout do dokumentu </w:t>
      </w:r>
      <w:r w:rsidR="0011291B">
        <w:rPr>
          <w:sz w:val="24"/>
        </w:rPr>
        <w:t xml:space="preserve">- </w:t>
      </w:r>
      <w:r w:rsidRPr="00EC4899">
        <w:rPr>
          <w:sz w:val="24"/>
        </w:rPr>
        <w:t xml:space="preserve">Bezpečnostní analýza </w:t>
      </w:r>
      <w:r>
        <w:rPr>
          <w:sz w:val="24"/>
        </w:rPr>
        <w:t xml:space="preserve">Vysokého Mýta </w:t>
      </w:r>
      <w:r w:rsidRPr="00EC4899">
        <w:rPr>
          <w:sz w:val="24"/>
        </w:rPr>
        <w:t>na rok 2017,</w:t>
      </w:r>
      <w:r w:rsidRPr="00EC4899">
        <w:rPr>
          <w:rStyle w:val="Znakapoznpodarou"/>
          <w:sz w:val="24"/>
        </w:rPr>
        <w:footnoteReference w:id="34"/>
      </w:r>
      <w:r w:rsidRPr="00EC4899">
        <w:rPr>
          <w:sz w:val="24"/>
        </w:rPr>
        <w:t xml:space="preserve"> který byl vypracován Skupinou prevence kriminality ve Vysokém Mýtě. Tato Analýza konstatuje, že od roku 2013 do roku 2015 došlo k celkovému nárůstu trestné činnosti, k čemuž zejména přispěl zvýšený nápad hospodářské kriminality, internetových podvodů a sériových krádeží, páchaných zejména osobami závislými na drogách. Od roku 2015 došlo k výraznému poklesu, což byl však celorepublikový trend. Další pokles kriminality v roce 2016 byl pak důsledkem především posílení počtu policistů a s tím souvisejícím navýšením preventivních opatření a akcí a navíc se do výkonu trestu vrátilo velké množství recidivistů po prezidentské amnestii. Rovněž proběhlo několik úspěšných realizací, po kterých bylo do výkonu trestu umístěno několik osob, na které se trestná činnost nabalovala. Po těchto realizacích zejména v oblasti drog (v polovině roku 2015), byly krádeže a krádeže vloupáním evidovány, ve srovnání s předešlým obdobím, minimálně. Tento stav přetrvává v podstatě až od současné doby. K poklesu trestné činnosti napomáhá</w:t>
      </w:r>
      <w:r w:rsidR="0018562B">
        <w:rPr>
          <w:sz w:val="24"/>
        </w:rPr>
        <w:t>,</w:t>
      </w:r>
      <w:r w:rsidRPr="00EC4899">
        <w:rPr>
          <w:sz w:val="24"/>
        </w:rPr>
        <w:t xml:space="preserve"> jak již bylo uvedeno, mimo jiné i aktivní spolupráce s asistenty prevence kriminality, zavedení monitorovacího kamerového systému, </w:t>
      </w:r>
      <w:r w:rsidRPr="00EC4899">
        <w:rPr>
          <w:b/>
          <w:sz w:val="24"/>
        </w:rPr>
        <w:t>zrušení non stop podniků</w:t>
      </w:r>
      <w:r w:rsidRPr="00EC4899">
        <w:rPr>
          <w:sz w:val="24"/>
        </w:rPr>
        <w:t xml:space="preserve"> a další faktory.</w:t>
      </w:r>
    </w:p>
    <w:p w:rsidR="007C55A5" w:rsidRDefault="000A1056" w:rsidP="00A64C1E">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0" w:lineRule="auto"/>
        <w:ind w:left="624"/>
        <w:contextualSpacing w:val="0"/>
        <w:rPr>
          <w:sz w:val="24"/>
        </w:rPr>
      </w:pPr>
      <w:r w:rsidRPr="00EC4899">
        <w:rPr>
          <w:b/>
          <w:sz w:val="24"/>
        </w:rPr>
        <w:t>Jak vidno</w:t>
      </w:r>
      <w:r w:rsidR="0034612E">
        <w:rPr>
          <w:b/>
          <w:sz w:val="24"/>
        </w:rPr>
        <w:t>,</w:t>
      </w:r>
      <w:r w:rsidRPr="00EC4899">
        <w:rPr>
          <w:b/>
          <w:sz w:val="24"/>
        </w:rPr>
        <w:t xml:space="preserve"> ve Vysokém Mýtě sice došlo k poklesu kriminality, nicméně jak z Výroční zprávy, tak i z přesných statistik kriminality je patrno, že hazard zde byl pouze jedním z mnoha kriminogenních faktorů, jako primární problém se zde opět jeví existence vyloučených lokalit. V roce 2015 pak bylo opravdu možno pozorovat pokles kriminality ve Vysokém Mýtě, nicméně jednalo se o celorepublikový pokles</w:t>
      </w:r>
      <w:r w:rsidRPr="00EC4899">
        <w:rPr>
          <w:sz w:val="24"/>
        </w:rPr>
        <w:t xml:space="preserve">. Ve Vysokém Mýtě byl tento pokles v roce 2015 pak nejvíce markantní ze všech sledovaných let a vliv zavedení nulové tolerance hazardu v tomto městě na snížení kriminality není tedy tak zjevný, jak se snaží tvrdit autoři Studie vlivu hazardu na kriminalitu. Výrazný pokles kriminality zejména v roce 2015 je pak jasně </w:t>
      </w:r>
      <w:r w:rsidR="0011291B">
        <w:rPr>
          <w:sz w:val="24"/>
        </w:rPr>
        <w:t>patrný</w:t>
      </w:r>
      <w:r w:rsidRPr="00EC4899">
        <w:rPr>
          <w:sz w:val="24"/>
        </w:rPr>
        <w:t xml:space="preserve"> v obdobném poměru u všech sledovaných měst, tedy jak </w:t>
      </w:r>
      <w:r w:rsidR="0011291B">
        <w:rPr>
          <w:sz w:val="24"/>
        </w:rPr>
        <w:t xml:space="preserve">v </w:t>
      </w:r>
      <w:r w:rsidRPr="00EC4899">
        <w:rPr>
          <w:sz w:val="24"/>
        </w:rPr>
        <w:t>měst</w:t>
      </w:r>
      <w:r w:rsidR="0011291B">
        <w:rPr>
          <w:sz w:val="24"/>
        </w:rPr>
        <w:t>ech</w:t>
      </w:r>
      <w:r w:rsidRPr="00EC4899">
        <w:rPr>
          <w:sz w:val="24"/>
        </w:rPr>
        <w:t xml:space="preserve"> s nulovou tolerancí, tak i u měst hazard podporujících. I</w:t>
      </w:r>
      <w:r w:rsidR="0018562B">
        <w:rPr>
          <w:sz w:val="24"/>
        </w:rPr>
        <w:t>ndex kriminality</w:t>
      </w:r>
      <w:r w:rsidRPr="00EC4899">
        <w:rPr>
          <w:sz w:val="24"/>
        </w:rPr>
        <w:t xml:space="preserve"> u všech sledovaných měst nevykazuje (kromě Moravské Třebové v roce 2016) žádné výrazné disproporce mezi městy, kter</w:t>
      </w:r>
      <w:r w:rsidR="0034612E">
        <w:rPr>
          <w:sz w:val="24"/>
        </w:rPr>
        <w:t>á</w:t>
      </w:r>
      <w:r w:rsidRPr="00EC4899">
        <w:rPr>
          <w:sz w:val="24"/>
        </w:rPr>
        <w:t xml:space="preserve"> mají nulovou toleranci k</w:t>
      </w:r>
      <w:r w:rsidR="00681CDA">
        <w:rPr>
          <w:sz w:val="24"/>
        </w:rPr>
        <w:t> </w:t>
      </w:r>
      <w:r w:rsidRPr="00EC4899">
        <w:rPr>
          <w:sz w:val="24"/>
        </w:rPr>
        <w:t>hazardu</w:t>
      </w:r>
      <w:r w:rsidR="00681CDA">
        <w:rPr>
          <w:sz w:val="24"/>
        </w:rPr>
        <w:t>,</w:t>
      </w:r>
      <w:r w:rsidRPr="00EC4899">
        <w:rPr>
          <w:sz w:val="24"/>
        </w:rPr>
        <w:t xml:space="preserve"> a městy h</w:t>
      </w:r>
      <w:r w:rsidR="0018562B">
        <w:rPr>
          <w:sz w:val="24"/>
        </w:rPr>
        <w:t>erní zábavu umožňující.</w:t>
      </w:r>
    </w:p>
    <w:p w:rsidR="000A1056" w:rsidRPr="007C55A5" w:rsidRDefault="007C55A5" w:rsidP="007C55A5">
      <w:pPr>
        <w:pStyle w:val="Nadpis2"/>
        <w:numPr>
          <w:ilvl w:val="0"/>
          <w:numId w:val="0"/>
        </w:numPr>
        <w:spacing w:before="120" w:after="0" w:line="240" w:lineRule="auto"/>
        <w:ind w:left="624"/>
        <w:rPr>
          <w:sz w:val="24"/>
          <w:szCs w:val="24"/>
        </w:rPr>
      </w:pPr>
      <w:bookmarkStart w:id="17" w:name="_Toc480010180"/>
      <w:r w:rsidRPr="00D4101C">
        <w:rPr>
          <w:sz w:val="24"/>
          <w:szCs w:val="24"/>
        </w:rPr>
        <w:lastRenderedPageBreak/>
        <w:t>Studie uvádí, že Vysoké Mýto, Svitavy, Moravská Třebová a Litomyšl spolu vzájemně sousedí,</w:t>
      </w:r>
      <w:r w:rsidR="000C5649">
        <w:rPr>
          <w:rStyle w:val="Znakapoznpodarou"/>
          <w:sz w:val="24"/>
          <w:szCs w:val="24"/>
        </w:rPr>
        <w:footnoteReference w:id="35"/>
      </w:r>
      <w:r w:rsidRPr="00D4101C">
        <w:rPr>
          <w:sz w:val="24"/>
          <w:szCs w:val="24"/>
        </w:rPr>
        <w:t xml:space="preserve"> což je nepravdivé. Jsou sice v jednom Pardubickém kraji, ale ve dvou různých okresech i ve dvou zemích - Moravská Třebová a Svitavy na Moravě a Litomyšl a Vysoké Mýto v Čechách.</w:t>
      </w:r>
      <w:bookmarkEnd w:id="17"/>
    </w:p>
    <w:p w:rsidR="004C3D9E" w:rsidRDefault="004C3D9E" w:rsidP="00603B16">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0" w:lineRule="auto"/>
        <w:contextualSpacing w:val="0"/>
        <w:rPr>
          <w:sz w:val="24"/>
        </w:rPr>
      </w:pPr>
    </w:p>
    <w:p w:rsidR="00603B16" w:rsidRPr="00603B16" w:rsidRDefault="00603B16" w:rsidP="0011291B">
      <w:pPr>
        <w:pStyle w:val="Odstavecseseznamem"/>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0" w:lineRule="auto"/>
        <w:contextualSpacing w:val="0"/>
        <w:jc w:val="center"/>
        <w:rPr>
          <w:b/>
          <w:sz w:val="24"/>
        </w:rPr>
      </w:pPr>
      <w:r w:rsidRPr="00603B16">
        <w:rPr>
          <w:b/>
          <w:sz w:val="24"/>
        </w:rPr>
        <w:t>Index kriminality ve vybraných městech</w:t>
      </w:r>
      <w:r w:rsidRPr="00EC4899">
        <w:rPr>
          <w:rStyle w:val="Znakapoznpodarou"/>
          <w:sz w:val="24"/>
        </w:rPr>
        <w:footnoteReference w:id="36"/>
      </w:r>
    </w:p>
    <w:tbl>
      <w:tblPr>
        <w:tblStyle w:val="Mkatabulky"/>
        <w:tblW w:w="0" w:type="auto"/>
        <w:tblInd w:w="534" w:type="dxa"/>
        <w:tblLook w:val="04A0" w:firstRow="1" w:lastRow="0" w:firstColumn="1" w:lastColumn="0" w:noHBand="0" w:noVBand="1"/>
      </w:tblPr>
      <w:tblGrid>
        <w:gridCol w:w="2066"/>
        <w:gridCol w:w="1670"/>
        <w:gridCol w:w="1670"/>
        <w:gridCol w:w="1671"/>
        <w:gridCol w:w="1671"/>
      </w:tblGrid>
      <w:tr w:rsidR="000A1056" w:rsidRPr="00EC4899" w:rsidTr="004C3D9E">
        <w:tc>
          <w:tcPr>
            <w:tcW w:w="2066" w:type="dxa"/>
          </w:tcPr>
          <w:p w:rsidR="00603B16" w:rsidRDefault="000A1056" w:rsidP="00603B16">
            <w:pPr>
              <w:spacing w:after="0" w:line="240" w:lineRule="auto"/>
              <w:ind w:left="0"/>
              <w:rPr>
                <w:sz w:val="24"/>
              </w:rPr>
            </w:pPr>
            <w:r w:rsidRPr="00EC4899">
              <w:rPr>
                <w:sz w:val="24"/>
              </w:rPr>
              <w:t>MĚSTO</w:t>
            </w:r>
          </w:p>
          <w:p w:rsidR="000A1056" w:rsidRPr="00EC4899" w:rsidRDefault="000A1056" w:rsidP="00603B16">
            <w:pPr>
              <w:spacing w:after="0" w:line="240" w:lineRule="auto"/>
              <w:ind w:left="0"/>
              <w:rPr>
                <w:sz w:val="24"/>
              </w:rPr>
            </w:pPr>
          </w:p>
        </w:tc>
        <w:tc>
          <w:tcPr>
            <w:tcW w:w="1670" w:type="dxa"/>
          </w:tcPr>
          <w:p w:rsidR="004C3D9E" w:rsidRDefault="000A1056" w:rsidP="004C3D9E">
            <w:pPr>
              <w:spacing w:after="0" w:line="240" w:lineRule="auto"/>
              <w:ind w:left="0"/>
              <w:jc w:val="left"/>
              <w:rPr>
                <w:sz w:val="24"/>
              </w:rPr>
            </w:pPr>
            <w:r w:rsidRPr="00EC4899">
              <w:rPr>
                <w:sz w:val="24"/>
              </w:rPr>
              <w:t>2013</w:t>
            </w:r>
            <w:r w:rsidR="00603B16">
              <w:rPr>
                <w:sz w:val="24"/>
              </w:rPr>
              <w:t xml:space="preserve"> </w:t>
            </w:r>
          </w:p>
          <w:p w:rsidR="000A1056" w:rsidRPr="00EC4899" w:rsidRDefault="000A1056" w:rsidP="004C3D9E">
            <w:pPr>
              <w:spacing w:after="0" w:line="240" w:lineRule="auto"/>
              <w:ind w:left="0"/>
              <w:jc w:val="left"/>
              <w:rPr>
                <w:sz w:val="24"/>
              </w:rPr>
            </w:pPr>
            <w:r w:rsidRPr="00EC4899">
              <w:rPr>
                <w:sz w:val="24"/>
              </w:rPr>
              <w:t>leden 2013-leden 2014</w:t>
            </w:r>
          </w:p>
        </w:tc>
        <w:tc>
          <w:tcPr>
            <w:tcW w:w="1670" w:type="dxa"/>
          </w:tcPr>
          <w:p w:rsidR="000A1056" w:rsidRPr="00EC4899" w:rsidRDefault="000A1056" w:rsidP="004C3D9E">
            <w:pPr>
              <w:spacing w:after="0" w:line="240" w:lineRule="auto"/>
              <w:ind w:left="0"/>
              <w:jc w:val="center"/>
              <w:rPr>
                <w:sz w:val="24"/>
              </w:rPr>
            </w:pPr>
            <w:r w:rsidRPr="00EC4899">
              <w:rPr>
                <w:sz w:val="24"/>
              </w:rPr>
              <w:t>2014</w:t>
            </w:r>
          </w:p>
          <w:p w:rsidR="000A1056" w:rsidRPr="00EC4899" w:rsidRDefault="000A1056" w:rsidP="004C3D9E">
            <w:pPr>
              <w:spacing w:after="0" w:line="240" w:lineRule="auto"/>
              <w:ind w:left="0"/>
              <w:jc w:val="center"/>
              <w:rPr>
                <w:sz w:val="24"/>
              </w:rPr>
            </w:pPr>
            <w:r w:rsidRPr="00EC4899">
              <w:rPr>
                <w:sz w:val="24"/>
              </w:rPr>
              <w:t>leden 2014-leden 2015</w:t>
            </w:r>
          </w:p>
        </w:tc>
        <w:tc>
          <w:tcPr>
            <w:tcW w:w="1671" w:type="dxa"/>
          </w:tcPr>
          <w:p w:rsidR="000A1056" w:rsidRPr="00EC4899" w:rsidRDefault="000A1056" w:rsidP="004C3D9E">
            <w:pPr>
              <w:spacing w:after="0" w:line="240" w:lineRule="auto"/>
              <w:ind w:left="0"/>
              <w:jc w:val="center"/>
              <w:rPr>
                <w:sz w:val="24"/>
              </w:rPr>
            </w:pPr>
            <w:r w:rsidRPr="00EC4899">
              <w:rPr>
                <w:sz w:val="24"/>
              </w:rPr>
              <w:t>2015</w:t>
            </w:r>
          </w:p>
          <w:p w:rsidR="000A1056" w:rsidRPr="00EC4899" w:rsidRDefault="000A1056" w:rsidP="004C3D9E">
            <w:pPr>
              <w:spacing w:after="0" w:line="240" w:lineRule="auto"/>
              <w:ind w:left="0"/>
              <w:jc w:val="center"/>
              <w:rPr>
                <w:sz w:val="24"/>
              </w:rPr>
            </w:pPr>
            <w:r w:rsidRPr="00EC4899">
              <w:rPr>
                <w:sz w:val="24"/>
              </w:rPr>
              <w:t>leden 2015-leden 2016</w:t>
            </w:r>
          </w:p>
        </w:tc>
        <w:tc>
          <w:tcPr>
            <w:tcW w:w="1671" w:type="dxa"/>
          </w:tcPr>
          <w:p w:rsidR="000A1056" w:rsidRPr="00EC4899" w:rsidRDefault="000A1056" w:rsidP="004C3D9E">
            <w:pPr>
              <w:spacing w:after="0" w:line="240" w:lineRule="auto"/>
              <w:ind w:left="0"/>
              <w:jc w:val="left"/>
              <w:rPr>
                <w:sz w:val="24"/>
              </w:rPr>
            </w:pPr>
            <w:r w:rsidRPr="00EC4899">
              <w:rPr>
                <w:sz w:val="24"/>
              </w:rPr>
              <w:t>2016</w:t>
            </w:r>
          </w:p>
          <w:p w:rsidR="000A1056" w:rsidRPr="00EC4899" w:rsidRDefault="000A1056" w:rsidP="004C3D9E">
            <w:pPr>
              <w:spacing w:after="0" w:line="240" w:lineRule="auto"/>
              <w:ind w:left="0"/>
              <w:jc w:val="left"/>
              <w:rPr>
                <w:sz w:val="24"/>
              </w:rPr>
            </w:pPr>
            <w:r w:rsidRPr="00EC4899">
              <w:rPr>
                <w:sz w:val="24"/>
              </w:rPr>
              <w:t>leden 2016-leden 2017</w:t>
            </w:r>
          </w:p>
        </w:tc>
      </w:tr>
      <w:tr w:rsidR="000A1056" w:rsidRPr="00EC4899" w:rsidTr="004C3D9E">
        <w:tc>
          <w:tcPr>
            <w:tcW w:w="2066" w:type="dxa"/>
          </w:tcPr>
          <w:p w:rsidR="000A1056" w:rsidRPr="00EC4899" w:rsidRDefault="000A1056" w:rsidP="00603B16">
            <w:pPr>
              <w:spacing w:after="0" w:line="240" w:lineRule="auto"/>
              <w:ind w:left="0"/>
              <w:rPr>
                <w:sz w:val="24"/>
              </w:rPr>
            </w:pPr>
            <w:r w:rsidRPr="00EC4899">
              <w:rPr>
                <w:sz w:val="24"/>
              </w:rPr>
              <w:t>Vysoké Mýto</w:t>
            </w:r>
          </w:p>
        </w:tc>
        <w:tc>
          <w:tcPr>
            <w:tcW w:w="1670" w:type="dxa"/>
          </w:tcPr>
          <w:p w:rsidR="000A1056" w:rsidRPr="00EC4899" w:rsidRDefault="000A1056" w:rsidP="00AD04A2">
            <w:pPr>
              <w:spacing w:after="0" w:line="240" w:lineRule="auto"/>
              <w:ind w:left="0"/>
              <w:jc w:val="left"/>
              <w:rPr>
                <w:sz w:val="24"/>
              </w:rPr>
            </w:pPr>
            <w:r w:rsidRPr="00EC4899">
              <w:rPr>
                <w:sz w:val="24"/>
              </w:rPr>
              <w:t>220</w:t>
            </w:r>
            <w:r w:rsidR="00AD04A2">
              <w:rPr>
                <w:sz w:val="24"/>
              </w:rPr>
              <w:t>,</w:t>
            </w:r>
            <w:r w:rsidRPr="00EC4899">
              <w:rPr>
                <w:sz w:val="24"/>
              </w:rPr>
              <w:t>8</w:t>
            </w:r>
          </w:p>
        </w:tc>
        <w:tc>
          <w:tcPr>
            <w:tcW w:w="1670" w:type="dxa"/>
          </w:tcPr>
          <w:p w:rsidR="000A1056" w:rsidRPr="00EC4899" w:rsidRDefault="000A1056" w:rsidP="00AD04A2">
            <w:pPr>
              <w:spacing w:after="0" w:line="240" w:lineRule="auto"/>
              <w:ind w:left="0"/>
              <w:jc w:val="center"/>
              <w:rPr>
                <w:sz w:val="24"/>
              </w:rPr>
            </w:pPr>
            <w:r w:rsidRPr="00EC4899">
              <w:rPr>
                <w:sz w:val="24"/>
              </w:rPr>
              <w:t>227</w:t>
            </w:r>
            <w:r w:rsidR="00AD04A2">
              <w:rPr>
                <w:sz w:val="24"/>
              </w:rPr>
              <w:t>,</w:t>
            </w:r>
            <w:r w:rsidRPr="00EC4899">
              <w:rPr>
                <w:sz w:val="24"/>
              </w:rPr>
              <w:t>6</w:t>
            </w:r>
          </w:p>
        </w:tc>
        <w:tc>
          <w:tcPr>
            <w:tcW w:w="1671" w:type="dxa"/>
          </w:tcPr>
          <w:p w:rsidR="000A1056" w:rsidRPr="00EC4899" w:rsidRDefault="000A1056" w:rsidP="004C3D9E">
            <w:pPr>
              <w:spacing w:after="0" w:line="240" w:lineRule="auto"/>
              <w:ind w:left="0"/>
              <w:jc w:val="center"/>
              <w:rPr>
                <w:sz w:val="24"/>
              </w:rPr>
            </w:pPr>
            <w:r w:rsidRPr="00EC4899">
              <w:rPr>
                <w:sz w:val="24"/>
              </w:rPr>
              <w:t>139</w:t>
            </w:r>
          </w:p>
        </w:tc>
        <w:tc>
          <w:tcPr>
            <w:tcW w:w="1671" w:type="dxa"/>
          </w:tcPr>
          <w:p w:rsidR="000A1056" w:rsidRPr="00EC4899" w:rsidRDefault="000A1056" w:rsidP="00AD04A2">
            <w:pPr>
              <w:spacing w:after="0" w:line="240" w:lineRule="auto"/>
              <w:ind w:left="0"/>
              <w:jc w:val="left"/>
              <w:rPr>
                <w:sz w:val="24"/>
              </w:rPr>
            </w:pPr>
            <w:r w:rsidRPr="00EC4899">
              <w:rPr>
                <w:sz w:val="24"/>
              </w:rPr>
              <w:t>114</w:t>
            </w:r>
            <w:r w:rsidR="00AD04A2">
              <w:rPr>
                <w:sz w:val="24"/>
              </w:rPr>
              <w:t>,</w:t>
            </w:r>
            <w:r w:rsidRPr="00EC4899">
              <w:rPr>
                <w:sz w:val="24"/>
              </w:rPr>
              <w:t>4</w:t>
            </w:r>
          </w:p>
        </w:tc>
      </w:tr>
      <w:tr w:rsidR="000A1056" w:rsidRPr="00EC4899" w:rsidTr="004C3D9E">
        <w:tc>
          <w:tcPr>
            <w:tcW w:w="2066" w:type="dxa"/>
          </w:tcPr>
          <w:p w:rsidR="000A1056" w:rsidRPr="00EC4899" w:rsidRDefault="000A1056" w:rsidP="00603B16">
            <w:pPr>
              <w:spacing w:after="0" w:line="240" w:lineRule="auto"/>
              <w:ind w:left="0"/>
              <w:rPr>
                <w:sz w:val="24"/>
              </w:rPr>
            </w:pPr>
            <w:r w:rsidRPr="00EC4899">
              <w:rPr>
                <w:sz w:val="24"/>
              </w:rPr>
              <w:t>Litomyšl</w:t>
            </w:r>
          </w:p>
        </w:tc>
        <w:tc>
          <w:tcPr>
            <w:tcW w:w="1670" w:type="dxa"/>
          </w:tcPr>
          <w:p w:rsidR="000A1056" w:rsidRPr="00EC4899" w:rsidRDefault="000A1056" w:rsidP="008C70CD">
            <w:pPr>
              <w:keepNext/>
              <w:spacing w:after="0" w:line="240" w:lineRule="auto"/>
              <w:ind w:left="0"/>
              <w:jc w:val="left"/>
              <w:rPr>
                <w:sz w:val="24"/>
              </w:rPr>
            </w:pPr>
            <w:r w:rsidRPr="00EC4899">
              <w:rPr>
                <w:sz w:val="24"/>
              </w:rPr>
              <w:t>178</w:t>
            </w:r>
          </w:p>
        </w:tc>
        <w:tc>
          <w:tcPr>
            <w:tcW w:w="1670" w:type="dxa"/>
          </w:tcPr>
          <w:p w:rsidR="000A1056" w:rsidRPr="00EC4899" w:rsidRDefault="000A1056" w:rsidP="00AD04A2">
            <w:pPr>
              <w:spacing w:after="0" w:line="240" w:lineRule="auto"/>
              <w:ind w:left="0"/>
              <w:jc w:val="center"/>
              <w:rPr>
                <w:sz w:val="24"/>
              </w:rPr>
            </w:pPr>
            <w:r w:rsidRPr="00EC4899">
              <w:rPr>
                <w:sz w:val="24"/>
              </w:rPr>
              <w:t>178</w:t>
            </w:r>
            <w:r w:rsidR="00AD04A2">
              <w:rPr>
                <w:sz w:val="24"/>
              </w:rPr>
              <w:t>,</w:t>
            </w:r>
            <w:r w:rsidRPr="00EC4899">
              <w:rPr>
                <w:sz w:val="24"/>
              </w:rPr>
              <w:t>9</w:t>
            </w:r>
          </w:p>
        </w:tc>
        <w:tc>
          <w:tcPr>
            <w:tcW w:w="1671" w:type="dxa"/>
          </w:tcPr>
          <w:p w:rsidR="000A1056" w:rsidRPr="00EC4899" w:rsidRDefault="000A1056" w:rsidP="00AD04A2">
            <w:pPr>
              <w:spacing w:after="0" w:line="240" w:lineRule="auto"/>
              <w:ind w:left="0"/>
              <w:jc w:val="center"/>
              <w:rPr>
                <w:sz w:val="24"/>
              </w:rPr>
            </w:pPr>
            <w:r w:rsidRPr="00EC4899">
              <w:rPr>
                <w:sz w:val="24"/>
              </w:rPr>
              <w:t>127</w:t>
            </w:r>
            <w:r w:rsidR="00AD04A2">
              <w:rPr>
                <w:sz w:val="24"/>
              </w:rPr>
              <w:t>,</w:t>
            </w:r>
            <w:r w:rsidRPr="00EC4899">
              <w:rPr>
                <w:sz w:val="24"/>
              </w:rPr>
              <w:t>1</w:t>
            </w:r>
          </w:p>
        </w:tc>
        <w:tc>
          <w:tcPr>
            <w:tcW w:w="1671" w:type="dxa"/>
          </w:tcPr>
          <w:p w:rsidR="000A1056" w:rsidRPr="00EC4899" w:rsidRDefault="000A1056" w:rsidP="00AD04A2">
            <w:pPr>
              <w:spacing w:after="0" w:line="240" w:lineRule="auto"/>
              <w:ind w:left="0"/>
              <w:jc w:val="left"/>
              <w:rPr>
                <w:sz w:val="24"/>
              </w:rPr>
            </w:pPr>
            <w:r w:rsidRPr="00EC4899">
              <w:rPr>
                <w:sz w:val="24"/>
              </w:rPr>
              <w:t>110</w:t>
            </w:r>
            <w:r w:rsidR="00AD04A2">
              <w:rPr>
                <w:sz w:val="24"/>
              </w:rPr>
              <w:t>,</w:t>
            </w:r>
            <w:r w:rsidRPr="00EC4899">
              <w:rPr>
                <w:sz w:val="24"/>
              </w:rPr>
              <w:t>3</w:t>
            </w:r>
          </w:p>
        </w:tc>
      </w:tr>
      <w:tr w:rsidR="000A1056" w:rsidRPr="00EC4899" w:rsidTr="004C3D9E">
        <w:tc>
          <w:tcPr>
            <w:tcW w:w="2066" w:type="dxa"/>
          </w:tcPr>
          <w:p w:rsidR="000A1056" w:rsidRPr="00EC4899" w:rsidRDefault="000A1056" w:rsidP="00603B16">
            <w:pPr>
              <w:spacing w:after="0" w:line="240" w:lineRule="auto"/>
              <w:ind w:left="0"/>
              <w:rPr>
                <w:sz w:val="24"/>
              </w:rPr>
            </w:pPr>
            <w:r w:rsidRPr="00EC4899">
              <w:rPr>
                <w:sz w:val="24"/>
              </w:rPr>
              <w:t>Svitavy</w:t>
            </w:r>
          </w:p>
        </w:tc>
        <w:tc>
          <w:tcPr>
            <w:tcW w:w="1670" w:type="dxa"/>
          </w:tcPr>
          <w:p w:rsidR="000A1056" w:rsidRPr="00EC4899" w:rsidRDefault="000A1056" w:rsidP="00AD04A2">
            <w:pPr>
              <w:spacing w:after="0" w:line="240" w:lineRule="auto"/>
              <w:ind w:left="0"/>
              <w:jc w:val="left"/>
              <w:rPr>
                <w:sz w:val="24"/>
              </w:rPr>
            </w:pPr>
            <w:r w:rsidRPr="00EC4899">
              <w:rPr>
                <w:sz w:val="24"/>
              </w:rPr>
              <w:t>190</w:t>
            </w:r>
            <w:r w:rsidR="00AD04A2">
              <w:rPr>
                <w:sz w:val="24"/>
              </w:rPr>
              <w:t>,</w:t>
            </w:r>
            <w:r w:rsidRPr="00EC4899">
              <w:rPr>
                <w:sz w:val="24"/>
              </w:rPr>
              <w:t>1</w:t>
            </w:r>
          </w:p>
        </w:tc>
        <w:tc>
          <w:tcPr>
            <w:tcW w:w="1670" w:type="dxa"/>
          </w:tcPr>
          <w:p w:rsidR="000A1056" w:rsidRPr="00EC4899" w:rsidRDefault="000A1056" w:rsidP="00AD04A2">
            <w:pPr>
              <w:spacing w:after="0" w:line="240" w:lineRule="auto"/>
              <w:ind w:left="0"/>
              <w:jc w:val="center"/>
              <w:rPr>
                <w:sz w:val="24"/>
              </w:rPr>
            </w:pPr>
            <w:r w:rsidRPr="00EC4899">
              <w:rPr>
                <w:sz w:val="24"/>
              </w:rPr>
              <w:t>182</w:t>
            </w:r>
            <w:r w:rsidR="00AD04A2">
              <w:rPr>
                <w:sz w:val="24"/>
              </w:rPr>
              <w:t>,</w:t>
            </w:r>
            <w:r w:rsidRPr="00EC4899">
              <w:rPr>
                <w:sz w:val="24"/>
              </w:rPr>
              <w:t>4</w:t>
            </w:r>
          </w:p>
        </w:tc>
        <w:tc>
          <w:tcPr>
            <w:tcW w:w="1671" w:type="dxa"/>
          </w:tcPr>
          <w:p w:rsidR="000A1056" w:rsidRPr="00EC4899" w:rsidRDefault="000A1056" w:rsidP="00AD04A2">
            <w:pPr>
              <w:spacing w:after="0" w:line="240" w:lineRule="auto"/>
              <w:ind w:left="0"/>
              <w:jc w:val="center"/>
              <w:rPr>
                <w:sz w:val="24"/>
              </w:rPr>
            </w:pPr>
            <w:r w:rsidRPr="00EC4899">
              <w:rPr>
                <w:sz w:val="24"/>
              </w:rPr>
              <w:t>145</w:t>
            </w:r>
            <w:r w:rsidR="00AD04A2">
              <w:rPr>
                <w:sz w:val="24"/>
              </w:rPr>
              <w:t>,</w:t>
            </w:r>
            <w:r w:rsidRPr="00EC4899">
              <w:rPr>
                <w:sz w:val="24"/>
              </w:rPr>
              <w:t>2</w:t>
            </w:r>
          </w:p>
        </w:tc>
        <w:tc>
          <w:tcPr>
            <w:tcW w:w="1671" w:type="dxa"/>
          </w:tcPr>
          <w:p w:rsidR="000A1056" w:rsidRPr="00EC4899" w:rsidRDefault="000A1056" w:rsidP="00AD04A2">
            <w:pPr>
              <w:spacing w:after="0" w:line="240" w:lineRule="auto"/>
              <w:ind w:left="0"/>
              <w:jc w:val="left"/>
              <w:rPr>
                <w:sz w:val="24"/>
              </w:rPr>
            </w:pPr>
            <w:r w:rsidRPr="00EC4899">
              <w:rPr>
                <w:sz w:val="24"/>
              </w:rPr>
              <w:t>137</w:t>
            </w:r>
            <w:r w:rsidR="00AD04A2">
              <w:rPr>
                <w:sz w:val="24"/>
              </w:rPr>
              <w:t>,</w:t>
            </w:r>
            <w:r w:rsidRPr="00EC4899">
              <w:rPr>
                <w:sz w:val="24"/>
              </w:rPr>
              <w:t>7</w:t>
            </w:r>
          </w:p>
        </w:tc>
      </w:tr>
      <w:tr w:rsidR="000A1056" w:rsidRPr="00EC4899" w:rsidTr="004C3D9E">
        <w:tc>
          <w:tcPr>
            <w:tcW w:w="2066" w:type="dxa"/>
          </w:tcPr>
          <w:p w:rsidR="000A1056" w:rsidRPr="00EC4899" w:rsidRDefault="000A1056" w:rsidP="004C3D9E">
            <w:pPr>
              <w:spacing w:after="0" w:line="240" w:lineRule="auto"/>
              <w:ind w:left="0"/>
              <w:rPr>
                <w:sz w:val="24"/>
              </w:rPr>
            </w:pPr>
            <w:r w:rsidRPr="00EC4899">
              <w:rPr>
                <w:sz w:val="24"/>
              </w:rPr>
              <w:t xml:space="preserve">Moravská </w:t>
            </w:r>
            <w:r w:rsidR="00603B16">
              <w:rPr>
                <w:sz w:val="24"/>
              </w:rPr>
              <w:t>T</w:t>
            </w:r>
            <w:r w:rsidRPr="00EC4899">
              <w:rPr>
                <w:sz w:val="24"/>
              </w:rPr>
              <w:t>řebová</w:t>
            </w:r>
          </w:p>
        </w:tc>
        <w:tc>
          <w:tcPr>
            <w:tcW w:w="1670" w:type="dxa"/>
          </w:tcPr>
          <w:p w:rsidR="000A1056" w:rsidRPr="00EC4899" w:rsidRDefault="000A1056" w:rsidP="00AD04A2">
            <w:pPr>
              <w:spacing w:after="0" w:line="240" w:lineRule="auto"/>
              <w:ind w:left="0"/>
              <w:jc w:val="left"/>
              <w:rPr>
                <w:sz w:val="24"/>
              </w:rPr>
            </w:pPr>
            <w:r w:rsidRPr="00EC4899">
              <w:rPr>
                <w:sz w:val="24"/>
              </w:rPr>
              <w:t>181</w:t>
            </w:r>
            <w:r w:rsidR="00AD04A2">
              <w:rPr>
                <w:sz w:val="24"/>
              </w:rPr>
              <w:t>,</w:t>
            </w:r>
            <w:r w:rsidRPr="00EC4899">
              <w:rPr>
                <w:sz w:val="24"/>
              </w:rPr>
              <w:t>6</w:t>
            </w:r>
          </w:p>
        </w:tc>
        <w:tc>
          <w:tcPr>
            <w:tcW w:w="1670" w:type="dxa"/>
          </w:tcPr>
          <w:p w:rsidR="000A1056" w:rsidRPr="00EC4899" w:rsidRDefault="000A1056" w:rsidP="00AD04A2">
            <w:pPr>
              <w:spacing w:after="0" w:line="240" w:lineRule="auto"/>
              <w:ind w:left="0"/>
              <w:jc w:val="center"/>
              <w:rPr>
                <w:sz w:val="24"/>
              </w:rPr>
            </w:pPr>
            <w:r w:rsidRPr="00EC4899">
              <w:rPr>
                <w:sz w:val="24"/>
              </w:rPr>
              <w:t>180</w:t>
            </w:r>
            <w:r w:rsidR="00AD04A2">
              <w:rPr>
                <w:sz w:val="24"/>
              </w:rPr>
              <w:t>,</w:t>
            </w:r>
            <w:r w:rsidRPr="00EC4899">
              <w:rPr>
                <w:sz w:val="24"/>
              </w:rPr>
              <w:t>5</w:t>
            </w:r>
          </w:p>
        </w:tc>
        <w:tc>
          <w:tcPr>
            <w:tcW w:w="1671" w:type="dxa"/>
          </w:tcPr>
          <w:p w:rsidR="000A1056" w:rsidRPr="00EC4899" w:rsidRDefault="000A1056" w:rsidP="00AD04A2">
            <w:pPr>
              <w:spacing w:after="0" w:line="240" w:lineRule="auto"/>
              <w:ind w:left="0"/>
              <w:jc w:val="center"/>
              <w:rPr>
                <w:sz w:val="24"/>
              </w:rPr>
            </w:pPr>
            <w:r w:rsidRPr="00EC4899">
              <w:rPr>
                <w:sz w:val="24"/>
              </w:rPr>
              <w:t>136</w:t>
            </w:r>
            <w:r w:rsidR="00AD04A2">
              <w:rPr>
                <w:sz w:val="24"/>
              </w:rPr>
              <w:t>,</w:t>
            </w:r>
            <w:r w:rsidRPr="00EC4899">
              <w:rPr>
                <w:sz w:val="24"/>
              </w:rPr>
              <w:t>6</w:t>
            </w:r>
          </w:p>
        </w:tc>
        <w:tc>
          <w:tcPr>
            <w:tcW w:w="1671" w:type="dxa"/>
          </w:tcPr>
          <w:p w:rsidR="000A1056" w:rsidRPr="00EC4899" w:rsidRDefault="000A1056" w:rsidP="00AD04A2">
            <w:pPr>
              <w:spacing w:after="0" w:line="240" w:lineRule="auto"/>
              <w:ind w:left="0"/>
              <w:jc w:val="left"/>
              <w:rPr>
                <w:sz w:val="24"/>
              </w:rPr>
            </w:pPr>
            <w:r w:rsidRPr="00EC4899">
              <w:rPr>
                <w:sz w:val="24"/>
              </w:rPr>
              <w:t>156</w:t>
            </w:r>
            <w:r w:rsidR="00AD04A2">
              <w:rPr>
                <w:sz w:val="24"/>
              </w:rPr>
              <w:t>,</w:t>
            </w:r>
            <w:r w:rsidRPr="00EC4899">
              <w:rPr>
                <w:sz w:val="24"/>
              </w:rPr>
              <w:t>4</w:t>
            </w:r>
          </w:p>
        </w:tc>
      </w:tr>
    </w:tbl>
    <w:p w:rsidR="00D04E71" w:rsidRDefault="00D04E71" w:rsidP="00D04E71">
      <w:pPr>
        <w:spacing w:before="120" w:after="0" w:line="240" w:lineRule="auto"/>
        <w:rPr>
          <w:b/>
          <w:sz w:val="24"/>
        </w:rPr>
      </w:pPr>
    </w:p>
    <w:p w:rsidR="00D04E71" w:rsidRDefault="00D04E71" w:rsidP="004C3D9E">
      <w:pPr>
        <w:pStyle w:val="Nadpis2"/>
        <w:keepNext/>
        <w:spacing w:before="120" w:after="0" w:line="240" w:lineRule="auto"/>
        <w:rPr>
          <w:b/>
          <w:sz w:val="24"/>
          <w:szCs w:val="24"/>
        </w:rPr>
      </w:pPr>
      <w:bookmarkStart w:id="18" w:name="_Toc480010177"/>
      <w:r>
        <w:rPr>
          <w:b/>
          <w:sz w:val="24"/>
          <w:szCs w:val="24"/>
        </w:rPr>
        <w:t>Příklad Moravskoslezského kraje</w:t>
      </w:r>
      <w:bookmarkEnd w:id="18"/>
    </w:p>
    <w:p w:rsidR="00536B59" w:rsidRPr="00536B59" w:rsidRDefault="00536B59" w:rsidP="00536B59">
      <w:pPr>
        <w:pStyle w:val="Zkladntext"/>
      </w:pPr>
    </w:p>
    <w:p w:rsidR="00753B2C" w:rsidRDefault="000A4225" w:rsidP="00753B2C">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ontextualSpacing w:val="0"/>
        <w:rPr>
          <w:sz w:val="24"/>
        </w:rPr>
      </w:pPr>
      <w:r>
        <w:rPr>
          <w:sz w:val="24"/>
        </w:rPr>
        <w:t>I v</w:t>
      </w:r>
      <w:r w:rsidR="00536B59">
        <w:rPr>
          <w:sz w:val="24"/>
        </w:rPr>
        <w:t xml:space="preserve"> případě Moravskoslezského kraje</w:t>
      </w:r>
      <w:r w:rsidR="00536B59">
        <w:rPr>
          <w:rStyle w:val="Znakapoznpodarou"/>
          <w:sz w:val="24"/>
        </w:rPr>
        <w:footnoteReference w:id="37"/>
      </w:r>
      <w:r w:rsidR="00536B59">
        <w:rPr>
          <w:sz w:val="24"/>
        </w:rPr>
        <w:t xml:space="preserve"> se h</w:t>
      </w:r>
      <w:r w:rsidR="00D04E71" w:rsidRPr="00EC4899">
        <w:rPr>
          <w:sz w:val="24"/>
        </w:rPr>
        <w:t xml:space="preserve">odnotí v podstatě dva údaje – tzv. míra vstřícnosti k hazardu a index kriminality – u </w:t>
      </w:r>
      <w:r w:rsidR="0011291B">
        <w:rPr>
          <w:sz w:val="24"/>
        </w:rPr>
        <w:t>řady</w:t>
      </w:r>
      <w:r w:rsidR="00D04E71" w:rsidRPr="00EC4899">
        <w:rPr>
          <w:sz w:val="24"/>
        </w:rPr>
        <w:t xml:space="preserve"> obcí to je opravdu tak, že obce s vysokou mírou vstřícnosti mají vysoký index kriminality (např. Karviná, index kriminality 254, Ostrava, index kriminality 316,1)</w:t>
      </w:r>
      <w:r w:rsidR="00D04E71">
        <w:rPr>
          <w:sz w:val="24"/>
        </w:rPr>
        <w:t>. N</w:t>
      </w:r>
      <w:r w:rsidR="00D04E71" w:rsidRPr="00EC4899">
        <w:rPr>
          <w:sz w:val="24"/>
        </w:rPr>
        <w:t>icméně není již zohledněno a podrobeno analýze, proč některé obce s vysokou vstřícností mají index kriminality na podobné úrovni jako některá města s nízkou vstřícností, např</w:t>
      </w:r>
      <w:r w:rsidR="00753B2C">
        <w:rPr>
          <w:sz w:val="24"/>
        </w:rPr>
        <w:t>.:</w:t>
      </w:r>
    </w:p>
    <w:p w:rsidR="00753B2C" w:rsidRDefault="00D04E71" w:rsidP="00753B2C">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ontextualSpacing w:val="0"/>
        <w:rPr>
          <w:sz w:val="24"/>
        </w:rPr>
      </w:pPr>
      <w:r w:rsidRPr="00753B2C">
        <w:rPr>
          <w:b/>
          <w:sz w:val="24"/>
        </w:rPr>
        <w:t>Bruntál</w:t>
      </w:r>
      <w:r w:rsidRPr="00753B2C">
        <w:rPr>
          <w:sz w:val="24"/>
        </w:rPr>
        <w:t xml:space="preserve"> – míra vstřícnosti k hazardu 3. místo a index kriminality 177,9 x </w:t>
      </w:r>
      <w:r w:rsidRPr="00753B2C">
        <w:rPr>
          <w:b/>
          <w:sz w:val="24"/>
        </w:rPr>
        <w:t>Frýdlant nad Ostravicí</w:t>
      </w:r>
      <w:r w:rsidRPr="00753B2C">
        <w:rPr>
          <w:sz w:val="24"/>
        </w:rPr>
        <w:t xml:space="preserve"> – míra vstřícnosti 23. místo (jedno z</w:t>
      </w:r>
      <w:r w:rsidR="006D68FF">
        <w:rPr>
          <w:sz w:val="24"/>
        </w:rPr>
        <w:t> </w:t>
      </w:r>
      <w:r w:rsidRPr="00753B2C">
        <w:rPr>
          <w:sz w:val="24"/>
        </w:rPr>
        <w:t>posledních</w:t>
      </w:r>
      <w:r w:rsidR="006D68FF">
        <w:rPr>
          <w:sz w:val="24"/>
        </w:rPr>
        <w:t xml:space="preserve"> míst</w:t>
      </w:r>
      <w:r w:rsidRPr="00753B2C">
        <w:rPr>
          <w:sz w:val="24"/>
        </w:rPr>
        <w:t>, neboť mají v obci 1 automat) a index kriminality je zde 180</w:t>
      </w:r>
      <w:r w:rsidR="00753B2C">
        <w:rPr>
          <w:sz w:val="24"/>
        </w:rPr>
        <w:t>,1 – tedy vyšší než v Bruntále!</w:t>
      </w:r>
    </w:p>
    <w:p w:rsidR="00753B2C" w:rsidRDefault="00D04E71" w:rsidP="00753B2C">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ontextualSpacing w:val="0"/>
        <w:rPr>
          <w:sz w:val="24"/>
        </w:rPr>
      </w:pPr>
      <w:r w:rsidRPr="00753B2C">
        <w:rPr>
          <w:b/>
          <w:sz w:val="24"/>
        </w:rPr>
        <w:t>Opava</w:t>
      </w:r>
      <w:r w:rsidRPr="00753B2C">
        <w:rPr>
          <w:sz w:val="24"/>
        </w:rPr>
        <w:t xml:space="preserve"> – 2. místo v míře vstřícnosti k hazardu a index kriminality 175,6 x</w:t>
      </w:r>
      <w:r w:rsidRPr="00753B2C">
        <w:rPr>
          <w:b/>
          <w:sz w:val="24"/>
        </w:rPr>
        <w:t xml:space="preserve"> Vratimov</w:t>
      </w:r>
      <w:r w:rsidRPr="00753B2C">
        <w:rPr>
          <w:sz w:val="24"/>
        </w:rPr>
        <w:t xml:space="preserve"> s mírou vstřícnosti na 15. místě (střed) a index kriminality 200,2</w:t>
      </w:r>
      <w:r w:rsidR="00753B2C">
        <w:rPr>
          <w:sz w:val="24"/>
        </w:rPr>
        <w:t>.</w:t>
      </w:r>
    </w:p>
    <w:p w:rsidR="00D04E71" w:rsidRPr="00EC4899" w:rsidRDefault="00D04E71" w:rsidP="00753B2C">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ontextualSpacing w:val="0"/>
        <w:rPr>
          <w:sz w:val="24"/>
        </w:rPr>
      </w:pPr>
      <w:r w:rsidRPr="00EC4899">
        <w:rPr>
          <w:b/>
          <w:sz w:val="24"/>
        </w:rPr>
        <w:t>Frýdek-Místek</w:t>
      </w:r>
      <w:r w:rsidRPr="00EC4899">
        <w:rPr>
          <w:sz w:val="24"/>
        </w:rPr>
        <w:t xml:space="preserve"> – m</w:t>
      </w:r>
      <w:r w:rsidR="000E1942">
        <w:rPr>
          <w:sz w:val="24"/>
        </w:rPr>
        <w:t>íra vstřícnosti na 16. místě a index kriminality</w:t>
      </w:r>
      <w:r w:rsidRPr="00EC4899">
        <w:rPr>
          <w:sz w:val="24"/>
        </w:rPr>
        <w:t xml:space="preserve"> 245,3! – mnohonásobně vyšší index kriminality než např. u Bruntálu (3. místo míra vstřícnosti), Opavy (2. místo), skoro stejný výsledek jako u Karviné (1. místo, index kriminality 254,0)</w:t>
      </w:r>
    </w:p>
    <w:p w:rsidR="006476AA" w:rsidRDefault="006476AA" w:rsidP="00753B2C">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ontextualSpacing w:val="0"/>
        <w:rPr>
          <w:sz w:val="24"/>
        </w:rPr>
      </w:pPr>
      <w:r w:rsidRPr="006476AA">
        <w:rPr>
          <w:b/>
          <w:sz w:val="24"/>
        </w:rPr>
        <w:t>Hradec nad Moravicí</w:t>
      </w:r>
      <w:r>
        <w:rPr>
          <w:sz w:val="24"/>
        </w:rPr>
        <w:t xml:space="preserve"> - na straně 19 Studie je příklad toho, že počet automatů a index kriminality nemusí souviset. V roce 2013 i 2016 byl v tomto městě nezměněný počet 6 automatů. Přitom v roce 2013 počet trestných činů byl 186 a index kriminality dle Studie 159,8 a v roce 2016 byl počet trestných činů 101 a index kriminality 86,8.</w:t>
      </w:r>
    </w:p>
    <w:p w:rsidR="00D04E71" w:rsidRDefault="00D04E71" w:rsidP="00753B2C">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ontextualSpacing w:val="0"/>
        <w:rPr>
          <w:sz w:val="24"/>
        </w:rPr>
      </w:pPr>
      <w:r w:rsidRPr="00EC4899">
        <w:rPr>
          <w:sz w:val="24"/>
        </w:rPr>
        <w:t xml:space="preserve">Statistiky ve Studii pomíjejí další souvislosti a okolnosti – kriminogenní faktory, které se v dané lokalitě vyskytují – evidentně zde nebude problém pouze v hazardu, je třeba zkoumat problematiku komplexně a ne jednostranně. V Moravskoslezském kraji je obecně vyšší nezaměstnanost a s tím související vyšší počet osob závislých na </w:t>
      </w:r>
      <w:r w:rsidRPr="00EC4899">
        <w:rPr>
          <w:sz w:val="24"/>
        </w:rPr>
        <w:lastRenderedPageBreak/>
        <w:t>sociálních dávkách, velký počet vyloučených lokalit, velký počet drogově závislých – to vyplývá z oficiálních statistik (viz např. Plán prevence kriminality města Bohumín v letech 2012-2016, s. 4).</w:t>
      </w:r>
      <w:r w:rsidR="00753B2C">
        <w:rPr>
          <w:rStyle w:val="Znakapoznpodarou"/>
          <w:sz w:val="24"/>
        </w:rPr>
        <w:footnoteReference w:id="38"/>
      </w:r>
    </w:p>
    <w:p w:rsidR="00537A46" w:rsidRPr="00EC4899" w:rsidRDefault="00537A46" w:rsidP="00753B2C">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ontextualSpacing w:val="0"/>
        <w:rPr>
          <w:sz w:val="24"/>
        </w:rPr>
      </w:pPr>
    </w:p>
    <w:p w:rsidR="00537A46" w:rsidRDefault="00346DC5" w:rsidP="00536B59">
      <w:pPr>
        <w:pStyle w:val="Nadpis2"/>
        <w:keepNext/>
        <w:spacing w:before="120" w:after="0" w:line="240" w:lineRule="auto"/>
        <w:rPr>
          <w:b/>
          <w:sz w:val="24"/>
          <w:szCs w:val="24"/>
        </w:rPr>
      </w:pPr>
      <w:bookmarkStart w:id="19" w:name="_Toc480010178"/>
      <w:r>
        <w:rPr>
          <w:b/>
          <w:sz w:val="24"/>
          <w:szCs w:val="24"/>
        </w:rPr>
        <w:t>Některé další kraje</w:t>
      </w:r>
      <w:bookmarkEnd w:id="19"/>
    </w:p>
    <w:p w:rsidR="00536B59" w:rsidRPr="00536B59" w:rsidRDefault="00536B59" w:rsidP="00536B59">
      <w:pPr>
        <w:pStyle w:val="Zkladntext"/>
      </w:pPr>
    </w:p>
    <w:p w:rsidR="000E1942" w:rsidRDefault="00D04E71" w:rsidP="00753B2C">
      <w:pPr>
        <w:pStyle w:val="Odstavecseseznamem"/>
        <w:spacing w:before="120" w:after="0" w:line="240" w:lineRule="auto"/>
        <w:contextualSpacing w:val="0"/>
        <w:rPr>
          <w:sz w:val="24"/>
        </w:rPr>
      </w:pPr>
      <w:r w:rsidRPr="00EC4899">
        <w:rPr>
          <w:sz w:val="24"/>
        </w:rPr>
        <w:t>Obdobným způsobem je Studie vlivu hazardu na kriminalitu koncipována ve všech dalších krajích</w:t>
      </w:r>
      <w:r w:rsidR="00537A46">
        <w:rPr>
          <w:sz w:val="24"/>
        </w:rPr>
        <w:t>. T</w:t>
      </w:r>
      <w:r w:rsidRPr="00EC4899">
        <w:rPr>
          <w:sz w:val="24"/>
        </w:rPr>
        <w:t xml:space="preserve">edy je uváděno, jaká je míra vstřícnosti k hazardu a jaký je </w:t>
      </w:r>
      <w:r w:rsidR="00753B2C">
        <w:rPr>
          <w:sz w:val="24"/>
        </w:rPr>
        <w:t>index kriminality</w:t>
      </w:r>
      <w:r w:rsidRPr="00EC4899">
        <w:rPr>
          <w:sz w:val="24"/>
        </w:rPr>
        <w:t>. Následně autoři vyberou několik měst, na jejichž případech demonstrují, že pokud se sníží počet hracích přístroj</w:t>
      </w:r>
      <w:r w:rsidR="00053F42">
        <w:rPr>
          <w:sz w:val="24"/>
        </w:rPr>
        <w:t>ů</w:t>
      </w:r>
      <w:r w:rsidRPr="00EC4899">
        <w:rPr>
          <w:sz w:val="24"/>
        </w:rPr>
        <w:t xml:space="preserve"> na osobu v dané obci, tak klesne i kriminalita. Tato korelace však bohužel pro autory neplatí bezvýjimečně a Studie nepředkládá žádná relevantní data, na nichž by doložila, že pokles kriminality je opravdu způsoben pouze </w:t>
      </w:r>
      <w:r w:rsidR="000E1942">
        <w:rPr>
          <w:sz w:val="24"/>
        </w:rPr>
        <w:t>či alespoň z převažující části</w:t>
      </w:r>
      <w:r w:rsidR="000E1942" w:rsidRPr="00EC4899">
        <w:rPr>
          <w:sz w:val="24"/>
        </w:rPr>
        <w:t xml:space="preserve"> </w:t>
      </w:r>
      <w:r w:rsidRPr="00EC4899">
        <w:rPr>
          <w:sz w:val="24"/>
        </w:rPr>
        <w:t>snížením počtu hracích přístrojů, příp. vyhláše</w:t>
      </w:r>
      <w:r w:rsidR="000E1942">
        <w:rPr>
          <w:sz w:val="24"/>
        </w:rPr>
        <w:t>ním nulové tolerance k hazardu.</w:t>
      </w:r>
    </w:p>
    <w:p w:rsidR="000E1942" w:rsidRDefault="00D04E71" w:rsidP="00753B2C">
      <w:pPr>
        <w:pStyle w:val="Odstavecseseznamem"/>
        <w:spacing w:before="120" w:after="0" w:line="240" w:lineRule="auto"/>
        <w:contextualSpacing w:val="0"/>
        <w:rPr>
          <w:sz w:val="24"/>
        </w:rPr>
      </w:pPr>
      <w:r w:rsidRPr="00EC4899">
        <w:rPr>
          <w:sz w:val="24"/>
        </w:rPr>
        <w:t>Příkladem může být obec Kojetín v rámci Olomouckého kraje, kde byl před vyhlášením nulové tolerance hazardu index kriminality 116</w:t>
      </w:r>
      <w:r w:rsidR="00AD04A2">
        <w:rPr>
          <w:sz w:val="24"/>
        </w:rPr>
        <w:t>,</w:t>
      </w:r>
      <w:r w:rsidRPr="00EC4899">
        <w:rPr>
          <w:sz w:val="24"/>
        </w:rPr>
        <w:t>4. Po jejím vyhlášení však index kriminality paradoxně ještě o něco málo stoupl na 117</w:t>
      </w:r>
      <w:r w:rsidR="00AD04A2">
        <w:rPr>
          <w:sz w:val="24"/>
        </w:rPr>
        <w:t>,</w:t>
      </w:r>
      <w:r w:rsidRPr="00EC4899">
        <w:rPr>
          <w:sz w:val="24"/>
        </w:rPr>
        <w:t>2, což opět dokazuje, že problém kriminality je hlubší než pouze problém hazardu (s. 23 Studie). Kojetín dokonce autoři Studie uvádějí i v závěrech ke statistice Olomouckého kraje (s. 24 Studie), kde uvádějí, že Kojetín udržuje nulovou toleranci a je zároveň jedním z nejbezpečnějších měst v kraji. Dále dodávají, že v Kojetíně tomu tak však bylo i před</w:t>
      </w:r>
      <w:r w:rsidR="006D68FF">
        <w:rPr>
          <w:sz w:val="24"/>
        </w:rPr>
        <w:t xml:space="preserve"> vyhlášením nulové tolera</w:t>
      </w:r>
      <w:r w:rsidR="000E1942">
        <w:rPr>
          <w:sz w:val="24"/>
        </w:rPr>
        <w:t>n</w:t>
      </w:r>
      <w:r w:rsidR="006D68FF">
        <w:rPr>
          <w:sz w:val="24"/>
        </w:rPr>
        <w:t>ce</w:t>
      </w:r>
      <w:r w:rsidRPr="00EC4899">
        <w:rPr>
          <w:sz w:val="24"/>
        </w:rPr>
        <w:t xml:space="preserve">, čímž sami relativizují své závěry ohledně vztahu kriminality a hazardu a </w:t>
      </w:r>
      <w:r w:rsidRPr="00EC4899">
        <w:rPr>
          <w:i/>
          <w:sz w:val="24"/>
        </w:rPr>
        <w:t>de facto</w:t>
      </w:r>
      <w:r w:rsidRPr="00EC4899">
        <w:rPr>
          <w:sz w:val="24"/>
        </w:rPr>
        <w:t xml:space="preserve"> připouštějí, že problém je hlubší, aniž by se však tímto svým poznatkem jakkoliv dále zabývali.</w:t>
      </w:r>
      <w:r>
        <w:rPr>
          <w:sz w:val="24"/>
        </w:rPr>
        <w:t xml:space="preserve"> </w:t>
      </w:r>
    </w:p>
    <w:p w:rsidR="00D04E71" w:rsidRDefault="00D04E71" w:rsidP="00753B2C">
      <w:pPr>
        <w:pStyle w:val="Odstavecseseznamem"/>
        <w:spacing w:before="120" w:after="0" w:line="240" w:lineRule="auto"/>
        <w:contextualSpacing w:val="0"/>
        <w:rPr>
          <w:sz w:val="24"/>
        </w:rPr>
      </w:pPr>
      <w:r w:rsidRPr="00EC4899">
        <w:rPr>
          <w:sz w:val="24"/>
        </w:rPr>
        <w:t>Značně zjednodušené závěry autorů Studie lze taktéž demonstrovat na statistikách ze Zlínského kraje, z nichž v mnoha případech vyplývá, že města vstřícná k hazardu (např. Luhačovice – 3. místo v míře vstřícnosti k hazardu, Napajedla – 1. místo v míře vstřícnosti k hazardu, Holešov – 2. místo v míře vstřícnosti k hazardu) vykazují velmi nízký index kriminality – Luhačovice: 89,4 (11. místo), Napajedla: 105,1 (10. místo), Holešov 83,6 (13. místo). Naopak např. Kroměříž, která má 0 hracích přís</w:t>
      </w:r>
      <w:r>
        <w:rPr>
          <w:sz w:val="24"/>
        </w:rPr>
        <w:t xml:space="preserve">trojů, má </w:t>
      </w:r>
      <w:r w:rsidR="00537A46">
        <w:rPr>
          <w:sz w:val="24"/>
        </w:rPr>
        <w:t>index kriminality</w:t>
      </w:r>
      <w:r>
        <w:rPr>
          <w:sz w:val="24"/>
        </w:rPr>
        <w:t xml:space="preserve"> 147,3 (4. místo v indexu kriminality)</w:t>
      </w:r>
      <w:r w:rsidRPr="00EC4899">
        <w:rPr>
          <w:sz w:val="24"/>
        </w:rPr>
        <w:t xml:space="preserve"> – tedy vyšší než obce nejvstřícnější k hazardu v tomto kraji. Autoři opět opomíjejí tato data jakkoliv interpretovat. Mnoho obdobných příkladů tak najdeme ve statistikách ke všem krajům</w:t>
      </w:r>
      <w:r>
        <w:rPr>
          <w:sz w:val="24"/>
        </w:rPr>
        <w:t xml:space="preserve"> </w:t>
      </w:r>
      <w:r w:rsidRPr="00EC4899">
        <w:rPr>
          <w:sz w:val="24"/>
        </w:rPr>
        <w:t xml:space="preserve">(např. v Jihomoravském kraji je Brno mírou vstřícnosti až na 18. místě, index kriminality 1. místo; Hustopeče – míra vstřícnosti 5. místo, index kriminality až 18. místo anebo lze zmínit Břeclav – míra vstřícnosti 16. místo, index kriminality </w:t>
      </w:r>
      <w:r w:rsidR="00537A46">
        <w:rPr>
          <w:sz w:val="24"/>
        </w:rPr>
        <w:t xml:space="preserve">3. místo (183,8). Naopak </w:t>
      </w:r>
      <w:r w:rsidRPr="00EC4899">
        <w:rPr>
          <w:sz w:val="24"/>
        </w:rPr>
        <w:t>Mikulov, který se v celostátním žebříčku míry vstřícnosti k hazardu nachází na 2. místě –</w:t>
      </w:r>
      <w:r>
        <w:rPr>
          <w:sz w:val="24"/>
        </w:rPr>
        <w:t xml:space="preserve"> </w:t>
      </w:r>
      <w:r w:rsidRPr="00EC4899">
        <w:rPr>
          <w:sz w:val="24"/>
        </w:rPr>
        <w:t>v rámci Jihomoravského kraje je pak na 1. místě, má index kriminality pouze 139,9 (5. místo v Jihomoravském kraji).</w:t>
      </w:r>
    </w:p>
    <w:p w:rsidR="00D04E71" w:rsidRPr="00D4101C" w:rsidRDefault="00D04E71" w:rsidP="0018562B">
      <w:pPr>
        <w:spacing w:before="120" w:after="0" w:line="240" w:lineRule="auto"/>
        <w:ind w:left="0"/>
        <w:rPr>
          <w:sz w:val="24"/>
        </w:rPr>
      </w:pPr>
    </w:p>
    <w:p w:rsidR="00D4101C" w:rsidRDefault="00D4101C" w:rsidP="00615736">
      <w:pPr>
        <w:pStyle w:val="Nadpis2"/>
        <w:keepNext/>
        <w:spacing w:before="120" w:after="0" w:line="240" w:lineRule="auto"/>
        <w:rPr>
          <w:b/>
          <w:sz w:val="24"/>
          <w:szCs w:val="24"/>
        </w:rPr>
      </w:pPr>
      <w:bookmarkStart w:id="20" w:name="_Toc480010179"/>
      <w:r w:rsidRPr="00D4101C">
        <w:rPr>
          <w:b/>
          <w:sz w:val="24"/>
          <w:szCs w:val="24"/>
        </w:rPr>
        <w:lastRenderedPageBreak/>
        <w:t>Ostatní připomínky</w:t>
      </w:r>
      <w:bookmarkEnd w:id="20"/>
    </w:p>
    <w:p w:rsidR="00A64C1E" w:rsidRPr="00A64C1E" w:rsidRDefault="00A64C1E" w:rsidP="00615736">
      <w:pPr>
        <w:pStyle w:val="Zkladntext"/>
        <w:keepNext/>
      </w:pPr>
    </w:p>
    <w:p w:rsidR="001F220C" w:rsidRPr="00D4101C" w:rsidRDefault="001F220C" w:rsidP="00D4101C">
      <w:pPr>
        <w:spacing w:before="120" w:after="0" w:line="240" w:lineRule="auto"/>
        <w:rPr>
          <w:sz w:val="24"/>
        </w:rPr>
      </w:pPr>
      <w:r w:rsidRPr="00D4101C">
        <w:rPr>
          <w:sz w:val="24"/>
        </w:rPr>
        <w:t>Údaje o počtu obyvatel jsou v tabulce uvedeny nesprávně (např. Hradci Králové je ubráno 10 000 obyvatel</w:t>
      </w:r>
      <w:r w:rsidR="004067BF" w:rsidRPr="00D4101C">
        <w:rPr>
          <w:rStyle w:val="Znakapoznpodarou"/>
          <w:sz w:val="24"/>
        </w:rPr>
        <w:footnoteReference w:id="39"/>
      </w:r>
      <w:r w:rsidRPr="00D4101C">
        <w:rPr>
          <w:sz w:val="24"/>
        </w:rPr>
        <w:t xml:space="preserve"> apod.).</w:t>
      </w:r>
    </w:p>
    <w:p w:rsidR="00B94989" w:rsidRDefault="00B94989" w:rsidP="00D4101C">
      <w:pPr>
        <w:spacing w:before="120" w:after="0" w:line="240" w:lineRule="auto"/>
        <w:rPr>
          <w:sz w:val="24"/>
        </w:rPr>
      </w:pPr>
      <w:r w:rsidRPr="00D4101C">
        <w:rPr>
          <w:sz w:val="24"/>
        </w:rPr>
        <w:t xml:space="preserve">Nazývat ukazatel podílu obyvatel na hrací přístroj </w:t>
      </w:r>
      <w:r w:rsidRPr="006D68FF">
        <w:rPr>
          <w:i/>
          <w:sz w:val="24"/>
        </w:rPr>
        <w:t>„mírou vstřícnosti města k hazardu“</w:t>
      </w:r>
      <w:r w:rsidRPr="00D4101C">
        <w:rPr>
          <w:sz w:val="24"/>
        </w:rPr>
        <w:t xml:space="preserve"> je zavádějící.</w:t>
      </w:r>
    </w:p>
    <w:p w:rsidR="006D68FF" w:rsidRPr="00D4101C" w:rsidRDefault="00053F42" w:rsidP="00D4101C">
      <w:pPr>
        <w:spacing w:before="120" w:after="0" w:line="240" w:lineRule="auto"/>
        <w:rPr>
          <w:sz w:val="24"/>
        </w:rPr>
      </w:pPr>
      <w:r>
        <w:rPr>
          <w:sz w:val="24"/>
        </w:rPr>
        <w:t xml:space="preserve">K </w:t>
      </w:r>
      <w:r w:rsidR="006D68FF" w:rsidRPr="00D4101C">
        <w:rPr>
          <w:sz w:val="24"/>
        </w:rPr>
        <w:t>náležitě objektivní</w:t>
      </w:r>
      <w:r>
        <w:rPr>
          <w:sz w:val="24"/>
        </w:rPr>
        <w:t>mu</w:t>
      </w:r>
      <w:r w:rsidR="006D68FF" w:rsidRPr="00D4101C">
        <w:rPr>
          <w:sz w:val="24"/>
        </w:rPr>
        <w:t xml:space="preserve"> prokázání vlivu hazardu na kriminalitu by se muselo </w:t>
      </w:r>
      <w:r>
        <w:rPr>
          <w:sz w:val="24"/>
        </w:rPr>
        <w:t>přistupovat zcela jinak</w:t>
      </w:r>
      <w:r w:rsidR="006D68FF" w:rsidRPr="00D4101C">
        <w:rPr>
          <w:sz w:val="24"/>
        </w:rPr>
        <w:t>, než</w:t>
      </w:r>
      <w:r w:rsidR="006D68FF">
        <w:rPr>
          <w:sz w:val="24"/>
        </w:rPr>
        <w:t xml:space="preserve"> je uvedení pouze</w:t>
      </w:r>
      <w:r w:rsidR="006D68FF" w:rsidRPr="00D4101C">
        <w:rPr>
          <w:sz w:val="24"/>
        </w:rPr>
        <w:t xml:space="preserve"> 4 příklad</w:t>
      </w:r>
      <w:r w:rsidR="006D68FF">
        <w:rPr>
          <w:sz w:val="24"/>
        </w:rPr>
        <w:t>ů</w:t>
      </w:r>
      <w:r w:rsidR="006D68FF" w:rsidRPr="00D4101C">
        <w:rPr>
          <w:sz w:val="24"/>
        </w:rPr>
        <w:t xml:space="preserve"> na s. 12–13</w:t>
      </w:r>
      <w:r w:rsidR="006D68FF">
        <w:rPr>
          <w:sz w:val="24"/>
        </w:rPr>
        <w:t xml:space="preserve"> Studie</w:t>
      </w:r>
      <w:r w:rsidR="006D68FF" w:rsidRPr="00D4101C">
        <w:rPr>
          <w:sz w:val="24"/>
        </w:rPr>
        <w:t xml:space="preserve">. I v případě ve </w:t>
      </w:r>
      <w:r w:rsidR="006D68FF">
        <w:rPr>
          <w:sz w:val="24"/>
        </w:rPr>
        <w:t>S</w:t>
      </w:r>
      <w:r w:rsidR="006D68FF" w:rsidRPr="00D4101C">
        <w:rPr>
          <w:sz w:val="24"/>
        </w:rPr>
        <w:t>tudii použité podoby sekundárního výzkumu by bylo nutné shromáždit a vytvořit celou soustavu socioekonomick</w:t>
      </w:r>
      <w:r w:rsidR="006D68FF">
        <w:rPr>
          <w:sz w:val="24"/>
        </w:rPr>
        <w:t>ých</w:t>
      </w:r>
      <w:r w:rsidR="006D68FF" w:rsidRPr="00D4101C">
        <w:rPr>
          <w:sz w:val="24"/>
        </w:rPr>
        <w:t xml:space="preserve"> ukazatelů za všechna města v Čechách, na Moravě a ve Slezsku. Taková</w:t>
      </w:r>
      <w:r w:rsidR="006D68FF">
        <w:rPr>
          <w:sz w:val="24"/>
        </w:rPr>
        <w:t xml:space="preserve"> podoba Studie</w:t>
      </w:r>
      <w:r w:rsidR="006D68FF" w:rsidRPr="00D4101C">
        <w:rPr>
          <w:sz w:val="24"/>
        </w:rPr>
        <w:t xml:space="preserve"> by potom objektivněji a v daleko širším záběru odrážela nejrůznější stránky života a životní úrovně obyvatel</w:t>
      </w:r>
      <w:r w:rsidR="006D68FF">
        <w:rPr>
          <w:sz w:val="24"/>
        </w:rPr>
        <w:t xml:space="preserve"> daných obcí</w:t>
      </w:r>
      <w:r w:rsidR="006D68FF" w:rsidRPr="00D4101C">
        <w:rPr>
          <w:sz w:val="24"/>
        </w:rPr>
        <w:t>, včetně ekonomických, sociálních či demografických podmínek, ale také</w:t>
      </w:r>
      <w:r w:rsidR="006D68FF">
        <w:rPr>
          <w:sz w:val="24"/>
        </w:rPr>
        <w:t xml:space="preserve"> míru</w:t>
      </w:r>
      <w:r w:rsidR="006D68FF" w:rsidRPr="00D4101C">
        <w:rPr>
          <w:sz w:val="24"/>
        </w:rPr>
        <w:t xml:space="preserve"> výskytu sociálně patologických projevů. Uvažovaná soustava ukazatelů by zahrnovala podstatně delší časové údobí a měla by podobu ročních časových řad za pět, deset či dokonce více let. Hlavně však by se na ní provedly skutečně statistické výpočty koeficientů, schopných seriózně naznačit či dokonce statisticky prokázat uvažovaný vliv hazardu na kriminalitu</w:t>
      </w:r>
      <w:r w:rsidR="006D68FF">
        <w:rPr>
          <w:sz w:val="24"/>
        </w:rPr>
        <w:t>.</w:t>
      </w:r>
    </w:p>
    <w:p w:rsidR="00753B2C" w:rsidRDefault="009E4D9B" w:rsidP="00753B2C">
      <w:pPr>
        <w:spacing w:before="120" w:after="0" w:line="240" w:lineRule="auto"/>
        <w:rPr>
          <w:sz w:val="24"/>
        </w:rPr>
      </w:pPr>
      <w:r w:rsidRPr="00D4101C">
        <w:rPr>
          <w:sz w:val="24"/>
        </w:rPr>
        <w:t>P</w:t>
      </w:r>
      <w:r w:rsidR="00B94989" w:rsidRPr="00D4101C">
        <w:rPr>
          <w:sz w:val="24"/>
        </w:rPr>
        <w:t xml:space="preserve">odíváme-li se na údaje Českého statistického úřadu, je nepochybné, že kriminalita sama o sobě </w:t>
      </w:r>
      <w:r w:rsidRPr="00D4101C">
        <w:rPr>
          <w:sz w:val="24"/>
        </w:rPr>
        <w:t>zaznamenala u nás</w:t>
      </w:r>
      <w:r w:rsidR="00B94989" w:rsidRPr="00D4101C">
        <w:rPr>
          <w:sz w:val="24"/>
        </w:rPr>
        <w:t xml:space="preserve"> v letech 2013 – 2016 bez ohledu na regulaci hazardu </w:t>
      </w:r>
      <w:r w:rsidR="002434B1" w:rsidRPr="00D4101C">
        <w:rPr>
          <w:sz w:val="24"/>
        </w:rPr>
        <w:t>k</w:t>
      </w:r>
      <w:r w:rsidR="00B94989" w:rsidRPr="00D4101C">
        <w:rPr>
          <w:sz w:val="24"/>
        </w:rPr>
        <w:t>lesající tendenci.</w:t>
      </w:r>
      <w:r w:rsidR="00EB7905" w:rsidRPr="00D4101C">
        <w:rPr>
          <w:rStyle w:val="Znakapoznpodarou"/>
          <w:sz w:val="24"/>
        </w:rPr>
        <w:footnoteReference w:id="40"/>
      </w:r>
    </w:p>
    <w:p w:rsidR="00B94989" w:rsidRPr="00EC4899" w:rsidRDefault="006D68FF" w:rsidP="004C3D9E">
      <w:pPr>
        <w:spacing w:before="120" w:after="0" w:line="240" w:lineRule="auto"/>
        <w:rPr>
          <w:sz w:val="24"/>
        </w:rPr>
      </w:pPr>
      <w:r>
        <w:rPr>
          <w:sz w:val="24"/>
        </w:rPr>
        <w:t>Po stránce gramatické vykazuje St</w:t>
      </w:r>
      <w:r w:rsidR="00773AB7">
        <w:rPr>
          <w:sz w:val="24"/>
        </w:rPr>
        <w:t xml:space="preserve">udie chyby -  </w:t>
      </w:r>
      <w:r w:rsidR="006E0DB1" w:rsidRPr="00EC4899">
        <w:rPr>
          <w:sz w:val="24"/>
        </w:rPr>
        <w:t xml:space="preserve">Kutná Hora s malým „h“ </w:t>
      </w:r>
      <w:r w:rsidR="00773AB7">
        <w:rPr>
          <w:sz w:val="24"/>
        </w:rPr>
        <w:t xml:space="preserve">na </w:t>
      </w:r>
      <w:r w:rsidR="006E0DB1" w:rsidRPr="00EC4899">
        <w:rPr>
          <w:sz w:val="24"/>
        </w:rPr>
        <w:t>str. 8.</w:t>
      </w:r>
    </w:p>
    <w:p w:rsidR="00223B4D" w:rsidRDefault="005E77DE" w:rsidP="00EC4899">
      <w:pPr>
        <w:pStyle w:val="Nadpis1"/>
        <w:keepNext w:val="0"/>
        <w:pageBreakBefore/>
        <w:widowControl w:val="0"/>
        <w:spacing w:before="120" w:after="0" w:line="240" w:lineRule="auto"/>
        <w:rPr>
          <w:sz w:val="24"/>
          <w:szCs w:val="24"/>
        </w:rPr>
      </w:pPr>
      <w:bookmarkStart w:id="21" w:name="_Toc480010181"/>
      <w:r w:rsidRPr="00EC4899">
        <w:rPr>
          <w:sz w:val="24"/>
          <w:szCs w:val="24"/>
        </w:rPr>
        <w:lastRenderedPageBreak/>
        <w:t>Závěr</w:t>
      </w:r>
      <w:bookmarkEnd w:id="21"/>
    </w:p>
    <w:p w:rsidR="007C55A5" w:rsidRPr="007C55A5" w:rsidRDefault="007C55A5" w:rsidP="007C55A5">
      <w:pPr>
        <w:pStyle w:val="Zkladntext"/>
      </w:pPr>
    </w:p>
    <w:p w:rsidR="00706A14" w:rsidRPr="00EC4899" w:rsidRDefault="00581B71" w:rsidP="00EC4899">
      <w:pPr>
        <w:pStyle w:val="Zkladntext"/>
        <w:widowControl w:val="0"/>
        <w:spacing w:before="120" w:after="0" w:line="240" w:lineRule="auto"/>
        <w:rPr>
          <w:sz w:val="24"/>
          <w:szCs w:val="24"/>
        </w:rPr>
      </w:pPr>
      <w:r w:rsidRPr="00EC4899">
        <w:rPr>
          <w:sz w:val="24"/>
          <w:szCs w:val="24"/>
        </w:rPr>
        <w:t>Ve vztahu k základním otázkám lze shrnout následující</w:t>
      </w:r>
      <w:r w:rsidR="00706A14" w:rsidRPr="00EC4899">
        <w:rPr>
          <w:sz w:val="24"/>
          <w:szCs w:val="24"/>
        </w:rPr>
        <w:t>:</w:t>
      </w:r>
    </w:p>
    <w:p w:rsidR="008109AA" w:rsidRPr="00EC4899" w:rsidRDefault="00604D5D" w:rsidP="00EC4899">
      <w:pPr>
        <w:pStyle w:val="Nadpis4"/>
        <w:widowControl w:val="0"/>
        <w:spacing w:before="120" w:after="0" w:line="240" w:lineRule="auto"/>
        <w:ind w:left="1418" w:hanging="794"/>
        <w:rPr>
          <w:sz w:val="24"/>
          <w:szCs w:val="24"/>
        </w:rPr>
      </w:pPr>
      <w:r w:rsidRPr="00EC4899">
        <w:rPr>
          <w:sz w:val="24"/>
          <w:szCs w:val="24"/>
        </w:rPr>
        <w:t xml:space="preserve">Textová část Studie je psána značně tendenčním způsobem, aby přesvědčila své adresáty o absolutní nepřijatelnosti hazardních her bez ohledu </w:t>
      </w:r>
      <w:r w:rsidR="00EC5954">
        <w:rPr>
          <w:sz w:val="24"/>
          <w:szCs w:val="24"/>
        </w:rPr>
        <w:t>na</w:t>
      </w:r>
      <w:r w:rsidRPr="00EC4899">
        <w:rPr>
          <w:sz w:val="24"/>
          <w:szCs w:val="24"/>
        </w:rPr>
        <w:t> ověřitelnost či pravdivost jednotlivých tvrzení a argumentů.</w:t>
      </w:r>
    </w:p>
    <w:p w:rsidR="00650A19" w:rsidRPr="00EC4899" w:rsidRDefault="00604D5D" w:rsidP="00EC4899">
      <w:pPr>
        <w:pStyle w:val="Nadpis4"/>
        <w:widowControl w:val="0"/>
        <w:spacing w:before="120" w:after="0" w:line="240" w:lineRule="auto"/>
        <w:ind w:left="1418" w:hanging="794"/>
        <w:rPr>
          <w:sz w:val="24"/>
          <w:szCs w:val="24"/>
          <w:lang w:eastAsia="cs-CZ"/>
        </w:rPr>
      </w:pPr>
      <w:bookmarkStart w:id="22" w:name="_Toc391655507"/>
      <w:bookmarkStart w:id="23" w:name="_Toc414866254"/>
      <w:bookmarkStart w:id="24" w:name="_Toc430692617"/>
      <w:bookmarkStart w:id="25" w:name="_Toc430796601"/>
      <w:bookmarkStart w:id="26" w:name="_Toc449369212"/>
      <w:r w:rsidRPr="00EC4899">
        <w:rPr>
          <w:sz w:val="24"/>
          <w:szCs w:val="24"/>
          <w:lang w:eastAsia="cs-CZ"/>
        </w:rPr>
        <w:t>Studie nerespektuje základní vědecké metody, jakými jsou práce se statistickými daty při zohlednění možných</w:t>
      </w:r>
      <w:r w:rsidR="00E5508C">
        <w:rPr>
          <w:sz w:val="24"/>
          <w:szCs w:val="24"/>
          <w:lang w:eastAsia="cs-CZ"/>
        </w:rPr>
        <w:t xml:space="preserve"> dalších vlivů, uvádění zdrojů </w:t>
      </w:r>
      <w:r w:rsidRPr="00EC4899">
        <w:rPr>
          <w:sz w:val="24"/>
          <w:szCs w:val="24"/>
          <w:lang w:eastAsia="cs-CZ"/>
        </w:rPr>
        <w:t xml:space="preserve">způsobem obvyklým ve vědeckých pracích, </w:t>
      </w:r>
      <w:r w:rsidR="00AB61DC" w:rsidRPr="00EC4899">
        <w:rPr>
          <w:sz w:val="24"/>
          <w:szCs w:val="24"/>
          <w:lang w:eastAsia="cs-CZ"/>
        </w:rPr>
        <w:t>prezentace</w:t>
      </w:r>
      <w:r w:rsidRPr="00EC4899">
        <w:rPr>
          <w:sz w:val="24"/>
          <w:szCs w:val="24"/>
          <w:lang w:eastAsia="cs-CZ"/>
        </w:rPr>
        <w:t xml:space="preserve"> více přístupů k určité otázce</w:t>
      </w:r>
      <w:r w:rsidR="00AB61DC" w:rsidRPr="00EC4899">
        <w:rPr>
          <w:sz w:val="24"/>
          <w:szCs w:val="24"/>
          <w:lang w:eastAsia="cs-CZ"/>
        </w:rPr>
        <w:t>, jež se v praxi objevují s věcnou argumentací přiklánějící se k jednomu či více z </w:t>
      </w:r>
      <w:r w:rsidR="0048280F" w:rsidRPr="00EC4899">
        <w:rPr>
          <w:sz w:val="24"/>
          <w:szCs w:val="24"/>
          <w:lang w:eastAsia="cs-CZ"/>
        </w:rPr>
        <w:t>přístupů</w:t>
      </w:r>
      <w:r w:rsidR="00AB61DC" w:rsidRPr="00EC4899">
        <w:rPr>
          <w:sz w:val="24"/>
          <w:szCs w:val="24"/>
          <w:lang w:eastAsia="cs-CZ"/>
        </w:rPr>
        <w:t>.</w:t>
      </w:r>
    </w:p>
    <w:p w:rsidR="00A01384" w:rsidRPr="00EC4899" w:rsidRDefault="00A01384" w:rsidP="00EC4899">
      <w:pPr>
        <w:pStyle w:val="Nadpis4"/>
        <w:widowControl w:val="0"/>
        <w:spacing w:before="120" w:after="0" w:line="240" w:lineRule="auto"/>
        <w:ind w:left="1418" w:hanging="794"/>
        <w:rPr>
          <w:sz w:val="24"/>
          <w:szCs w:val="24"/>
          <w:lang w:eastAsia="cs-CZ"/>
        </w:rPr>
      </w:pPr>
      <w:r w:rsidRPr="00EC4899">
        <w:rPr>
          <w:sz w:val="24"/>
          <w:szCs w:val="24"/>
          <w:lang w:eastAsia="cs-CZ"/>
        </w:rPr>
        <w:t xml:space="preserve">Studie nereflektuje změnu právní úpravy po 1. 1. 2017, zejména účinnost </w:t>
      </w:r>
      <w:r w:rsidR="00B675D1" w:rsidRPr="00EC4899">
        <w:rPr>
          <w:sz w:val="24"/>
          <w:szCs w:val="24"/>
          <w:lang w:eastAsia="cs-CZ"/>
        </w:rPr>
        <w:t>z</w:t>
      </w:r>
      <w:r w:rsidRPr="00EC4899">
        <w:rPr>
          <w:sz w:val="24"/>
          <w:szCs w:val="24"/>
          <w:lang w:eastAsia="cs-CZ"/>
        </w:rPr>
        <w:t xml:space="preserve">ákona o hazardních hrách, která řeší podstatnou část toho, co je </w:t>
      </w:r>
      <w:r w:rsidR="00EC5954">
        <w:rPr>
          <w:sz w:val="24"/>
          <w:szCs w:val="24"/>
          <w:lang w:eastAsia="cs-CZ"/>
        </w:rPr>
        <w:t xml:space="preserve">součástí </w:t>
      </w:r>
      <w:r w:rsidRPr="00EC4899">
        <w:rPr>
          <w:sz w:val="24"/>
          <w:szCs w:val="24"/>
          <w:lang w:eastAsia="cs-CZ"/>
        </w:rPr>
        <w:t>kritizov</w:t>
      </w:r>
      <w:r w:rsidR="00EC5954">
        <w:rPr>
          <w:sz w:val="24"/>
          <w:szCs w:val="24"/>
          <w:lang w:eastAsia="cs-CZ"/>
        </w:rPr>
        <w:t>aného stavu</w:t>
      </w:r>
      <w:r w:rsidRPr="00EC4899">
        <w:rPr>
          <w:sz w:val="24"/>
          <w:szCs w:val="24"/>
          <w:lang w:eastAsia="cs-CZ"/>
        </w:rPr>
        <w:t xml:space="preserve"> v jednotlivých městech (obcí</w:t>
      </w:r>
      <w:r w:rsidR="00053F42">
        <w:rPr>
          <w:sz w:val="24"/>
          <w:szCs w:val="24"/>
          <w:lang w:eastAsia="cs-CZ"/>
        </w:rPr>
        <w:t>ch</w:t>
      </w:r>
      <w:r w:rsidRPr="00EC4899">
        <w:rPr>
          <w:sz w:val="24"/>
          <w:szCs w:val="24"/>
          <w:lang w:eastAsia="cs-CZ"/>
        </w:rPr>
        <w:t>).</w:t>
      </w:r>
    </w:p>
    <w:p w:rsidR="005E77DE" w:rsidRPr="00EC4899" w:rsidRDefault="005E77DE" w:rsidP="00EC4899">
      <w:pPr>
        <w:pStyle w:val="Nadpis4"/>
        <w:widowControl w:val="0"/>
        <w:spacing w:before="120" w:after="0" w:line="240" w:lineRule="auto"/>
        <w:ind w:left="1418" w:hanging="794"/>
        <w:rPr>
          <w:sz w:val="24"/>
          <w:szCs w:val="24"/>
        </w:rPr>
      </w:pPr>
      <w:r w:rsidRPr="00EC4899">
        <w:rPr>
          <w:sz w:val="24"/>
          <w:szCs w:val="24"/>
          <w:lang w:eastAsia="cs-CZ"/>
        </w:rPr>
        <w:t>S</w:t>
      </w:r>
      <w:r w:rsidRPr="00EC4899">
        <w:rPr>
          <w:sz w:val="24"/>
          <w:szCs w:val="24"/>
        </w:rPr>
        <w:t>eri</w:t>
      </w:r>
      <w:r w:rsidR="00053F42">
        <w:rPr>
          <w:sz w:val="24"/>
          <w:szCs w:val="24"/>
        </w:rPr>
        <w:t>ó</w:t>
      </w:r>
      <w:r w:rsidRPr="00EC4899">
        <w:rPr>
          <w:sz w:val="24"/>
          <w:szCs w:val="24"/>
        </w:rPr>
        <w:t>zní a průkazné výsledky o vlivu hazardu na kriminalitu by přinesl primární výzkum, zejména pokud by byl několikrát s náležitým časovým odstupem opakován.</w:t>
      </w:r>
    </w:p>
    <w:bookmarkEnd w:id="22"/>
    <w:bookmarkEnd w:id="23"/>
    <w:bookmarkEnd w:id="24"/>
    <w:bookmarkEnd w:id="25"/>
    <w:bookmarkEnd w:id="26"/>
    <w:p w:rsidR="00E4032C" w:rsidRPr="00EC4899" w:rsidRDefault="00E4032C" w:rsidP="00EC4899">
      <w:pPr>
        <w:pStyle w:val="Nadpis4"/>
        <w:widowControl w:val="0"/>
        <w:spacing w:before="120" w:after="0" w:line="240" w:lineRule="auto"/>
        <w:ind w:left="1418" w:hanging="794"/>
        <w:rPr>
          <w:sz w:val="24"/>
          <w:szCs w:val="24"/>
        </w:rPr>
      </w:pPr>
      <w:r w:rsidRPr="00EC4899">
        <w:rPr>
          <w:sz w:val="24"/>
          <w:szCs w:val="24"/>
        </w:rPr>
        <w:t>Studie vychází z tzv. mapy kriminality, kterou lze považovat za relevantní podklad (data dodává Policie ČR), nicméně autoři své závěry vyvozují pouze z</w:t>
      </w:r>
      <w:r w:rsidR="00EC5954">
        <w:rPr>
          <w:sz w:val="24"/>
          <w:szCs w:val="24"/>
        </w:rPr>
        <w:t xml:space="preserve"> indexu</w:t>
      </w:r>
      <w:r w:rsidRPr="00EC4899">
        <w:rPr>
          <w:sz w:val="24"/>
          <w:szCs w:val="24"/>
        </w:rPr>
        <w:t xml:space="preserve"> kriminality, jakožto jednoho ukazatele, a z tzv. míry vstřícnosti k hazardu, jakožto druhého ukazatele. Tak</w:t>
      </w:r>
      <w:r w:rsidR="00E5508C">
        <w:rPr>
          <w:sz w:val="24"/>
          <w:szCs w:val="24"/>
        </w:rPr>
        <w:t>to</w:t>
      </w:r>
      <w:r w:rsidRPr="00EC4899">
        <w:rPr>
          <w:sz w:val="24"/>
          <w:szCs w:val="24"/>
        </w:rPr>
        <w:t xml:space="preserve"> však nelze k problému příčin kriminality přistupovat, neboť se</w:t>
      </w:r>
      <w:r w:rsidR="005E77DE" w:rsidRPr="00EC4899">
        <w:rPr>
          <w:sz w:val="24"/>
          <w:szCs w:val="24"/>
        </w:rPr>
        <w:t xml:space="preserve"> </w:t>
      </w:r>
      <w:r w:rsidRPr="00EC4899">
        <w:rPr>
          <w:sz w:val="24"/>
          <w:szCs w:val="24"/>
        </w:rPr>
        <w:t xml:space="preserve">jedná o přístup značně zjednodušený, z čehož plyne, že závěry autorů nejsou relevantní, dostatečně vědecky podložené a naopak jsou tendenční. </w:t>
      </w:r>
    </w:p>
    <w:p w:rsidR="00E4032C" w:rsidRPr="00EC4899" w:rsidRDefault="00673DBB" w:rsidP="00EC4899">
      <w:pPr>
        <w:pStyle w:val="Nadpis4"/>
        <w:widowControl w:val="0"/>
        <w:spacing w:before="120" w:after="0" w:line="240" w:lineRule="auto"/>
        <w:ind w:left="1418" w:hanging="794"/>
        <w:rPr>
          <w:sz w:val="24"/>
          <w:szCs w:val="24"/>
        </w:rPr>
      </w:pPr>
      <w:r w:rsidRPr="00EC4899">
        <w:rPr>
          <w:sz w:val="24"/>
          <w:szCs w:val="24"/>
        </w:rPr>
        <w:t xml:space="preserve">Studie </w:t>
      </w:r>
      <w:r w:rsidR="00E4032C" w:rsidRPr="00EC4899">
        <w:rPr>
          <w:sz w:val="24"/>
          <w:szCs w:val="24"/>
        </w:rPr>
        <w:t xml:space="preserve">pomíjí základní kriminologické poznatky, v důsledku čehož nelze Studii </w:t>
      </w:r>
      <w:r w:rsidR="00EC5954">
        <w:rPr>
          <w:sz w:val="24"/>
          <w:szCs w:val="24"/>
        </w:rPr>
        <w:t xml:space="preserve">považovat za </w:t>
      </w:r>
      <w:r w:rsidR="00E4032C" w:rsidRPr="00EC4899">
        <w:rPr>
          <w:sz w:val="24"/>
          <w:szCs w:val="24"/>
        </w:rPr>
        <w:t xml:space="preserve">odbornou publikací. Těmito základními poznatky jsou zejména </w:t>
      </w:r>
      <w:r w:rsidR="00E4032C" w:rsidRPr="00EC4899">
        <w:rPr>
          <w:b/>
          <w:sz w:val="24"/>
          <w:szCs w:val="24"/>
        </w:rPr>
        <w:t>trvalý trend poklesu kriminality</w:t>
      </w:r>
      <w:r w:rsidR="00E4032C" w:rsidRPr="00EC4899">
        <w:rPr>
          <w:sz w:val="24"/>
          <w:szCs w:val="24"/>
        </w:rPr>
        <w:t xml:space="preserve"> (zejména v roce 2015, což při sledovaných obdobích 2013 a 2016 v mnoha případech způsobilo onen skok dolů v </w:t>
      </w:r>
      <w:r w:rsidR="00E55AB8">
        <w:rPr>
          <w:sz w:val="24"/>
          <w:szCs w:val="24"/>
        </w:rPr>
        <w:t>indexu kriminality</w:t>
      </w:r>
      <w:r w:rsidR="00E4032C" w:rsidRPr="00EC4899">
        <w:rPr>
          <w:sz w:val="24"/>
          <w:szCs w:val="24"/>
        </w:rPr>
        <w:t xml:space="preserve">) a </w:t>
      </w:r>
      <w:r w:rsidR="00E4032C" w:rsidRPr="00EC4899">
        <w:rPr>
          <w:b/>
          <w:sz w:val="24"/>
          <w:szCs w:val="24"/>
        </w:rPr>
        <w:t>kumulace několika kriminogenních faktorů, které vedou k páchání kriminality</w:t>
      </w:r>
      <w:r w:rsidRPr="00EC4899">
        <w:rPr>
          <w:sz w:val="24"/>
          <w:szCs w:val="24"/>
        </w:rPr>
        <w:t>.</w:t>
      </w:r>
    </w:p>
    <w:p w:rsidR="00A01384" w:rsidRPr="00723CF7" w:rsidRDefault="00E4032C" w:rsidP="00723CF7">
      <w:pPr>
        <w:pStyle w:val="Nadpis4"/>
        <w:widowControl w:val="0"/>
        <w:spacing w:before="120" w:after="0" w:line="240" w:lineRule="auto"/>
        <w:ind w:left="1418" w:hanging="794"/>
        <w:rPr>
          <w:sz w:val="24"/>
          <w:szCs w:val="24"/>
        </w:rPr>
      </w:pPr>
      <w:r w:rsidRPr="00EC4899">
        <w:rPr>
          <w:sz w:val="24"/>
          <w:szCs w:val="24"/>
        </w:rPr>
        <w:t xml:space="preserve">Zohlednění pouze jednoho kriminogenního faktoru je pak základním pochybením autorů Studie, neboť ze statistických dat plyne, </w:t>
      </w:r>
      <w:r w:rsidRPr="00EC4899">
        <w:rPr>
          <w:b/>
          <w:sz w:val="24"/>
          <w:szCs w:val="24"/>
        </w:rPr>
        <w:t xml:space="preserve">že v obcích (lokalitách), kde se nevyskytují ve větší míře další problémy (kriminogenní faktory), vysoká míra vstřícnosti k hazardu sama o sobě </w:t>
      </w:r>
      <w:r w:rsidR="00777211" w:rsidRPr="00EC4899">
        <w:rPr>
          <w:b/>
          <w:sz w:val="24"/>
          <w:szCs w:val="24"/>
        </w:rPr>
        <w:t>nezapří</w:t>
      </w:r>
      <w:r w:rsidRPr="00EC4899">
        <w:rPr>
          <w:b/>
          <w:sz w:val="24"/>
          <w:szCs w:val="24"/>
        </w:rPr>
        <w:t xml:space="preserve">čiňuje vysoký </w:t>
      </w:r>
      <w:r w:rsidR="00A17FC8" w:rsidRPr="00EC4899">
        <w:rPr>
          <w:sz w:val="24"/>
          <w:szCs w:val="24"/>
        </w:rPr>
        <w:t>index kriminality</w:t>
      </w:r>
      <w:r w:rsidR="00A17FC8" w:rsidRPr="00EC4899">
        <w:rPr>
          <w:b/>
          <w:sz w:val="24"/>
          <w:szCs w:val="24"/>
        </w:rPr>
        <w:t xml:space="preserve"> </w:t>
      </w:r>
      <w:r w:rsidR="00796AEE" w:rsidRPr="00EC4899">
        <w:rPr>
          <w:b/>
          <w:sz w:val="24"/>
          <w:szCs w:val="24"/>
        </w:rPr>
        <w:t>(</w:t>
      </w:r>
      <w:r w:rsidRPr="00EC4899">
        <w:rPr>
          <w:b/>
          <w:sz w:val="24"/>
          <w:szCs w:val="24"/>
        </w:rPr>
        <w:t xml:space="preserve">Luhačovice, Napajedla a další) a i případné vyhlášení nulové tolerance k hazardu nemá na stav kriminality zásadní vliv (např. </w:t>
      </w:r>
      <w:r w:rsidR="00796AEE" w:rsidRPr="00EC4899">
        <w:rPr>
          <w:b/>
          <w:sz w:val="24"/>
          <w:szCs w:val="24"/>
        </w:rPr>
        <w:t>K</w:t>
      </w:r>
      <w:r w:rsidRPr="00EC4899">
        <w:rPr>
          <w:b/>
          <w:sz w:val="24"/>
          <w:szCs w:val="24"/>
        </w:rPr>
        <w:t xml:space="preserve">ojetín). Naopak v obcích, které lze nazvat problémovými, např. v důsledku vysoké nezaměstnanosti a existence vyloučených lokalit, je potom vysoká vstřícnost k hazardu faktorem, který </w:t>
      </w:r>
      <w:r w:rsidR="005779DA">
        <w:rPr>
          <w:b/>
          <w:sz w:val="24"/>
          <w:szCs w:val="24"/>
        </w:rPr>
        <w:t xml:space="preserve">může </w:t>
      </w:r>
      <w:r w:rsidRPr="00EC4899">
        <w:rPr>
          <w:b/>
          <w:sz w:val="24"/>
          <w:szCs w:val="24"/>
        </w:rPr>
        <w:t>zintenziv</w:t>
      </w:r>
      <w:r w:rsidR="005779DA">
        <w:rPr>
          <w:b/>
          <w:sz w:val="24"/>
          <w:szCs w:val="24"/>
        </w:rPr>
        <w:t>nit</w:t>
      </w:r>
      <w:r w:rsidRPr="00EC4899">
        <w:rPr>
          <w:b/>
          <w:sz w:val="24"/>
          <w:szCs w:val="24"/>
        </w:rPr>
        <w:t xml:space="preserve"> problémy lokality a kriminogenita</w:t>
      </w:r>
      <w:r w:rsidR="00777211" w:rsidRPr="00EC4899">
        <w:rPr>
          <w:b/>
          <w:sz w:val="24"/>
          <w:szCs w:val="24"/>
        </w:rPr>
        <w:t xml:space="preserve"> </w:t>
      </w:r>
      <w:r w:rsidRPr="00EC4899">
        <w:rPr>
          <w:b/>
          <w:sz w:val="24"/>
          <w:szCs w:val="24"/>
        </w:rPr>
        <w:t>tohoto faktoru se v důsledku existence dalších kriminogenních faktorů zvyšuje.</w:t>
      </w:r>
      <w:r w:rsidRPr="00EC4899">
        <w:rPr>
          <w:sz w:val="24"/>
          <w:szCs w:val="24"/>
        </w:rPr>
        <w:t xml:space="preserve"> Regulace hazardu v těchto lokalitách potom má své opodstatnění</w:t>
      </w:r>
      <w:r w:rsidR="005779DA">
        <w:rPr>
          <w:sz w:val="24"/>
          <w:szCs w:val="24"/>
        </w:rPr>
        <w:t>.</w:t>
      </w:r>
      <w:r w:rsidR="00415AD0" w:rsidRPr="00EC4899">
        <w:rPr>
          <w:sz w:val="24"/>
          <w:szCs w:val="24"/>
        </w:rPr>
        <w:t xml:space="preserve"> </w:t>
      </w:r>
      <w:r w:rsidRPr="00EC4899">
        <w:rPr>
          <w:sz w:val="24"/>
          <w:szCs w:val="24"/>
        </w:rPr>
        <w:t>T</w:t>
      </w:r>
      <w:r w:rsidR="00D74AA7">
        <w:rPr>
          <w:sz w:val="24"/>
          <w:szCs w:val="24"/>
        </w:rPr>
        <w:t>ěchto</w:t>
      </w:r>
      <w:r w:rsidRPr="00EC4899">
        <w:rPr>
          <w:sz w:val="24"/>
          <w:szCs w:val="24"/>
        </w:rPr>
        <w:t xml:space="preserve"> souvislost</w:t>
      </w:r>
      <w:r w:rsidR="00D74AA7">
        <w:rPr>
          <w:sz w:val="24"/>
          <w:szCs w:val="24"/>
        </w:rPr>
        <w:t>í</w:t>
      </w:r>
      <w:r w:rsidRPr="00EC4899">
        <w:rPr>
          <w:sz w:val="24"/>
          <w:szCs w:val="24"/>
        </w:rPr>
        <w:t>, které jsou klíčové a při bližším zkoumání ze statistik uvedených ve Studii vyplývají, se však autoři Studie dotkli pouze okrajově, bez bližší ana</w:t>
      </w:r>
      <w:r w:rsidR="00300DBD" w:rsidRPr="00EC4899">
        <w:rPr>
          <w:sz w:val="24"/>
          <w:szCs w:val="24"/>
        </w:rPr>
        <w:t>lýzy, anebo je opomenuli zcela.</w:t>
      </w:r>
    </w:p>
    <w:sectPr w:rsidR="00A01384" w:rsidRPr="00723CF7" w:rsidSect="005101A4">
      <w:headerReference w:type="default" r:id="rId9"/>
      <w:footerReference w:type="default" r:id="rId10"/>
      <w:headerReference w:type="first" r:id="rId11"/>
      <w:footerReference w:type="first" r:id="rId12"/>
      <w:pgSz w:w="11900" w:h="16840"/>
      <w:pgMar w:top="1417" w:right="1417" w:bottom="1417" w:left="1417" w:header="964"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FF6" w:rsidRDefault="004C3FF6" w:rsidP="0028429C">
      <w:r>
        <w:separator/>
      </w:r>
    </w:p>
  </w:endnote>
  <w:endnote w:type="continuationSeparator" w:id="0">
    <w:p w:rsidR="004C3FF6" w:rsidRDefault="004C3FF6" w:rsidP="0028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tučné">
    <w:panose1 w:val="00000000000000000000"/>
    <w:charset w:val="00"/>
    <w:family w:val="roman"/>
    <w:notTrueType/>
    <w:pitch w:val="default"/>
  </w:font>
  <w:font w:name="Microsoft JhengHei UI Light">
    <w:panose1 w:val="020B0304030504040204"/>
    <w:charset w:val="88"/>
    <w:family w:val="swiss"/>
    <w:pitch w:val="variable"/>
    <w:sig w:usb0="800002A7" w:usb1="28CF4400" w:usb2="00000016" w:usb3="00000000" w:csb0="00100009" w:csb1="00000000"/>
  </w:font>
  <w:font w:name="Microsoft YaHei UI Light">
    <w:panose1 w:val="020B0502040204020203"/>
    <w:charset w:val="86"/>
    <w:family w:val="swiss"/>
    <w:pitch w:val="variable"/>
    <w:sig w:usb0="A00002BF" w:usb1="28CF001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5D" w:rsidRPr="00976F5A" w:rsidRDefault="00604D5D" w:rsidP="0028429C">
    <w:pPr>
      <w:pStyle w:val="Zhlavazpat"/>
      <w:tabs>
        <w:tab w:val="clear" w:pos="9020"/>
        <w:tab w:val="center" w:pos="4819"/>
        <w:tab w:val="right" w:pos="9612"/>
      </w:tabs>
      <w:rPr>
        <w:rFonts w:ascii="Microsoft JhengHei UI Light" w:eastAsia="Microsoft JhengHei UI Light" w:hAnsi="Microsoft JhengHei UI Light"/>
        <w:color w:val="auto"/>
        <w:sz w:val="16"/>
      </w:rPr>
    </w:pPr>
    <w:r>
      <w:rPr>
        <w:rFonts w:ascii="Calibri" w:hAnsi="Calibri"/>
        <w:color w:val="909090"/>
        <w:sz w:val="14"/>
        <w:szCs w:val="14"/>
        <w:u w:color="909090"/>
      </w:rPr>
      <w:tab/>
    </w:r>
    <w:r>
      <w:rPr>
        <w:rFonts w:ascii="Calibri" w:hAnsi="Calibri"/>
        <w:color w:val="909090"/>
        <w:sz w:val="14"/>
        <w:szCs w:val="14"/>
        <w:u w:color="909090"/>
      </w:rPr>
      <w:tab/>
    </w:r>
    <w:r w:rsidR="009646EB" w:rsidRPr="00976F5A">
      <w:rPr>
        <w:rFonts w:ascii="Microsoft JhengHei UI Light" w:eastAsia="Microsoft JhengHei UI Light" w:hAnsi="Microsoft JhengHei UI Light"/>
        <w:color w:val="auto"/>
        <w:sz w:val="16"/>
        <w:szCs w:val="14"/>
        <w:u w:color="909090"/>
      </w:rPr>
      <w:fldChar w:fldCharType="begin"/>
    </w:r>
    <w:r w:rsidRPr="00976F5A">
      <w:rPr>
        <w:rFonts w:ascii="Microsoft JhengHei UI Light" w:eastAsia="Microsoft JhengHei UI Light" w:hAnsi="Microsoft JhengHei UI Light"/>
        <w:color w:val="auto"/>
        <w:sz w:val="16"/>
        <w:szCs w:val="14"/>
        <w:u w:color="909090"/>
      </w:rPr>
      <w:instrText xml:space="preserve"> PAGE </w:instrText>
    </w:r>
    <w:r w:rsidR="009646EB" w:rsidRPr="00976F5A">
      <w:rPr>
        <w:rFonts w:ascii="Microsoft JhengHei UI Light" w:eastAsia="Microsoft JhengHei UI Light" w:hAnsi="Microsoft JhengHei UI Light"/>
        <w:color w:val="auto"/>
        <w:sz w:val="16"/>
        <w:szCs w:val="14"/>
        <w:u w:color="909090"/>
      </w:rPr>
      <w:fldChar w:fldCharType="separate"/>
    </w:r>
    <w:r w:rsidR="005254EA">
      <w:rPr>
        <w:rFonts w:ascii="Microsoft JhengHei UI Light" w:eastAsia="Microsoft JhengHei UI Light" w:hAnsi="Microsoft JhengHei UI Light"/>
        <w:noProof/>
        <w:color w:val="auto"/>
        <w:sz w:val="16"/>
        <w:szCs w:val="14"/>
        <w:u w:color="909090"/>
      </w:rPr>
      <w:t>2</w:t>
    </w:r>
    <w:r w:rsidR="009646EB" w:rsidRPr="00976F5A">
      <w:rPr>
        <w:rFonts w:ascii="Microsoft JhengHei UI Light" w:eastAsia="Microsoft JhengHei UI Light" w:hAnsi="Microsoft JhengHei UI Light"/>
        <w:color w:val="auto"/>
        <w:sz w:val="16"/>
        <w:szCs w:val="14"/>
        <w:u w:color="90909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5D" w:rsidRDefault="00604D5D"/>
  <w:p w:rsidR="00604D5D" w:rsidRPr="00134DD9" w:rsidRDefault="00604D5D" w:rsidP="00B41EAA">
    <w:pPr>
      <w:spacing w:after="0" w:line="240" w:lineRule="auto"/>
      <w:ind w:left="0"/>
      <w:rPr>
        <w:rFonts w:ascii="Microsoft YaHei UI Light" w:eastAsia="Microsoft YaHei UI Light" w:hAnsi="Microsoft YaHei UI Light" w:cs="Arial"/>
        <w:caps/>
        <w:color w:val="000000" w:themeColor="text1"/>
        <w:spacing w:val="12"/>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FF6" w:rsidRDefault="004C3FF6" w:rsidP="00223B4D">
      <w:pPr>
        <w:spacing w:after="120"/>
        <w:ind w:left="0"/>
      </w:pPr>
      <w:r>
        <w:separator/>
      </w:r>
    </w:p>
  </w:footnote>
  <w:footnote w:type="continuationSeparator" w:id="0">
    <w:p w:rsidR="004C3FF6" w:rsidRDefault="004C3FF6" w:rsidP="0028429C">
      <w:r>
        <w:continuationSeparator/>
      </w:r>
    </w:p>
  </w:footnote>
  <w:footnote w:id="1">
    <w:p w:rsidR="00F279B7" w:rsidRDefault="00F279B7" w:rsidP="006725A8">
      <w:pPr>
        <w:pStyle w:val="Textpoznpodarou"/>
        <w:spacing w:before="120" w:after="0" w:line="240" w:lineRule="auto"/>
      </w:pPr>
      <w:r>
        <w:rPr>
          <w:rStyle w:val="Znakapoznpodarou"/>
        </w:rPr>
        <w:footnoteRef/>
      </w:r>
      <w:r>
        <w:t xml:space="preserve"> </w:t>
      </w:r>
      <w:r w:rsidRPr="00F279B7">
        <w:t>http://www.nfpk.cz/_userfiles/soubory/tiskovky/TZ_2017_03_02_studie.pdf</w:t>
      </w:r>
      <w:r>
        <w:t xml:space="preserve"> </w:t>
      </w:r>
    </w:p>
  </w:footnote>
  <w:footnote w:id="2">
    <w:p w:rsidR="00D44150" w:rsidRDefault="00D44150" w:rsidP="006725A8">
      <w:pPr>
        <w:pStyle w:val="Textpoznpodarou"/>
        <w:spacing w:before="120" w:after="0" w:line="240" w:lineRule="auto"/>
      </w:pPr>
      <w:r>
        <w:rPr>
          <w:rStyle w:val="Znakapoznpodarou"/>
        </w:rPr>
        <w:footnoteRef/>
      </w:r>
      <w:r>
        <w:t xml:space="preserve"> Josef KUCHTA, Helena VÁLKOVÁ. </w:t>
      </w:r>
      <w:r w:rsidRPr="00D44150">
        <w:rPr>
          <w:i/>
        </w:rPr>
        <w:t>Základy kriminologie a trestní politiky</w:t>
      </w:r>
      <w:r>
        <w:t xml:space="preserve">. Praha: C.H. Beck, 2012, s. 154 a násl. </w:t>
      </w:r>
    </w:p>
  </w:footnote>
  <w:footnote w:id="3">
    <w:p w:rsidR="00F401AD" w:rsidRPr="00C744C3" w:rsidRDefault="00F401AD" w:rsidP="006725A8">
      <w:pPr>
        <w:pStyle w:val="Textpoznpodarou"/>
        <w:spacing w:before="120" w:after="0" w:line="240" w:lineRule="auto"/>
      </w:pPr>
      <w:r w:rsidRPr="00C744C3">
        <w:rPr>
          <w:rStyle w:val="Znakapoznpodarou"/>
        </w:rPr>
        <w:footnoteRef/>
      </w:r>
      <w:r w:rsidRPr="00C744C3">
        <w:t xml:space="preserve"> DIBLÍKOVÁ, Simona a kol. </w:t>
      </w:r>
      <w:r w:rsidRPr="008C4128">
        <w:rPr>
          <w:i/>
          <w:color w:val="000000"/>
        </w:rPr>
        <w:t>Analýza trendů kriminality v České republice v roce 2015</w:t>
      </w:r>
      <w:r w:rsidRPr="008C4128">
        <w:rPr>
          <w:color w:val="000000"/>
        </w:rPr>
        <w:t>.</w:t>
      </w:r>
      <w:r w:rsidRPr="008C4128">
        <w:rPr>
          <w:rStyle w:val="apple-converted-space"/>
          <w:color w:val="000000"/>
        </w:rPr>
        <w:t xml:space="preserve"> Praha: Institut pro kriminologii a sociální prevenci, 2016, s. 11. ISBN </w:t>
      </w:r>
      <w:r w:rsidRPr="008C4128">
        <w:rPr>
          <w:color w:val="000000"/>
        </w:rPr>
        <w:t>978-80-7338-162-2.</w:t>
      </w:r>
    </w:p>
  </w:footnote>
  <w:footnote w:id="4">
    <w:p w:rsidR="00F401AD" w:rsidRDefault="00F401AD" w:rsidP="006725A8">
      <w:pPr>
        <w:pStyle w:val="Textpoznpodarou"/>
        <w:spacing w:before="120" w:after="0" w:line="240" w:lineRule="auto"/>
      </w:pPr>
      <w:r>
        <w:rPr>
          <w:rStyle w:val="Znakapoznpodarou"/>
        </w:rPr>
        <w:footnoteRef/>
      </w:r>
      <w:r>
        <w:t xml:space="preserve"> Analýza Institutu pro kriminologii a sociální prevenci analyzující trendy kriminality v roce 2015 (</w:t>
      </w:r>
      <w:r w:rsidRPr="00C744C3">
        <w:t xml:space="preserve">DIBLÍKOVÁ, Simona a kol. </w:t>
      </w:r>
      <w:r w:rsidRPr="00205CA9">
        <w:rPr>
          <w:i/>
          <w:color w:val="000000"/>
        </w:rPr>
        <w:t>Analýza trendů kriminality v České republice v roce 2015</w:t>
      </w:r>
      <w:r w:rsidRPr="00205CA9">
        <w:rPr>
          <w:color w:val="000000"/>
        </w:rPr>
        <w:t>.</w:t>
      </w:r>
      <w:r w:rsidRPr="00205CA9">
        <w:rPr>
          <w:rStyle w:val="apple-converted-space"/>
          <w:color w:val="000000"/>
        </w:rPr>
        <w:t xml:space="preserve"> Praha: Institut pro kriminologii a sociální prevenci, 2016, s. </w:t>
      </w:r>
      <w:r>
        <w:rPr>
          <w:rStyle w:val="apple-converted-space"/>
          <w:color w:val="000000"/>
        </w:rPr>
        <w:t>18</w:t>
      </w:r>
      <w:r w:rsidRPr="00205CA9">
        <w:rPr>
          <w:rStyle w:val="apple-converted-space"/>
          <w:color w:val="000000"/>
        </w:rPr>
        <w:t xml:space="preserve">. ISBN </w:t>
      </w:r>
      <w:r w:rsidRPr="00205CA9">
        <w:rPr>
          <w:color w:val="000000"/>
        </w:rPr>
        <w:t>978-80-7338-162-2</w:t>
      </w:r>
      <w:r>
        <w:rPr>
          <w:color w:val="000000"/>
        </w:rPr>
        <w:t>)</w:t>
      </w:r>
      <w:r>
        <w:t xml:space="preserve"> pro demonstraci tohoto faktu např. uvádí následující: „</w:t>
      </w:r>
      <w:r w:rsidRPr="008C4128">
        <w:rPr>
          <w:i/>
        </w:rPr>
        <w:t xml:space="preserve">Podobně jako v předchozích letech, mělo nejvyšší podíl na celkové kriminalitě hlavní město Praha (cca 0,6 % rozlohy území ČR) se </w:t>
      </w:r>
      <w:r w:rsidRPr="008C4128">
        <w:rPr>
          <w:b/>
          <w:i/>
          <w:u w:val="single"/>
        </w:rPr>
        <w:t>čtvrtinou celorepublikového nápadu</w:t>
      </w:r>
      <w:r w:rsidRPr="008C4128">
        <w:rPr>
          <w:i/>
        </w:rPr>
        <w:t>. V Praze bylo v roce 2015 zjištěno 64 095 trestných činů, což ale oproti roku 2014 značí takřka jedenáctiprocentní pokles evidovaných trestných činů a největší kvantitativní pokles ze všech krajů. Pro Prahu je typická nejnižší objasněnost kriminality, která v roce 2015 činila cca 25 %.</w:t>
      </w:r>
      <w:r>
        <w:t>“</w:t>
      </w:r>
    </w:p>
  </w:footnote>
  <w:footnote w:id="5">
    <w:p w:rsidR="00D44150" w:rsidRPr="00C269DF" w:rsidRDefault="00D44150" w:rsidP="006725A8">
      <w:pPr>
        <w:pStyle w:val="Textpoznpodarou"/>
        <w:spacing w:before="120" w:after="0" w:line="240" w:lineRule="auto"/>
      </w:pPr>
      <w:r w:rsidRPr="00C269DF">
        <w:rPr>
          <w:rStyle w:val="Znakapoznpodarou"/>
        </w:rPr>
        <w:footnoteRef/>
      </w:r>
      <w:r w:rsidR="00F401AD">
        <w:t xml:space="preserve"> </w:t>
      </w:r>
      <w:r w:rsidRPr="00C269DF">
        <w:t>Zpráva dále uvádí, že nelegální provozování hracích přístrojů, tzv. kvízomatů, příp. provozování nelegálních</w:t>
      </w:r>
      <w:r w:rsidR="00F401AD">
        <w:t xml:space="preserve"> </w:t>
      </w:r>
      <w:r w:rsidRPr="00C269DF">
        <w:t xml:space="preserve">heren je aktuálně velmi specifickým problémem. Tento typ kriminality je koncentrován do větších měst, jeví znaky organizovanosti a koordinace. Trestní řízení je vedeno pro trestné činy neoprávněného provozování loterie a podobné sázkové hry podle § 252 </w:t>
      </w:r>
      <w:r w:rsidR="008311DC">
        <w:t xml:space="preserve">trestního zákoníku </w:t>
      </w:r>
      <w:r w:rsidRPr="00C269DF">
        <w:t>nebo neoprávněného podnikání podle § 251 trestního zákoníku. Řízení je však značně komplikované a zdlouhavé nejen s ohledem na obtížné dokazování, ale i právní posouzení věci. Významná je i součinnost s orgány daňové správy či dalšími státními orgány.</w:t>
      </w:r>
    </w:p>
  </w:footnote>
  <w:footnote w:id="6">
    <w:p w:rsidR="00F401AD" w:rsidRDefault="00F401AD" w:rsidP="006725A8">
      <w:pPr>
        <w:pStyle w:val="Textpoznpodarou"/>
        <w:spacing w:before="120" w:after="0" w:line="240" w:lineRule="auto"/>
      </w:pPr>
      <w:r>
        <w:rPr>
          <w:rStyle w:val="Znakapoznpodarou"/>
        </w:rPr>
        <w:footnoteRef/>
      </w:r>
      <w:r>
        <w:t xml:space="preserve"> </w:t>
      </w:r>
      <w:r w:rsidRPr="00C744C3">
        <w:t xml:space="preserve">DIBLÍKOVÁ, Simona a kol. </w:t>
      </w:r>
      <w:r w:rsidRPr="00205CA9">
        <w:rPr>
          <w:i/>
          <w:color w:val="000000"/>
        </w:rPr>
        <w:t>Analýza trendů kriminality v České republice v roce 2015</w:t>
      </w:r>
      <w:r w:rsidRPr="00205CA9">
        <w:rPr>
          <w:color w:val="000000"/>
        </w:rPr>
        <w:t>.</w:t>
      </w:r>
      <w:r w:rsidRPr="00205CA9">
        <w:rPr>
          <w:rStyle w:val="apple-converted-space"/>
          <w:color w:val="000000"/>
        </w:rPr>
        <w:t xml:space="preserve"> Praha: Institut pro kriminologii a sociální prevenci, 2016, s. </w:t>
      </w:r>
      <w:r>
        <w:rPr>
          <w:rStyle w:val="apple-converted-space"/>
          <w:color w:val="000000"/>
        </w:rPr>
        <w:t>29</w:t>
      </w:r>
      <w:r w:rsidRPr="00205CA9">
        <w:rPr>
          <w:rStyle w:val="apple-converted-space"/>
          <w:color w:val="000000"/>
        </w:rPr>
        <w:t xml:space="preserve">. ISBN </w:t>
      </w:r>
      <w:r w:rsidRPr="00205CA9">
        <w:rPr>
          <w:color w:val="000000"/>
        </w:rPr>
        <w:t>978-80-7338-162-2</w:t>
      </w:r>
      <w:r>
        <w:rPr>
          <w:color w:val="000000"/>
        </w:rPr>
        <w:t>.</w:t>
      </w:r>
    </w:p>
  </w:footnote>
  <w:footnote w:id="7">
    <w:p w:rsidR="00F401AD" w:rsidRDefault="00F401AD" w:rsidP="006725A8">
      <w:pPr>
        <w:pStyle w:val="Textpoznpodarou"/>
        <w:spacing w:before="120" w:after="0" w:line="240" w:lineRule="auto"/>
      </w:pPr>
      <w:r>
        <w:rPr>
          <w:rStyle w:val="Znakapoznpodarou"/>
        </w:rPr>
        <w:footnoteRef/>
      </w:r>
      <w:r>
        <w:t xml:space="preserve"> Studie s. 5.</w:t>
      </w:r>
    </w:p>
  </w:footnote>
  <w:footnote w:id="8">
    <w:p w:rsidR="00604D5D" w:rsidRDefault="00604D5D" w:rsidP="006725A8">
      <w:pPr>
        <w:pStyle w:val="Textpoznpodarou"/>
        <w:spacing w:before="120" w:after="0" w:line="240" w:lineRule="auto"/>
      </w:pPr>
      <w:r>
        <w:rPr>
          <w:rStyle w:val="Znakapoznpodarou"/>
        </w:rPr>
        <w:footnoteRef/>
      </w:r>
      <w:r w:rsidR="009A1936">
        <w:t xml:space="preserve"> </w:t>
      </w:r>
      <w:r w:rsidR="00785A83">
        <w:t>Studie s. 3.</w:t>
      </w:r>
    </w:p>
  </w:footnote>
  <w:footnote w:id="9">
    <w:p w:rsidR="00604D5D" w:rsidRDefault="00604D5D" w:rsidP="006725A8">
      <w:pPr>
        <w:pStyle w:val="Textpoznpodarou"/>
        <w:spacing w:before="120" w:after="0" w:line="240" w:lineRule="auto"/>
      </w:pPr>
      <w:r>
        <w:rPr>
          <w:rStyle w:val="Znakapoznpodarou"/>
        </w:rPr>
        <w:footnoteRef/>
      </w:r>
      <w:r w:rsidR="009A1936">
        <w:t xml:space="preserve"> </w:t>
      </w:r>
      <w:r w:rsidR="00785A83">
        <w:t>Studie s. 4.</w:t>
      </w:r>
    </w:p>
  </w:footnote>
  <w:footnote w:id="10">
    <w:p w:rsidR="00604D5D" w:rsidRDefault="00604D5D" w:rsidP="006725A8">
      <w:pPr>
        <w:pStyle w:val="Textpoznpodarou"/>
        <w:spacing w:before="120" w:after="0" w:line="240" w:lineRule="auto"/>
      </w:pPr>
      <w:r>
        <w:rPr>
          <w:rStyle w:val="Znakapoznpodarou"/>
        </w:rPr>
        <w:footnoteRef/>
      </w:r>
      <w:r w:rsidR="009A1936">
        <w:t xml:space="preserve"> </w:t>
      </w:r>
      <w:r w:rsidR="00785A83">
        <w:t>Studie s. 4.</w:t>
      </w:r>
      <w:r>
        <w:t xml:space="preserve"> </w:t>
      </w:r>
    </w:p>
  </w:footnote>
  <w:footnote w:id="11">
    <w:p w:rsidR="00604D5D" w:rsidRDefault="00604D5D" w:rsidP="006725A8">
      <w:pPr>
        <w:pStyle w:val="Textpoznpodarou"/>
        <w:spacing w:before="120" w:after="0" w:line="240" w:lineRule="auto"/>
      </w:pPr>
      <w:r>
        <w:rPr>
          <w:rStyle w:val="Znakapoznpodarou"/>
        </w:rPr>
        <w:footnoteRef/>
      </w:r>
      <w:r w:rsidR="009A1936">
        <w:t xml:space="preserve"> </w:t>
      </w:r>
      <w:r w:rsidR="00785A83">
        <w:t>Studie s. 4.</w:t>
      </w:r>
    </w:p>
  </w:footnote>
  <w:footnote w:id="12">
    <w:p w:rsidR="00604D5D" w:rsidRDefault="00604D5D" w:rsidP="006725A8">
      <w:pPr>
        <w:pStyle w:val="Textpoznpodarou"/>
        <w:spacing w:before="120" w:after="0" w:line="240" w:lineRule="auto"/>
      </w:pPr>
      <w:r>
        <w:rPr>
          <w:rStyle w:val="Znakapoznpodarou"/>
        </w:rPr>
        <w:footnoteRef/>
      </w:r>
      <w:r w:rsidR="009A1936">
        <w:t xml:space="preserve"> </w:t>
      </w:r>
      <w:r w:rsidR="00785A83">
        <w:t>Studie s. 10.</w:t>
      </w:r>
    </w:p>
  </w:footnote>
  <w:footnote w:id="13">
    <w:p w:rsidR="00604D5D" w:rsidRDefault="00604D5D" w:rsidP="006725A8">
      <w:pPr>
        <w:pStyle w:val="Textpoznpodarou"/>
        <w:spacing w:before="120" w:after="0" w:line="240" w:lineRule="auto"/>
      </w:pPr>
      <w:r>
        <w:rPr>
          <w:rStyle w:val="Znakapoznpodarou"/>
        </w:rPr>
        <w:footnoteRef/>
      </w:r>
      <w:r w:rsidR="009A1936">
        <w:t xml:space="preserve"> </w:t>
      </w:r>
      <w:r w:rsidR="00785A83">
        <w:t>Studie s. 10.</w:t>
      </w:r>
    </w:p>
  </w:footnote>
  <w:footnote w:id="14">
    <w:p w:rsidR="00604D5D" w:rsidRDefault="00604D5D" w:rsidP="006725A8">
      <w:pPr>
        <w:pStyle w:val="Textpoznpodarou"/>
        <w:spacing w:before="120" w:after="0" w:line="240" w:lineRule="auto"/>
      </w:pPr>
      <w:r>
        <w:rPr>
          <w:rStyle w:val="Znakapoznpodarou"/>
        </w:rPr>
        <w:footnoteRef/>
      </w:r>
      <w:r w:rsidR="00784FE5">
        <w:t xml:space="preserve"> </w:t>
      </w:r>
      <w:r w:rsidR="00785A83">
        <w:t>Studie s. 4.</w:t>
      </w:r>
    </w:p>
  </w:footnote>
  <w:footnote w:id="15">
    <w:p w:rsidR="00604D5D" w:rsidRDefault="00604D5D" w:rsidP="006725A8">
      <w:pPr>
        <w:pStyle w:val="Textpoznpodarou"/>
        <w:spacing w:before="120" w:after="0" w:line="240" w:lineRule="auto"/>
      </w:pPr>
      <w:r>
        <w:rPr>
          <w:rStyle w:val="Znakapoznpodarou"/>
        </w:rPr>
        <w:footnoteRef/>
      </w:r>
      <w:r w:rsidR="00784FE5">
        <w:t xml:space="preserve"> </w:t>
      </w:r>
      <w:r>
        <w:t>Studie</w:t>
      </w:r>
      <w:r w:rsidR="00785A83">
        <w:t xml:space="preserve"> s. 5</w:t>
      </w:r>
      <w:r>
        <w:t>.</w:t>
      </w:r>
    </w:p>
  </w:footnote>
  <w:footnote w:id="16">
    <w:p w:rsidR="00604D5D" w:rsidRPr="002070F1" w:rsidRDefault="00604D5D" w:rsidP="006725A8">
      <w:pPr>
        <w:pStyle w:val="Textpoznpodarou"/>
        <w:spacing w:before="120" w:after="0" w:line="240" w:lineRule="auto"/>
      </w:pPr>
      <w:r w:rsidRPr="002070F1">
        <w:rPr>
          <w:rStyle w:val="Znakapoznpodarou"/>
        </w:rPr>
        <w:footnoteRef/>
      </w:r>
      <w:r w:rsidR="002B4122" w:rsidRPr="002070F1">
        <w:t xml:space="preserve"> </w:t>
      </w:r>
      <w:hyperlink r:id="rId1" w:history="1">
        <w:r w:rsidRPr="002070F1">
          <w:rPr>
            <w:rStyle w:val="Hypertextovodkaz"/>
            <w:u w:val="none"/>
          </w:rPr>
          <w:t>http://brno.idnes.cz/chvalovice-na-znojemsku-jsou-bohate-diky-hazardu-fba-/brno-zpravy.aspx?c=A160913_2272843_brno-zpravy_vh</w:t>
        </w:r>
      </w:hyperlink>
    </w:p>
  </w:footnote>
  <w:footnote w:id="17">
    <w:p w:rsidR="00604D5D" w:rsidRDefault="00604D5D" w:rsidP="006725A8">
      <w:pPr>
        <w:pStyle w:val="Textpoznpodarou"/>
        <w:spacing w:before="120" w:after="0" w:line="240" w:lineRule="auto"/>
      </w:pPr>
      <w:r>
        <w:rPr>
          <w:rStyle w:val="Znakapoznpodarou"/>
        </w:rPr>
        <w:footnoteRef/>
      </w:r>
      <w:r w:rsidR="00784FE5">
        <w:t xml:space="preserve"> </w:t>
      </w:r>
      <w:r>
        <w:t>Sledována byla pouze města nad 5 tis</w:t>
      </w:r>
      <w:r w:rsidR="00146456">
        <w:t>íc</w:t>
      </w:r>
      <w:r>
        <w:t xml:space="preserve"> obyvatel, kterých je v České republice v současné době celkem 270, z celkového počtu 602 měst</w:t>
      </w:r>
      <w:r w:rsidR="0048280F">
        <w:t xml:space="preserve"> v České republice</w:t>
      </w:r>
      <w:r>
        <w:t>.</w:t>
      </w:r>
    </w:p>
  </w:footnote>
  <w:footnote w:id="18">
    <w:p w:rsidR="00604D5D" w:rsidRDefault="00604D5D" w:rsidP="006725A8">
      <w:pPr>
        <w:pStyle w:val="Textpoznpodarou"/>
        <w:spacing w:before="120" w:after="0" w:line="240" w:lineRule="auto"/>
      </w:pPr>
      <w:r>
        <w:rPr>
          <w:rStyle w:val="Znakapoznpodarou"/>
        </w:rPr>
        <w:footnoteRef/>
      </w:r>
      <w:r w:rsidR="00784FE5">
        <w:t xml:space="preserve"> </w:t>
      </w:r>
      <w:r w:rsidR="0046177C">
        <w:t>Studie s. 5</w:t>
      </w:r>
    </w:p>
  </w:footnote>
  <w:footnote w:id="19">
    <w:p w:rsidR="00604D5D" w:rsidRPr="002B4122" w:rsidRDefault="00604D5D" w:rsidP="006725A8">
      <w:pPr>
        <w:pStyle w:val="Textpoznpodarou"/>
        <w:spacing w:before="120" w:after="0" w:line="240" w:lineRule="auto"/>
      </w:pPr>
      <w:r>
        <w:rPr>
          <w:rStyle w:val="Znakapoznpodarou"/>
        </w:rPr>
        <w:footnoteRef/>
      </w:r>
      <w:r w:rsidR="00784FE5">
        <w:t xml:space="preserve"> </w:t>
      </w:r>
      <w:hyperlink r:id="rId2" w:history="1">
        <w:r w:rsidRPr="002B4122">
          <w:rPr>
            <w:rStyle w:val="Hypertextovodkaz"/>
            <w:u w:val="none"/>
          </w:rPr>
          <w:t>http://www.nfpk.cz/tz/4869</w:t>
        </w:r>
      </w:hyperlink>
    </w:p>
  </w:footnote>
  <w:footnote w:id="20">
    <w:p w:rsidR="00604D5D" w:rsidRDefault="00604D5D" w:rsidP="006725A8">
      <w:pPr>
        <w:pStyle w:val="Textpoznpodarou"/>
        <w:spacing w:before="120" w:after="0" w:line="240" w:lineRule="auto"/>
      </w:pPr>
      <w:r>
        <w:rPr>
          <w:rStyle w:val="Znakapoznpodarou"/>
        </w:rPr>
        <w:footnoteRef/>
      </w:r>
      <w:r w:rsidR="00784FE5">
        <w:t xml:space="preserve"> </w:t>
      </w:r>
      <w:r w:rsidR="0046177C">
        <w:t>Studie s. 4.</w:t>
      </w:r>
    </w:p>
  </w:footnote>
  <w:footnote w:id="21">
    <w:p w:rsidR="00604D5D" w:rsidRDefault="00604D5D" w:rsidP="006725A8">
      <w:pPr>
        <w:pStyle w:val="Textpoznpodarou"/>
        <w:spacing w:before="120" w:after="0" w:line="240" w:lineRule="auto"/>
      </w:pPr>
      <w:r>
        <w:rPr>
          <w:rStyle w:val="Znakapoznpodarou"/>
        </w:rPr>
        <w:footnoteRef/>
      </w:r>
      <w:r w:rsidR="00784FE5">
        <w:t xml:space="preserve"> </w:t>
      </w:r>
      <w:r>
        <w:t>Například na s</w:t>
      </w:r>
      <w:r w:rsidR="0048280F">
        <w:t>tr</w:t>
      </w:r>
      <w:r>
        <w:t>. 11 Studie se uvádí, že je jisté, že se obce, které legální hazard zakázaly, nelegálního hazardu postupně definitivně zbaví. Tento závěr je přitom doložen případem, kdy došlo ze strany policie k zabavení nelegálních hracích přístrojů ve městě Bohumíně. Na s</w:t>
      </w:r>
      <w:r w:rsidR="0048280F">
        <w:t>tr</w:t>
      </w:r>
      <w:r>
        <w:t xml:space="preserve">. 5 Studie je uveden případ zabavení nepovolených výherních přístrojů v Praze. Sotva lze z uvedeného konstatovat, že těmito dvěma úspěchy </w:t>
      </w:r>
      <w:r w:rsidR="0070069D">
        <w:t>Ce</w:t>
      </w:r>
      <w:r>
        <w:t xml:space="preserve">lní správy došlo k eliminaci veškerého nelegálního hazardu na území Bohumína a Prahy. Druhý uvedený případ se navíc týkal území </w:t>
      </w:r>
      <w:r w:rsidR="0048280F">
        <w:t>Prahy 4, kde k nulové toleranci</w:t>
      </w:r>
      <w:r>
        <w:t xml:space="preserve"> k výherním </w:t>
      </w:r>
      <w:r w:rsidR="0048280F">
        <w:t>hracím přístrojům nebylo</w:t>
      </w:r>
      <w:r w:rsidR="00AA3017">
        <w:t xml:space="preserve"> </w:t>
      </w:r>
      <w:r w:rsidR="0048280F">
        <w:t>přistoupeno</w:t>
      </w:r>
      <w:r>
        <w:t xml:space="preserve">. Nejde proto </w:t>
      </w:r>
      <w:r w:rsidR="0048280F">
        <w:t xml:space="preserve">opět </w:t>
      </w:r>
      <w:r>
        <w:t xml:space="preserve">o reprezentativní příklad. </w:t>
      </w:r>
    </w:p>
  </w:footnote>
  <w:footnote w:id="22">
    <w:p w:rsidR="00604D5D" w:rsidRPr="00E27C2A" w:rsidRDefault="00604D5D" w:rsidP="006725A8">
      <w:pPr>
        <w:pStyle w:val="Textpoznpodarou"/>
        <w:spacing w:before="120" w:after="0" w:line="240" w:lineRule="auto"/>
      </w:pPr>
      <w:r w:rsidRPr="00E27C2A">
        <w:rPr>
          <w:rStyle w:val="Znakapoznpodarou"/>
        </w:rPr>
        <w:footnoteRef/>
      </w:r>
      <w:r w:rsidR="00784FE5" w:rsidRPr="00E27C2A">
        <w:t xml:space="preserve"> </w:t>
      </w:r>
      <w:r w:rsidRPr="00E27C2A">
        <w:t>Studie</w:t>
      </w:r>
      <w:r w:rsidR="0046177C" w:rsidRPr="00E27C2A">
        <w:t xml:space="preserve"> s. 10</w:t>
      </w:r>
      <w:r w:rsidRPr="00E27C2A">
        <w:t xml:space="preserve">. </w:t>
      </w:r>
    </w:p>
  </w:footnote>
  <w:footnote w:id="23">
    <w:p w:rsidR="008311DC" w:rsidRDefault="008311DC" w:rsidP="006725A8">
      <w:pPr>
        <w:pStyle w:val="Textpoznpodarou"/>
        <w:spacing w:before="120" w:after="0" w:line="240" w:lineRule="auto"/>
      </w:pPr>
      <w:r>
        <w:rPr>
          <w:rStyle w:val="Znakapoznpodarou"/>
        </w:rPr>
        <w:footnoteRef/>
      </w:r>
      <w:r>
        <w:t xml:space="preserve"> Přitom k léčbě patologického hráčství je uzpůsobena Věznice Opava (jak pro odsouzené muže, tak i pro odsouzené ženy) či Věznice Heřmanice (pro odsouzené muže). </w:t>
      </w:r>
    </w:p>
  </w:footnote>
  <w:footnote w:id="24">
    <w:p w:rsidR="00127951" w:rsidRPr="002E423F" w:rsidRDefault="00127951" w:rsidP="006725A8">
      <w:pPr>
        <w:pStyle w:val="Textpoznpodarou"/>
        <w:spacing w:before="120" w:after="0" w:line="240" w:lineRule="auto"/>
        <w:rPr>
          <w:color w:val="000000" w:themeColor="text1"/>
        </w:rPr>
      </w:pPr>
      <w:r w:rsidRPr="002E423F">
        <w:rPr>
          <w:rStyle w:val="Znakapoznpodarou"/>
          <w:color w:val="000000" w:themeColor="text1"/>
        </w:rPr>
        <w:footnoteRef/>
      </w:r>
      <w:r w:rsidRPr="002E423F">
        <w:rPr>
          <w:color w:val="000000" w:themeColor="text1"/>
        </w:rPr>
        <w:t xml:space="preserve"> </w:t>
      </w:r>
      <w:hyperlink r:id="rId3" w:tgtFrame="_blank" w:history="1">
        <w:r w:rsidRPr="002E423F">
          <w:rPr>
            <w:rStyle w:val="Hypertextovodkaz"/>
            <w:color w:val="000000" w:themeColor="text1"/>
            <w:u w:val="none"/>
            <w:shd w:val="clear" w:color="auto" w:fill="FFFFFF"/>
          </w:rPr>
          <w:t>http://cslav.justice.cz/InfoData/prehledy-statistickych-listu.html</w:t>
        </w:r>
      </w:hyperlink>
      <w:r w:rsidRPr="002E423F">
        <w:rPr>
          <w:rStyle w:val="apple-converted-space"/>
          <w:color w:val="000000" w:themeColor="text1"/>
          <w:shd w:val="clear" w:color="auto" w:fill="FFFFFF"/>
        </w:rPr>
        <w:t> </w:t>
      </w:r>
    </w:p>
  </w:footnote>
  <w:footnote w:id="25">
    <w:p w:rsidR="00604D5D" w:rsidRDefault="00604D5D" w:rsidP="006725A8">
      <w:pPr>
        <w:pStyle w:val="Textpoznpodarou"/>
        <w:spacing w:before="120" w:after="0" w:line="240" w:lineRule="auto"/>
      </w:pPr>
      <w:r>
        <w:rPr>
          <w:rStyle w:val="Znakapoznpodarou"/>
        </w:rPr>
        <w:footnoteRef/>
      </w:r>
      <w:r w:rsidR="00784FE5">
        <w:t xml:space="preserve"> </w:t>
      </w:r>
      <w:r w:rsidR="0046177C">
        <w:t>Studie s. 3.</w:t>
      </w:r>
    </w:p>
  </w:footnote>
  <w:footnote w:id="26">
    <w:p w:rsidR="00604D5D" w:rsidRDefault="00604D5D" w:rsidP="006725A8">
      <w:pPr>
        <w:pStyle w:val="Textpoznpodarou"/>
        <w:spacing w:before="120" w:after="0" w:line="240" w:lineRule="auto"/>
      </w:pPr>
      <w:r>
        <w:rPr>
          <w:rStyle w:val="Znakapoznpodarou"/>
        </w:rPr>
        <w:footnoteRef/>
      </w:r>
      <w:r w:rsidR="00784FE5">
        <w:t xml:space="preserve"> </w:t>
      </w:r>
      <w:r>
        <w:t xml:space="preserve">§ </w:t>
      </w:r>
      <w:r w:rsidR="00A20592">
        <w:t>16 odst. 7 z</w:t>
      </w:r>
      <w:r>
        <w:t xml:space="preserve">ákona </w:t>
      </w:r>
      <w:r w:rsidR="00A20592">
        <w:t xml:space="preserve">č. 186/2016 Sb., </w:t>
      </w:r>
      <w:r>
        <w:t>o hazardních hrách.</w:t>
      </w:r>
    </w:p>
  </w:footnote>
  <w:footnote w:id="27">
    <w:p w:rsidR="00604D5D" w:rsidRDefault="00604D5D" w:rsidP="006725A8">
      <w:pPr>
        <w:pStyle w:val="Textpoznpodarou"/>
        <w:spacing w:before="120" w:after="0" w:line="240" w:lineRule="auto"/>
      </w:pPr>
      <w:r>
        <w:rPr>
          <w:rStyle w:val="Znakapoznpodarou"/>
        </w:rPr>
        <w:footnoteRef/>
      </w:r>
      <w:r w:rsidR="00784FE5">
        <w:t xml:space="preserve"> </w:t>
      </w:r>
      <w:r>
        <w:t xml:space="preserve">§ 14 a násl. </w:t>
      </w:r>
      <w:r w:rsidR="00A20592">
        <w:t>z</w:t>
      </w:r>
      <w:r>
        <w:t>ákona o hazardních hrách.</w:t>
      </w:r>
    </w:p>
  </w:footnote>
  <w:footnote w:id="28">
    <w:p w:rsidR="004306DF" w:rsidRPr="003F0BA0" w:rsidRDefault="004306DF" w:rsidP="006725A8">
      <w:pPr>
        <w:pStyle w:val="Textpoznpodarou"/>
        <w:spacing w:before="120" w:after="0" w:line="240" w:lineRule="auto"/>
      </w:pPr>
      <w:r w:rsidRPr="003F0BA0">
        <w:rPr>
          <w:rStyle w:val="Znakapoznpodarou"/>
        </w:rPr>
        <w:footnoteRef/>
      </w:r>
      <w:r>
        <w:t xml:space="preserve"> </w:t>
      </w:r>
      <w:r w:rsidRPr="003F0BA0">
        <w:t>Srov. vyjádření mluvčí městské části Prahy 1 Veroniky Blažkové. KABÁTOVÁ, Šárka. Č</w:t>
      </w:r>
      <w:r w:rsidR="003E2418">
        <w:t xml:space="preserve">eské Las Vegas? Aš i Mikulov. </w:t>
      </w:r>
      <w:r w:rsidRPr="003F0BA0">
        <w:rPr>
          <w:i/>
        </w:rPr>
        <w:t>Lidové noviny</w:t>
      </w:r>
      <w:r w:rsidRPr="003F0BA0">
        <w:t xml:space="preserve">, 8. 3. 2017. </w:t>
      </w:r>
    </w:p>
  </w:footnote>
  <w:footnote w:id="29">
    <w:p w:rsidR="004306DF" w:rsidRPr="002E423F" w:rsidRDefault="004306DF" w:rsidP="006725A8">
      <w:pPr>
        <w:pStyle w:val="Textpoznpodarou"/>
        <w:spacing w:before="120" w:after="0" w:line="240" w:lineRule="auto"/>
      </w:pPr>
      <w:r>
        <w:rPr>
          <w:rStyle w:val="Znakapoznpodarou"/>
        </w:rPr>
        <w:footnoteRef/>
      </w:r>
      <w:r>
        <w:t xml:space="preserve"> </w:t>
      </w:r>
      <w:r w:rsidRPr="00967B83">
        <w:t>Bezpečnostní analýza koncepce prevence kriminality Karlovarského kraje na roky 2013-2016</w:t>
      </w:r>
      <w:r>
        <w:t>.</w:t>
      </w:r>
      <w:r w:rsidR="002E423F" w:rsidRPr="002E423F">
        <w:rPr>
          <w:color w:val="006621"/>
          <w:shd w:val="clear" w:color="auto" w:fill="FFFFFF"/>
        </w:rPr>
        <w:t xml:space="preserve"> </w:t>
      </w:r>
      <w:hyperlink r:id="rId4" w:history="1">
        <w:r w:rsidR="002E423F" w:rsidRPr="002E423F">
          <w:rPr>
            <w:rStyle w:val="Hypertextovodkaz"/>
            <w:u w:val="none"/>
            <w:shd w:val="clear" w:color="auto" w:fill="FFFFFF"/>
          </w:rPr>
          <w:t>www.kr-karlovarsky.cz/krajsky-urad/cinnosti/Documents/bezp_analyza.doc</w:t>
        </w:r>
      </w:hyperlink>
    </w:p>
  </w:footnote>
  <w:footnote w:id="30">
    <w:p w:rsidR="002E423F" w:rsidRDefault="002E423F" w:rsidP="006725A8">
      <w:pPr>
        <w:pStyle w:val="Textpoznpodarou"/>
        <w:spacing w:before="120" w:after="0" w:line="240" w:lineRule="auto"/>
      </w:pPr>
      <w:r>
        <w:rPr>
          <w:rStyle w:val="Znakapoznpodarou"/>
        </w:rPr>
        <w:footnoteRef/>
      </w:r>
      <w:r>
        <w:t xml:space="preserve"> </w:t>
      </w:r>
      <w:r w:rsidRPr="00967B83">
        <w:t>Bezpečnostní analýza koncepce prevence kriminality Karlovarského kraje na roky 2013-2016</w:t>
      </w:r>
      <w:r>
        <w:t xml:space="preserve">, s. 51 a násl. </w:t>
      </w:r>
      <w:r w:rsidRPr="00DD5171">
        <w:t>Dostupn</w:t>
      </w:r>
      <w:r>
        <w:t>é</w:t>
      </w:r>
      <w:r w:rsidRPr="00DD5171">
        <w:t xml:space="preserve"> z: </w:t>
      </w:r>
      <w:hyperlink r:id="rId5" w:history="1">
        <w:r w:rsidRPr="002E423F">
          <w:rPr>
            <w:rStyle w:val="Hypertextovodkaz"/>
            <w:u w:val="none"/>
            <w:shd w:val="clear" w:color="auto" w:fill="FFFFFF"/>
          </w:rPr>
          <w:t>www.kr-karlovarsky.cz/krajsky-urad/cinnosti/Documents/bezp_analyza.doc</w:t>
        </w:r>
      </w:hyperlink>
      <w:r w:rsidRPr="002E423F">
        <w:t xml:space="preserve"> </w:t>
      </w:r>
    </w:p>
  </w:footnote>
  <w:footnote w:id="31">
    <w:p w:rsidR="00D04E71" w:rsidRPr="00784FE5" w:rsidRDefault="00D04E71" w:rsidP="006725A8">
      <w:pPr>
        <w:spacing w:before="120" w:after="0" w:line="240" w:lineRule="auto"/>
        <w:ind w:left="0"/>
        <w:rPr>
          <w:bCs/>
          <w:iCs/>
          <w:color w:val="000000"/>
          <w:sz w:val="20"/>
          <w:szCs w:val="20"/>
        </w:rPr>
      </w:pPr>
      <w:r w:rsidRPr="006D68FF">
        <w:rPr>
          <w:rStyle w:val="Znakapoznpodarou"/>
          <w:color w:val="000000" w:themeColor="text1"/>
          <w:sz w:val="20"/>
          <w:szCs w:val="20"/>
        </w:rPr>
        <w:footnoteRef/>
      </w:r>
      <w:r w:rsidR="00603B16" w:rsidRPr="00592E69">
        <w:rPr>
          <w:bCs/>
          <w:i/>
          <w:iCs/>
          <w:color w:val="000000"/>
          <w:sz w:val="20"/>
          <w:szCs w:val="20"/>
        </w:rPr>
        <w:t>Vyhodnocení</w:t>
      </w:r>
      <w:r w:rsidR="00603B16" w:rsidRPr="006D68FF">
        <w:rPr>
          <w:bCs/>
          <w:i/>
          <w:iCs/>
          <w:caps/>
          <w:color w:val="000000"/>
          <w:sz w:val="20"/>
          <w:szCs w:val="20"/>
        </w:rPr>
        <w:t xml:space="preserve"> </w:t>
      </w:r>
      <w:r w:rsidR="00603B16" w:rsidRPr="00592E69">
        <w:rPr>
          <w:bCs/>
          <w:i/>
          <w:iCs/>
          <w:color w:val="000000"/>
          <w:sz w:val="20"/>
          <w:szCs w:val="20"/>
        </w:rPr>
        <w:t xml:space="preserve">trestné a přestupkové činnosti </w:t>
      </w:r>
      <w:r w:rsidR="00592E69">
        <w:rPr>
          <w:bCs/>
          <w:i/>
          <w:iCs/>
          <w:color w:val="000000"/>
          <w:sz w:val="20"/>
          <w:szCs w:val="20"/>
        </w:rPr>
        <w:t>M</w:t>
      </w:r>
      <w:r w:rsidR="00603B16" w:rsidRPr="00592E69">
        <w:rPr>
          <w:bCs/>
          <w:i/>
          <w:iCs/>
          <w:color w:val="000000"/>
          <w:sz w:val="20"/>
          <w:szCs w:val="20"/>
        </w:rPr>
        <w:t>ikulov</w:t>
      </w:r>
      <w:r w:rsidR="00603B16" w:rsidRPr="006D68FF">
        <w:rPr>
          <w:bCs/>
          <w:i/>
          <w:iCs/>
          <w:caps/>
          <w:color w:val="000000"/>
          <w:sz w:val="20"/>
          <w:szCs w:val="20"/>
        </w:rPr>
        <w:t xml:space="preserve"> 2016</w:t>
      </w:r>
      <w:r w:rsidR="00603B16" w:rsidRPr="006D68FF">
        <w:rPr>
          <w:bCs/>
          <w:i/>
          <w:iCs/>
          <w:caps/>
          <w:color w:val="000000" w:themeColor="text1"/>
          <w:sz w:val="20"/>
          <w:szCs w:val="20"/>
        </w:rPr>
        <w:t>,</w:t>
      </w:r>
      <w:r w:rsidR="00603B16">
        <w:rPr>
          <w:b/>
          <w:bCs/>
          <w:i/>
          <w:iCs/>
          <w:caps/>
          <w:color w:val="000000" w:themeColor="text1"/>
          <w:sz w:val="20"/>
          <w:szCs w:val="20"/>
        </w:rPr>
        <w:t xml:space="preserve"> </w:t>
      </w:r>
      <w:r w:rsidR="00603B16">
        <w:rPr>
          <w:bCs/>
          <w:iCs/>
          <w:color w:val="000000" w:themeColor="text1"/>
          <w:sz w:val="20"/>
          <w:szCs w:val="20"/>
        </w:rPr>
        <w:t xml:space="preserve">s. 1-2. </w:t>
      </w:r>
      <w:r w:rsidR="00603B16" w:rsidRPr="00603B16">
        <w:rPr>
          <w:bCs/>
          <w:iCs/>
          <w:color w:val="000000" w:themeColor="text1"/>
          <w:sz w:val="20"/>
          <w:szCs w:val="20"/>
        </w:rPr>
        <w:t>http://mp.mikulov.cz/index.php?IdKat=1&amp;PodKat1=87</w:t>
      </w:r>
      <w:r w:rsidR="00603B16">
        <w:rPr>
          <w:bCs/>
          <w:iCs/>
          <w:color w:val="000000" w:themeColor="text1"/>
          <w:sz w:val="20"/>
          <w:szCs w:val="20"/>
        </w:rPr>
        <w:t xml:space="preserve"> </w:t>
      </w:r>
    </w:p>
  </w:footnote>
  <w:footnote w:id="32">
    <w:p w:rsidR="006D68FF" w:rsidRDefault="006D68FF" w:rsidP="006725A8">
      <w:pPr>
        <w:pStyle w:val="Textpoznpodarou"/>
        <w:spacing w:before="120" w:after="0" w:line="240" w:lineRule="auto"/>
      </w:pPr>
      <w:r>
        <w:rPr>
          <w:rStyle w:val="Znakapoznpodarou"/>
        </w:rPr>
        <w:footnoteRef/>
      </w:r>
      <w:r>
        <w:t xml:space="preserve"> Ačkoliv ani to by nebylo příliš průkazné, neboť tradičně při hodnocení struktury kriminality výrazně dominuje právě kriminalita majetková (v roce 2015 činila celkově 56%), přičemž právě v roce 2015 Policie ČR zaznamenala</w:t>
      </w:r>
      <w:r w:rsidRPr="0016630C">
        <w:t xml:space="preserve"> výrazný pokles zjištěných trestných činů</w:t>
      </w:r>
      <w:r>
        <w:t xml:space="preserve"> majetkové povahy</w:t>
      </w:r>
      <w:r w:rsidRPr="0016630C">
        <w:t xml:space="preserve"> o takřka 20 %.</w:t>
      </w:r>
      <w:r>
        <w:t xml:space="preserve"> Viz </w:t>
      </w:r>
      <w:r w:rsidRPr="00C744C3">
        <w:t xml:space="preserve">DIBLÍKOVÁ, Simona a kol. </w:t>
      </w:r>
      <w:r w:rsidRPr="00205CA9">
        <w:rPr>
          <w:i/>
          <w:color w:val="000000"/>
        </w:rPr>
        <w:t>Analýza trendů kriminality v České republice v roce 2015</w:t>
      </w:r>
      <w:r w:rsidRPr="00205CA9">
        <w:rPr>
          <w:color w:val="000000"/>
        </w:rPr>
        <w:t>.</w:t>
      </w:r>
      <w:r w:rsidRPr="00205CA9">
        <w:rPr>
          <w:rStyle w:val="apple-converted-space"/>
          <w:color w:val="000000"/>
        </w:rPr>
        <w:t xml:space="preserve"> Praha: Institut pro kriminologii a sociální prevenci, 2016, s. </w:t>
      </w:r>
      <w:r>
        <w:rPr>
          <w:rStyle w:val="apple-converted-space"/>
          <w:color w:val="000000"/>
        </w:rPr>
        <w:t>14</w:t>
      </w:r>
      <w:r w:rsidRPr="00205CA9">
        <w:rPr>
          <w:rStyle w:val="apple-converted-space"/>
          <w:color w:val="000000"/>
        </w:rPr>
        <w:t xml:space="preserve">. ISBN </w:t>
      </w:r>
      <w:r w:rsidRPr="00205CA9">
        <w:rPr>
          <w:color w:val="000000"/>
        </w:rPr>
        <w:t>978-80-7338-162-2</w:t>
      </w:r>
      <w:r>
        <w:rPr>
          <w:color w:val="000000"/>
        </w:rPr>
        <w:t>.</w:t>
      </w:r>
      <w:r w:rsidRPr="0016630C">
        <w:t xml:space="preserve"> </w:t>
      </w:r>
      <w:r>
        <w:t xml:space="preserve"> </w:t>
      </w:r>
    </w:p>
  </w:footnote>
  <w:footnote w:id="33">
    <w:p w:rsidR="00DB3B0D" w:rsidRDefault="00DB3B0D" w:rsidP="000C5649">
      <w:pPr>
        <w:pStyle w:val="Textpoznpodarou"/>
        <w:spacing w:before="120" w:after="0" w:line="240" w:lineRule="auto"/>
      </w:pPr>
      <w:r>
        <w:rPr>
          <w:rStyle w:val="Znakapoznpodarou"/>
        </w:rPr>
        <w:footnoteRef/>
      </w:r>
      <w:r>
        <w:t xml:space="preserve"> Studie s. 12.</w:t>
      </w:r>
    </w:p>
  </w:footnote>
  <w:footnote w:id="34">
    <w:p w:rsidR="000A1056" w:rsidRPr="0011291B" w:rsidRDefault="000A1056" w:rsidP="000C5649">
      <w:pPr>
        <w:pStyle w:val="Textpoznpodarou"/>
        <w:spacing w:before="120" w:after="0" w:line="240" w:lineRule="auto"/>
      </w:pPr>
      <w:r w:rsidRPr="0011291B">
        <w:rPr>
          <w:rStyle w:val="Znakapoznpodarou"/>
        </w:rPr>
        <w:footnoteRef/>
      </w:r>
      <w:r w:rsidRPr="0011291B">
        <w:t xml:space="preserve"> </w:t>
      </w:r>
      <w:hyperlink r:id="rId6" w:history="1">
        <w:r w:rsidRPr="0011291B">
          <w:rPr>
            <w:rStyle w:val="Hypertextovodkaz"/>
            <w:u w:val="none"/>
          </w:rPr>
          <w:t>http://prevencekriminality.vmyto.eu/images/Bezpecnostni_analyza/bezpecnostni_analyza_2017.pdf</w:t>
        </w:r>
      </w:hyperlink>
      <w:r w:rsidRPr="0011291B">
        <w:t xml:space="preserve">. </w:t>
      </w:r>
    </w:p>
  </w:footnote>
  <w:footnote w:id="35">
    <w:p w:rsidR="000C5649" w:rsidRDefault="000C5649" w:rsidP="000C5649">
      <w:pPr>
        <w:pStyle w:val="Textpoznpodarou"/>
        <w:spacing w:before="120" w:after="0" w:line="240" w:lineRule="auto"/>
      </w:pPr>
      <w:r>
        <w:rPr>
          <w:rStyle w:val="Znakapoznpodarou"/>
        </w:rPr>
        <w:footnoteRef/>
      </w:r>
      <w:r>
        <w:t xml:space="preserve"> Studie s. 12.</w:t>
      </w:r>
    </w:p>
  </w:footnote>
  <w:footnote w:id="36">
    <w:p w:rsidR="00603B16" w:rsidRPr="000E1942" w:rsidRDefault="00603B16" w:rsidP="000C5649">
      <w:pPr>
        <w:pStyle w:val="Textpoznpodarou"/>
        <w:spacing w:before="120" w:after="0" w:line="240" w:lineRule="auto"/>
      </w:pPr>
      <w:r>
        <w:rPr>
          <w:rStyle w:val="Znakapoznpodarou"/>
        </w:rPr>
        <w:footnoteRef/>
      </w:r>
      <w:r>
        <w:t xml:space="preserve">Uveden stejně jako v případě Studie vlivu hazardu na kriminalitu podle tzv. mapy kriminality. </w:t>
      </w:r>
      <w:hyperlink r:id="rId7" w:history="1">
        <w:r w:rsidRPr="000E1942">
          <w:rPr>
            <w:rStyle w:val="Hypertextovodkaz"/>
            <w:u w:val="none"/>
          </w:rPr>
          <w:t>http://www.mapakriminality.cz/</w:t>
        </w:r>
      </w:hyperlink>
      <w:r w:rsidRPr="000E1942">
        <w:t xml:space="preserve">. </w:t>
      </w:r>
    </w:p>
  </w:footnote>
  <w:footnote w:id="37">
    <w:p w:rsidR="00536B59" w:rsidRDefault="00536B59" w:rsidP="000C5649">
      <w:pPr>
        <w:pStyle w:val="Textpoznpodarou"/>
        <w:spacing w:before="120" w:after="0" w:line="240" w:lineRule="auto"/>
      </w:pPr>
      <w:r>
        <w:rPr>
          <w:rStyle w:val="Znakapoznpodarou"/>
        </w:rPr>
        <w:footnoteRef/>
      </w:r>
      <w:r>
        <w:t xml:space="preserve"> Studie, kapitola 6, s. 14.</w:t>
      </w:r>
    </w:p>
  </w:footnote>
  <w:footnote w:id="38">
    <w:p w:rsidR="00753B2C" w:rsidRPr="000E1942" w:rsidRDefault="00753B2C" w:rsidP="006725A8">
      <w:pPr>
        <w:pStyle w:val="Textpoznpodarou"/>
        <w:spacing w:before="120" w:after="0" w:line="240" w:lineRule="auto"/>
      </w:pPr>
      <w:r w:rsidRPr="000E1942">
        <w:rPr>
          <w:rStyle w:val="Znakapoznpodarou"/>
        </w:rPr>
        <w:footnoteRef/>
      </w:r>
      <w:r w:rsidRPr="000E1942">
        <w:t xml:space="preserve"> </w:t>
      </w:r>
      <w:hyperlink r:id="rId8" w:history="1">
        <w:r w:rsidRPr="000E1942">
          <w:rPr>
            <w:rStyle w:val="Hypertextovodkaz"/>
            <w:u w:val="none"/>
          </w:rPr>
          <w:t>https://www.mesto-bohumin.cz/data/dokumenty/8909.pdf</w:t>
        </w:r>
      </w:hyperlink>
    </w:p>
  </w:footnote>
  <w:footnote w:id="39">
    <w:p w:rsidR="004067BF" w:rsidRDefault="004067BF" w:rsidP="006725A8">
      <w:pPr>
        <w:pStyle w:val="Textpoznpodarou"/>
        <w:spacing w:before="120" w:after="0" w:line="240" w:lineRule="auto"/>
      </w:pPr>
      <w:r>
        <w:rPr>
          <w:rStyle w:val="Znakapoznpodarou"/>
        </w:rPr>
        <w:footnoteRef/>
      </w:r>
      <w:r>
        <w:t xml:space="preserve"> Český statistický úřad. Počet obyvatel obcí Královéhradeckého kraje. </w:t>
      </w:r>
      <w:r w:rsidRPr="004067BF">
        <w:t>https://www.czso.cz/csu/xh/pocet_obyvatel_v_obcich</w:t>
      </w:r>
      <w:r>
        <w:t xml:space="preserve"> </w:t>
      </w:r>
    </w:p>
  </w:footnote>
  <w:footnote w:id="40">
    <w:p w:rsidR="00EB7905" w:rsidRDefault="00EB7905" w:rsidP="006725A8">
      <w:pPr>
        <w:pStyle w:val="Textpoznpodarou"/>
        <w:spacing w:before="120" w:after="0" w:line="240" w:lineRule="auto"/>
      </w:pPr>
      <w:r>
        <w:rPr>
          <w:rStyle w:val="Znakapoznpodarou"/>
        </w:rPr>
        <w:footnoteRef/>
      </w:r>
      <w:r>
        <w:t xml:space="preserve"> </w:t>
      </w:r>
      <w:r w:rsidRPr="00EB7905">
        <w:t>https://www.czso.cz/csu/czso/kriminalita_nehody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5D" w:rsidRDefault="00604D5D" w:rsidP="0028429C">
    <w:pPr>
      <w:pStyle w:val="Zhlavazpat"/>
      <w:tabs>
        <w:tab w:val="clear" w:pos="9020"/>
        <w:tab w:val="center" w:pos="4819"/>
        <w:tab w:val="right" w:pos="961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0CD" w:rsidRDefault="005540CD" w:rsidP="005540CD">
    <w:pPr>
      <w:pStyle w:val="Zhlav"/>
      <w:ind w:left="0"/>
    </w:pPr>
    <w:r>
      <w:rPr>
        <w:noProof/>
        <w:lang w:eastAsia="cs-CZ"/>
      </w:rPr>
      <w:drawing>
        <wp:anchor distT="0" distB="0" distL="114300" distR="114300" simplePos="0" relativeHeight="251658240" behindDoc="0" locked="0" layoutInCell="1" allowOverlap="1">
          <wp:simplePos x="0" y="0"/>
          <wp:positionH relativeFrom="column">
            <wp:posOffset>-618352</wp:posOffset>
          </wp:positionH>
          <wp:positionV relativeFrom="paragraph">
            <wp:posOffset>-246380</wp:posOffset>
          </wp:positionV>
          <wp:extent cx="3974741" cy="1272209"/>
          <wp:effectExtent l="19050" t="0" r="6709" b="0"/>
          <wp:wrapNone/>
          <wp:docPr id="3" name="Obrázek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bmp"/>
                  <pic:cNvPicPr>
                    <a:picLocks noChangeAspect="1" noChangeArrowheads="1"/>
                  </pic:cNvPicPr>
                </pic:nvPicPr>
                <pic:blipFill>
                  <a:blip r:embed="rId1"/>
                  <a:srcRect/>
                  <a:stretch>
                    <a:fillRect/>
                  </a:stretch>
                </pic:blipFill>
                <pic:spPr bwMode="auto">
                  <a:xfrm>
                    <a:off x="0" y="0"/>
                    <a:ext cx="3974741" cy="1272209"/>
                  </a:xfrm>
                  <a:prstGeom prst="rect">
                    <a:avLst/>
                  </a:prstGeom>
                  <a:noFill/>
                  <a:ln w="9525">
                    <a:noFill/>
                    <a:miter lim="800000"/>
                    <a:headEnd/>
                    <a:tailEnd/>
                  </a:ln>
                </pic:spPr>
              </pic:pic>
            </a:graphicData>
          </a:graphic>
        </wp:anchor>
      </w:drawing>
    </w:r>
  </w:p>
  <w:p w:rsidR="005540CD" w:rsidRDefault="005540CD">
    <w:pPr>
      <w:pStyle w:val="Zhlav"/>
    </w:pPr>
  </w:p>
  <w:p w:rsidR="005540CD" w:rsidRDefault="005540CD" w:rsidP="005540CD">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6EAA"/>
    <w:multiLevelType w:val="hybridMultilevel"/>
    <w:tmpl w:val="89DE884A"/>
    <w:lvl w:ilvl="0" w:tplc="B560AB6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960E15"/>
    <w:multiLevelType w:val="multilevel"/>
    <w:tmpl w:val="9C7A73D0"/>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33A269E"/>
    <w:multiLevelType w:val="hybridMultilevel"/>
    <w:tmpl w:val="59E6607E"/>
    <w:lvl w:ilvl="0" w:tplc="59AA59E0">
      <w:start w:val="1"/>
      <w:numFmt w:val="lowerLetter"/>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904267"/>
    <w:multiLevelType w:val="hybridMultilevel"/>
    <w:tmpl w:val="98DCC694"/>
    <w:lvl w:ilvl="0" w:tplc="7250F402">
      <w:start w:val="1"/>
      <w:numFmt w:val="lowerLetter"/>
      <w:lvlText w:val="%1)"/>
      <w:lvlJc w:val="left"/>
      <w:pPr>
        <w:ind w:left="1344" w:hanging="360"/>
      </w:pPr>
      <w:rPr>
        <w:rFonts w:hint="default"/>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 w15:restartNumberingAfterBreak="0">
    <w:nsid w:val="2B23225D"/>
    <w:multiLevelType w:val="hybridMultilevel"/>
    <w:tmpl w:val="82CE81BA"/>
    <w:lvl w:ilvl="0" w:tplc="3676AAA6">
      <w:start w:val="1"/>
      <w:numFmt w:val="bullet"/>
      <w:pStyle w:val="Odrka1"/>
      <w:lvlText w:val=""/>
      <w:lvlJc w:val="left"/>
      <w:pPr>
        <w:ind w:left="1495" w:hanging="360"/>
      </w:pPr>
      <w:rPr>
        <w:rFonts w:ascii="Symbol" w:hAnsi="Symbol" w:hint="default"/>
        <w:sz w:val="20"/>
        <w:szCs w:val="20"/>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5" w15:restartNumberingAfterBreak="0">
    <w:nsid w:val="2D067609"/>
    <w:multiLevelType w:val="multilevel"/>
    <w:tmpl w:val="0498AF82"/>
    <w:lvl w:ilvl="0">
      <w:start w:val="1"/>
      <w:numFmt w:val="decimal"/>
      <w:pStyle w:val="Nadpis1"/>
      <w:lvlText w:val="%1."/>
      <w:lvlJc w:val="left"/>
      <w:pPr>
        <w:tabs>
          <w:tab w:val="num" w:pos="624"/>
        </w:tabs>
        <w:ind w:left="624" w:hanging="624"/>
      </w:pPr>
      <w:rPr>
        <w:rFonts w:hint="default"/>
        <w:b/>
        <w:i w:val="0"/>
        <w:sz w:val="20"/>
      </w:rPr>
    </w:lvl>
    <w:lvl w:ilvl="1">
      <w:start w:val="1"/>
      <w:numFmt w:val="decimal"/>
      <w:pStyle w:val="Nadpis2"/>
      <w:lvlText w:val="%1.%2"/>
      <w:lvlJc w:val="left"/>
      <w:pPr>
        <w:tabs>
          <w:tab w:val="num" w:pos="908"/>
        </w:tabs>
        <w:ind w:left="908" w:hanging="624"/>
      </w:pPr>
      <w:rPr>
        <w:rFonts w:hint="default"/>
        <w:b/>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pStyle w:val="Nadpis4"/>
      <w:lvlText w:val="%4)"/>
      <w:lvlJc w:val="left"/>
      <w:pPr>
        <w:tabs>
          <w:tab w:val="num" w:pos="1928"/>
        </w:tabs>
        <w:ind w:left="1928" w:hanging="511"/>
      </w:pPr>
      <w:rPr>
        <w:rFonts w:ascii="Times New Roman" w:eastAsia="Batang" w:hAnsi="Times New Roman" w:cs="Times New Roman"/>
        <w:b w:val="0"/>
        <w:i w:val="0"/>
        <w:sz w:val="20"/>
      </w:rPr>
    </w:lvl>
    <w:lvl w:ilvl="4">
      <w:start w:val="1"/>
      <w:numFmt w:val="lowerLetter"/>
      <w:pStyle w:val="Nadpis5"/>
      <w:lvlText w:val="(%5)"/>
      <w:lvlJc w:val="left"/>
      <w:pPr>
        <w:tabs>
          <w:tab w:val="num" w:pos="2438"/>
        </w:tabs>
        <w:ind w:left="2438" w:hanging="510"/>
      </w:pPr>
      <w:rPr>
        <w:rFonts w:ascii="Times New Roman" w:eastAsia="Batang" w:hAnsi="Times New Roman" w:cs="Times New Roman"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6" w15:restartNumberingAfterBreak="0">
    <w:nsid w:val="32534BDB"/>
    <w:multiLevelType w:val="hybridMultilevel"/>
    <w:tmpl w:val="CEE6D45C"/>
    <w:lvl w:ilvl="0" w:tplc="86CCE984">
      <w:start w:val="1"/>
      <w:numFmt w:val="lowerLetter"/>
      <w:lvlText w:val="(%1)"/>
      <w:lvlJc w:val="left"/>
      <w:pPr>
        <w:ind w:left="720" w:hanging="360"/>
      </w:pPr>
      <w:rPr>
        <w:rFonts w:ascii="Times New Roman" w:hAnsi="Times New Roman" w:cs="Times New Roman"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2C7CF8"/>
    <w:multiLevelType w:val="hybridMultilevel"/>
    <w:tmpl w:val="71D8E576"/>
    <w:lvl w:ilvl="0" w:tplc="7452CCEE">
      <w:start w:val="1"/>
      <w:numFmt w:val="lowerLetter"/>
      <w:lvlText w:val="%1)"/>
      <w:lvlJc w:val="left"/>
      <w:pPr>
        <w:ind w:left="1344" w:hanging="360"/>
      </w:pPr>
      <w:rPr>
        <w:rFonts w:hint="default"/>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8" w15:restartNumberingAfterBreak="0">
    <w:nsid w:val="3E800504"/>
    <w:multiLevelType w:val="hybridMultilevel"/>
    <w:tmpl w:val="3EC45AE2"/>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9" w15:restartNumberingAfterBreak="0">
    <w:nsid w:val="43A31656"/>
    <w:multiLevelType w:val="hybridMultilevel"/>
    <w:tmpl w:val="CEE6D45C"/>
    <w:lvl w:ilvl="0" w:tplc="86CCE984">
      <w:start w:val="1"/>
      <w:numFmt w:val="lowerLetter"/>
      <w:lvlText w:val="(%1)"/>
      <w:lvlJc w:val="left"/>
      <w:pPr>
        <w:ind w:left="720" w:hanging="360"/>
      </w:pPr>
      <w:rPr>
        <w:rFonts w:ascii="Times New Roman" w:hAnsi="Times New Roman" w:cs="Times New Roman"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53176D"/>
    <w:multiLevelType w:val="hybridMultilevel"/>
    <w:tmpl w:val="E294F25C"/>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1" w15:restartNumberingAfterBreak="0">
    <w:nsid w:val="522E6520"/>
    <w:multiLevelType w:val="hybridMultilevel"/>
    <w:tmpl w:val="6D143360"/>
    <w:lvl w:ilvl="0" w:tplc="04050017">
      <w:start w:val="1"/>
      <w:numFmt w:val="lowerLetter"/>
      <w:lvlText w:val="%1)"/>
      <w:lvlJc w:val="left"/>
      <w:pPr>
        <w:ind w:left="1344" w:hanging="360"/>
      </w:pPr>
      <w:rPr>
        <w:rFonts w:hint="default"/>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2" w15:restartNumberingAfterBreak="0">
    <w:nsid w:val="67532AE5"/>
    <w:multiLevelType w:val="hybridMultilevel"/>
    <w:tmpl w:val="7A06C9D8"/>
    <w:lvl w:ilvl="0" w:tplc="B560AB64">
      <w:numFmt w:val="bullet"/>
      <w:lvlText w:val="-"/>
      <w:lvlJc w:val="left"/>
      <w:pPr>
        <w:ind w:left="720" w:hanging="360"/>
      </w:pPr>
      <w:rPr>
        <w:rFonts w:ascii="Arial" w:eastAsiaTheme="minorHAnsi" w:hAnsi="Arial" w:cs="Arial" w:hint="default"/>
      </w:rPr>
    </w:lvl>
    <w:lvl w:ilvl="1" w:tplc="F25EA57E">
      <w:start w:val="1"/>
      <w:numFmt w:val="lowerLetter"/>
      <w:lvlText w:val="%2)"/>
      <w:lvlJc w:val="left"/>
      <w:pPr>
        <w:ind w:left="1440" w:hanging="360"/>
      </w:pPr>
      <w:rPr>
        <w:rFonts w:ascii="Times New Roman" w:eastAsia="Arial Unicode MS" w:hAnsi="Times New Roman" w:cs="Times New Roman"/>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CC768FE"/>
    <w:multiLevelType w:val="hybridMultilevel"/>
    <w:tmpl w:val="BC6E5A76"/>
    <w:lvl w:ilvl="0" w:tplc="04050001">
      <w:start w:val="1"/>
      <w:numFmt w:val="bullet"/>
      <w:lvlText w:val=""/>
      <w:lvlJc w:val="left"/>
      <w:pPr>
        <w:ind w:left="928" w:hanging="360"/>
      </w:pPr>
      <w:rPr>
        <w:rFonts w:ascii="Symbol" w:hAnsi="Symbol"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4" w15:restartNumberingAfterBreak="0">
    <w:nsid w:val="745B0FA0"/>
    <w:multiLevelType w:val="hybridMultilevel"/>
    <w:tmpl w:val="F4E0BB0C"/>
    <w:lvl w:ilvl="0" w:tplc="A5369BAE">
      <w:start w:val="1"/>
      <w:numFmt w:val="lowerLetter"/>
      <w:lvlText w:val="%1)"/>
      <w:lvlJc w:val="left"/>
      <w:pPr>
        <w:ind w:left="984" w:hanging="360"/>
      </w:pPr>
      <w:rPr>
        <w:rFonts w:hint="default"/>
        <w:b/>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num w:numId="1">
    <w:abstractNumId w:val="5"/>
  </w:num>
  <w:num w:numId="2">
    <w:abstractNumId w:val="1"/>
  </w:num>
  <w:num w:numId="3">
    <w:abstractNumId w:val="4"/>
  </w:num>
  <w:num w:numId="4">
    <w:abstractNumId w:val="13"/>
  </w:num>
  <w:num w:numId="5">
    <w:abstractNumId w:val="2"/>
  </w:num>
  <w:num w:numId="6">
    <w:abstractNumId w:val="6"/>
  </w:num>
  <w:num w:numId="7">
    <w:abstractNumId w:val="9"/>
  </w:num>
  <w:num w:numId="8">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3"/>
  </w:num>
  <w:num w:numId="38">
    <w:abstractNumId w:val="14"/>
  </w:num>
  <w:num w:numId="39">
    <w:abstractNumId w:val="10"/>
  </w:num>
  <w:num w:numId="40">
    <w:abstractNumId w:val="8"/>
  </w:num>
  <w:num w:numId="41">
    <w:abstractNumId w:val="11"/>
  </w:num>
  <w:num w:numId="42">
    <w:abstractNumId w:val="7"/>
  </w:num>
  <w:num w:numId="43">
    <w:abstractNumId w:val="12"/>
  </w:num>
  <w:num w:numId="4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5446"/>
    <w:rsid w:val="0000040C"/>
    <w:rsid w:val="00001178"/>
    <w:rsid w:val="00001DAE"/>
    <w:rsid w:val="000022BD"/>
    <w:rsid w:val="000031DC"/>
    <w:rsid w:val="000044B3"/>
    <w:rsid w:val="00005446"/>
    <w:rsid w:val="00005AC7"/>
    <w:rsid w:val="0000601B"/>
    <w:rsid w:val="00007FC5"/>
    <w:rsid w:val="000109EE"/>
    <w:rsid w:val="0001485B"/>
    <w:rsid w:val="000152F3"/>
    <w:rsid w:val="000160A0"/>
    <w:rsid w:val="0002009E"/>
    <w:rsid w:val="00021C42"/>
    <w:rsid w:val="000221DB"/>
    <w:rsid w:val="00022604"/>
    <w:rsid w:val="000227C5"/>
    <w:rsid w:val="0002470F"/>
    <w:rsid w:val="000278A5"/>
    <w:rsid w:val="00030162"/>
    <w:rsid w:val="000337F2"/>
    <w:rsid w:val="00033C6D"/>
    <w:rsid w:val="00035385"/>
    <w:rsid w:val="00037868"/>
    <w:rsid w:val="00040AED"/>
    <w:rsid w:val="00050A41"/>
    <w:rsid w:val="00052588"/>
    <w:rsid w:val="00052F3D"/>
    <w:rsid w:val="0005339F"/>
    <w:rsid w:val="000533DE"/>
    <w:rsid w:val="00053585"/>
    <w:rsid w:val="00053A47"/>
    <w:rsid w:val="00053F42"/>
    <w:rsid w:val="00054371"/>
    <w:rsid w:val="00054863"/>
    <w:rsid w:val="00054E9B"/>
    <w:rsid w:val="000552DB"/>
    <w:rsid w:val="00056EE0"/>
    <w:rsid w:val="00057121"/>
    <w:rsid w:val="00062037"/>
    <w:rsid w:val="00065ACA"/>
    <w:rsid w:val="00071051"/>
    <w:rsid w:val="00075DDA"/>
    <w:rsid w:val="00077464"/>
    <w:rsid w:val="00082155"/>
    <w:rsid w:val="00087CDF"/>
    <w:rsid w:val="0009344D"/>
    <w:rsid w:val="000960EA"/>
    <w:rsid w:val="00097604"/>
    <w:rsid w:val="000A0DBE"/>
    <w:rsid w:val="000A1056"/>
    <w:rsid w:val="000A1DFE"/>
    <w:rsid w:val="000A34B6"/>
    <w:rsid w:val="000A40C7"/>
    <w:rsid w:val="000A4225"/>
    <w:rsid w:val="000A4A1E"/>
    <w:rsid w:val="000A649D"/>
    <w:rsid w:val="000A6B18"/>
    <w:rsid w:val="000B0B36"/>
    <w:rsid w:val="000B15BD"/>
    <w:rsid w:val="000B3055"/>
    <w:rsid w:val="000B79E3"/>
    <w:rsid w:val="000C0316"/>
    <w:rsid w:val="000C5373"/>
    <w:rsid w:val="000C5649"/>
    <w:rsid w:val="000D4C9B"/>
    <w:rsid w:val="000D5A29"/>
    <w:rsid w:val="000D718F"/>
    <w:rsid w:val="000E07D3"/>
    <w:rsid w:val="000E1942"/>
    <w:rsid w:val="000E1CDE"/>
    <w:rsid w:val="000E2866"/>
    <w:rsid w:val="000E696C"/>
    <w:rsid w:val="000F118F"/>
    <w:rsid w:val="000F3FE2"/>
    <w:rsid w:val="000F4801"/>
    <w:rsid w:val="00100407"/>
    <w:rsid w:val="001106FF"/>
    <w:rsid w:val="0011291B"/>
    <w:rsid w:val="0011311B"/>
    <w:rsid w:val="001135AE"/>
    <w:rsid w:val="0011514F"/>
    <w:rsid w:val="0011666D"/>
    <w:rsid w:val="001175EE"/>
    <w:rsid w:val="001207A3"/>
    <w:rsid w:val="00123636"/>
    <w:rsid w:val="00124411"/>
    <w:rsid w:val="00126DAF"/>
    <w:rsid w:val="00127951"/>
    <w:rsid w:val="00131FB4"/>
    <w:rsid w:val="00132D6A"/>
    <w:rsid w:val="00132DA3"/>
    <w:rsid w:val="0013501A"/>
    <w:rsid w:val="00136373"/>
    <w:rsid w:val="00141CCC"/>
    <w:rsid w:val="00142CA0"/>
    <w:rsid w:val="001436DB"/>
    <w:rsid w:val="00145E43"/>
    <w:rsid w:val="00146456"/>
    <w:rsid w:val="00147AE3"/>
    <w:rsid w:val="00153868"/>
    <w:rsid w:val="001542CC"/>
    <w:rsid w:val="00157F40"/>
    <w:rsid w:val="00163655"/>
    <w:rsid w:val="0016686E"/>
    <w:rsid w:val="00170594"/>
    <w:rsid w:val="00170717"/>
    <w:rsid w:val="001714C6"/>
    <w:rsid w:val="00171F90"/>
    <w:rsid w:val="00172FF4"/>
    <w:rsid w:val="001745A1"/>
    <w:rsid w:val="00175587"/>
    <w:rsid w:val="00175839"/>
    <w:rsid w:val="0017663F"/>
    <w:rsid w:val="001774F2"/>
    <w:rsid w:val="001807EF"/>
    <w:rsid w:val="0018562B"/>
    <w:rsid w:val="001867FE"/>
    <w:rsid w:val="001878AF"/>
    <w:rsid w:val="00187C3C"/>
    <w:rsid w:val="001911E8"/>
    <w:rsid w:val="00195A5D"/>
    <w:rsid w:val="00195B4E"/>
    <w:rsid w:val="0019767F"/>
    <w:rsid w:val="001A01C8"/>
    <w:rsid w:val="001A0C17"/>
    <w:rsid w:val="001A2FC4"/>
    <w:rsid w:val="001A3921"/>
    <w:rsid w:val="001A39A6"/>
    <w:rsid w:val="001A6456"/>
    <w:rsid w:val="001A76A7"/>
    <w:rsid w:val="001B17C2"/>
    <w:rsid w:val="001B53F5"/>
    <w:rsid w:val="001B5764"/>
    <w:rsid w:val="001B601F"/>
    <w:rsid w:val="001B61C9"/>
    <w:rsid w:val="001B67C8"/>
    <w:rsid w:val="001B7C5F"/>
    <w:rsid w:val="001C0D75"/>
    <w:rsid w:val="001C111F"/>
    <w:rsid w:val="001C271F"/>
    <w:rsid w:val="001C3638"/>
    <w:rsid w:val="001C4882"/>
    <w:rsid w:val="001C52C7"/>
    <w:rsid w:val="001D08F4"/>
    <w:rsid w:val="001D100A"/>
    <w:rsid w:val="001D333F"/>
    <w:rsid w:val="001D7246"/>
    <w:rsid w:val="001E137A"/>
    <w:rsid w:val="001E3199"/>
    <w:rsid w:val="001E3972"/>
    <w:rsid w:val="001E4AAD"/>
    <w:rsid w:val="001E58A3"/>
    <w:rsid w:val="001E5A13"/>
    <w:rsid w:val="001E60AE"/>
    <w:rsid w:val="001E7690"/>
    <w:rsid w:val="001F0C0A"/>
    <w:rsid w:val="001F220C"/>
    <w:rsid w:val="001F26CB"/>
    <w:rsid w:val="001F2FC5"/>
    <w:rsid w:val="001F4237"/>
    <w:rsid w:val="001F60D0"/>
    <w:rsid w:val="001F7CED"/>
    <w:rsid w:val="002024CE"/>
    <w:rsid w:val="00203014"/>
    <w:rsid w:val="00205590"/>
    <w:rsid w:val="00205E13"/>
    <w:rsid w:val="0020644A"/>
    <w:rsid w:val="002068C1"/>
    <w:rsid w:val="002070F1"/>
    <w:rsid w:val="002074DF"/>
    <w:rsid w:val="00207E92"/>
    <w:rsid w:val="00211F44"/>
    <w:rsid w:val="0021255C"/>
    <w:rsid w:val="00213F4A"/>
    <w:rsid w:val="00214CBF"/>
    <w:rsid w:val="00216A70"/>
    <w:rsid w:val="00223B4D"/>
    <w:rsid w:val="00226B32"/>
    <w:rsid w:val="00227769"/>
    <w:rsid w:val="002314AF"/>
    <w:rsid w:val="002335F8"/>
    <w:rsid w:val="00234444"/>
    <w:rsid w:val="00236677"/>
    <w:rsid w:val="00237117"/>
    <w:rsid w:val="002434B1"/>
    <w:rsid w:val="00244472"/>
    <w:rsid w:val="002445B3"/>
    <w:rsid w:val="002568FE"/>
    <w:rsid w:val="0026065B"/>
    <w:rsid w:val="00261414"/>
    <w:rsid w:val="0026646E"/>
    <w:rsid w:val="00266D90"/>
    <w:rsid w:val="0027459C"/>
    <w:rsid w:val="00275622"/>
    <w:rsid w:val="00275AB1"/>
    <w:rsid w:val="00276913"/>
    <w:rsid w:val="002772BA"/>
    <w:rsid w:val="00280B2F"/>
    <w:rsid w:val="002810DC"/>
    <w:rsid w:val="00281637"/>
    <w:rsid w:val="002817AD"/>
    <w:rsid w:val="00283A4B"/>
    <w:rsid w:val="0028429C"/>
    <w:rsid w:val="0028544A"/>
    <w:rsid w:val="00286733"/>
    <w:rsid w:val="0029041C"/>
    <w:rsid w:val="00291715"/>
    <w:rsid w:val="002929F2"/>
    <w:rsid w:val="00293D6C"/>
    <w:rsid w:val="00295DF8"/>
    <w:rsid w:val="0029633A"/>
    <w:rsid w:val="00297418"/>
    <w:rsid w:val="0029759E"/>
    <w:rsid w:val="002A14BA"/>
    <w:rsid w:val="002A2953"/>
    <w:rsid w:val="002A5BF2"/>
    <w:rsid w:val="002A61DF"/>
    <w:rsid w:val="002A6D5D"/>
    <w:rsid w:val="002A79CE"/>
    <w:rsid w:val="002B0A6B"/>
    <w:rsid w:val="002B1538"/>
    <w:rsid w:val="002B4122"/>
    <w:rsid w:val="002B6262"/>
    <w:rsid w:val="002B67AA"/>
    <w:rsid w:val="002C0E53"/>
    <w:rsid w:val="002C2C2B"/>
    <w:rsid w:val="002C2F27"/>
    <w:rsid w:val="002D0527"/>
    <w:rsid w:val="002D2347"/>
    <w:rsid w:val="002D28FF"/>
    <w:rsid w:val="002D314B"/>
    <w:rsid w:val="002D576E"/>
    <w:rsid w:val="002D7206"/>
    <w:rsid w:val="002D726B"/>
    <w:rsid w:val="002D7EFA"/>
    <w:rsid w:val="002E05A0"/>
    <w:rsid w:val="002E1D2E"/>
    <w:rsid w:val="002E2283"/>
    <w:rsid w:val="002E423F"/>
    <w:rsid w:val="002E59B5"/>
    <w:rsid w:val="002F388A"/>
    <w:rsid w:val="002F75D8"/>
    <w:rsid w:val="00300DBD"/>
    <w:rsid w:val="003023AE"/>
    <w:rsid w:val="00303C4E"/>
    <w:rsid w:val="00307F31"/>
    <w:rsid w:val="00312822"/>
    <w:rsid w:val="0031284C"/>
    <w:rsid w:val="003163E6"/>
    <w:rsid w:val="00320D1F"/>
    <w:rsid w:val="00326E2E"/>
    <w:rsid w:val="00332A07"/>
    <w:rsid w:val="00333ABA"/>
    <w:rsid w:val="00337D84"/>
    <w:rsid w:val="003406D0"/>
    <w:rsid w:val="00342BA8"/>
    <w:rsid w:val="00343818"/>
    <w:rsid w:val="00343DED"/>
    <w:rsid w:val="00343F80"/>
    <w:rsid w:val="003447C6"/>
    <w:rsid w:val="00344F60"/>
    <w:rsid w:val="00345D7A"/>
    <w:rsid w:val="0034612E"/>
    <w:rsid w:val="00346DC5"/>
    <w:rsid w:val="00352999"/>
    <w:rsid w:val="00353341"/>
    <w:rsid w:val="00353A6D"/>
    <w:rsid w:val="00353D85"/>
    <w:rsid w:val="00366DCD"/>
    <w:rsid w:val="00370299"/>
    <w:rsid w:val="00370AB1"/>
    <w:rsid w:val="00372ADF"/>
    <w:rsid w:val="00373560"/>
    <w:rsid w:val="0037581A"/>
    <w:rsid w:val="00376CE7"/>
    <w:rsid w:val="00380123"/>
    <w:rsid w:val="00381B50"/>
    <w:rsid w:val="0038365E"/>
    <w:rsid w:val="003836D5"/>
    <w:rsid w:val="003844BC"/>
    <w:rsid w:val="00384872"/>
    <w:rsid w:val="00386E45"/>
    <w:rsid w:val="003920D5"/>
    <w:rsid w:val="003920EC"/>
    <w:rsid w:val="00393EF2"/>
    <w:rsid w:val="00394CD4"/>
    <w:rsid w:val="003A28A1"/>
    <w:rsid w:val="003A4E1C"/>
    <w:rsid w:val="003A7D27"/>
    <w:rsid w:val="003B0E22"/>
    <w:rsid w:val="003B403A"/>
    <w:rsid w:val="003B46D6"/>
    <w:rsid w:val="003C0C6D"/>
    <w:rsid w:val="003C4CD1"/>
    <w:rsid w:val="003D0ADA"/>
    <w:rsid w:val="003D0DB0"/>
    <w:rsid w:val="003D0EEB"/>
    <w:rsid w:val="003D154D"/>
    <w:rsid w:val="003D3EB6"/>
    <w:rsid w:val="003D4179"/>
    <w:rsid w:val="003D5DE0"/>
    <w:rsid w:val="003E2418"/>
    <w:rsid w:val="003E2C49"/>
    <w:rsid w:val="003E4E0E"/>
    <w:rsid w:val="003F3F91"/>
    <w:rsid w:val="003F40F8"/>
    <w:rsid w:val="00400A80"/>
    <w:rsid w:val="004023D0"/>
    <w:rsid w:val="00402A9D"/>
    <w:rsid w:val="00402F83"/>
    <w:rsid w:val="00403CF0"/>
    <w:rsid w:val="00404E22"/>
    <w:rsid w:val="004058D9"/>
    <w:rsid w:val="00405974"/>
    <w:rsid w:val="004061E3"/>
    <w:rsid w:val="004067BF"/>
    <w:rsid w:val="004067C8"/>
    <w:rsid w:val="004073A2"/>
    <w:rsid w:val="00407C79"/>
    <w:rsid w:val="00407E40"/>
    <w:rsid w:val="00411F32"/>
    <w:rsid w:val="00415AD0"/>
    <w:rsid w:val="00415B9B"/>
    <w:rsid w:val="00416EF2"/>
    <w:rsid w:val="004207E8"/>
    <w:rsid w:val="00424F67"/>
    <w:rsid w:val="0042514C"/>
    <w:rsid w:val="00425653"/>
    <w:rsid w:val="004264A4"/>
    <w:rsid w:val="00430108"/>
    <w:rsid w:val="004306DF"/>
    <w:rsid w:val="00430CCC"/>
    <w:rsid w:val="004336C9"/>
    <w:rsid w:val="0043416D"/>
    <w:rsid w:val="004425F3"/>
    <w:rsid w:val="004501FC"/>
    <w:rsid w:val="004505F7"/>
    <w:rsid w:val="0045324A"/>
    <w:rsid w:val="00454323"/>
    <w:rsid w:val="004556FA"/>
    <w:rsid w:val="004557ED"/>
    <w:rsid w:val="00456AE4"/>
    <w:rsid w:val="00457648"/>
    <w:rsid w:val="004612F2"/>
    <w:rsid w:val="0046177C"/>
    <w:rsid w:val="00471927"/>
    <w:rsid w:val="00472378"/>
    <w:rsid w:val="004747CC"/>
    <w:rsid w:val="00475F3F"/>
    <w:rsid w:val="0048280F"/>
    <w:rsid w:val="00483BCF"/>
    <w:rsid w:val="00484281"/>
    <w:rsid w:val="004842B0"/>
    <w:rsid w:val="00486C7A"/>
    <w:rsid w:val="00490082"/>
    <w:rsid w:val="004901FE"/>
    <w:rsid w:val="004904A0"/>
    <w:rsid w:val="004A45C1"/>
    <w:rsid w:val="004A63E0"/>
    <w:rsid w:val="004A65B3"/>
    <w:rsid w:val="004A722A"/>
    <w:rsid w:val="004B15B9"/>
    <w:rsid w:val="004B2A05"/>
    <w:rsid w:val="004B5635"/>
    <w:rsid w:val="004B741C"/>
    <w:rsid w:val="004B7E7E"/>
    <w:rsid w:val="004C36C8"/>
    <w:rsid w:val="004C3D9E"/>
    <w:rsid w:val="004C3FF6"/>
    <w:rsid w:val="004C47E6"/>
    <w:rsid w:val="004C726F"/>
    <w:rsid w:val="004D16AC"/>
    <w:rsid w:val="004D33E1"/>
    <w:rsid w:val="004D59E8"/>
    <w:rsid w:val="004E0C4D"/>
    <w:rsid w:val="004E2DA5"/>
    <w:rsid w:val="004E5D21"/>
    <w:rsid w:val="004E6A4D"/>
    <w:rsid w:val="004E6E5B"/>
    <w:rsid w:val="004E7417"/>
    <w:rsid w:val="004F1AE4"/>
    <w:rsid w:val="004F448A"/>
    <w:rsid w:val="004F4FA2"/>
    <w:rsid w:val="004F5C44"/>
    <w:rsid w:val="004F620A"/>
    <w:rsid w:val="004F62C8"/>
    <w:rsid w:val="004F7C24"/>
    <w:rsid w:val="00500980"/>
    <w:rsid w:val="00500CB6"/>
    <w:rsid w:val="005026C3"/>
    <w:rsid w:val="00502C03"/>
    <w:rsid w:val="00502C9D"/>
    <w:rsid w:val="00504B70"/>
    <w:rsid w:val="0050594B"/>
    <w:rsid w:val="00506697"/>
    <w:rsid w:val="005071A4"/>
    <w:rsid w:val="00507ED1"/>
    <w:rsid w:val="005101A4"/>
    <w:rsid w:val="00511F97"/>
    <w:rsid w:val="0052005C"/>
    <w:rsid w:val="005227C9"/>
    <w:rsid w:val="005234C5"/>
    <w:rsid w:val="005235BE"/>
    <w:rsid w:val="00523746"/>
    <w:rsid w:val="005245EE"/>
    <w:rsid w:val="0052501A"/>
    <w:rsid w:val="005254EA"/>
    <w:rsid w:val="00530B78"/>
    <w:rsid w:val="00530BA7"/>
    <w:rsid w:val="00531570"/>
    <w:rsid w:val="00532D79"/>
    <w:rsid w:val="00533DDB"/>
    <w:rsid w:val="00535AE8"/>
    <w:rsid w:val="00536B59"/>
    <w:rsid w:val="00536C1E"/>
    <w:rsid w:val="00537A46"/>
    <w:rsid w:val="00537C53"/>
    <w:rsid w:val="00540FA2"/>
    <w:rsid w:val="005425A5"/>
    <w:rsid w:val="00542609"/>
    <w:rsid w:val="00545E0A"/>
    <w:rsid w:val="005464A7"/>
    <w:rsid w:val="00546D2C"/>
    <w:rsid w:val="0054758F"/>
    <w:rsid w:val="00553294"/>
    <w:rsid w:val="00553EF7"/>
    <w:rsid w:val="005540CD"/>
    <w:rsid w:val="00555C88"/>
    <w:rsid w:val="00563DA2"/>
    <w:rsid w:val="00565757"/>
    <w:rsid w:val="005666DC"/>
    <w:rsid w:val="00566F7F"/>
    <w:rsid w:val="00567BF1"/>
    <w:rsid w:val="00572078"/>
    <w:rsid w:val="005779DA"/>
    <w:rsid w:val="00581B71"/>
    <w:rsid w:val="00587155"/>
    <w:rsid w:val="00587262"/>
    <w:rsid w:val="005906C6"/>
    <w:rsid w:val="00591630"/>
    <w:rsid w:val="00592E69"/>
    <w:rsid w:val="0059501D"/>
    <w:rsid w:val="005965EB"/>
    <w:rsid w:val="0059669D"/>
    <w:rsid w:val="005A106F"/>
    <w:rsid w:val="005A2599"/>
    <w:rsid w:val="005A2CDC"/>
    <w:rsid w:val="005A2E2C"/>
    <w:rsid w:val="005A41D9"/>
    <w:rsid w:val="005A5248"/>
    <w:rsid w:val="005A70BD"/>
    <w:rsid w:val="005A735D"/>
    <w:rsid w:val="005B2F0F"/>
    <w:rsid w:val="005B37EB"/>
    <w:rsid w:val="005B6BAE"/>
    <w:rsid w:val="005B713E"/>
    <w:rsid w:val="005C25FD"/>
    <w:rsid w:val="005C37AD"/>
    <w:rsid w:val="005C3983"/>
    <w:rsid w:val="005C3BE1"/>
    <w:rsid w:val="005C3E6D"/>
    <w:rsid w:val="005C452D"/>
    <w:rsid w:val="005C4C88"/>
    <w:rsid w:val="005C4F4C"/>
    <w:rsid w:val="005C7419"/>
    <w:rsid w:val="005D0F17"/>
    <w:rsid w:val="005D2EE9"/>
    <w:rsid w:val="005D4571"/>
    <w:rsid w:val="005D6134"/>
    <w:rsid w:val="005E0650"/>
    <w:rsid w:val="005E2355"/>
    <w:rsid w:val="005E4959"/>
    <w:rsid w:val="005E4E25"/>
    <w:rsid w:val="005E4E2A"/>
    <w:rsid w:val="005E77DE"/>
    <w:rsid w:val="005F06B6"/>
    <w:rsid w:val="005F07DA"/>
    <w:rsid w:val="005F1BF3"/>
    <w:rsid w:val="005F4033"/>
    <w:rsid w:val="00600C22"/>
    <w:rsid w:val="00600C43"/>
    <w:rsid w:val="00603B16"/>
    <w:rsid w:val="00603DED"/>
    <w:rsid w:val="00604D5D"/>
    <w:rsid w:val="00606341"/>
    <w:rsid w:val="0060647D"/>
    <w:rsid w:val="00610D0D"/>
    <w:rsid w:val="00612BEF"/>
    <w:rsid w:val="00612D1A"/>
    <w:rsid w:val="00615736"/>
    <w:rsid w:val="0062328F"/>
    <w:rsid w:val="006240C5"/>
    <w:rsid w:val="00624146"/>
    <w:rsid w:val="0062431E"/>
    <w:rsid w:val="0063034E"/>
    <w:rsid w:val="0063075D"/>
    <w:rsid w:val="0063224F"/>
    <w:rsid w:val="00632BDB"/>
    <w:rsid w:val="006346F5"/>
    <w:rsid w:val="0063524B"/>
    <w:rsid w:val="006353F1"/>
    <w:rsid w:val="006404DE"/>
    <w:rsid w:val="00641B9B"/>
    <w:rsid w:val="006420FB"/>
    <w:rsid w:val="006446A2"/>
    <w:rsid w:val="00646538"/>
    <w:rsid w:val="006476AA"/>
    <w:rsid w:val="006507E6"/>
    <w:rsid w:val="00650A19"/>
    <w:rsid w:val="006610E4"/>
    <w:rsid w:val="006614B2"/>
    <w:rsid w:val="006666FF"/>
    <w:rsid w:val="00666AF1"/>
    <w:rsid w:val="00666D63"/>
    <w:rsid w:val="006725A8"/>
    <w:rsid w:val="00673DBB"/>
    <w:rsid w:val="00673ED3"/>
    <w:rsid w:val="0067744B"/>
    <w:rsid w:val="00681CDA"/>
    <w:rsid w:val="00682D2D"/>
    <w:rsid w:val="00683D31"/>
    <w:rsid w:val="00691EAA"/>
    <w:rsid w:val="0069379D"/>
    <w:rsid w:val="0069729F"/>
    <w:rsid w:val="006A1F49"/>
    <w:rsid w:val="006A295B"/>
    <w:rsid w:val="006A328A"/>
    <w:rsid w:val="006A369A"/>
    <w:rsid w:val="006A75D8"/>
    <w:rsid w:val="006B3C6B"/>
    <w:rsid w:val="006B4D75"/>
    <w:rsid w:val="006B658E"/>
    <w:rsid w:val="006C4F9A"/>
    <w:rsid w:val="006C5060"/>
    <w:rsid w:val="006C546E"/>
    <w:rsid w:val="006C5F74"/>
    <w:rsid w:val="006D0920"/>
    <w:rsid w:val="006D0CD2"/>
    <w:rsid w:val="006D1B0D"/>
    <w:rsid w:val="006D2641"/>
    <w:rsid w:val="006D3A12"/>
    <w:rsid w:val="006D51B3"/>
    <w:rsid w:val="006D68FF"/>
    <w:rsid w:val="006E0C51"/>
    <w:rsid w:val="006E0DB1"/>
    <w:rsid w:val="006E4BE0"/>
    <w:rsid w:val="006E64CC"/>
    <w:rsid w:val="006E69F6"/>
    <w:rsid w:val="006F2633"/>
    <w:rsid w:val="006F31BB"/>
    <w:rsid w:val="006F3B93"/>
    <w:rsid w:val="006F5518"/>
    <w:rsid w:val="006F67C3"/>
    <w:rsid w:val="0070069D"/>
    <w:rsid w:val="00704EAD"/>
    <w:rsid w:val="00706A14"/>
    <w:rsid w:val="0070765F"/>
    <w:rsid w:val="00710EAD"/>
    <w:rsid w:val="007123F0"/>
    <w:rsid w:val="007179B0"/>
    <w:rsid w:val="00717EFF"/>
    <w:rsid w:val="00723CF7"/>
    <w:rsid w:val="007243D2"/>
    <w:rsid w:val="007265C4"/>
    <w:rsid w:val="00726BEF"/>
    <w:rsid w:val="0072761D"/>
    <w:rsid w:val="00732714"/>
    <w:rsid w:val="00734B9C"/>
    <w:rsid w:val="00743382"/>
    <w:rsid w:val="0074394A"/>
    <w:rsid w:val="007453DD"/>
    <w:rsid w:val="00747449"/>
    <w:rsid w:val="00750359"/>
    <w:rsid w:val="007525F2"/>
    <w:rsid w:val="0075272E"/>
    <w:rsid w:val="00752EC1"/>
    <w:rsid w:val="00753B2C"/>
    <w:rsid w:val="00754D4F"/>
    <w:rsid w:val="00756840"/>
    <w:rsid w:val="0075730A"/>
    <w:rsid w:val="007608FD"/>
    <w:rsid w:val="00763C58"/>
    <w:rsid w:val="00764344"/>
    <w:rsid w:val="0076596B"/>
    <w:rsid w:val="00765B88"/>
    <w:rsid w:val="00766D58"/>
    <w:rsid w:val="00770DB4"/>
    <w:rsid w:val="00773AB7"/>
    <w:rsid w:val="00775755"/>
    <w:rsid w:val="00776BC8"/>
    <w:rsid w:val="00777211"/>
    <w:rsid w:val="00781DE6"/>
    <w:rsid w:val="00782074"/>
    <w:rsid w:val="007833E5"/>
    <w:rsid w:val="00784FE5"/>
    <w:rsid w:val="00785A83"/>
    <w:rsid w:val="007904C4"/>
    <w:rsid w:val="00791063"/>
    <w:rsid w:val="007917FB"/>
    <w:rsid w:val="0079181B"/>
    <w:rsid w:val="00796AEE"/>
    <w:rsid w:val="007A094B"/>
    <w:rsid w:val="007A11A5"/>
    <w:rsid w:val="007A3BF5"/>
    <w:rsid w:val="007A76FA"/>
    <w:rsid w:val="007B007D"/>
    <w:rsid w:val="007B1164"/>
    <w:rsid w:val="007B2A01"/>
    <w:rsid w:val="007B3E9B"/>
    <w:rsid w:val="007C55A5"/>
    <w:rsid w:val="007D0760"/>
    <w:rsid w:val="007D33C1"/>
    <w:rsid w:val="007D40E7"/>
    <w:rsid w:val="007E1B76"/>
    <w:rsid w:val="007E20C6"/>
    <w:rsid w:val="007E3919"/>
    <w:rsid w:val="007E4030"/>
    <w:rsid w:val="007E6E65"/>
    <w:rsid w:val="007F110C"/>
    <w:rsid w:val="007F1A68"/>
    <w:rsid w:val="007F1CB1"/>
    <w:rsid w:val="007F248A"/>
    <w:rsid w:val="007F3DE6"/>
    <w:rsid w:val="007F4884"/>
    <w:rsid w:val="007F59A3"/>
    <w:rsid w:val="007F6F86"/>
    <w:rsid w:val="007F78AF"/>
    <w:rsid w:val="007F7EE1"/>
    <w:rsid w:val="00800A53"/>
    <w:rsid w:val="00802B79"/>
    <w:rsid w:val="00802E42"/>
    <w:rsid w:val="0080409C"/>
    <w:rsid w:val="00806727"/>
    <w:rsid w:val="008109AA"/>
    <w:rsid w:val="008157F7"/>
    <w:rsid w:val="00816B66"/>
    <w:rsid w:val="008201DC"/>
    <w:rsid w:val="00823127"/>
    <w:rsid w:val="00823F41"/>
    <w:rsid w:val="008259AD"/>
    <w:rsid w:val="008271B0"/>
    <w:rsid w:val="00830262"/>
    <w:rsid w:val="008311DC"/>
    <w:rsid w:val="00832DC6"/>
    <w:rsid w:val="008339F0"/>
    <w:rsid w:val="00840054"/>
    <w:rsid w:val="00842650"/>
    <w:rsid w:val="00845327"/>
    <w:rsid w:val="00847F6D"/>
    <w:rsid w:val="0085158D"/>
    <w:rsid w:val="00852CF1"/>
    <w:rsid w:val="00854723"/>
    <w:rsid w:val="00856A9C"/>
    <w:rsid w:val="00856E4E"/>
    <w:rsid w:val="00863FC6"/>
    <w:rsid w:val="00867894"/>
    <w:rsid w:val="0087088F"/>
    <w:rsid w:val="00872B1F"/>
    <w:rsid w:val="0088194C"/>
    <w:rsid w:val="00881ABF"/>
    <w:rsid w:val="008902A5"/>
    <w:rsid w:val="00891490"/>
    <w:rsid w:val="008978C6"/>
    <w:rsid w:val="008A0582"/>
    <w:rsid w:val="008A0BDC"/>
    <w:rsid w:val="008A2A5F"/>
    <w:rsid w:val="008A3085"/>
    <w:rsid w:val="008A56A8"/>
    <w:rsid w:val="008A5997"/>
    <w:rsid w:val="008B33F8"/>
    <w:rsid w:val="008B3E2D"/>
    <w:rsid w:val="008B400E"/>
    <w:rsid w:val="008B42EB"/>
    <w:rsid w:val="008B4787"/>
    <w:rsid w:val="008B48D1"/>
    <w:rsid w:val="008B5267"/>
    <w:rsid w:val="008B5952"/>
    <w:rsid w:val="008B5F3E"/>
    <w:rsid w:val="008C2664"/>
    <w:rsid w:val="008C5E39"/>
    <w:rsid w:val="008C5F4C"/>
    <w:rsid w:val="008C70CD"/>
    <w:rsid w:val="008D1644"/>
    <w:rsid w:val="008E0ABA"/>
    <w:rsid w:val="008E44EC"/>
    <w:rsid w:val="008E7B15"/>
    <w:rsid w:val="008F0B26"/>
    <w:rsid w:val="008F31D2"/>
    <w:rsid w:val="008F3E70"/>
    <w:rsid w:val="008F48BF"/>
    <w:rsid w:val="008F5237"/>
    <w:rsid w:val="009005D5"/>
    <w:rsid w:val="0090111B"/>
    <w:rsid w:val="00904391"/>
    <w:rsid w:val="00904957"/>
    <w:rsid w:val="00904CF3"/>
    <w:rsid w:val="00905054"/>
    <w:rsid w:val="0090713B"/>
    <w:rsid w:val="00913E9A"/>
    <w:rsid w:val="009159CF"/>
    <w:rsid w:val="00917B18"/>
    <w:rsid w:val="0092044A"/>
    <w:rsid w:val="00922561"/>
    <w:rsid w:val="0092586D"/>
    <w:rsid w:val="00925D59"/>
    <w:rsid w:val="00925D9B"/>
    <w:rsid w:val="009273FB"/>
    <w:rsid w:val="00927B9D"/>
    <w:rsid w:val="00931B79"/>
    <w:rsid w:val="009333E8"/>
    <w:rsid w:val="00933F90"/>
    <w:rsid w:val="00934920"/>
    <w:rsid w:val="009403C7"/>
    <w:rsid w:val="00940FFB"/>
    <w:rsid w:val="00941875"/>
    <w:rsid w:val="00945697"/>
    <w:rsid w:val="00945B5C"/>
    <w:rsid w:val="00953845"/>
    <w:rsid w:val="009559C7"/>
    <w:rsid w:val="00955AF4"/>
    <w:rsid w:val="00955ED7"/>
    <w:rsid w:val="00956931"/>
    <w:rsid w:val="00960349"/>
    <w:rsid w:val="00960C0B"/>
    <w:rsid w:val="009646EB"/>
    <w:rsid w:val="009649EF"/>
    <w:rsid w:val="00964E9B"/>
    <w:rsid w:val="0096527C"/>
    <w:rsid w:val="00967CD1"/>
    <w:rsid w:val="009709C9"/>
    <w:rsid w:val="00970D78"/>
    <w:rsid w:val="00971D7A"/>
    <w:rsid w:val="00976A69"/>
    <w:rsid w:val="00976F5A"/>
    <w:rsid w:val="00980554"/>
    <w:rsid w:val="00980726"/>
    <w:rsid w:val="00992E4A"/>
    <w:rsid w:val="009942E6"/>
    <w:rsid w:val="009958A9"/>
    <w:rsid w:val="0099603C"/>
    <w:rsid w:val="00997174"/>
    <w:rsid w:val="009A1936"/>
    <w:rsid w:val="009A1FC0"/>
    <w:rsid w:val="009A4A27"/>
    <w:rsid w:val="009A5339"/>
    <w:rsid w:val="009A7001"/>
    <w:rsid w:val="009B0B68"/>
    <w:rsid w:val="009B652A"/>
    <w:rsid w:val="009C1382"/>
    <w:rsid w:val="009C4556"/>
    <w:rsid w:val="009C47E0"/>
    <w:rsid w:val="009C59C4"/>
    <w:rsid w:val="009C7D53"/>
    <w:rsid w:val="009D1684"/>
    <w:rsid w:val="009D258B"/>
    <w:rsid w:val="009D4544"/>
    <w:rsid w:val="009D63F1"/>
    <w:rsid w:val="009E32C6"/>
    <w:rsid w:val="009E4D9B"/>
    <w:rsid w:val="009F1A25"/>
    <w:rsid w:val="009F1C6E"/>
    <w:rsid w:val="009F4706"/>
    <w:rsid w:val="009F50F4"/>
    <w:rsid w:val="009F59E8"/>
    <w:rsid w:val="009F6A92"/>
    <w:rsid w:val="00A01384"/>
    <w:rsid w:val="00A03617"/>
    <w:rsid w:val="00A05AF4"/>
    <w:rsid w:val="00A05E03"/>
    <w:rsid w:val="00A136C3"/>
    <w:rsid w:val="00A13EDA"/>
    <w:rsid w:val="00A17FC8"/>
    <w:rsid w:val="00A20592"/>
    <w:rsid w:val="00A20D6F"/>
    <w:rsid w:val="00A21080"/>
    <w:rsid w:val="00A23506"/>
    <w:rsid w:val="00A31DC7"/>
    <w:rsid w:val="00A34FEF"/>
    <w:rsid w:val="00A41D87"/>
    <w:rsid w:val="00A44AE2"/>
    <w:rsid w:val="00A46E48"/>
    <w:rsid w:val="00A5269F"/>
    <w:rsid w:val="00A53073"/>
    <w:rsid w:val="00A54FB7"/>
    <w:rsid w:val="00A612BC"/>
    <w:rsid w:val="00A61F66"/>
    <w:rsid w:val="00A626C7"/>
    <w:rsid w:val="00A64C1E"/>
    <w:rsid w:val="00A65F4D"/>
    <w:rsid w:val="00A70FD6"/>
    <w:rsid w:val="00A71055"/>
    <w:rsid w:val="00A723AC"/>
    <w:rsid w:val="00A7571F"/>
    <w:rsid w:val="00A80C97"/>
    <w:rsid w:val="00A80D13"/>
    <w:rsid w:val="00A81B33"/>
    <w:rsid w:val="00A85863"/>
    <w:rsid w:val="00A86B47"/>
    <w:rsid w:val="00A93CF0"/>
    <w:rsid w:val="00AA032F"/>
    <w:rsid w:val="00AA3017"/>
    <w:rsid w:val="00AA4C2C"/>
    <w:rsid w:val="00AA56B3"/>
    <w:rsid w:val="00AB048B"/>
    <w:rsid w:val="00AB0DE1"/>
    <w:rsid w:val="00AB5611"/>
    <w:rsid w:val="00AB5BC3"/>
    <w:rsid w:val="00AB61DC"/>
    <w:rsid w:val="00AB61F8"/>
    <w:rsid w:val="00AC050E"/>
    <w:rsid w:val="00AC1BA9"/>
    <w:rsid w:val="00AC69D0"/>
    <w:rsid w:val="00AD04A2"/>
    <w:rsid w:val="00AD25C8"/>
    <w:rsid w:val="00AD30ED"/>
    <w:rsid w:val="00AD350A"/>
    <w:rsid w:val="00AD584F"/>
    <w:rsid w:val="00AD6FB8"/>
    <w:rsid w:val="00AE058D"/>
    <w:rsid w:val="00AE088F"/>
    <w:rsid w:val="00AE0A0E"/>
    <w:rsid w:val="00AE1759"/>
    <w:rsid w:val="00AE4748"/>
    <w:rsid w:val="00AE50FC"/>
    <w:rsid w:val="00AE52CD"/>
    <w:rsid w:val="00AF2B12"/>
    <w:rsid w:val="00AF2B16"/>
    <w:rsid w:val="00AF2D74"/>
    <w:rsid w:val="00AF47C6"/>
    <w:rsid w:val="00B02586"/>
    <w:rsid w:val="00B03E2A"/>
    <w:rsid w:val="00B04B3B"/>
    <w:rsid w:val="00B052C3"/>
    <w:rsid w:val="00B053BE"/>
    <w:rsid w:val="00B05EC0"/>
    <w:rsid w:val="00B069E0"/>
    <w:rsid w:val="00B06B20"/>
    <w:rsid w:val="00B1103E"/>
    <w:rsid w:val="00B16122"/>
    <w:rsid w:val="00B1633B"/>
    <w:rsid w:val="00B1731B"/>
    <w:rsid w:val="00B21252"/>
    <w:rsid w:val="00B214EF"/>
    <w:rsid w:val="00B2358F"/>
    <w:rsid w:val="00B24728"/>
    <w:rsid w:val="00B250A3"/>
    <w:rsid w:val="00B25640"/>
    <w:rsid w:val="00B270F6"/>
    <w:rsid w:val="00B31A39"/>
    <w:rsid w:val="00B41EAA"/>
    <w:rsid w:val="00B44A29"/>
    <w:rsid w:val="00B5201F"/>
    <w:rsid w:val="00B53033"/>
    <w:rsid w:val="00B5351D"/>
    <w:rsid w:val="00B54114"/>
    <w:rsid w:val="00B55CED"/>
    <w:rsid w:val="00B611DD"/>
    <w:rsid w:val="00B65B74"/>
    <w:rsid w:val="00B665F3"/>
    <w:rsid w:val="00B6736A"/>
    <w:rsid w:val="00B675D1"/>
    <w:rsid w:val="00B67E11"/>
    <w:rsid w:val="00B70F59"/>
    <w:rsid w:val="00B736A9"/>
    <w:rsid w:val="00B74122"/>
    <w:rsid w:val="00B818B6"/>
    <w:rsid w:val="00B86614"/>
    <w:rsid w:val="00B91A45"/>
    <w:rsid w:val="00B92F44"/>
    <w:rsid w:val="00B93FE6"/>
    <w:rsid w:val="00B94989"/>
    <w:rsid w:val="00B951F1"/>
    <w:rsid w:val="00B9644D"/>
    <w:rsid w:val="00B9761E"/>
    <w:rsid w:val="00BA06AF"/>
    <w:rsid w:val="00BA2047"/>
    <w:rsid w:val="00BA2DB9"/>
    <w:rsid w:val="00BA2E97"/>
    <w:rsid w:val="00BA468D"/>
    <w:rsid w:val="00BA4E24"/>
    <w:rsid w:val="00BB1430"/>
    <w:rsid w:val="00BB6C76"/>
    <w:rsid w:val="00BC00AB"/>
    <w:rsid w:val="00BD16D7"/>
    <w:rsid w:val="00BD4092"/>
    <w:rsid w:val="00BD7AE1"/>
    <w:rsid w:val="00BD7DDB"/>
    <w:rsid w:val="00BE37BE"/>
    <w:rsid w:val="00BE3AF9"/>
    <w:rsid w:val="00BE4616"/>
    <w:rsid w:val="00BE4745"/>
    <w:rsid w:val="00BE7F3A"/>
    <w:rsid w:val="00BF0651"/>
    <w:rsid w:val="00BF222C"/>
    <w:rsid w:val="00BF559E"/>
    <w:rsid w:val="00C00477"/>
    <w:rsid w:val="00C0106C"/>
    <w:rsid w:val="00C0114D"/>
    <w:rsid w:val="00C046A4"/>
    <w:rsid w:val="00C1006E"/>
    <w:rsid w:val="00C108B1"/>
    <w:rsid w:val="00C116AA"/>
    <w:rsid w:val="00C15C48"/>
    <w:rsid w:val="00C21493"/>
    <w:rsid w:val="00C215BD"/>
    <w:rsid w:val="00C22110"/>
    <w:rsid w:val="00C228EA"/>
    <w:rsid w:val="00C2518D"/>
    <w:rsid w:val="00C25905"/>
    <w:rsid w:val="00C25FC5"/>
    <w:rsid w:val="00C30D27"/>
    <w:rsid w:val="00C31B57"/>
    <w:rsid w:val="00C33BB9"/>
    <w:rsid w:val="00C3416C"/>
    <w:rsid w:val="00C346DB"/>
    <w:rsid w:val="00C366FF"/>
    <w:rsid w:val="00C37836"/>
    <w:rsid w:val="00C408C5"/>
    <w:rsid w:val="00C40E39"/>
    <w:rsid w:val="00C43228"/>
    <w:rsid w:val="00C4448E"/>
    <w:rsid w:val="00C459B4"/>
    <w:rsid w:val="00C51BDD"/>
    <w:rsid w:val="00C53033"/>
    <w:rsid w:val="00C6080D"/>
    <w:rsid w:val="00C612C1"/>
    <w:rsid w:val="00C61961"/>
    <w:rsid w:val="00C63D81"/>
    <w:rsid w:val="00C676A5"/>
    <w:rsid w:val="00C70FA4"/>
    <w:rsid w:val="00C75945"/>
    <w:rsid w:val="00C769A4"/>
    <w:rsid w:val="00C76CFB"/>
    <w:rsid w:val="00C80B79"/>
    <w:rsid w:val="00C82DCF"/>
    <w:rsid w:val="00C83883"/>
    <w:rsid w:val="00C8551E"/>
    <w:rsid w:val="00C85767"/>
    <w:rsid w:val="00C859EA"/>
    <w:rsid w:val="00C905EA"/>
    <w:rsid w:val="00C93AD6"/>
    <w:rsid w:val="00C93FE6"/>
    <w:rsid w:val="00C949DC"/>
    <w:rsid w:val="00C962DC"/>
    <w:rsid w:val="00C96867"/>
    <w:rsid w:val="00CA1D2B"/>
    <w:rsid w:val="00CA24A1"/>
    <w:rsid w:val="00CA5314"/>
    <w:rsid w:val="00CA53C7"/>
    <w:rsid w:val="00CA5A10"/>
    <w:rsid w:val="00CA7A6A"/>
    <w:rsid w:val="00CB1094"/>
    <w:rsid w:val="00CB1304"/>
    <w:rsid w:val="00CB3591"/>
    <w:rsid w:val="00CC426C"/>
    <w:rsid w:val="00CC4FE8"/>
    <w:rsid w:val="00CC5C6E"/>
    <w:rsid w:val="00CC720A"/>
    <w:rsid w:val="00CD2183"/>
    <w:rsid w:val="00CD3E1F"/>
    <w:rsid w:val="00CD6B93"/>
    <w:rsid w:val="00CE0078"/>
    <w:rsid w:val="00CE099B"/>
    <w:rsid w:val="00CE0C47"/>
    <w:rsid w:val="00CE11B2"/>
    <w:rsid w:val="00CE219C"/>
    <w:rsid w:val="00CE5D05"/>
    <w:rsid w:val="00CE72D3"/>
    <w:rsid w:val="00CF631C"/>
    <w:rsid w:val="00CF7207"/>
    <w:rsid w:val="00D00159"/>
    <w:rsid w:val="00D00569"/>
    <w:rsid w:val="00D01797"/>
    <w:rsid w:val="00D0208B"/>
    <w:rsid w:val="00D02648"/>
    <w:rsid w:val="00D033ED"/>
    <w:rsid w:val="00D04E71"/>
    <w:rsid w:val="00D05520"/>
    <w:rsid w:val="00D10326"/>
    <w:rsid w:val="00D118C1"/>
    <w:rsid w:val="00D13EA2"/>
    <w:rsid w:val="00D14B12"/>
    <w:rsid w:val="00D151E3"/>
    <w:rsid w:val="00D15706"/>
    <w:rsid w:val="00D21D45"/>
    <w:rsid w:val="00D223CD"/>
    <w:rsid w:val="00D26990"/>
    <w:rsid w:val="00D30FB9"/>
    <w:rsid w:val="00D33009"/>
    <w:rsid w:val="00D34EA8"/>
    <w:rsid w:val="00D4101C"/>
    <w:rsid w:val="00D411C7"/>
    <w:rsid w:val="00D43D2E"/>
    <w:rsid w:val="00D44150"/>
    <w:rsid w:val="00D4599A"/>
    <w:rsid w:val="00D5095D"/>
    <w:rsid w:val="00D51266"/>
    <w:rsid w:val="00D5225F"/>
    <w:rsid w:val="00D53592"/>
    <w:rsid w:val="00D5449A"/>
    <w:rsid w:val="00D57C9F"/>
    <w:rsid w:val="00D6248A"/>
    <w:rsid w:val="00D664B9"/>
    <w:rsid w:val="00D7096C"/>
    <w:rsid w:val="00D7106C"/>
    <w:rsid w:val="00D7191E"/>
    <w:rsid w:val="00D71ABF"/>
    <w:rsid w:val="00D72C45"/>
    <w:rsid w:val="00D73556"/>
    <w:rsid w:val="00D73991"/>
    <w:rsid w:val="00D73D61"/>
    <w:rsid w:val="00D74AA7"/>
    <w:rsid w:val="00D77448"/>
    <w:rsid w:val="00D85FE3"/>
    <w:rsid w:val="00D8751F"/>
    <w:rsid w:val="00D93929"/>
    <w:rsid w:val="00D94484"/>
    <w:rsid w:val="00DA00E7"/>
    <w:rsid w:val="00DA296F"/>
    <w:rsid w:val="00DA32C8"/>
    <w:rsid w:val="00DA462C"/>
    <w:rsid w:val="00DA48E1"/>
    <w:rsid w:val="00DA6DFA"/>
    <w:rsid w:val="00DA7695"/>
    <w:rsid w:val="00DB3B0D"/>
    <w:rsid w:val="00DB5C8D"/>
    <w:rsid w:val="00DB5EA1"/>
    <w:rsid w:val="00DB747D"/>
    <w:rsid w:val="00DC54A3"/>
    <w:rsid w:val="00DC5901"/>
    <w:rsid w:val="00DC6323"/>
    <w:rsid w:val="00DD1915"/>
    <w:rsid w:val="00DD2002"/>
    <w:rsid w:val="00DD3E63"/>
    <w:rsid w:val="00DD4C3C"/>
    <w:rsid w:val="00DE600C"/>
    <w:rsid w:val="00E02824"/>
    <w:rsid w:val="00E02B25"/>
    <w:rsid w:val="00E03A32"/>
    <w:rsid w:val="00E04D7A"/>
    <w:rsid w:val="00E04DA8"/>
    <w:rsid w:val="00E050B3"/>
    <w:rsid w:val="00E05EBA"/>
    <w:rsid w:val="00E07C1F"/>
    <w:rsid w:val="00E10E1F"/>
    <w:rsid w:val="00E12B95"/>
    <w:rsid w:val="00E12C11"/>
    <w:rsid w:val="00E15EA5"/>
    <w:rsid w:val="00E17C5F"/>
    <w:rsid w:val="00E27C2A"/>
    <w:rsid w:val="00E304B0"/>
    <w:rsid w:val="00E32DC0"/>
    <w:rsid w:val="00E37AD2"/>
    <w:rsid w:val="00E4032C"/>
    <w:rsid w:val="00E40F1E"/>
    <w:rsid w:val="00E4596E"/>
    <w:rsid w:val="00E50A0C"/>
    <w:rsid w:val="00E51CCC"/>
    <w:rsid w:val="00E55039"/>
    <w:rsid w:val="00E5508C"/>
    <w:rsid w:val="00E55179"/>
    <w:rsid w:val="00E55AB8"/>
    <w:rsid w:val="00E57AEC"/>
    <w:rsid w:val="00E60069"/>
    <w:rsid w:val="00E61C2D"/>
    <w:rsid w:val="00E62FE4"/>
    <w:rsid w:val="00E6708E"/>
    <w:rsid w:val="00E75032"/>
    <w:rsid w:val="00E75C49"/>
    <w:rsid w:val="00E80FE0"/>
    <w:rsid w:val="00E81FA7"/>
    <w:rsid w:val="00E83FAD"/>
    <w:rsid w:val="00E92F4F"/>
    <w:rsid w:val="00E93AB5"/>
    <w:rsid w:val="00E94750"/>
    <w:rsid w:val="00E94803"/>
    <w:rsid w:val="00E952EF"/>
    <w:rsid w:val="00E95F2B"/>
    <w:rsid w:val="00E96EC9"/>
    <w:rsid w:val="00EA0E9B"/>
    <w:rsid w:val="00EA263F"/>
    <w:rsid w:val="00EA2D5B"/>
    <w:rsid w:val="00EA314C"/>
    <w:rsid w:val="00EA31CC"/>
    <w:rsid w:val="00EA37F6"/>
    <w:rsid w:val="00EA4149"/>
    <w:rsid w:val="00EA750B"/>
    <w:rsid w:val="00EB4316"/>
    <w:rsid w:val="00EB5816"/>
    <w:rsid w:val="00EB6283"/>
    <w:rsid w:val="00EB7905"/>
    <w:rsid w:val="00EC01A0"/>
    <w:rsid w:val="00EC0F3E"/>
    <w:rsid w:val="00EC4899"/>
    <w:rsid w:val="00EC5954"/>
    <w:rsid w:val="00EC5AC1"/>
    <w:rsid w:val="00EC5D46"/>
    <w:rsid w:val="00ED2325"/>
    <w:rsid w:val="00ED4020"/>
    <w:rsid w:val="00ED6207"/>
    <w:rsid w:val="00ED66EE"/>
    <w:rsid w:val="00EE035B"/>
    <w:rsid w:val="00EE165F"/>
    <w:rsid w:val="00EE4AAC"/>
    <w:rsid w:val="00EE5FC0"/>
    <w:rsid w:val="00EE640B"/>
    <w:rsid w:val="00EE7E19"/>
    <w:rsid w:val="00EF07ED"/>
    <w:rsid w:val="00EF22D9"/>
    <w:rsid w:val="00EF2CB2"/>
    <w:rsid w:val="00EF4F91"/>
    <w:rsid w:val="00F0011F"/>
    <w:rsid w:val="00F00CAC"/>
    <w:rsid w:val="00F065A5"/>
    <w:rsid w:val="00F1260F"/>
    <w:rsid w:val="00F138C5"/>
    <w:rsid w:val="00F14546"/>
    <w:rsid w:val="00F1455A"/>
    <w:rsid w:val="00F20A6D"/>
    <w:rsid w:val="00F20AA7"/>
    <w:rsid w:val="00F237F8"/>
    <w:rsid w:val="00F23C32"/>
    <w:rsid w:val="00F24597"/>
    <w:rsid w:val="00F24EB1"/>
    <w:rsid w:val="00F279B7"/>
    <w:rsid w:val="00F30E2C"/>
    <w:rsid w:val="00F318E4"/>
    <w:rsid w:val="00F31CD9"/>
    <w:rsid w:val="00F34459"/>
    <w:rsid w:val="00F35165"/>
    <w:rsid w:val="00F401AD"/>
    <w:rsid w:val="00F41C79"/>
    <w:rsid w:val="00F42A61"/>
    <w:rsid w:val="00F42AD2"/>
    <w:rsid w:val="00F43718"/>
    <w:rsid w:val="00F43773"/>
    <w:rsid w:val="00F447AB"/>
    <w:rsid w:val="00F4536B"/>
    <w:rsid w:val="00F4631C"/>
    <w:rsid w:val="00F4634C"/>
    <w:rsid w:val="00F46E96"/>
    <w:rsid w:val="00F47027"/>
    <w:rsid w:val="00F509F4"/>
    <w:rsid w:val="00F5546D"/>
    <w:rsid w:val="00F5703B"/>
    <w:rsid w:val="00F57A57"/>
    <w:rsid w:val="00F62EA7"/>
    <w:rsid w:val="00F70273"/>
    <w:rsid w:val="00F70FD7"/>
    <w:rsid w:val="00F71023"/>
    <w:rsid w:val="00F7260B"/>
    <w:rsid w:val="00F7348F"/>
    <w:rsid w:val="00F7508A"/>
    <w:rsid w:val="00F756B5"/>
    <w:rsid w:val="00F75BCC"/>
    <w:rsid w:val="00F76527"/>
    <w:rsid w:val="00F810FF"/>
    <w:rsid w:val="00F81D94"/>
    <w:rsid w:val="00F826A3"/>
    <w:rsid w:val="00F8611F"/>
    <w:rsid w:val="00F86A47"/>
    <w:rsid w:val="00F9310B"/>
    <w:rsid w:val="00F93A45"/>
    <w:rsid w:val="00F9455D"/>
    <w:rsid w:val="00F952B0"/>
    <w:rsid w:val="00F97838"/>
    <w:rsid w:val="00F97BB1"/>
    <w:rsid w:val="00FA1664"/>
    <w:rsid w:val="00FA3613"/>
    <w:rsid w:val="00FB1239"/>
    <w:rsid w:val="00FB1ECB"/>
    <w:rsid w:val="00FB64A3"/>
    <w:rsid w:val="00FC2A1F"/>
    <w:rsid w:val="00FC37BA"/>
    <w:rsid w:val="00FC3FD5"/>
    <w:rsid w:val="00FC4E41"/>
    <w:rsid w:val="00FD1244"/>
    <w:rsid w:val="00FE0C6D"/>
    <w:rsid w:val="00FE2FF4"/>
    <w:rsid w:val="00FE598C"/>
    <w:rsid w:val="00FF1B28"/>
    <w:rsid w:val="00FF5DAF"/>
    <w:rsid w:val="00FF66C8"/>
    <w:rsid w:val="00FF7B2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813D3C-724B-4DE0-B6C5-D79ED720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9" w:unhideWhenUsed="1" w:qFormat="1"/>
    <w:lsdException w:name="heading 7" w:semiHidden="1" w:uiPriority="10"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3A32"/>
    <w:pPr>
      <w:spacing w:after="200" w:line="288" w:lineRule="auto"/>
      <w:ind w:left="624"/>
      <w:jc w:val="both"/>
    </w:pPr>
    <w:rPr>
      <w:sz w:val="22"/>
      <w:szCs w:val="24"/>
      <w:lang w:eastAsia="en-US"/>
    </w:rPr>
  </w:style>
  <w:style w:type="paragraph" w:styleId="Nadpis1">
    <w:name w:val="heading 1"/>
    <w:aliases w:val="1_Nadpis 1,Section,Section Heading,SECTION,Chapter,Hoofdstukkop,1_Nadpis 1;Section;Section Heading;SECTION;Chapter;Hoofdstukkop,BM Heading1,Section Header,H1-Heading 1,1,h1,Header 1,l1,Legal Line 1,head 1,Heading No. L1,list 1,II+,I,H1"/>
    <w:basedOn w:val="Normln"/>
    <w:next w:val="Zkladntext"/>
    <w:link w:val="Nadpis1Char"/>
    <w:uiPriority w:val="1"/>
    <w:qFormat/>
    <w:rsid w:val="00D15706"/>
    <w:pPr>
      <w:keepNext/>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2"/>
      </w:tabs>
      <w:spacing w:before="100" w:after="100"/>
      <w:outlineLvl w:val="0"/>
    </w:pPr>
    <w:rPr>
      <w:rFonts w:eastAsia="Batang"/>
      <w:b/>
      <w:caps/>
      <w:kern w:val="28"/>
      <w:sz w:val="20"/>
      <w:szCs w:val="22"/>
      <w:bdr w:val="none" w:sz="0" w:space="0" w:color="auto"/>
      <w:lang w:eastAsia="en-GB"/>
    </w:rPr>
  </w:style>
  <w:style w:type="paragraph" w:styleId="Nadpis2">
    <w:name w:val="heading 2"/>
    <w:aliases w:val="2_Nadpis 2,Major,Reset numbering,Centerhead,Nadpis 2 Char1,Nadpis 2 Char Char1,Nadpis 2 Char1 Char Char1,Nadpis 2 Char Char1 Char Char,Nadpis 2 Char2 Char Char Char Char1"/>
    <w:basedOn w:val="Normln"/>
    <w:next w:val="Zkladntext"/>
    <w:link w:val="Nadpis2Char"/>
    <w:uiPriority w:val="2"/>
    <w:qFormat/>
    <w:rsid w:val="009C59C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2"/>
      </w:tabs>
      <w:ind w:left="624"/>
      <w:outlineLvl w:val="1"/>
    </w:pPr>
    <w:rPr>
      <w:rFonts w:eastAsia="Batang"/>
      <w:kern w:val="24"/>
      <w:szCs w:val="22"/>
      <w:bdr w:val="none" w:sz="0" w:space="0" w:color="auto"/>
      <w:lang w:eastAsia="en-GB"/>
    </w:rPr>
  </w:style>
  <w:style w:type="paragraph" w:styleId="Nadpis3">
    <w:name w:val="heading 3"/>
    <w:aliases w:val="3_Nadpis 3"/>
    <w:basedOn w:val="Normln"/>
    <w:next w:val="Zkladntext2"/>
    <w:link w:val="Nadpis3Char"/>
    <w:uiPriority w:val="3"/>
    <w:qFormat/>
    <w:rsid w:val="00D15706"/>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50"/>
      </w:tabs>
      <w:outlineLvl w:val="2"/>
    </w:pPr>
    <w:rPr>
      <w:rFonts w:eastAsia="Batang"/>
      <w:szCs w:val="22"/>
      <w:bdr w:val="none" w:sz="0" w:space="0" w:color="auto"/>
      <w:lang w:eastAsia="en-GB"/>
    </w:rPr>
  </w:style>
  <w:style w:type="paragraph" w:styleId="Nadpis4">
    <w:name w:val="heading 4"/>
    <w:aliases w:val="4_Nadpis 4,Sub-Minor,Level 2 - a,4_Nadpis 4;Sub-Minor;Level 2 - a"/>
    <w:basedOn w:val="Normln"/>
    <w:next w:val="Zkladntext3"/>
    <w:link w:val="Nadpis4Char"/>
    <w:uiPriority w:val="4"/>
    <w:qFormat/>
    <w:rsid w:val="00D15706"/>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68"/>
      </w:tabs>
      <w:outlineLvl w:val="3"/>
    </w:pPr>
    <w:rPr>
      <w:rFonts w:eastAsia="Batang"/>
      <w:szCs w:val="22"/>
      <w:bdr w:val="none" w:sz="0" w:space="0" w:color="auto"/>
      <w:lang w:eastAsia="en-GB"/>
    </w:rPr>
  </w:style>
  <w:style w:type="paragraph" w:styleId="Nadpis5">
    <w:name w:val="heading 5"/>
    <w:aliases w:val="5_Nadpis 5"/>
    <w:basedOn w:val="Normln"/>
    <w:next w:val="Normln"/>
    <w:link w:val="Nadpis5Char"/>
    <w:uiPriority w:val="5"/>
    <w:qFormat/>
    <w:rsid w:val="00D15706"/>
    <w:pPr>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6"/>
      </w:tabs>
      <w:outlineLvl w:val="4"/>
    </w:pPr>
    <w:rPr>
      <w:rFonts w:eastAsia="Batang"/>
      <w:szCs w:val="22"/>
      <w:bdr w:val="none" w:sz="0" w:space="0" w:color="auto"/>
      <w:lang w:eastAsia="en-GB"/>
    </w:rPr>
  </w:style>
  <w:style w:type="paragraph" w:styleId="Nadpis6">
    <w:name w:val="heading 6"/>
    <w:aliases w:val="6_Nadpis 6"/>
    <w:basedOn w:val="Normln"/>
    <w:next w:val="Normln"/>
    <w:link w:val="Nadpis6Char"/>
    <w:uiPriority w:val="9"/>
    <w:qFormat/>
    <w:rsid w:val="00D15706"/>
    <w:pPr>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04"/>
      </w:tabs>
      <w:outlineLvl w:val="5"/>
    </w:pPr>
    <w:rPr>
      <w:rFonts w:eastAsia="Batang"/>
      <w:szCs w:val="22"/>
      <w:bdr w:val="none" w:sz="0" w:space="0" w:color="auto"/>
      <w:lang w:eastAsia="en-GB"/>
    </w:rPr>
  </w:style>
  <w:style w:type="paragraph" w:styleId="Nadpis7">
    <w:name w:val="heading 7"/>
    <w:basedOn w:val="Normln"/>
    <w:next w:val="Normln"/>
    <w:link w:val="Nadpis7Char"/>
    <w:uiPriority w:val="10"/>
    <w:qFormat/>
    <w:rsid w:val="00D15706"/>
    <w:pPr>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outlineLvl w:val="6"/>
    </w:pPr>
    <w:rPr>
      <w:rFonts w:eastAsia="Batang"/>
      <w:szCs w:val="22"/>
      <w:bdr w:val="none" w:sz="0" w:space="0" w:color="auto"/>
      <w:lang w:eastAsia="en-GB"/>
    </w:rPr>
  </w:style>
  <w:style w:type="paragraph" w:styleId="Nadpis8">
    <w:name w:val="heading 8"/>
    <w:basedOn w:val="Normln"/>
    <w:next w:val="Normln"/>
    <w:link w:val="Nadpis8Char"/>
    <w:uiPriority w:val="11"/>
    <w:qFormat/>
    <w:rsid w:val="00D15706"/>
    <w:pPr>
      <w:numPr>
        <w:ilvl w:val="7"/>
        <w:numId w:val="1"/>
      </w:numPr>
      <w:pBdr>
        <w:top w:val="none" w:sz="0" w:space="0" w:color="auto"/>
        <w:left w:val="none" w:sz="0" w:space="0" w:color="auto"/>
        <w:bottom w:val="none" w:sz="0" w:space="0" w:color="auto"/>
        <w:right w:val="none" w:sz="0" w:space="0" w:color="auto"/>
        <w:between w:val="none" w:sz="0" w:space="0" w:color="auto"/>
        <w:bar w:val="none" w:sz="0" w:color="auto"/>
      </w:pBdr>
      <w:outlineLvl w:val="7"/>
    </w:pPr>
    <w:rPr>
      <w:rFonts w:eastAsia="Batang"/>
      <w:szCs w:val="22"/>
      <w:bdr w:val="none" w:sz="0" w:space="0" w:color="auto"/>
      <w:lang w:eastAsia="en-GB"/>
    </w:rPr>
  </w:style>
  <w:style w:type="paragraph" w:styleId="Nadpis9">
    <w:name w:val="heading 9"/>
    <w:basedOn w:val="Normln"/>
    <w:next w:val="Normln"/>
    <w:link w:val="Nadpis9Char"/>
    <w:uiPriority w:val="11"/>
    <w:qFormat/>
    <w:rsid w:val="00D15706"/>
    <w:pPr>
      <w:pageBreakBefore/>
      <w:numPr>
        <w:ilvl w:val="8"/>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300" w:line="336" w:lineRule="auto"/>
      <w:jc w:val="center"/>
      <w:outlineLvl w:val="8"/>
    </w:pPr>
    <w:rPr>
      <w:rFonts w:eastAsia="Batang"/>
      <w:b/>
      <w:smallCaps/>
      <w:sz w:val="21"/>
      <w:szCs w:val="22"/>
      <w:bdr w:val="none" w:sz="0" w:space="0" w:color="auto"/>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B6283"/>
    <w:rPr>
      <w:u w:val="single"/>
    </w:rPr>
  </w:style>
  <w:style w:type="table" w:customStyle="1" w:styleId="TableNormal">
    <w:name w:val="Table Normal"/>
    <w:rsid w:val="00EB6283"/>
    <w:tblPr>
      <w:tblInd w:w="0" w:type="dxa"/>
      <w:tblCellMar>
        <w:top w:w="0" w:type="dxa"/>
        <w:left w:w="0" w:type="dxa"/>
        <w:bottom w:w="0" w:type="dxa"/>
        <w:right w:w="0" w:type="dxa"/>
      </w:tblCellMar>
    </w:tblPr>
  </w:style>
  <w:style w:type="paragraph" w:customStyle="1" w:styleId="Zhlavazpat">
    <w:name w:val="Záhlaví a zápatí"/>
    <w:rsid w:val="00EB6283"/>
    <w:pPr>
      <w:tabs>
        <w:tab w:val="right" w:pos="9020"/>
      </w:tabs>
    </w:pPr>
    <w:rPr>
      <w:rFonts w:ascii="Helvetica" w:hAnsi="Helvetica" w:cs="Arial Unicode MS"/>
      <w:color w:val="000000"/>
      <w:sz w:val="24"/>
      <w:szCs w:val="24"/>
      <w:u w:color="000000"/>
    </w:rPr>
  </w:style>
  <w:style w:type="paragraph" w:customStyle="1" w:styleId="TextA">
    <w:name w:val="Text A"/>
    <w:uiPriority w:val="12"/>
    <w:rsid w:val="00EB6283"/>
    <w:rPr>
      <w:rFonts w:ascii="Helvetica" w:hAnsi="Helvetica" w:cs="Arial Unicode MS"/>
      <w:color w:val="000000"/>
      <w:sz w:val="22"/>
      <w:szCs w:val="22"/>
      <w:u w:color="000000"/>
    </w:rPr>
  </w:style>
  <w:style w:type="paragraph" w:customStyle="1" w:styleId="Vchoz">
    <w:name w:val="Výchozí"/>
    <w:uiPriority w:val="9"/>
    <w:rsid w:val="00EB6283"/>
    <w:rPr>
      <w:rFonts w:ascii="Helvetica" w:hAnsi="Helvetica" w:cs="Arial Unicode MS"/>
      <w:color w:val="000000"/>
      <w:sz w:val="22"/>
      <w:szCs w:val="22"/>
      <w:u w:color="000000"/>
    </w:rPr>
  </w:style>
  <w:style w:type="paragraph" w:styleId="Textbubliny">
    <w:name w:val="Balloon Text"/>
    <w:basedOn w:val="Normln"/>
    <w:link w:val="TextbublinyChar"/>
    <w:uiPriority w:val="99"/>
    <w:semiHidden/>
    <w:unhideWhenUsed/>
    <w:rsid w:val="00F810FF"/>
    <w:rPr>
      <w:rFonts w:ascii="Tahoma" w:hAnsi="Tahoma" w:cs="Tahoma"/>
      <w:sz w:val="16"/>
      <w:szCs w:val="16"/>
    </w:rPr>
  </w:style>
  <w:style w:type="character" w:customStyle="1" w:styleId="TextbublinyChar">
    <w:name w:val="Text bubliny Char"/>
    <w:basedOn w:val="Standardnpsmoodstavce"/>
    <w:link w:val="Textbubliny"/>
    <w:uiPriority w:val="99"/>
    <w:semiHidden/>
    <w:rsid w:val="00F810FF"/>
    <w:rPr>
      <w:rFonts w:ascii="Tahoma" w:hAnsi="Tahoma" w:cs="Tahoma"/>
      <w:sz w:val="16"/>
      <w:szCs w:val="16"/>
      <w:lang w:val="en-US" w:eastAsia="en-US"/>
    </w:rPr>
  </w:style>
  <w:style w:type="paragraph" w:styleId="Zhlav">
    <w:name w:val="header"/>
    <w:basedOn w:val="Normln"/>
    <w:link w:val="ZhlavChar"/>
    <w:uiPriority w:val="99"/>
    <w:unhideWhenUsed/>
    <w:rsid w:val="00F810FF"/>
    <w:pPr>
      <w:tabs>
        <w:tab w:val="center" w:pos="4536"/>
        <w:tab w:val="right" w:pos="9072"/>
      </w:tabs>
    </w:pPr>
  </w:style>
  <w:style w:type="character" w:customStyle="1" w:styleId="ZhlavChar">
    <w:name w:val="Záhlaví Char"/>
    <w:basedOn w:val="Standardnpsmoodstavce"/>
    <w:link w:val="Zhlav"/>
    <w:uiPriority w:val="99"/>
    <w:rsid w:val="00F810FF"/>
    <w:rPr>
      <w:sz w:val="24"/>
      <w:szCs w:val="24"/>
      <w:lang w:val="en-US" w:eastAsia="en-US"/>
    </w:rPr>
  </w:style>
  <w:style w:type="paragraph" w:styleId="Zpat">
    <w:name w:val="footer"/>
    <w:basedOn w:val="Normln"/>
    <w:link w:val="ZpatChar"/>
    <w:uiPriority w:val="99"/>
    <w:unhideWhenUsed/>
    <w:rsid w:val="00F810FF"/>
    <w:pPr>
      <w:tabs>
        <w:tab w:val="center" w:pos="4536"/>
        <w:tab w:val="right" w:pos="9072"/>
      </w:tabs>
    </w:pPr>
  </w:style>
  <w:style w:type="character" w:customStyle="1" w:styleId="ZpatChar">
    <w:name w:val="Zápatí Char"/>
    <w:basedOn w:val="Standardnpsmoodstavce"/>
    <w:link w:val="Zpat"/>
    <w:uiPriority w:val="99"/>
    <w:rsid w:val="00F810FF"/>
    <w:rPr>
      <w:sz w:val="24"/>
      <w:szCs w:val="24"/>
      <w:lang w:val="en-US" w:eastAsia="en-US"/>
    </w:rPr>
  </w:style>
  <w:style w:type="character" w:customStyle="1" w:styleId="Nadpis1Char">
    <w:name w:val="Nadpis 1 Char"/>
    <w:aliases w:val="1_Nadpis 1 Char,Section Char,Section Heading Char,SECTION Char,Chapter Char,Hoofdstukkop Char,1_Nadpis 1;Section;Section Heading;SECTION;Chapter;Hoofdstukkop Char,BM Heading1 Char,Section Header Char,H1-Heading 1 Char,1 Char,h1 Char,I Char"/>
    <w:basedOn w:val="Standardnpsmoodstavce"/>
    <w:link w:val="Nadpis1"/>
    <w:uiPriority w:val="1"/>
    <w:rsid w:val="00D15706"/>
    <w:rPr>
      <w:rFonts w:eastAsia="Batang"/>
      <w:b/>
      <w:caps/>
      <w:kern w:val="28"/>
      <w:szCs w:val="22"/>
      <w:bdr w:val="none" w:sz="0" w:space="0" w:color="auto"/>
      <w:lang w:eastAsia="en-GB"/>
    </w:rPr>
  </w:style>
  <w:style w:type="character" w:customStyle="1" w:styleId="Nadpis2Char">
    <w:name w:val="Nadpis 2 Char"/>
    <w:aliases w:val="2_Nadpis 2 Char,Major Char,Reset numbering Char,Centerhead Char,Nadpis 2 Char1 Char,Nadpis 2 Char Char1 Char,Nadpis 2 Char1 Char Char1 Char,Nadpis 2 Char Char1 Char Char Char,Nadpis 2 Char2 Char Char Char Char1 Char"/>
    <w:basedOn w:val="Standardnpsmoodstavce"/>
    <w:link w:val="Nadpis2"/>
    <w:uiPriority w:val="2"/>
    <w:rsid w:val="009C59C4"/>
    <w:rPr>
      <w:rFonts w:eastAsia="Batang"/>
      <w:kern w:val="24"/>
      <w:sz w:val="22"/>
      <w:szCs w:val="22"/>
      <w:bdr w:val="none" w:sz="0" w:space="0" w:color="auto"/>
      <w:lang w:eastAsia="en-GB"/>
    </w:rPr>
  </w:style>
  <w:style w:type="character" w:customStyle="1" w:styleId="Nadpis3Char">
    <w:name w:val="Nadpis 3 Char"/>
    <w:aliases w:val="3_Nadpis 3 Char"/>
    <w:basedOn w:val="Standardnpsmoodstavce"/>
    <w:link w:val="Nadpis3"/>
    <w:uiPriority w:val="3"/>
    <w:rsid w:val="00D15706"/>
    <w:rPr>
      <w:rFonts w:eastAsia="Batang"/>
      <w:sz w:val="22"/>
      <w:szCs w:val="22"/>
      <w:bdr w:val="none" w:sz="0" w:space="0" w:color="auto"/>
      <w:lang w:eastAsia="en-GB"/>
    </w:rPr>
  </w:style>
  <w:style w:type="character" w:customStyle="1" w:styleId="Nadpis4Char">
    <w:name w:val="Nadpis 4 Char"/>
    <w:aliases w:val="4_Nadpis 4 Char,Sub-Minor Char,Level 2 - a Char,4_Nadpis 4;Sub-Minor;Level 2 - a Char"/>
    <w:basedOn w:val="Standardnpsmoodstavce"/>
    <w:link w:val="Nadpis4"/>
    <w:uiPriority w:val="4"/>
    <w:rsid w:val="00D15706"/>
    <w:rPr>
      <w:rFonts w:eastAsia="Batang"/>
      <w:sz w:val="22"/>
      <w:szCs w:val="22"/>
      <w:bdr w:val="none" w:sz="0" w:space="0" w:color="auto"/>
      <w:lang w:eastAsia="en-GB"/>
    </w:rPr>
  </w:style>
  <w:style w:type="character" w:customStyle="1" w:styleId="Nadpis5Char">
    <w:name w:val="Nadpis 5 Char"/>
    <w:aliases w:val="5_Nadpis 5 Char"/>
    <w:basedOn w:val="Standardnpsmoodstavce"/>
    <w:link w:val="Nadpis5"/>
    <w:uiPriority w:val="5"/>
    <w:rsid w:val="00D15706"/>
    <w:rPr>
      <w:rFonts w:eastAsia="Batang"/>
      <w:sz w:val="22"/>
      <w:szCs w:val="22"/>
      <w:bdr w:val="none" w:sz="0" w:space="0" w:color="auto"/>
      <w:lang w:eastAsia="en-GB"/>
    </w:rPr>
  </w:style>
  <w:style w:type="character" w:customStyle="1" w:styleId="Nadpis6Char">
    <w:name w:val="Nadpis 6 Char"/>
    <w:aliases w:val="6_Nadpis 6 Char"/>
    <w:basedOn w:val="Standardnpsmoodstavce"/>
    <w:link w:val="Nadpis6"/>
    <w:uiPriority w:val="9"/>
    <w:rsid w:val="00D15706"/>
    <w:rPr>
      <w:rFonts w:eastAsia="Batang"/>
      <w:sz w:val="22"/>
      <w:szCs w:val="22"/>
      <w:bdr w:val="none" w:sz="0" w:space="0" w:color="auto"/>
      <w:lang w:eastAsia="en-GB"/>
    </w:rPr>
  </w:style>
  <w:style w:type="character" w:customStyle="1" w:styleId="Nadpis7Char">
    <w:name w:val="Nadpis 7 Char"/>
    <w:basedOn w:val="Standardnpsmoodstavce"/>
    <w:link w:val="Nadpis7"/>
    <w:uiPriority w:val="10"/>
    <w:rsid w:val="0011514F"/>
    <w:rPr>
      <w:rFonts w:eastAsia="Batang"/>
      <w:sz w:val="22"/>
      <w:szCs w:val="22"/>
      <w:bdr w:val="none" w:sz="0" w:space="0" w:color="auto"/>
      <w:lang w:eastAsia="en-GB"/>
    </w:rPr>
  </w:style>
  <w:style w:type="character" w:customStyle="1" w:styleId="Nadpis8Char">
    <w:name w:val="Nadpis 8 Char"/>
    <w:basedOn w:val="Standardnpsmoodstavce"/>
    <w:link w:val="Nadpis8"/>
    <w:uiPriority w:val="11"/>
    <w:rsid w:val="0011514F"/>
    <w:rPr>
      <w:rFonts w:eastAsia="Batang"/>
      <w:sz w:val="22"/>
      <w:szCs w:val="22"/>
      <w:bdr w:val="none" w:sz="0" w:space="0" w:color="auto"/>
      <w:lang w:eastAsia="en-GB"/>
    </w:rPr>
  </w:style>
  <w:style w:type="character" w:customStyle="1" w:styleId="Nadpis9Char">
    <w:name w:val="Nadpis 9 Char"/>
    <w:basedOn w:val="Standardnpsmoodstavce"/>
    <w:link w:val="Nadpis9"/>
    <w:uiPriority w:val="11"/>
    <w:rsid w:val="0011514F"/>
    <w:rPr>
      <w:rFonts w:eastAsia="Batang"/>
      <w:b/>
      <w:smallCaps/>
      <w:sz w:val="21"/>
      <w:szCs w:val="22"/>
      <w:bdr w:val="none" w:sz="0" w:space="0" w:color="auto"/>
      <w:lang w:eastAsia="en-GB"/>
    </w:rPr>
  </w:style>
  <w:style w:type="paragraph" w:styleId="Zkladntext">
    <w:name w:val="Body Text"/>
    <w:basedOn w:val="Normln"/>
    <w:link w:val="ZkladntextChar"/>
    <w:rsid w:val="00D15706"/>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Cs w:val="22"/>
      <w:bdr w:val="none" w:sz="0" w:space="0" w:color="auto"/>
      <w:lang w:eastAsia="en-GB"/>
    </w:rPr>
  </w:style>
  <w:style w:type="character" w:customStyle="1" w:styleId="ZkladntextChar">
    <w:name w:val="Základní text Char"/>
    <w:basedOn w:val="Standardnpsmoodstavce"/>
    <w:link w:val="Zkladntext"/>
    <w:rsid w:val="00D15706"/>
    <w:rPr>
      <w:rFonts w:eastAsia="Batang"/>
      <w:sz w:val="22"/>
      <w:szCs w:val="22"/>
      <w:bdr w:val="none" w:sz="0" w:space="0" w:color="auto"/>
      <w:lang w:eastAsia="en-GB"/>
    </w:rPr>
  </w:style>
  <w:style w:type="paragraph" w:styleId="Zkladntext2">
    <w:name w:val="Body Text 2"/>
    <w:basedOn w:val="Normln"/>
    <w:link w:val="Zkladntext2Char"/>
    <w:uiPriority w:val="99"/>
    <w:semiHidden/>
    <w:unhideWhenUsed/>
    <w:rsid w:val="00D15706"/>
    <w:pPr>
      <w:spacing w:after="120" w:line="480" w:lineRule="auto"/>
    </w:pPr>
  </w:style>
  <w:style w:type="character" w:customStyle="1" w:styleId="Zkladntext2Char">
    <w:name w:val="Základní text 2 Char"/>
    <w:basedOn w:val="Standardnpsmoodstavce"/>
    <w:link w:val="Zkladntext2"/>
    <w:uiPriority w:val="99"/>
    <w:semiHidden/>
    <w:rsid w:val="00D15706"/>
    <w:rPr>
      <w:sz w:val="24"/>
      <w:szCs w:val="24"/>
      <w:lang w:val="en-US" w:eastAsia="en-US"/>
    </w:rPr>
  </w:style>
  <w:style w:type="paragraph" w:styleId="Zkladntext3">
    <w:name w:val="Body Text 3"/>
    <w:basedOn w:val="Normln"/>
    <w:link w:val="Zkladntext3Char"/>
    <w:uiPriority w:val="99"/>
    <w:semiHidden/>
    <w:unhideWhenUsed/>
    <w:rsid w:val="00D15706"/>
    <w:pPr>
      <w:spacing w:after="120"/>
    </w:pPr>
    <w:rPr>
      <w:sz w:val="16"/>
      <w:szCs w:val="16"/>
    </w:rPr>
  </w:style>
  <w:style w:type="character" w:customStyle="1" w:styleId="Zkladntext3Char">
    <w:name w:val="Základní text 3 Char"/>
    <w:basedOn w:val="Standardnpsmoodstavce"/>
    <w:link w:val="Zkladntext3"/>
    <w:uiPriority w:val="99"/>
    <w:semiHidden/>
    <w:rsid w:val="00D15706"/>
    <w:rPr>
      <w:sz w:val="16"/>
      <w:szCs w:val="16"/>
      <w:lang w:val="en-US" w:eastAsia="en-US"/>
    </w:rPr>
  </w:style>
  <w:style w:type="paragraph" w:customStyle="1" w:styleId="LISTALPHACAPS1">
    <w:name w:val="LIST ALPHA CAPS 1"/>
    <w:basedOn w:val="Normln"/>
    <w:next w:val="Zkladntext"/>
    <w:uiPriority w:val="39"/>
    <w:rsid w:val="00D15706"/>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2"/>
      </w:tabs>
    </w:pPr>
    <w:rPr>
      <w:rFonts w:eastAsia="Batang"/>
      <w:szCs w:val="22"/>
      <w:bdr w:val="none" w:sz="0" w:space="0" w:color="auto"/>
      <w:lang w:eastAsia="en-GB"/>
    </w:rPr>
  </w:style>
  <w:style w:type="paragraph" w:customStyle="1" w:styleId="LISTALPHACAPS2">
    <w:name w:val="LIST ALPHA CAPS 2"/>
    <w:basedOn w:val="Normln"/>
    <w:next w:val="Zkladntext2"/>
    <w:uiPriority w:val="39"/>
    <w:rsid w:val="00D15706"/>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0"/>
      </w:tabs>
    </w:pPr>
    <w:rPr>
      <w:rFonts w:eastAsia="Batang"/>
      <w:szCs w:val="22"/>
      <w:bdr w:val="none" w:sz="0" w:space="0" w:color="auto"/>
      <w:lang w:eastAsia="en-GB"/>
    </w:rPr>
  </w:style>
  <w:style w:type="paragraph" w:customStyle="1" w:styleId="LISTALPHACAPS3">
    <w:name w:val="LIST ALPHA CAPS 3"/>
    <w:basedOn w:val="Normln"/>
    <w:next w:val="Zkladntext3"/>
    <w:uiPriority w:val="39"/>
    <w:rsid w:val="00D15706"/>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8"/>
      </w:tabs>
    </w:pPr>
    <w:rPr>
      <w:rFonts w:eastAsia="Batang"/>
      <w:szCs w:val="22"/>
      <w:bdr w:val="none" w:sz="0" w:space="0" w:color="auto"/>
      <w:lang w:eastAsia="en-GB"/>
    </w:rPr>
  </w:style>
  <w:style w:type="table" w:styleId="Mkatabulky">
    <w:name w:val="Table Grid"/>
    <w:basedOn w:val="Normlntabulka"/>
    <w:uiPriority w:val="39"/>
    <w:rsid w:val="00530B7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basedOn w:val="Standardnpsmoodstavce"/>
    <w:rsid w:val="00530B78"/>
  </w:style>
  <w:style w:type="paragraph" w:styleId="Textpoznpodarou">
    <w:name w:val="footnote text"/>
    <w:aliases w:val="fn,Text pozn. pod čarou Char1,Text pozn. pod čarou Char Char,Text pozn. pod čarou Char1 Char Char,Text pozn. pod čarou Char Char Char Char,Char Char Char Char1 Char Char, Char Char Char Char Char1 Char Char,RL Text pozn. pod čarou"/>
    <w:basedOn w:val="Normln"/>
    <w:link w:val="TextpoznpodarouChar"/>
    <w:uiPriority w:val="99"/>
    <w:rsid w:val="00223B4D"/>
    <w:pPr>
      <w:keepNext/>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0"/>
    </w:pPr>
    <w:rPr>
      <w:rFonts w:eastAsia="Times New Roman"/>
      <w:sz w:val="20"/>
      <w:szCs w:val="20"/>
      <w:bdr w:val="none" w:sz="0" w:space="0" w:color="auto"/>
    </w:rPr>
  </w:style>
  <w:style w:type="character" w:customStyle="1" w:styleId="TextpoznpodarouChar">
    <w:name w:val="Text pozn. pod čarou Char"/>
    <w:aliases w:val="fn Char,Text pozn. pod čarou Char1 Char,Text pozn. pod čarou Char Char Char,Text pozn. pod čarou Char1 Char Char Char,Text pozn. pod čarou Char Char Char Char Char,Char Char Char Char1 Char Char Char"/>
    <w:basedOn w:val="Standardnpsmoodstavce"/>
    <w:link w:val="Textpoznpodarou"/>
    <w:uiPriority w:val="99"/>
    <w:rsid w:val="00223B4D"/>
    <w:rPr>
      <w:rFonts w:eastAsia="Times New Roman"/>
      <w:bdr w:val="none" w:sz="0" w:space="0" w:color="auto"/>
      <w:lang w:eastAsia="en-US"/>
    </w:rPr>
  </w:style>
  <w:style w:type="character" w:styleId="Znakapoznpodarou">
    <w:name w:val="footnote reference"/>
    <w:aliases w:val="PGI Fußnote Ziffer"/>
    <w:uiPriority w:val="99"/>
    <w:rsid w:val="00223B4D"/>
    <w:rPr>
      <w:vertAlign w:val="superscript"/>
    </w:rPr>
  </w:style>
  <w:style w:type="character" w:customStyle="1" w:styleId="platne1">
    <w:name w:val="platne1"/>
    <w:basedOn w:val="Standardnpsmoodstavce"/>
    <w:rsid w:val="00223B4D"/>
  </w:style>
  <w:style w:type="paragraph" w:customStyle="1" w:styleId="Odrka1">
    <w:name w:val="Odrážka_1"/>
    <w:basedOn w:val="Normln"/>
    <w:uiPriority w:val="13"/>
    <w:qFormat/>
    <w:rsid w:val="0088194C"/>
    <w:pPr>
      <w:widowControl w:val="0"/>
      <w:numPr>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left"/>
      <w:textAlignment w:val="center"/>
    </w:pPr>
    <w:rPr>
      <w:rFonts w:eastAsia="Calibri"/>
      <w:color w:val="000000"/>
      <w:bdr w:val="none" w:sz="0" w:space="0" w:color="auto"/>
    </w:rPr>
  </w:style>
  <w:style w:type="paragraph" w:customStyle="1" w:styleId="Normln1">
    <w:name w:val="Normální_1"/>
    <w:basedOn w:val="Normln"/>
    <w:link w:val="Normln1Char"/>
    <w:uiPriority w:val="10"/>
    <w:qFormat/>
    <w:rsid w:val="0088194C"/>
    <w:pPr>
      <w:keepNext/>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szCs w:val="20"/>
      <w:bdr w:val="none" w:sz="0" w:space="0" w:color="auto"/>
      <w:lang w:val="en-GB" w:eastAsia="cs-CZ"/>
    </w:rPr>
  </w:style>
  <w:style w:type="character" w:customStyle="1" w:styleId="Normln1Char">
    <w:name w:val="Normální_1 Char"/>
    <w:basedOn w:val="Standardnpsmoodstavce"/>
    <w:link w:val="Normln1"/>
    <w:uiPriority w:val="10"/>
    <w:rsid w:val="0088194C"/>
    <w:rPr>
      <w:rFonts w:eastAsia="Times New Roman"/>
      <w:sz w:val="22"/>
      <w:bdr w:val="none" w:sz="0" w:space="0" w:color="auto"/>
      <w:lang w:val="en-GB"/>
    </w:rPr>
  </w:style>
  <w:style w:type="paragraph" w:customStyle="1" w:styleId="PLOHA1">
    <w:name w:val="PŘÍLOHA 1"/>
    <w:basedOn w:val="Nadpis1"/>
    <w:link w:val="PLOHA1Char"/>
    <w:uiPriority w:val="6"/>
    <w:qFormat/>
    <w:rsid w:val="00E60069"/>
    <w:pPr>
      <w:numPr>
        <w:numId w:val="0"/>
      </w:numPr>
      <w:tabs>
        <w:tab w:val="clear" w:pos="22"/>
      </w:tabs>
      <w:jc w:val="center"/>
    </w:pPr>
  </w:style>
  <w:style w:type="character" w:customStyle="1" w:styleId="PLOHA1Char">
    <w:name w:val="PŘÍLOHA 1 Char"/>
    <w:basedOn w:val="Nadpis1Char"/>
    <w:link w:val="PLOHA1"/>
    <w:uiPriority w:val="6"/>
    <w:rsid w:val="00E60069"/>
    <w:rPr>
      <w:rFonts w:eastAsia="Batang"/>
      <w:b/>
      <w:caps/>
      <w:kern w:val="28"/>
      <w:szCs w:val="22"/>
      <w:bdr w:val="none" w:sz="0" w:space="0" w:color="auto"/>
      <w:lang w:eastAsia="en-GB"/>
    </w:rPr>
  </w:style>
  <w:style w:type="paragraph" w:customStyle="1" w:styleId="ANapisA">
    <w:name w:val="A_Napis A"/>
    <w:basedOn w:val="Nadpis1"/>
    <w:link w:val="ANapisAChar"/>
    <w:qFormat/>
    <w:rsid w:val="002E05A0"/>
    <w:pPr>
      <w:numPr>
        <w:numId w:val="0"/>
      </w:numPr>
      <w:tabs>
        <w:tab w:val="clear" w:pos="22"/>
      </w:tabs>
      <w:ind w:left="624" w:hanging="624"/>
    </w:pPr>
    <w:rPr>
      <w:rFonts w:ascii="Times New Roman tučné" w:hAnsi="Times New Roman tučné"/>
      <w:lang w:val="en-GB"/>
    </w:rPr>
  </w:style>
  <w:style w:type="character" w:customStyle="1" w:styleId="ANapisAChar">
    <w:name w:val="A_Napis A Char"/>
    <w:basedOn w:val="Nadpis1Char"/>
    <w:link w:val="ANapisA"/>
    <w:rsid w:val="002E05A0"/>
    <w:rPr>
      <w:rFonts w:ascii="Times New Roman tučné" w:eastAsia="Batang" w:hAnsi="Times New Roman tučné"/>
      <w:b/>
      <w:caps/>
      <w:kern w:val="28"/>
      <w:szCs w:val="22"/>
      <w:bdr w:val="none" w:sz="0" w:space="0" w:color="auto"/>
      <w:lang w:val="en-GB" w:eastAsia="en-GB"/>
    </w:rPr>
  </w:style>
  <w:style w:type="character" w:styleId="Zdraznn">
    <w:name w:val="Emphasis"/>
    <w:basedOn w:val="Standardnpsmoodstavce"/>
    <w:uiPriority w:val="20"/>
    <w:qFormat/>
    <w:rsid w:val="0011311B"/>
    <w:rPr>
      <w:i/>
      <w:iCs/>
    </w:rPr>
  </w:style>
  <w:style w:type="character" w:styleId="Siln">
    <w:name w:val="Strong"/>
    <w:basedOn w:val="Standardnpsmoodstavce"/>
    <w:uiPriority w:val="22"/>
    <w:qFormat/>
    <w:rsid w:val="002D7206"/>
    <w:rPr>
      <w:b/>
      <w:bCs/>
    </w:rPr>
  </w:style>
  <w:style w:type="paragraph" w:customStyle="1" w:styleId="ind1">
    <w:name w:val="ind1"/>
    <w:basedOn w:val="Normln"/>
    <w:rsid w:val="00EA2D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left="0"/>
      <w:jc w:val="left"/>
    </w:pPr>
    <w:rPr>
      <w:rFonts w:eastAsia="Times New Roman"/>
      <w:sz w:val="24"/>
      <w:bdr w:val="none" w:sz="0" w:space="0" w:color="auto"/>
      <w:lang w:eastAsia="cs-CZ"/>
    </w:rPr>
  </w:style>
  <w:style w:type="paragraph" w:styleId="Normlnweb">
    <w:name w:val="Normal (Web)"/>
    <w:basedOn w:val="Normln"/>
    <w:uiPriority w:val="99"/>
    <w:semiHidden/>
    <w:unhideWhenUsed/>
    <w:rsid w:val="0099603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left="0"/>
      <w:jc w:val="left"/>
    </w:pPr>
    <w:rPr>
      <w:rFonts w:eastAsia="Times New Roman"/>
      <w:sz w:val="24"/>
      <w:bdr w:val="none" w:sz="0" w:space="0" w:color="auto"/>
      <w:lang w:eastAsia="cs-CZ"/>
    </w:rPr>
  </w:style>
  <w:style w:type="paragraph" w:customStyle="1" w:styleId="center">
    <w:name w:val="center"/>
    <w:basedOn w:val="Normln"/>
    <w:rsid w:val="008B52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left="0"/>
      <w:jc w:val="left"/>
    </w:pPr>
    <w:rPr>
      <w:rFonts w:eastAsia="Times New Roman"/>
      <w:sz w:val="24"/>
      <w:bdr w:val="none" w:sz="0" w:space="0" w:color="auto"/>
      <w:lang w:eastAsia="cs-CZ"/>
    </w:rPr>
  </w:style>
  <w:style w:type="character" w:customStyle="1" w:styleId="highlight">
    <w:name w:val="highlight"/>
    <w:basedOn w:val="Standardnpsmoodstavce"/>
    <w:rsid w:val="005F1BF3"/>
  </w:style>
  <w:style w:type="paragraph" w:styleId="Odstavecseseznamem">
    <w:name w:val="List Paragraph"/>
    <w:basedOn w:val="Normln"/>
    <w:uiPriority w:val="34"/>
    <w:qFormat/>
    <w:rsid w:val="00142CA0"/>
    <w:pPr>
      <w:ind w:left="720"/>
      <w:contextualSpacing/>
    </w:pPr>
  </w:style>
  <w:style w:type="character" w:customStyle="1" w:styleId="apple-converted-space">
    <w:name w:val="apple-converted-space"/>
    <w:basedOn w:val="Standardnpsmoodstavce"/>
    <w:rsid w:val="00784FE5"/>
  </w:style>
  <w:style w:type="paragraph" w:styleId="Nadpisobsahu">
    <w:name w:val="TOC Heading"/>
    <w:basedOn w:val="Nadpis1"/>
    <w:next w:val="Normln"/>
    <w:uiPriority w:val="39"/>
    <w:semiHidden/>
    <w:unhideWhenUsed/>
    <w:qFormat/>
    <w:rsid w:val="00DB3B0D"/>
    <w:pPr>
      <w:keepLines/>
      <w:numPr>
        <w:numId w:val="0"/>
      </w:numPr>
      <w:tabs>
        <w:tab w:val="clear" w:pos="22"/>
      </w:tabs>
      <w:spacing w:before="480" w:after="0" w:line="276" w:lineRule="auto"/>
      <w:jc w:val="left"/>
      <w:outlineLvl w:val="9"/>
    </w:pPr>
    <w:rPr>
      <w:rFonts w:asciiTheme="majorHAnsi" w:eastAsiaTheme="majorEastAsia" w:hAnsiTheme="majorHAnsi" w:cstheme="majorBidi"/>
      <w:bCs/>
      <w:caps w:val="0"/>
      <w:color w:val="2F759E" w:themeColor="accent1" w:themeShade="BF"/>
      <w:kern w:val="0"/>
      <w:sz w:val="28"/>
      <w:szCs w:val="28"/>
      <w:lang w:eastAsia="en-US"/>
    </w:rPr>
  </w:style>
  <w:style w:type="paragraph" w:styleId="Obsah1">
    <w:name w:val="toc 1"/>
    <w:basedOn w:val="Normln"/>
    <w:next w:val="Normln"/>
    <w:autoRedefine/>
    <w:uiPriority w:val="39"/>
    <w:unhideWhenUsed/>
    <w:qFormat/>
    <w:rsid w:val="00DB3B0D"/>
    <w:pPr>
      <w:spacing w:after="100"/>
      <w:ind w:left="0"/>
    </w:pPr>
  </w:style>
  <w:style w:type="paragraph" w:styleId="Obsah2">
    <w:name w:val="toc 2"/>
    <w:basedOn w:val="Normln"/>
    <w:next w:val="Normln"/>
    <w:autoRedefine/>
    <w:uiPriority w:val="39"/>
    <w:unhideWhenUsed/>
    <w:qFormat/>
    <w:rsid w:val="00DB3B0D"/>
    <w:pPr>
      <w:spacing w:after="100"/>
      <w:ind w:left="220"/>
    </w:pPr>
  </w:style>
  <w:style w:type="paragraph" w:styleId="Obsah3">
    <w:name w:val="toc 3"/>
    <w:basedOn w:val="Normln"/>
    <w:next w:val="Normln"/>
    <w:autoRedefine/>
    <w:uiPriority w:val="39"/>
    <w:semiHidden/>
    <w:unhideWhenUsed/>
    <w:qFormat/>
    <w:rsid w:val="00DB3B0D"/>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jc w:val="left"/>
    </w:pPr>
    <w:rPr>
      <w:rFonts w:asciiTheme="minorHAnsi" w:eastAsiaTheme="minorEastAsia" w:hAnsiTheme="minorHAnsi" w:cstheme="minorBidi"/>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287">
      <w:bodyDiv w:val="1"/>
      <w:marLeft w:val="0"/>
      <w:marRight w:val="0"/>
      <w:marTop w:val="0"/>
      <w:marBottom w:val="0"/>
      <w:divBdr>
        <w:top w:val="none" w:sz="0" w:space="0" w:color="auto"/>
        <w:left w:val="none" w:sz="0" w:space="0" w:color="auto"/>
        <w:bottom w:val="none" w:sz="0" w:space="0" w:color="auto"/>
        <w:right w:val="none" w:sz="0" w:space="0" w:color="auto"/>
      </w:divBdr>
    </w:div>
    <w:div w:id="144513474">
      <w:bodyDiv w:val="1"/>
      <w:marLeft w:val="0"/>
      <w:marRight w:val="0"/>
      <w:marTop w:val="0"/>
      <w:marBottom w:val="0"/>
      <w:divBdr>
        <w:top w:val="none" w:sz="0" w:space="0" w:color="auto"/>
        <w:left w:val="none" w:sz="0" w:space="0" w:color="auto"/>
        <w:bottom w:val="none" w:sz="0" w:space="0" w:color="auto"/>
        <w:right w:val="none" w:sz="0" w:space="0" w:color="auto"/>
      </w:divBdr>
    </w:div>
    <w:div w:id="624234227">
      <w:bodyDiv w:val="1"/>
      <w:marLeft w:val="0"/>
      <w:marRight w:val="0"/>
      <w:marTop w:val="0"/>
      <w:marBottom w:val="0"/>
      <w:divBdr>
        <w:top w:val="none" w:sz="0" w:space="0" w:color="auto"/>
        <w:left w:val="none" w:sz="0" w:space="0" w:color="auto"/>
        <w:bottom w:val="none" w:sz="0" w:space="0" w:color="auto"/>
        <w:right w:val="none" w:sz="0" w:space="0" w:color="auto"/>
      </w:divBdr>
    </w:div>
    <w:div w:id="684525513">
      <w:bodyDiv w:val="1"/>
      <w:marLeft w:val="0"/>
      <w:marRight w:val="0"/>
      <w:marTop w:val="0"/>
      <w:marBottom w:val="0"/>
      <w:divBdr>
        <w:top w:val="none" w:sz="0" w:space="0" w:color="auto"/>
        <w:left w:val="none" w:sz="0" w:space="0" w:color="auto"/>
        <w:bottom w:val="none" w:sz="0" w:space="0" w:color="auto"/>
        <w:right w:val="none" w:sz="0" w:space="0" w:color="auto"/>
      </w:divBdr>
    </w:div>
    <w:div w:id="722365183">
      <w:bodyDiv w:val="1"/>
      <w:marLeft w:val="0"/>
      <w:marRight w:val="0"/>
      <w:marTop w:val="0"/>
      <w:marBottom w:val="0"/>
      <w:divBdr>
        <w:top w:val="none" w:sz="0" w:space="0" w:color="auto"/>
        <w:left w:val="none" w:sz="0" w:space="0" w:color="auto"/>
        <w:bottom w:val="none" w:sz="0" w:space="0" w:color="auto"/>
        <w:right w:val="none" w:sz="0" w:space="0" w:color="auto"/>
      </w:divBdr>
    </w:div>
    <w:div w:id="798570006">
      <w:bodyDiv w:val="1"/>
      <w:marLeft w:val="0"/>
      <w:marRight w:val="0"/>
      <w:marTop w:val="0"/>
      <w:marBottom w:val="0"/>
      <w:divBdr>
        <w:top w:val="none" w:sz="0" w:space="0" w:color="auto"/>
        <w:left w:val="none" w:sz="0" w:space="0" w:color="auto"/>
        <w:bottom w:val="none" w:sz="0" w:space="0" w:color="auto"/>
        <w:right w:val="none" w:sz="0" w:space="0" w:color="auto"/>
      </w:divBdr>
    </w:div>
    <w:div w:id="957182787">
      <w:bodyDiv w:val="1"/>
      <w:marLeft w:val="0"/>
      <w:marRight w:val="0"/>
      <w:marTop w:val="0"/>
      <w:marBottom w:val="0"/>
      <w:divBdr>
        <w:top w:val="none" w:sz="0" w:space="0" w:color="auto"/>
        <w:left w:val="none" w:sz="0" w:space="0" w:color="auto"/>
        <w:bottom w:val="none" w:sz="0" w:space="0" w:color="auto"/>
        <w:right w:val="none" w:sz="0" w:space="0" w:color="auto"/>
      </w:divBdr>
    </w:div>
    <w:div w:id="1082217256">
      <w:bodyDiv w:val="1"/>
      <w:marLeft w:val="0"/>
      <w:marRight w:val="0"/>
      <w:marTop w:val="0"/>
      <w:marBottom w:val="0"/>
      <w:divBdr>
        <w:top w:val="none" w:sz="0" w:space="0" w:color="auto"/>
        <w:left w:val="none" w:sz="0" w:space="0" w:color="auto"/>
        <w:bottom w:val="none" w:sz="0" w:space="0" w:color="auto"/>
        <w:right w:val="none" w:sz="0" w:space="0" w:color="auto"/>
      </w:divBdr>
    </w:div>
    <w:div w:id="1128738861">
      <w:bodyDiv w:val="1"/>
      <w:marLeft w:val="0"/>
      <w:marRight w:val="0"/>
      <w:marTop w:val="0"/>
      <w:marBottom w:val="0"/>
      <w:divBdr>
        <w:top w:val="none" w:sz="0" w:space="0" w:color="auto"/>
        <w:left w:val="none" w:sz="0" w:space="0" w:color="auto"/>
        <w:bottom w:val="none" w:sz="0" w:space="0" w:color="auto"/>
        <w:right w:val="none" w:sz="0" w:space="0" w:color="auto"/>
      </w:divBdr>
    </w:div>
    <w:div w:id="1448623922">
      <w:bodyDiv w:val="1"/>
      <w:marLeft w:val="0"/>
      <w:marRight w:val="0"/>
      <w:marTop w:val="0"/>
      <w:marBottom w:val="0"/>
      <w:divBdr>
        <w:top w:val="none" w:sz="0" w:space="0" w:color="auto"/>
        <w:left w:val="none" w:sz="0" w:space="0" w:color="auto"/>
        <w:bottom w:val="none" w:sz="0" w:space="0" w:color="auto"/>
        <w:right w:val="none" w:sz="0" w:space="0" w:color="auto"/>
      </w:divBdr>
    </w:div>
    <w:div w:id="1570113388">
      <w:bodyDiv w:val="1"/>
      <w:marLeft w:val="0"/>
      <w:marRight w:val="0"/>
      <w:marTop w:val="0"/>
      <w:marBottom w:val="0"/>
      <w:divBdr>
        <w:top w:val="none" w:sz="0" w:space="0" w:color="auto"/>
        <w:left w:val="none" w:sz="0" w:space="0" w:color="auto"/>
        <w:bottom w:val="none" w:sz="0" w:space="0" w:color="auto"/>
        <w:right w:val="none" w:sz="0" w:space="0" w:color="auto"/>
      </w:divBdr>
    </w:div>
    <w:div w:id="1645547167">
      <w:bodyDiv w:val="1"/>
      <w:marLeft w:val="0"/>
      <w:marRight w:val="0"/>
      <w:marTop w:val="0"/>
      <w:marBottom w:val="0"/>
      <w:divBdr>
        <w:top w:val="none" w:sz="0" w:space="0" w:color="auto"/>
        <w:left w:val="none" w:sz="0" w:space="0" w:color="auto"/>
        <w:bottom w:val="none" w:sz="0" w:space="0" w:color="auto"/>
        <w:right w:val="none" w:sz="0" w:space="0" w:color="auto"/>
      </w:divBdr>
    </w:div>
    <w:div w:id="1708145558">
      <w:bodyDiv w:val="1"/>
      <w:marLeft w:val="0"/>
      <w:marRight w:val="0"/>
      <w:marTop w:val="0"/>
      <w:marBottom w:val="0"/>
      <w:divBdr>
        <w:top w:val="none" w:sz="0" w:space="0" w:color="auto"/>
        <w:left w:val="none" w:sz="0" w:space="0" w:color="auto"/>
        <w:bottom w:val="none" w:sz="0" w:space="0" w:color="auto"/>
        <w:right w:val="none" w:sz="0" w:space="0" w:color="auto"/>
      </w:divBdr>
    </w:div>
    <w:div w:id="1941058707">
      <w:bodyDiv w:val="1"/>
      <w:marLeft w:val="0"/>
      <w:marRight w:val="0"/>
      <w:marTop w:val="0"/>
      <w:marBottom w:val="0"/>
      <w:divBdr>
        <w:top w:val="none" w:sz="0" w:space="0" w:color="auto"/>
        <w:left w:val="none" w:sz="0" w:space="0" w:color="auto"/>
        <w:bottom w:val="none" w:sz="0" w:space="0" w:color="auto"/>
        <w:right w:val="none" w:sz="0" w:space="0" w:color="auto"/>
      </w:divBdr>
    </w:div>
    <w:div w:id="2026907591">
      <w:bodyDiv w:val="1"/>
      <w:marLeft w:val="0"/>
      <w:marRight w:val="0"/>
      <w:marTop w:val="0"/>
      <w:marBottom w:val="0"/>
      <w:divBdr>
        <w:top w:val="none" w:sz="0" w:space="0" w:color="auto"/>
        <w:left w:val="none" w:sz="0" w:space="0" w:color="auto"/>
        <w:bottom w:val="none" w:sz="0" w:space="0" w:color="auto"/>
        <w:right w:val="none" w:sz="0" w:space="0" w:color="auto"/>
      </w:divBdr>
    </w:div>
    <w:div w:id="2061514813">
      <w:bodyDiv w:val="1"/>
      <w:marLeft w:val="0"/>
      <w:marRight w:val="0"/>
      <w:marTop w:val="0"/>
      <w:marBottom w:val="0"/>
      <w:divBdr>
        <w:top w:val="none" w:sz="0" w:space="0" w:color="auto"/>
        <w:left w:val="none" w:sz="0" w:space="0" w:color="auto"/>
        <w:bottom w:val="none" w:sz="0" w:space="0" w:color="auto"/>
        <w:right w:val="none" w:sz="0" w:space="0" w:color="auto"/>
      </w:divBdr>
      <w:divsChild>
        <w:div w:id="1044602089">
          <w:marLeft w:val="0"/>
          <w:marRight w:val="0"/>
          <w:marTop w:val="0"/>
          <w:marBottom w:val="0"/>
          <w:divBdr>
            <w:top w:val="none" w:sz="0" w:space="0" w:color="auto"/>
            <w:left w:val="none" w:sz="0" w:space="0" w:color="auto"/>
            <w:bottom w:val="none" w:sz="0" w:space="0" w:color="auto"/>
            <w:right w:val="none" w:sz="0" w:space="0" w:color="auto"/>
          </w:divBdr>
        </w:div>
      </w:divsChild>
    </w:div>
    <w:div w:id="2138060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akriminal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esto-bohumin.cz/data/dokumenty/8909.pdf" TargetMode="External"/><Relationship Id="rId3" Type="http://schemas.openxmlformats.org/officeDocument/2006/relationships/hyperlink" Target="http://cslav.justice.cz/InfoData/prehledy-statistickych-listu.html" TargetMode="External"/><Relationship Id="rId7" Type="http://schemas.openxmlformats.org/officeDocument/2006/relationships/hyperlink" Target="http://www.mapakriminality.cz/" TargetMode="External"/><Relationship Id="rId2" Type="http://schemas.openxmlformats.org/officeDocument/2006/relationships/hyperlink" Target="http://www.nfpk.cz/tz/4869" TargetMode="External"/><Relationship Id="rId1" Type="http://schemas.openxmlformats.org/officeDocument/2006/relationships/hyperlink" Target="http://brno.idnes.cz/chvalovice-na-znojemsku-jsou-bohate-diky-hazardu-fba-/brno-zpravy.aspx?c=A160913_2272843_brno-zpravy_vh" TargetMode="External"/><Relationship Id="rId6" Type="http://schemas.openxmlformats.org/officeDocument/2006/relationships/hyperlink" Target="http://prevencekriminality.vmyto.eu/images/Bezpecnostni_analyza/bezpecnostni_analyza_2017.pdf" TargetMode="External"/><Relationship Id="rId5" Type="http://schemas.openxmlformats.org/officeDocument/2006/relationships/hyperlink" Target="http://www.kr-karlovarsky.cz/krajsky-urad/cinnosti/Documents/bezp_analyza.doc" TargetMode="External"/><Relationship Id="rId4" Type="http://schemas.openxmlformats.org/officeDocument/2006/relationships/hyperlink" Target="http://www.kr-karlovarsky.cz/krajsky-urad/cinnosti/Documents/bezp_analyza.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6A82E-8B48-4C6F-9B3F-A449C25B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6001</Words>
  <Characters>35409</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Zdeněk Koudelka</dc:creator>
  <cp:lastModifiedBy>Zdeněk Koudelka</cp:lastModifiedBy>
  <cp:revision>15</cp:revision>
  <cp:lastPrinted>2017-04-29T19:45:00Z</cp:lastPrinted>
  <dcterms:created xsi:type="dcterms:W3CDTF">2017-04-12T15:21:00Z</dcterms:created>
  <dcterms:modified xsi:type="dcterms:W3CDTF">2017-04-29T19:45:00Z</dcterms:modified>
</cp:coreProperties>
</file>