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4D" w:rsidRDefault="0026205C" w:rsidP="00765411">
      <w:pPr>
        <w:jc w:val="center"/>
        <w:rPr>
          <w:b/>
        </w:rPr>
      </w:pPr>
      <w:r>
        <w:rPr>
          <w:b/>
        </w:rPr>
        <w:t>L</w:t>
      </w:r>
      <w:r w:rsidR="00765411" w:rsidRPr="00765411">
        <w:rPr>
          <w:b/>
        </w:rPr>
        <w:t>icence a trestný čin podvodu</w:t>
      </w:r>
    </w:p>
    <w:p w:rsidR="001420A8" w:rsidRPr="00765411" w:rsidRDefault="001420A8" w:rsidP="00765411">
      <w:pPr>
        <w:jc w:val="center"/>
        <w:rPr>
          <w:b/>
        </w:rPr>
      </w:pPr>
      <w:r>
        <w:rPr>
          <w:b/>
        </w:rPr>
        <w:t>Zdeněk Koudelka</w:t>
      </w:r>
    </w:p>
    <w:p w:rsidR="00524102" w:rsidRDefault="00524102"/>
    <w:p w:rsidR="00524102" w:rsidRPr="00524102" w:rsidRDefault="00524102" w:rsidP="00524102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524102">
        <w:rPr>
          <w:b/>
        </w:rPr>
        <w:t>Licence a podvod</w:t>
      </w:r>
    </w:p>
    <w:p w:rsidR="00765411" w:rsidRDefault="00765411" w:rsidP="000566FD">
      <w:pPr>
        <w:jc w:val="both"/>
      </w:pPr>
      <w:r>
        <w:t>Trestní zákoník nezná speciální skutkovou podstatu licenčního podvodu, proto případná trestnost získání licence m</w:t>
      </w:r>
      <w:r w:rsidR="009E6EA8">
        <w:t xml:space="preserve">ůže být </w:t>
      </w:r>
      <w:r>
        <w:t xml:space="preserve">posuzována </w:t>
      </w:r>
      <w:r w:rsidR="009E6EA8">
        <w:t xml:space="preserve">při splnění dalších podmínek </w:t>
      </w:r>
      <w:r>
        <w:t>jen podle skutkové podstaty podvodu.</w:t>
      </w:r>
      <w:r w:rsidR="000566FD">
        <w:rPr>
          <w:rStyle w:val="Znakapoznpodarou"/>
        </w:rPr>
        <w:footnoteReference w:id="2"/>
      </w:r>
      <w:r>
        <w:t xml:space="preserve"> Ten je definován tak, že jde o</w:t>
      </w:r>
      <w:r w:rsidR="003604D2">
        <w:t xml:space="preserve"> úmyslné</w:t>
      </w:r>
      <w:r>
        <w:t xml:space="preserve"> obohacení sebe nebo jiného tím, že </w:t>
      </w:r>
      <w:r w:rsidR="00AE5D92">
        <w:t xml:space="preserve">pachatel </w:t>
      </w:r>
      <w:r>
        <w:t xml:space="preserve">uvede někoho v omyl, využije něčího omylu nebo zamlčí podstatné skutečnosti, a způsobí tak na cizím majetku </w:t>
      </w:r>
      <w:r w:rsidR="007A197E">
        <w:t xml:space="preserve">škodu nikoliv nepatrnou. Pro naplnění této skutkové podstaty je nutné splnit kumulativně tři </w:t>
      </w:r>
      <w:r w:rsidR="00C140A3">
        <w:t xml:space="preserve">zákonné </w:t>
      </w:r>
      <w:r w:rsidR="00E7388E">
        <w:t xml:space="preserve">typové </w:t>
      </w:r>
      <w:r w:rsidR="00C140A3">
        <w:t>znaky</w:t>
      </w:r>
      <w:r w:rsidR="007A197E">
        <w:t>:</w:t>
      </w:r>
    </w:p>
    <w:p w:rsidR="007A197E" w:rsidRDefault="007A197E" w:rsidP="007A197E">
      <w:pPr>
        <w:pStyle w:val="Odstavecseseznamem"/>
        <w:numPr>
          <w:ilvl w:val="0"/>
          <w:numId w:val="2"/>
        </w:numPr>
      </w:pPr>
      <w:r>
        <w:t>obohacení pachatele nebo jiné osoby,</w:t>
      </w:r>
    </w:p>
    <w:p w:rsidR="007A197E" w:rsidRDefault="007A197E" w:rsidP="007A197E">
      <w:pPr>
        <w:pStyle w:val="Odstavecseseznamem"/>
        <w:numPr>
          <w:ilvl w:val="0"/>
          <w:numId w:val="2"/>
        </w:numPr>
      </w:pPr>
      <w:r>
        <w:t>uvedení někoho v omyl, využití omylu nebo zamlčení podstatné skutečnosti,</w:t>
      </w:r>
    </w:p>
    <w:p w:rsidR="007A197E" w:rsidRDefault="007A197E" w:rsidP="007A197E">
      <w:pPr>
        <w:pStyle w:val="Odstavecseseznamem"/>
        <w:numPr>
          <w:ilvl w:val="0"/>
          <w:numId w:val="2"/>
        </w:numPr>
      </w:pPr>
      <w:r>
        <w:t>způsobení škody nikoliv nepatrné.</w:t>
      </w:r>
    </w:p>
    <w:p w:rsidR="003604D2" w:rsidRDefault="003604D2" w:rsidP="003604D2">
      <w:pPr>
        <w:jc w:val="both"/>
      </w:pPr>
      <w:r>
        <w:t>Nejvyšší soud k zákonné</w:t>
      </w:r>
      <w:r w:rsidR="00D97C30">
        <w:t>mu</w:t>
      </w:r>
      <w:r>
        <w:t xml:space="preserve"> znaku způsobení škody, tedy transferu majetkové hodnoty v rámci podvodu uvedl: </w:t>
      </w:r>
      <w:r w:rsidRPr="003604D2">
        <w:rPr>
          <w:i/>
        </w:rPr>
        <w:t>„To znamená, že z hlediska naplnění znaků citovaného trestného činu je relevantní jen takové jednání pachatele, které předchází transferu majetkové hodnoty (např. peněz) z dispozice poškozeného do dispozice pachatele nebo někoho jiného. Jen takové jednání totiž může být v příčinné souvislosti s následkem, který má podobu úbytku majetku na straně poškozeného.“</w:t>
      </w:r>
      <w:r>
        <w:t>.</w:t>
      </w:r>
      <w:r>
        <w:rPr>
          <w:rStyle w:val="Znakapoznpodarou"/>
        </w:rPr>
        <w:footnoteReference w:id="3"/>
      </w:r>
      <w:r w:rsidR="00066804">
        <w:t xml:space="preserve"> Právě zákonné </w:t>
      </w:r>
      <w:r w:rsidR="00E7388E">
        <w:t xml:space="preserve">typové </w:t>
      </w:r>
      <w:r w:rsidR="00066804">
        <w:t>znaky obohacení a způsobení škody odlišují podvod od skutkových podstat pojistného, úvěrového a dotačního podvodu, kde se způsobení škody a obohacení nevyžaduje a dostačuje již uvedení nepravdivých nebo hrubě zkreslených údajů</w:t>
      </w:r>
      <w:r w:rsidR="00E369DC">
        <w:t>, případně zamlčení podstatných údajů u úvěrového a dotačního podvodu.</w:t>
      </w:r>
      <w:r w:rsidR="00E369DC">
        <w:rPr>
          <w:rStyle w:val="Znakapoznpodarou"/>
        </w:rPr>
        <w:footnoteReference w:id="4"/>
      </w:r>
      <w:r w:rsidR="00B62B6B">
        <w:t xml:space="preserve"> Pokud by zákonodárce chtěl takto postupovat i při jiných podvodných jednání</w:t>
      </w:r>
      <w:r w:rsidR="00A12C45">
        <w:t>ch (získ</w:t>
      </w:r>
      <w:r w:rsidR="008A0DA8">
        <w:t>ání licence), musel by uzákonit další s</w:t>
      </w:r>
      <w:r w:rsidR="00A12C45">
        <w:t>kutkovou</w:t>
      </w:r>
      <w:r w:rsidR="00B62B6B">
        <w:t xml:space="preserve"> podstat</w:t>
      </w:r>
      <w:r w:rsidR="00A12C45">
        <w:t>u</w:t>
      </w:r>
      <w:r w:rsidR="008A0DA8">
        <w:t xml:space="preserve"> trestného činu</w:t>
      </w:r>
      <w:r w:rsidR="00B62B6B">
        <w:t>, což se však neučinil.</w:t>
      </w:r>
    </w:p>
    <w:p w:rsidR="007A197E" w:rsidRDefault="007A197E" w:rsidP="007A197E"/>
    <w:p w:rsidR="007A197E" w:rsidRPr="00524102" w:rsidRDefault="007A197E" w:rsidP="00524102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524102">
        <w:rPr>
          <w:b/>
        </w:rPr>
        <w:t>Licence</w:t>
      </w:r>
      <w:r w:rsidR="00524102" w:rsidRPr="00524102">
        <w:rPr>
          <w:b/>
        </w:rPr>
        <w:t xml:space="preserve"> – pojem a dělení</w:t>
      </w:r>
    </w:p>
    <w:p w:rsidR="007A197E" w:rsidRDefault="007A197E" w:rsidP="000566FD">
      <w:pPr>
        <w:jc w:val="both"/>
      </w:pPr>
      <w:r>
        <w:t>Licence je pojem, který má v právu více obsahů. Jde tedy o stejné slovo, jež však může označovat různé právní instituty. Dělení je dle právního odvětví na soukromoprávní licenci a veřejnoprávní licenci.</w:t>
      </w:r>
    </w:p>
    <w:p w:rsidR="00524102" w:rsidRPr="00391D2F" w:rsidRDefault="00524102" w:rsidP="00524102">
      <w:pPr>
        <w:pStyle w:val="Odstavecseseznamem"/>
        <w:numPr>
          <w:ilvl w:val="1"/>
          <w:numId w:val="3"/>
        </w:numPr>
        <w:rPr>
          <w:b/>
        </w:rPr>
      </w:pPr>
      <w:r w:rsidRPr="00391D2F">
        <w:rPr>
          <w:b/>
        </w:rPr>
        <w:t>Soukromoprávní licence</w:t>
      </w:r>
    </w:p>
    <w:p w:rsidR="000B079C" w:rsidRDefault="00524102" w:rsidP="00391D2F">
      <w:pPr>
        <w:jc w:val="both"/>
      </w:pPr>
      <w:r>
        <w:t>Soukromoprávní licence vzniká na základě l</w:t>
      </w:r>
      <w:r w:rsidRPr="00524102">
        <w:t>icenční smlouv</w:t>
      </w:r>
      <w:r>
        <w:t>y,</w:t>
      </w:r>
      <w:r w:rsidRPr="00524102">
        <w:t xml:space="preserve"> </w:t>
      </w:r>
      <w:r>
        <w:t xml:space="preserve">kterou </w:t>
      </w:r>
      <w:r w:rsidRPr="00524102">
        <w:t xml:space="preserve">poskytuje poskytovatel </w:t>
      </w:r>
      <w:r>
        <w:t xml:space="preserve">licence </w:t>
      </w:r>
      <w:r w:rsidRPr="00524102">
        <w:t>nabyvateli oprávnění k výkonu práva duševního vlastnictví (licenci) v ujednaném omezeném nebo neomezeném rozsahu a nabyvatel se zavazuje, není-li ujednáno jinak, p</w:t>
      </w:r>
      <w:r>
        <w:t>oskytnout poskytovateli odměnu.</w:t>
      </w:r>
      <w:r>
        <w:rPr>
          <w:rStyle w:val="Znakapoznpodarou"/>
        </w:rPr>
        <w:footnoteReference w:id="5"/>
      </w:r>
      <w:r w:rsidR="00391D2F">
        <w:t xml:space="preserve"> </w:t>
      </w:r>
      <w:r w:rsidR="00BB40E1">
        <w:t>Soukromoprávní l</w:t>
      </w:r>
      <w:r w:rsidR="00391D2F">
        <w:t>icence je důsledkem vícestranného právního jednání (smlouvy) a zpravidla je spojena s odměnou. Pokud dojde k tomu, že soukromoprávní licence je na někom získána uvedením v omyl, využitím omylu nebo zamlčením podstatné skutečnosti a smlouv</w:t>
      </w:r>
      <w:r w:rsidR="004A214B">
        <w:t>a</w:t>
      </w:r>
      <w:r w:rsidR="00391D2F">
        <w:t xml:space="preserve"> nevylučuje </w:t>
      </w:r>
      <w:r w:rsidR="00391D2F">
        <w:lastRenderedPageBreak/>
        <w:t xml:space="preserve">odměnu, dojde </w:t>
      </w:r>
      <w:r w:rsidR="004A214B">
        <w:t xml:space="preserve">zpravidla </w:t>
      </w:r>
      <w:r w:rsidR="00391D2F">
        <w:t xml:space="preserve">k naplnění skutkové podstaty podvodu, jelikož </w:t>
      </w:r>
      <w:r w:rsidR="000566FD">
        <w:t xml:space="preserve">poskytnutá </w:t>
      </w:r>
      <w:r w:rsidR="00391D2F">
        <w:t xml:space="preserve">odměna </w:t>
      </w:r>
      <w:r w:rsidR="000566FD">
        <w:t xml:space="preserve">je </w:t>
      </w:r>
      <w:r w:rsidR="00391D2F">
        <w:t>obohacen</w:t>
      </w:r>
      <w:r w:rsidR="000566FD">
        <w:t>ím</w:t>
      </w:r>
      <w:r w:rsidR="00391D2F">
        <w:t xml:space="preserve"> někoho na úkor jiného, kterému je způsobena škoda.</w:t>
      </w:r>
      <w:r w:rsidR="000566FD">
        <w:t xml:space="preserve"> </w:t>
      </w:r>
    </w:p>
    <w:p w:rsidR="00524102" w:rsidRDefault="000566FD" w:rsidP="001420A8">
      <w:pPr>
        <w:jc w:val="both"/>
      </w:pPr>
      <w:r>
        <w:t xml:space="preserve">I v případě, že nebyla </w:t>
      </w:r>
      <w:r w:rsidR="002803F4">
        <w:t xml:space="preserve">vyplacena </w:t>
      </w:r>
      <w:r>
        <w:t>poskytnut</w:t>
      </w:r>
      <w:r w:rsidR="002803F4">
        <w:t>á</w:t>
      </w:r>
      <w:r>
        <w:t xml:space="preserve"> odměna, jde o trestné jednání, jelikož v daném případě je příprava podvodu trestná.</w:t>
      </w:r>
      <w:r w:rsidR="004A214B">
        <w:t xml:space="preserve"> Přičemž podvodu se mohou dopustit obě strany tohoto smluvního jednání. Tedy poskytovatel licence, který uvede v omyl nabyvatele, i nabyvatel, který uvede v omyl poskytovatele.</w:t>
      </w:r>
      <w:r w:rsidR="00875197">
        <w:t xml:space="preserve"> Přičemž j</w:t>
      </w:r>
      <w:r w:rsidR="000B079C">
        <w:t>e</w:t>
      </w:r>
      <w:r w:rsidR="00875197">
        <w:t xml:space="preserve"> možný</w:t>
      </w:r>
      <w:r w:rsidR="000B079C">
        <w:t xml:space="preserve"> jednočinný souběh trestného činu podvodu s jiným trestným činem – porušení práv k ochranné známce a jiným označením.</w:t>
      </w:r>
      <w:r w:rsidR="000B079C">
        <w:rPr>
          <w:rStyle w:val="Znakapoznpodarou"/>
        </w:rPr>
        <w:footnoteReference w:id="6"/>
      </w:r>
    </w:p>
    <w:p w:rsidR="00524102" w:rsidRPr="00391D2F" w:rsidRDefault="00524102" w:rsidP="00524102">
      <w:pPr>
        <w:pStyle w:val="Odstavecseseznamem"/>
        <w:numPr>
          <w:ilvl w:val="1"/>
          <w:numId w:val="3"/>
        </w:numPr>
        <w:rPr>
          <w:b/>
        </w:rPr>
      </w:pPr>
      <w:r w:rsidRPr="00391D2F">
        <w:rPr>
          <w:b/>
        </w:rPr>
        <w:t>Veřejnoprávní licence</w:t>
      </w:r>
    </w:p>
    <w:p w:rsidR="00E01E84" w:rsidRDefault="000566FD" w:rsidP="00A00157">
      <w:pPr>
        <w:jc w:val="both"/>
      </w:pPr>
      <w:r>
        <w:t>Veřejnoprávní licence je správním rozhodnutím, které opravňuje držitele k určité činnosti. Zatímco soukromoprávní licence vzniká dvoustranným jednáním - smlouvou nejméně mezi dvěma subjekty, veřejnoprávní licence je individuální jednostranný právní akt veřejné moci.</w:t>
      </w:r>
      <w:r w:rsidR="00E01E84">
        <w:t xml:space="preserve"> </w:t>
      </w:r>
    </w:p>
    <w:p w:rsidR="00391D2F" w:rsidRDefault="00E01E84" w:rsidP="00391D2F">
      <w:r>
        <w:t>Příklady veřejnoprávní licence:</w:t>
      </w:r>
    </w:p>
    <w:p w:rsidR="00E01E84" w:rsidRDefault="00E01E84" w:rsidP="00E01E84">
      <w:pPr>
        <w:pStyle w:val="Odstavecseseznamem"/>
        <w:numPr>
          <w:ilvl w:val="0"/>
          <w:numId w:val="4"/>
        </w:numPr>
      </w:pPr>
      <w:r>
        <w:t>poštovní licence,</w:t>
      </w:r>
      <w:r w:rsidR="00DC44EC">
        <w:rPr>
          <w:rStyle w:val="Znakapoznpodarou"/>
        </w:rPr>
        <w:footnoteReference w:id="7"/>
      </w:r>
    </w:p>
    <w:p w:rsidR="00E01E84" w:rsidRDefault="00E01E84" w:rsidP="00E01E84">
      <w:pPr>
        <w:pStyle w:val="Odstavecseseznamem"/>
        <w:numPr>
          <w:ilvl w:val="0"/>
          <w:numId w:val="4"/>
        </w:numPr>
      </w:pPr>
      <w:r>
        <w:t xml:space="preserve">letecká </w:t>
      </w:r>
      <w:r w:rsidRPr="00E01E84">
        <w:t xml:space="preserve">provozní licence </w:t>
      </w:r>
      <w:r>
        <w:t>leteckého dopravce</w:t>
      </w:r>
      <w:r w:rsidRPr="00E01E84">
        <w:t>,</w:t>
      </w:r>
      <w:r>
        <w:rPr>
          <w:rStyle w:val="Znakapoznpodarou"/>
        </w:rPr>
        <w:footnoteReference w:id="8"/>
      </w:r>
    </w:p>
    <w:p w:rsidR="00E01E84" w:rsidRDefault="00E01E84" w:rsidP="00E01E84">
      <w:pPr>
        <w:pStyle w:val="Odstavecseseznamem"/>
        <w:numPr>
          <w:ilvl w:val="0"/>
          <w:numId w:val="4"/>
        </w:numPr>
      </w:pPr>
      <w:r>
        <w:t>licence pro zoologické zahrady,</w:t>
      </w:r>
      <w:r w:rsidR="00DC44EC">
        <w:rPr>
          <w:rStyle w:val="Znakapoznpodarou"/>
        </w:rPr>
        <w:footnoteReference w:id="9"/>
      </w:r>
    </w:p>
    <w:p w:rsidR="00E01E84" w:rsidRDefault="00DF14B0" w:rsidP="00DF14B0">
      <w:pPr>
        <w:pStyle w:val="Odstavecseseznamem"/>
        <w:numPr>
          <w:ilvl w:val="0"/>
          <w:numId w:val="4"/>
        </w:numPr>
      </w:pPr>
      <w:r w:rsidRPr="00DF14B0">
        <w:t>licence pro výrobu, distribuci či obchod s elektř</w:t>
      </w:r>
      <w:r>
        <w:t>inou, plynem a tepelnou energií,</w:t>
      </w:r>
      <w:r w:rsidR="00E8668E" w:rsidRPr="00E8668E">
        <w:t xml:space="preserve"> </w:t>
      </w:r>
      <w:r w:rsidR="00E01E84">
        <w:rPr>
          <w:rStyle w:val="Znakapoznpodarou"/>
        </w:rPr>
        <w:footnoteReference w:id="10"/>
      </w:r>
    </w:p>
    <w:p w:rsidR="00E01E84" w:rsidRDefault="00E01E84" w:rsidP="00E01E84">
      <w:pPr>
        <w:pStyle w:val="Odstavecseseznamem"/>
        <w:numPr>
          <w:ilvl w:val="0"/>
          <w:numId w:val="4"/>
        </w:numPr>
      </w:pPr>
      <w:r>
        <w:t xml:space="preserve">licence pro zahraniční obchod s vojenským </w:t>
      </w:r>
      <w:r w:rsidR="00DC44EC">
        <w:t>materiálem.</w:t>
      </w:r>
      <w:r w:rsidR="00DC44EC">
        <w:rPr>
          <w:rStyle w:val="Znakapoznpodarou"/>
        </w:rPr>
        <w:footnoteReference w:id="11"/>
      </w:r>
    </w:p>
    <w:p w:rsidR="00C40057" w:rsidRDefault="00C40057" w:rsidP="0099295A">
      <w:pPr>
        <w:jc w:val="both"/>
      </w:pPr>
      <w:r>
        <w:t>Obdobno</w:t>
      </w:r>
      <w:r w:rsidR="002E238C">
        <w:t>u povahu jako licence může mít</w:t>
      </w:r>
      <w:r>
        <w:t xml:space="preserve"> správní rozhodnutí jinak nazvané (registrace, koncese), kdy je toto správní rozhodnutí podmínkou uskutečnění určité</w:t>
      </w:r>
      <w:r w:rsidR="008A4A81">
        <w:t>,</w:t>
      </w:r>
      <w:r>
        <w:t xml:space="preserve"> veřejnou mocí regulované činnosti – registr</w:t>
      </w:r>
      <w:r w:rsidR="002E238C">
        <w:t>ace distributorů pohonných hmot nebo koncesované živnosti.</w:t>
      </w:r>
      <w:r>
        <w:rPr>
          <w:rStyle w:val="Znakapoznpodarou"/>
        </w:rPr>
        <w:footnoteReference w:id="12"/>
      </w:r>
      <w:r w:rsidR="002E238C">
        <w:t xml:space="preserve"> </w:t>
      </w:r>
      <w:r w:rsidR="005218AA">
        <w:t xml:space="preserve">Nejvyšší správní soud výslovně uvedl: </w:t>
      </w:r>
      <w:r w:rsidR="005218AA" w:rsidRPr="00773AC8">
        <w:rPr>
          <w:i/>
        </w:rPr>
        <w:t>"sama logika věci nabízí přirovnání licence dle energetického zákona k živnostenskému oprávnění"</w:t>
      </w:r>
      <w:r w:rsidR="005218AA">
        <w:t>.</w:t>
      </w:r>
      <w:r w:rsidR="005218AA">
        <w:rPr>
          <w:rStyle w:val="Znakapoznpodarou"/>
        </w:rPr>
        <w:footnoteReference w:id="13"/>
      </w:r>
      <w:r w:rsidR="005218AA">
        <w:t xml:space="preserve"> Jde o </w:t>
      </w:r>
      <w:r w:rsidR="00D97226">
        <w:t>povolení k vykonávání činnosti.</w:t>
      </w:r>
    </w:p>
    <w:p w:rsidR="003604D2" w:rsidRDefault="00DC4ED9" w:rsidP="0099295A">
      <w:pPr>
        <w:jc w:val="both"/>
      </w:pPr>
      <w:r>
        <w:t>Udělením v</w:t>
      </w:r>
      <w:r w:rsidR="0099295A">
        <w:t>eřejnoprávní licenc</w:t>
      </w:r>
      <w:r>
        <w:t>e</w:t>
      </w:r>
      <w:r w:rsidR="0099295A">
        <w:t xml:space="preserve"> sice vzniká oprávnění k určité činnosti, ale nic více. Správní úřad vydáním licence neposkytuje osobě, které je licence udělena</w:t>
      </w:r>
      <w:r>
        <w:t>,</w:t>
      </w:r>
      <w:r w:rsidR="0099295A">
        <w:t xml:space="preserve"> žádnou</w:t>
      </w:r>
      <w:r>
        <w:t xml:space="preserve"> </w:t>
      </w:r>
      <w:r w:rsidR="0099295A">
        <w:t>odměnu či jiné plnění. Na základě uvedení v omyl (využití omylu, zamlčení skutečností) správního úřadu či jiné osoby, na kt</w:t>
      </w:r>
      <w:r w:rsidR="00B0440E">
        <w:t xml:space="preserve">erou stát přenesl oprávnění výkonu části </w:t>
      </w:r>
      <w:r w:rsidR="0099295A">
        <w:t>veřejné moci spočívající v oprávnění udělovat licenci, nemůže přímo vzniknout obohacení ani škoda. Proto v takovém případě nejsou naplněny dva ze tří znaků skutkové podstaty podvodu. Není-li možné postihnout v rámci trestného činu podvodu samotné vydání veřejnoprávní licence, nelze postihnout ani přípravu.</w:t>
      </w:r>
      <w:r w:rsidR="0078290E">
        <w:t xml:space="preserve"> Z hlediska </w:t>
      </w:r>
      <w:r w:rsidR="0017408C">
        <w:t xml:space="preserve">veřejného práva </w:t>
      </w:r>
      <w:r w:rsidR="0078290E">
        <w:t>vůči takové licenci platí presumpce správnosti právních aktů. Tedy licence se považuje za platný správní akt, pokud není autoritativně</w:t>
      </w:r>
      <w:r w:rsidR="00130F67">
        <w:t xml:space="preserve"> zrušen či</w:t>
      </w:r>
      <w:r w:rsidR="0078290E">
        <w:t xml:space="preserve"> vyslovena jeho neplatnost podle práva příslušným orgánem.</w:t>
      </w:r>
    </w:p>
    <w:p w:rsidR="009A6667" w:rsidRDefault="009A6667" w:rsidP="009A6667">
      <w:pPr>
        <w:jc w:val="both"/>
      </w:pPr>
      <w:r>
        <w:t>Uvedením někoho v omyl při vydání veřejnoprávní licence může, ale nemusí být součástí širšího jednání, které povede k trestnému činu podvodu. Jinými slovy od vydání veřejnoprávní licence, byť v </w:t>
      </w:r>
      <w:r w:rsidR="00130F67">
        <w:t>omylu</w:t>
      </w:r>
      <w:r>
        <w:t xml:space="preserve"> správního úřadu, je ještě dlouhá cesta k případnému jednání, které lze hodnotit jako trestný </w:t>
      </w:r>
      <w:r>
        <w:lastRenderedPageBreak/>
        <w:t>čin podvodu.</w:t>
      </w:r>
      <w:r w:rsidR="00C5067C">
        <w:t xml:space="preserve"> Je otázkou, zda </w:t>
      </w:r>
      <w:r w:rsidR="0078290E">
        <w:t>vůbec na základě takovéto licence bude zahájena nějaká činnost a zda touto činností je někomu způsobena škoda a zároveň obohacení jiného.</w:t>
      </w:r>
    </w:p>
    <w:p w:rsidR="0017408C" w:rsidRDefault="0017408C" w:rsidP="009A6667">
      <w:pPr>
        <w:jc w:val="both"/>
      </w:pPr>
      <w:r>
        <w:t>Hypotetický příklad je, že leteckou licenci na dopravní služby získá určitá společnost uvedením v omyl příslušn</w:t>
      </w:r>
      <w:r w:rsidR="00130F67">
        <w:t>ého</w:t>
      </w:r>
      <w:r>
        <w:t xml:space="preserve"> subjekt</w:t>
      </w:r>
      <w:r w:rsidR="00130F67">
        <w:t>u</w:t>
      </w:r>
      <w:r>
        <w:t xml:space="preserve"> veřejné moci. </w:t>
      </w:r>
      <w:r w:rsidR="007E0080">
        <w:t>Na základě takové licence začne společnost přepravovat cestující. I zde nedojde k naplnění skutkové podstaty trestného činu podvodu, protože sice při vydání licence byl správní úřad uveden v omyl a společnost začala provozovat činnost se ziskem</w:t>
      </w:r>
      <w:r w:rsidR="00C30537">
        <w:t>,</w:t>
      </w:r>
      <w:r w:rsidR="007E0080">
        <w:t xml:space="preserve"> tedy se obohatila, ale cestujícím nebyla způsobena škoda, jelikož zaplatili za letenku a cesta byla k jejich spokojenosti uskutečněna. Tím není dotčena případná odpovědnost v rámci jiných skutkových podstat trestných činů, ale základní skutková podstata podvodu naplněna není.</w:t>
      </w:r>
    </w:p>
    <w:p w:rsidR="00A13A97" w:rsidRPr="00A13A97" w:rsidRDefault="00A13A97" w:rsidP="009A6667">
      <w:pPr>
        <w:jc w:val="both"/>
        <w:rPr>
          <w:b/>
        </w:rPr>
      </w:pPr>
      <w:r w:rsidRPr="00A13A97">
        <w:rPr>
          <w:b/>
        </w:rPr>
        <w:t>2.2.1. Správní orgán – omyl a podvod</w:t>
      </w:r>
    </w:p>
    <w:p w:rsidR="00FC6944" w:rsidRDefault="00A13A97" w:rsidP="009A6667">
      <w:pPr>
        <w:jc w:val="both"/>
      </w:pPr>
      <w:r>
        <w:t xml:space="preserve">Správní orgán lze uvést v omyl, ale ten sám o sobě </w:t>
      </w:r>
      <w:r w:rsidR="005218AA">
        <w:t>není podvodem</w:t>
      </w:r>
      <w:r>
        <w:t xml:space="preserve">, pokud přímo není spojen s majetkovým transferem. Z hlediska správního rozhodnutí je </w:t>
      </w:r>
      <w:r w:rsidR="00B117E4">
        <w:t xml:space="preserve">pro vznik a změnu práv a povinností </w:t>
      </w:r>
      <w:r>
        <w:t>určující jeho výroková část. Pro možnost posti</w:t>
      </w:r>
      <w:r w:rsidR="00312697">
        <w:t>hu za podvod ve spojení s rozhodnutím správního orgánu je nutné, aby uvedený majetkový transfer byl obsažen přímo ve výr</w:t>
      </w:r>
      <w:bookmarkStart w:id="0" w:name="_GoBack"/>
      <w:bookmarkEnd w:id="0"/>
      <w:r w:rsidR="00312697">
        <w:t>oku dotčeného správního rozhodnutí nebo byl přímým automatickým záko</w:t>
      </w:r>
      <w:r w:rsidR="00FC6944">
        <w:t>nným důsledkem rozhodnutí správního orgánu.</w:t>
      </w:r>
    </w:p>
    <w:p w:rsidR="00A13A97" w:rsidRDefault="00312697" w:rsidP="009A6667">
      <w:pPr>
        <w:jc w:val="both"/>
      </w:pPr>
      <w:r>
        <w:t>Například v případě rozhodnutí o vyvlastnění je určena správním rozhodnutím i výše náhrad</w:t>
      </w:r>
      <w:r w:rsidR="00643FC5">
        <w:t>y</w:t>
      </w:r>
      <w:r>
        <w:t xml:space="preserve"> za vyvlastňovanou věc (majetkový transfer), kdy správní úřad může být uveden v omyl o ceně věci.</w:t>
      </w:r>
      <w:r w:rsidR="00FC6944">
        <w:t xml:space="preserve"> Obdobně může být spáchán trestný čin podvodu uvedením v omyl katastrální</w:t>
      </w:r>
      <w:r w:rsidR="006D51C9">
        <w:t>ho</w:t>
      </w:r>
      <w:r w:rsidR="00FC6944">
        <w:t xml:space="preserve"> úřad</w:t>
      </w:r>
      <w:r w:rsidR="006D51C9">
        <w:t>u</w:t>
      </w:r>
      <w:r w:rsidR="00FC6944">
        <w:t xml:space="preserve"> při vkladu vlastnického práva </w:t>
      </w:r>
      <w:r w:rsidR="006D51C9">
        <w:t xml:space="preserve">k </w:t>
      </w:r>
      <w:r w:rsidR="00FC6944">
        <w:t>nemovité věci</w:t>
      </w:r>
      <w:r w:rsidR="001B43EB">
        <w:t xml:space="preserve"> do katastru nemovitostí</w:t>
      </w:r>
      <w:r w:rsidR="00FC6944">
        <w:t xml:space="preserve">, kdy </w:t>
      </w:r>
      <w:r w:rsidR="001B43EB">
        <w:t>zákon váže převod vlastnictví, tedy majetkový transfer, na zápis převodu vlastnického práva do katastru nemovitostí katast</w:t>
      </w:r>
      <w:r w:rsidR="006D51C9">
        <w:t>rálním úřa</w:t>
      </w:r>
      <w:r w:rsidR="001B43EB">
        <w:t>dem.</w:t>
      </w:r>
      <w:r w:rsidR="001B43EB">
        <w:rPr>
          <w:rStyle w:val="Znakapoznpodarou"/>
        </w:rPr>
        <w:footnoteReference w:id="14"/>
      </w:r>
      <w:r w:rsidR="00EA01FB">
        <w:t xml:space="preserve"> T</w:t>
      </w:r>
      <w:r w:rsidR="00443B81">
        <w:t xml:space="preserve">ěmito </w:t>
      </w:r>
      <w:r w:rsidR="00EA01FB">
        <w:t xml:space="preserve">rozhodnutími však nejsou </w:t>
      </w:r>
      <w:r w:rsidR="006D51C9">
        <w:t xml:space="preserve">samotná </w:t>
      </w:r>
      <w:r w:rsidR="00EA01FB">
        <w:t>správní rozhodnutí o udělení licence (registrace, koncese), protože neobsahují přímo žádný majetkový transfer mezi různými osobami.</w:t>
      </w:r>
    </w:p>
    <w:p w:rsidR="00F642AA" w:rsidRDefault="00F642AA" w:rsidP="00F642AA">
      <w:pPr>
        <w:jc w:val="both"/>
        <w:rPr>
          <w:b/>
        </w:rPr>
      </w:pPr>
      <w:r>
        <w:rPr>
          <w:b/>
        </w:rPr>
        <w:t>2.2.</w:t>
      </w:r>
      <w:r w:rsidR="00A13A97">
        <w:rPr>
          <w:b/>
        </w:rPr>
        <w:t>2</w:t>
      </w:r>
      <w:r>
        <w:rPr>
          <w:b/>
        </w:rPr>
        <w:t>. Povinnost správního orgán k zjištění stavu věci při vydání licence</w:t>
      </w:r>
    </w:p>
    <w:p w:rsidR="00417C84" w:rsidRDefault="00F642AA" w:rsidP="00F642AA">
      <w:pPr>
        <w:jc w:val="both"/>
      </w:pPr>
      <w:r>
        <w:t>Veřejnoprávní licence je správním rozhodnutím o právech a povinnostech konkrétní osoby, proto pro její vydání platí zásada materiální (objektivní) pravdy z pohledu činnosti správního orgánu. Ten je povinen zjistit stav věci, o němž nejsou důvodné pochybnosti v nezbytném rozsahu.</w:t>
      </w:r>
      <w:r>
        <w:rPr>
          <w:rStyle w:val="Znakapoznpodarou"/>
        </w:rPr>
        <w:footnoteReference w:id="15"/>
      </w:r>
      <w:r>
        <w:t xml:space="preserve"> Správní orgán vydávající licenci se nemůže spokojit jen s tvrzením žadatele o licenci, ale musí postupovat tak, aby byl zjištěn stav věci, nejen převzít tvrzení účastníka, který je sice povinen označit důkazy na podporu svých tvrzení, ale správní orgán není návrhem účastníka vázán.</w:t>
      </w:r>
      <w:r>
        <w:rPr>
          <w:rStyle w:val="Znakapoznpodarou"/>
        </w:rPr>
        <w:footnoteReference w:id="16"/>
      </w:r>
      <w:r>
        <w:t xml:space="preserve"> Opatřovat podklady pro rozhodnutí je primárné zákonná povinnost správního orgánu.</w:t>
      </w:r>
      <w:r>
        <w:rPr>
          <w:rStyle w:val="Znakapoznpodarou"/>
        </w:rPr>
        <w:footnoteReference w:id="17"/>
      </w:r>
      <w:r>
        <w:t xml:space="preserve"> Součinnost účastníků nemůže tuto povinnost správního orgánu zrušit.</w:t>
      </w:r>
      <w:r w:rsidR="004B18C2">
        <w:t xml:space="preserve"> </w:t>
      </w:r>
      <w:r w:rsidR="00DA5F32">
        <w:t xml:space="preserve">Nejvyšší soud uvedl: </w:t>
      </w:r>
      <w:r w:rsidR="00DA5F32" w:rsidRPr="00DA5F32">
        <w:rPr>
          <w:i/>
        </w:rPr>
        <w:t>„…žádosti o udělení licence obsahující všechny náležitosti a zákonem požadované přílohy nemusí být vyhověno, pokud jiné důkazy tuto žádost relevantním způsobem zpochybní“</w:t>
      </w:r>
      <w:r w:rsidR="00DA5F32">
        <w:t>.</w:t>
      </w:r>
      <w:r w:rsidR="00DA5F32">
        <w:rPr>
          <w:rStyle w:val="Znakapoznpodarou"/>
        </w:rPr>
        <w:footnoteReference w:id="18"/>
      </w:r>
    </w:p>
    <w:p w:rsidR="00F642AA" w:rsidRDefault="004B18C2" w:rsidP="00F642AA">
      <w:pPr>
        <w:jc w:val="both"/>
      </w:pPr>
      <w:r>
        <w:lastRenderedPageBreak/>
        <w:t xml:space="preserve">To vychází </w:t>
      </w:r>
      <w:r w:rsidR="00417C84">
        <w:t>z pravidla</w:t>
      </w:r>
      <w:r>
        <w:t xml:space="preserve">, že správní orgán vydá rozhodnutí podle stavu ke dni </w:t>
      </w:r>
      <w:r w:rsidR="00417C84">
        <w:t xml:space="preserve">rozhodování správního orgánu, tj. ke dni vydání </w:t>
      </w:r>
      <w:r>
        <w:t>rozhodnutí,</w:t>
      </w:r>
      <w:r w:rsidR="006A2CBC">
        <w:rPr>
          <w:rStyle w:val="Znakapoznpodarou"/>
        </w:rPr>
        <w:footnoteReference w:id="19"/>
      </w:r>
      <w:r>
        <w:t xml:space="preserve"> nikoli ke dni </w:t>
      </w:r>
      <w:r w:rsidR="00417C84">
        <w:t>zahájení řízení podáním žádosti. Toto pravidlo platí nejen pro správní orgán, ale též pro přezkum rozhodnutí soudy.</w:t>
      </w:r>
      <w:r w:rsidR="00417C84">
        <w:rPr>
          <w:rStyle w:val="Znakapoznpodarou"/>
        </w:rPr>
        <w:footnoteReference w:id="20"/>
      </w:r>
    </w:p>
    <w:p w:rsidR="00F642AA" w:rsidRDefault="00F642AA" w:rsidP="00F642AA">
      <w:pPr>
        <w:jc w:val="both"/>
      </w:pPr>
      <w:r>
        <w:t>Případné klamavé tvrzení účastníka správního řízení samo o sobě nemá vést k vydání nesprávného rozhodnutí, jelikož správní úřad musí zjistit stav věci. Pokud tak neučiní, dochází k pochybení na straně správního orgánu. Veřejné právo stanoví pro různá řízení, kdy je nutné pod hrozbou sankce uvádět vůči státnímu orgánu pravdivá vyjádření, o čemž má být dotyčná osoba poučena.</w:t>
      </w:r>
      <w:r>
        <w:rPr>
          <w:rStyle w:val="Znakapoznpodarou"/>
        </w:rPr>
        <w:footnoteReference w:id="21"/>
      </w:r>
      <w:r>
        <w:t xml:space="preserve"> V případě správního řádu je tato povinnost pravdivé výpovědi stanovena pro svědky, ne účastníky, kteří mohou vyjádřit své stanovisko,</w:t>
      </w:r>
      <w:r>
        <w:rPr>
          <w:rStyle w:val="Znakapoznpodarou"/>
        </w:rPr>
        <w:footnoteReference w:id="22"/>
      </w:r>
      <w:r>
        <w:t xml:space="preserve"> nikoliv učinit svědeckou výpověď. Toto stanovisko účastník podává, aniž by správní řád stanovil nějakou povinnost poučení o případných následcích nepravdivých tvrzení ve stanovisku. Trestnost nepravdivých tvrzení ve stanovisku účastníka správního řízení správní právo neobsahuje.</w:t>
      </w:r>
    </w:p>
    <w:p w:rsidR="00F642AA" w:rsidRDefault="00F642AA" w:rsidP="00F642AA">
      <w:pPr>
        <w:jc w:val="both"/>
      </w:pPr>
      <w:r>
        <w:t>Účastník může být vyslechnut správním orgánem ve sporném řízení,</w:t>
      </w:r>
      <w:r>
        <w:rPr>
          <w:rStyle w:val="Znakapoznpodarou"/>
        </w:rPr>
        <w:footnoteReference w:id="23"/>
      </w:r>
      <w:r>
        <w:t xml:space="preserve"> což není případ řízení o vydání veřejnoprávní licence. Účastník musí podat jen pravdivé čestné prohlášení, což plyne z toho, že úmyslné uvedení nepravdivých údajů je přestupek.</w:t>
      </w:r>
      <w:r>
        <w:rPr>
          <w:rStyle w:val="Znakapoznpodarou"/>
        </w:rPr>
        <w:footnoteReference w:id="24"/>
      </w:r>
      <w:r>
        <w:t xml:space="preserve"> Tedy úmyslné uvedení nepravdivých údajů správnímu orgánu v čestném prohlášení je správním deliktem, nikoliv trestným činem.</w:t>
      </w:r>
      <w:r w:rsidR="00BB1337" w:rsidRPr="00BB1337">
        <w:t xml:space="preserve"> </w:t>
      </w:r>
      <w:r w:rsidR="00BB1337">
        <w:t>To, že na základě licence lze následně uskutečňovat činnost, která může být zisková, není samo o sobě způsobením škody na cizím majetku. Pokud by zákonodárce chtěl trestně právně postihnout samotné vydání veřejnoprávní licence v omylu jako trestný čin, mohl a může tak učinit. Jestliže tak však nečiní, nelze svrchované rozhodnutí zákonodárce jako tvůrce trestních zákonů nahrazovat soudní činností.</w:t>
      </w:r>
    </w:p>
    <w:p w:rsidR="00F642AA" w:rsidRDefault="00F642AA" w:rsidP="00F642AA">
      <w:pPr>
        <w:keepNext/>
        <w:jc w:val="both"/>
        <w:rPr>
          <w:b/>
        </w:rPr>
      </w:pPr>
      <w:r>
        <w:rPr>
          <w:b/>
        </w:rPr>
        <w:t>2.2.</w:t>
      </w:r>
      <w:r w:rsidR="00A13A97">
        <w:rPr>
          <w:b/>
        </w:rPr>
        <w:t>3</w:t>
      </w:r>
      <w:r>
        <w:rPr>
          <w:b/>
        </w:rPr>
        <w:t>. Skutkové podstaty zvláštních podvodů</w:t>
      </w:r>
    </w:p>
    <w:p w:rsidR="00F642AA" w:rsidRDefault="00F642AA" w:rsidP="00F642AA">
      <w:pPr>
        <w:jc w:val="both"/>
      </w:pPr>
      <w:r>
        <w:t>Vedle skutkové podstaty podvodu existují i skutkové podstaty pojistného podvodu, úvěrového podvodu a dotačního podvodu.</w:t>
      </w:r>
      <w:r>
        <w:rPr>
          <w:rStyle w:val="Znakapoznpodarou"/>
        </w:rPr>
        <w:footnoteReference w:id="25"/>
      </w:r>
      <w:r>
        <w:t xml:space="preserve"> Zásadní odlišnost spočívá v tom, že naplnění skutkové podstaty pojistného, úvěrového i dotačního podvodu nevyžaduje obohacení a způsobení škody, tedy majetkový transfer mezi různými osobami. Zákonodárce vědomě zvolil zvláštní (vyšší) trestněprávní ochranu pojišťoven a poskytovatelů dotací či úvěrů před podvodným jednáním.</w:t>
      </w:r>
      <w:r w:rsidR="002A0A56">
        <w:t xml:space="preserve"> Rovněž lze trestný čin zkrácení daně, poplatku a podobné povinné platby</w:t>
      </w:r>
      <w:r w:rsidR="002A0A56">
        <w:rPr>
          <w:rStyle w:val="Znakapoznpodarou"/>
        </w:rPr>
        <w:footnoteReference w:id="26"/>
      </w:r>
      <w:r w:rsidR="002A0A56">
        <w:t xml:space="preserve"> charakterizovat jako daňový podvod, byť se tak formálně nenazývá.</w:t>
      </w:r>
      <w:r>
        <w:t xml:space="preserve"> </w:t>
      </w:r>
      <w:r w:rsidR="000A297F">
        <w:t>V</w:t>
      </w:r>
      <w:r>
        <w:t xml:space="preserve">yšší trestněprávní ochranu však </w:t>
      </w:r>
      <w:r w:rsidR="000A297F">
        <w:t xml:space="preserve">zákonodárce </w:t>
      </w:r>
      <w:r>
        <w:t>ne</w:t>
      </w:r>
      <w:r w:rsidR="00207CC6">
        <w:t>dal</w:t>
      </w:r>
      <w:r>
        <w:t xml:space="preserve"> poskytovatelům licencí.</w:t>
      </w:r>
    </w:p>
    <w:p w:rsidR="00F642AA" w:rsidRDefault="00F642AA" w:rsidP="009A31FF">
      <w:pPr>
        <w:jc w:val="both"/>
      </w:pPr>
      <w:r>
        <w:t>Jde o rozhodnutí zákonodárce a platí zde zákaz rozšiřování trestní represe za užití analogie. Analogie je v trestním právu hmotném nepřípustná, jelikož porušuje ústavní zásadu, že jen zákon stanoví, co je trestným činem.</w:t>
      </w:r>
      <w:r>
        <w:rPr>
          <w:rStyle w:val="Znakapoznpodarou"/>
        </w:rPr>
        <w:footnoteReference w:id="27"/>
      </w:r>
      <w:r>
        <w:t xml:space="preserve"> Na stanovení trestných činů má monopol zákonodárce, soud nemůže do této výlučné oblasti Parlamentu vstupovat a to ani formou analogie zákona (analogia legis). Dnes zvláštní skutková podstata licenčního podvodu neexistuje a její případné zakotvení je jen v rukou Parlamentu. </w:t>
      </w:r>
      <w:r w:rsidR="00801A4E" w:rsidRPr="00801A4E">
        <w:t xml:space="preserve">Trestnost podvodného jednání vůči orgánu státní moci bez způsobení škody </w:t>
      </w:r>
      <w:r w:rsidR="00D81886">
        <w:t xml:space="preserve">na cizím majetku </w:t>
      </w:r>
      <w:r w:rsidR="00801A4E" w:rsidRPr="00801A4E">
        <w:t>a obohacení jiné osoby, musí za</w:t>
      </w:r>
      <w:r w:rsidR="00801A4E">
        <w:t>kotvit zákonodárce, nikdo jiný.</w:t>
      </w:r>
    </w:p>
    <w:p w:rsidR="00C5067C" w:rsidRDefault="00C5067C" w:rsidP="009A6667">
      <w:pPr>
        <w:jc w:val="both"/>
      </w:pPr>
    </w:p>
    <w:p w:rsidR="009A6667" w:rsidRPr="009A6667" w:rsidRDefault="009A6667" w:rsidP="009A6667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9A6667">
        <w:rPr>
          <w:b/>
        </w:rPr>
        <w:t>Závěr</w:t>
      </w:r>
    </w:p>
    <w:p w:rsidR="009A6667" w:rsidRPr="00266789" w:rsidRDefault="009A6667" w:rsidP="009A6667">
      <w:pPr>
        <w:jc w:val="both"/>
        <w:rPr>
          <w:b/>
        </w:rPr>
      </w:pPr>
      <w:r w:rsidRPr="00266789">
        <w:rPr>
          <w:b/>
        </w:rPr>
        <w:t>Při posuzování trestních následků uvedení v omyl, využití omylu či zamlčení podstatných skutečností při vydání licence je nutné nejprve posoudit a jaký právní pojem licence v daném případě jde, zda o soukromoprávní licenci nebo veřejnoprávní. V případě soukromoprávní licence je možné usuzovat na trestný čin podvodu, pakliže je poskytnuta odměna.</w:t>
      </w:r>
      <w:r w:rsidR="00266789" w:rsidRPr="00266789">
        <w:rPr>
          <w:b/>
        </w:rPr>
        <w:t xml:space="preserve"> V případě veřejnoprávní licence, kdy je poskytováno jen oprávnění k určité činnosti, nikoliv přímo finanční či jiné plnění, </w:t>
      </w:r>
      <w:r w:rsidR="00C140A3">
        <w:rPr>
          <w:b/>
        </w:rPr>
        <w:t xml:space="preserve">naplnění skutkové podstaty podvodu </w:t>
      </w:r>
      <w:r w:rsidR="00266789" w:rsidRPr="00266789">
        <w:rPr>
          <w:b/>
        </w:rPr>
        <w:t>vydání</w:t>
      </w:r>
      <w:r w:rsidR="00C140A3">
        <w:rPr>
          <w:b/>
        </w:rPr>
        <w:t>m</w:t>
      </w:r>
      <w:r w:rsidR="00266789" w:rsidRPr="00266789">
        <w:rPr>
          <w:b/>
        </w:rPr>
        <w:t xml:space="preserve"> veřejnoprávní licence nenastává.</w:t>
      </w:r>
    </w:p>
    <w:sectPr w:rsidR="009A6667" w:rsidRPr="00266789" w:rsidSect="00DE7A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8BA" w:rsidRDefault="00D958BA" w:rsidP="00524102">
      <w:pPr>
        <w:spacing w:after="0" w:line="240" w:lineRule="auto"/>
      </w:pPr>
      <w:r>
        <w:separator/>
      </w:r>
    </w:p>
  </w:endnote>
  <w:endnote w:type="continuationSeparator" w:id="1">
    <w:p w:rsidR="00D958BA" w:rsidRDefault="00D958BA" w:rsidP="0052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0251942"/>
      <w:docPartObj>
        <w:docPartGallery w:val="Page Numbers (Bottom of Page)"/>
        <w:docPartUnique/>
      </w:docPartObj>
    </w:sdtPr>
    <w:sdtContent>
      <w:p w:rsidR="009A6667" w:rsidRDefault="003228ED">
        <w:pPr>
          <w:pStyle w:val="Zpat"/>
          <w:jc w:val="center"/>
        </w:pPr>
        <w:r>
          <w:fldChar w:fldCharType="begin"/>
        </w:r>
        <w:r w:rsidR="009A6667">
          <w:instrText>PAGE   \* MERGEFORMAT</w:instrText>
        </w:r>
        <w:r>
          <w:fldChar w:fldCharType="separate"/>
        </w:r>
        <w:r w:rsidR="006B655D">
          <w:rPr>
            <w:noProof/>
          </w:rPr>
          <w:t>3</w:t>
        </w:r>
        <w:r>
          <w:fldChar w:fldCharType="end"/>
        </w:r>
      </w:p>
    </w:sdtContent>
  </w:sdt>
  <w:p w:rsidR="009A6667" w:rsidRDefault="009A666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8BA" w:rsidRDefault="00D958BA" w:rsidP="00524102">
      <w:pPr>
        <w:spacing w:after="0" w:line="240" w:lineRule="auto"/>
      </w:pPr>
      <w:r>
        <w:separator/>
      </w:r>
    </w:p>
  </w:footnote>
  <w:footnote w:type="continuationSeparator" w:id="1">
    <w:p w:rsidR="00D958BA" w:rsidRDefault="00D958BA" w:rsidP="00524102">
      <w:pPr>
        <w:spacing w:after="0" w:line="240" w:lineRule="auto"/>
      </w:pPr>
      <w:r>
        <w:continuationSeparator/>
      </w:r>
    </w:p>
  </w:footnote>
  <w:footnote w:id="2">
    <w:p w:rsidR="000566FD" w:rsidRDefault="000566FD">
      <w:pPr>
        <w:pStyle w:val="Textpoznpodarou"/>
      </w:pPr>
      <w:r>
        <w:rPr>
          <w:rStyle w:val="Znakapoznpodarou"/>
        </w:rPr>
        <w:footnoteRef/>
      </w:r>
      <w:r>
        <w:t xml:space="preserve"> § 209 trestního zákoníku č. 40/2009 Sb.</w:t>
      </w:r>
    </w:p>
  </w:footnote>
  <w:footnote w:id="3">
    <w:p w:rsidR="003604D2" w:rsidRDefault="003604D2" w:rsidP="00D7205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Usnesení Nejvyššího soudu z 25. 5. 2010, 7Tdo 486/2010.</w:t>
      </w:r>
      <w:r w:rsidR="004E0D49">
        <w:t xml:space="preserve"> Obdobně usnesení z Nejvyššího soudu </w:t>
      </w:r>
      <w:r w:rsidR="00971546">
        <w:t xml:space="preserve">z 14. 6. 2016, 7Tdo 533/2016 a srovnej též usnesení Nejvyššího soudu </w:t>
      </w:r>
      <w:r w:rsidR="004E0D49">
        <w:t>z 23. 6. 2010, 8Tdo 262/2010.</w:t>
      </w:r>
      <w:r w:rsidR="003B5FA4">
        <w:t xml:space="preserve"> Srovnej též usnesení Nejvyššího soudu z 28. 4. 2005, 11Tdo 229/2004.</w:t>
      </w:r>
    </w:p>
  </w:footnote>
  <w:footnote w:id="4">
    <w:p w:rsidR="00E369DC" w:rsidRDefault="00E369DC">
      <w:pPr>
        <w:pStyle w:val="Textpoznpodarou"/>
      </w:pPr>
      <w:r>
        <w:rPr>
          <w:rStyle w:val="Znakapoznpodarou"/>
        </w:rPr>
        <w:footnoteRef/>
      </w:r>
      <w:r>
        <w:t xml:space="preserve"> § 210-212 trestního zákoníku.</w:t>
      </w:r>
    </w:p>
  </w:footnote>
  <w:footnote w:id="5">
    <w:p w:rsidR="00524102" w:rsidRDefault="00524102">
      <w:pPr>
        <w:pStyle w:val="Textpoznpodarou"/>
      </w:pPr>
      <w:r>
        <w:rPr>
          <w:rStyle w:val="Znakapoznpodarou"/>
        </w:rPr>
        <w:footnoteRef/>
      </w:r>
      <w:r>
        <w:t xml:space="preserve"> § 2358-2389 občanského zákoníku č. 89/2012 Sb.</w:t>
      </w:r>
    </w:p>
  </w:footnote>
  <w:footnote w:id="6">
    <w:p w:rsidR="000B079C" w:rsidRDefault="000B079C">
      <w:pPr>
        <w:pStyle w:val="Textpoznpodarou"/>
      </w:pPr>
      <w:r>
        <w:rPr>
          <w:rStyle w:val="Znakapoznpodarou"/>
        </w:rPr>
        <w:footnoteRef/>
      </w:r>
      <w:r>
        <w:t xml:space="preserve"> § 268 trestního zákoníku. Usnesení Nejvyššího soudu z 23. 11. 2013, 5Tdo 811/2013.</w:t>
      </w:r>
    </w:p>
  </w:footnote>
  <w:footnote w:id="7">
    <w:p w:rsidR="00DC44EC" w:rsidRDefault="00DC44EC">
      <w:pPr>
        <w:pStyle w:val="Textpoznpodarou"/>
      </w:pPr>
      <w:r>
        <w:rPr>
          <w:rStyle w:val="Znakapoznpodarou"/>
        </w:rPr>
        <w:footnoteRef/>
      </w:r>
      <w:r>
        <w:t xml:space="preserve"> § 21 zákona č. 29/2000 Sb., o poštovních službách.</w:t>
      </w:r>
    </w:p>
  </w:footnote>
  <w:footnote w:id="8">
    <w:p w:rsidR="00E01E84" w:rsidRDefault="00E01E84" w:rsidP="00E01E8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E01E84">
        <w:t>Nařízení Evropského parlamentu a Rady (ES) č. 1008/2008 ze dne 24. září 2008 o společných pravidlech pro provozování leteckých služeb ve Společenství (přepracované znění).</w:t>
      </w:r>
    </w:p>
  </w:footnote>
  <w:footnote w:id="9">
    <w:p w:rsidR="00DC44EC" w:rsidRDefault="00DC44EC">
      <w:pPr>
        <w:pStyle w:val="Textpoznpodarou"/>
      </w:pPr>
      <w:r>
        <w:rPr>
          <w:rStyle w:val="Znakapoznpodarou"/>
        </w:rPr>
        <w:footnoteRef/>
      </w:r>
      <w:r>
        <w:t xml:space="preserve"> § 1-10 zákona č. 162/2003 Sb., o zoologických zahradách.</w:t>
      </w:r>
    </w:p>
  </w:footnote>
  <w:footnote w:id="10">
    <w:p w:rsidR="00E01E84" w:rsidRDefault="00E01E84">
      <w:pPr>
        <w:pStyle w:val="Textpoznpodarou"/>
      </w:pPr>
      <w:r>
        <w:rPr>
          <w:rStyle w:val="Znakapoznpodarou"/>
        </w:rPr>
        <w:footnoteRef/>
      </w:r>
      <w:r>
        <w:t xml:space="preserve"> § 3-10</w:t>
      </w:r>
      <w:r w:rsidR="00DC44EC">
        <w:t xml:space="preserve"> energetického</w:t>
      </w:r>
      <w:r>
        <w:t xml:space="preserve"> zákona č. </w:t>
      </w:r>
      <w:r w:rsidR="00DC44EC">
        <w:t>458/2000 Sb.</w:t>
      </w:r>
    </w:p>
  </w:footnote>
  <w:footnote w:id="11">
    <w:p w:rsidR="00DC44EC" w:rsidRDefault="00DC44EC">
      <w:pPr>
        <w:pStyle w:val="Textpoznpodarou"/>
      </w:pPr>
      <w:r>
        <w:rPr>
          <w:rStyle w:val="Znakapoznpodarou"/>
        </w:rPr>
        <w:footnoteRef/>
      </w:r>
      <w:r>
        <w:t xml:space="preserve"> § 14-22 zákona č. 38/1994 Sb., o zahraničním obchodu s vojenským materiálem.</w:t>
      </w:r>
    </w:p>
  </w:footnote>
  <w:footnote w:id="12">
    <w:p w:rsidR="00C40057" w:rsidRDefault="00C40057">
      <w:pPr>
        <w:pStyle w:val="Textpoznpodarou"/>
      </w:pPr>
      <w:r>
        <w:rPr>
          <w:rStyle w:val="Znakapoznpodarou"/>
        </w:rPr>
        <w:footnoteRef/>
      </w:r>
      <w:r>
        <w:t xml:space="preserve"> § 6e-7 zákona č. 311/2006 Sb., o pohonných hmotách.</w:t>
      </w:r>
      <w:r w:rsidR="002E238C">
        <w:t xml:space="preserve"> § 5 odst. 1 živnostenského zákona č. 455/1991 Sb.</w:t>
      </w:r>
    </w:p>
  </w:footnote>
  <w:footnote w:id="13">
    <w:p w:rsidR="005218AA" w:rsidRDefault="005218AA" w:rsidP="005218AA">
      <w:pPr>
        <w:pStyle w:val="Textpoznpodarou"/>
      </w:pPr>
      <w:r>
        <w:rPr>
          <w:rStyle w:val="Znakapoznpodarou"/>
        </w:rPr>
        <w:footnoteRef/>
      </w:r>
      <w:r>
        <w:t xml:space="preserve"> Rozsudek Nejvyššího správního soudu z 31. 8. 2009, 8As 18/2008-79.</w:t>
      </w:r>
    </w:p>
  </w:footnote>
  <w:footnote w:id="14">
    <w:p w:rsidR="001B43EB" w:rsidRDefault="001B43EB" w:rsidP="006D51C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§ 1105 občanského zákoníku č. 89/2012 Sb.</w:t>
      </w:r>
      <w:r w:rsidR="006D51C9">
        <w:t>, dříve § 133 odst. 2 občanského zákoníku č. 40/1964 Sb.</w:t>
      </w:r>
      <w:r>
        <w:t xml:space="preserve"> Usnesení Nejvyššího soudu z 19. 1. 2011, 3</w:t>
      </w:r>
      <w:r w:rsidRPr="001B43EB">
        <w:t>Tdo 709/2010-47</w:t>
      </w:r>
      <w:r>
        <w:t>.</w:t>
      </w:r>
    </w:p>
  </w:footnote>
  <w:footnote w:id="15">
    <w:p w:rsidR="00F642AA" w:rsidRDefault="00F642AA" w:rsidP="00F642A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§ 3 správního řádu č. 500/2004 Sb. PETR </w:t>
      </w:r>
      <w:r>
        <w:rPr>
          <w:caps/>
        </w:rPr>
        <w:t>Průcha</w:t>
      </w:r>
      <w:r>
        <w:t xml:space="preserve">. </w:t>
      </w:r>
      <w:r>
        <w:rPr>
          <w:i/>
        </w:rPr>
        <w:t>Správní řád s poznámkami a judikaturou</w:t>
      </w:r>
      <w:r>
        <w:t xml:space="preserve">. 2. vydání 2015. ISBN 978-80-7502-051-2, s. 31-36, komentář k § 3. JAN HRABÁK, TOMÁŠ NAHODIL. </w:t>
      </w:r>
      <w:r>
        <w:rPr>
          <w:i/>
        </w:rPr>
        <w:t>Správní řád s výkladovými poznámkami a vybranou judikaturou</w:t>
      </w:r>
      <w:r>
        <w:t>. 3. vydání 2009, ISBN 978-80-7357-424-6, s. 34-37, komentář k § 3.</w:t>
      </w:r>
    </w:p>
  </w:footnote>
  <w:footnote w:id="16">
    <w:p w:rsidR="00F642AA" w:rsidRDefault="00F642AA" w:rsidP="00F642AA">
      <w:pPr>
        <w:pStyle w:val="Textpoznpodarou"/>
      </w:pPr>
      <w:r>
        <w:rPr>
          <w:rStyle w:val="Znakapoznpodarou"/>
        </w:rPr>
        <w:footnoteRef/>
      </w:r>
      <w:r>
        <w:t xml:space="preserve"> § 52 správního řádu.</w:t>
      </w:r>
    </w:p>
  </w:footnote>
  <w:footnote w:id="17">
    <w:p w:rsidR="00F642AA" w:rsidRDefault="00F642AA" w:rsidP="00F642AA">
      <w:pPr>
        <w:pStyle w:val="Textpoznpodarou"/>
      </w:pPr>
      <w:r>
        <w:rPr>
          <w:rStyle w:val="Znakapoznpodarou"/>
        </w:rPr>
        <w:footnoteRef/>
      </w:r>
      <w:r>
        <w:t xml:space="preserve"> § 50 odst. 2 správního řádu.</w:t>
      </w:r>
    </w:p>
  </w:footnote>
  <w:footnote w:id="18">
    <w:p w:rsidR="00DA5F32" w:rsidRDefault="00DA5F32">
      <w:pPr>
        <w:pStyle w:val="Textpoznpodarou"/>
      </w:pPr>
      <w:r>
        <w:rPr>
          <w:rStyle w:val="Znakapoznpodarou"/>
        </w:rPr>
        <w:footnoteRef/>
      </w:r>
      <w:r>
        <w:t xml:space="preserve"> Usnesení Nejvyššího soudu z 19. 10. 2016, 4Tdo 968/2016.</w:t>
      </w:r>
    </w:p>
  </w:footnote>
  <w:footnote w:id="19">
    <w:p w:rsidR="006A2CBC" w:rsidRDefault="006A2CBC" w:rsidP="006A2CB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§ 96 odst. 4 správního řádu. Bod 25 odůvodnění rozsudku Nejvyššího správního soudu ze 7. 4. 2011, </w:t>
      </w:r>
      <w:r w:rsidRPr="006A2CBC">
        <w:t>1As</w:t>
      </w:r>
      <w:r>
        <w:t xml:space="preserve"> </w:t>
      </w:r>
      <w:r w:rsidRPr="006A2CBC">
        <w:t>24/2011</w:t>
      </w:r>
      <w:r>
        <w:t>–</w:t>
      </w:r>
      <w:r w:rsidRPr="006A2CBC">
        <w:t>79</w:t>
      </w:r>
      <w:r>
        <w:t>.</w:t>
      </w:r>
    </w:p>
  </w:footnote>
  <w:footnote w:id="20">
    <w:p w:rsidR="00417C84" w:rsidRDefault="00417C84">
      <w:pPr>
        <w:pStyle w:val="Textpoznpodarou"/>
      </w:pPr>
      <w:r>
        <w:rPr>
          <w:rStyle w:val="Znakapoznpodarou"/>
        </w:rPr>
        <w:footnoteRef/>
      </w:r>
      <w:r>
        <w:t xml:space="preserve"> § 75 odst. 1 soudního řádu správního č. 150/2002 Sb.</w:t>
      </w:r>
    </w:p>
  </w:footnote>
  <w:footnote w:id="21">
    <w:p w:rsidR="00F642AA" w:rsidRDefault="00F642AA" w:rsidP="00F642AA">
      <w:pPr>
        <w:pStyle w:val="Textpoznpodarou"/>
      </w:pPr>
      <w:r>
        <w:rPr>
          <w:rStyle w:val="Znakapoznpodarou"/>
        </w:rPr>
        <w:footnoteRef/>
      </w:r>
      <w:r>
        <w:t xml:space="preserve"> § 55 odst. 5 správního řádu.</w:t>
      </w:r>
    </w:p>
  </w:footnote>
  <w:footnote w:id="22">
    <w:p w:rsidR="00F642AA" w:rsidRDefault="00F642AA" w:rsidP="00F642AA">
      <w:pPr>
        <w:pStyle w:val="Textpoznpodarou"/>
      </w:pPr>
      <w:r>
        <w:rPr>
          <w:rStyle w:val="Znakapoznpodarou"/>
        </w:rPr>
        <w:footnoteRef/>
      </w:r>
      <w:r>
        <w:t xml:space="preserve"> § 36 odst. 2 správního řádu.</w:t>
      </w:r>
    </w:p>
  </w:footnote>
  <w:footnote w:id="23">
    <w:p w:rsidR="00F642AA" w:rsidRDefault="00F642AA" w:rsidP="00F642AA">
      <w:pPr>
        <w:pStyle w:val="Textpoznpodarou"/>
      </w:pPr>
      <w:r>
        <w:rPr>
          <w:rStyle w:val="Znakapoznpodarou"/>
        </w:rPr>
        <w:footnoteRef/>
      </w:r>
      <w:r>
        <w:t xml:space="preserve"> § 141 odst. 6 správního řádu.</w:t>
      </w:r>
    </w:p>
  </w:footnote>
  <w:footnote w:id="24">
    <w:p w:rsidR="00F642AA" w:rsidRDefault="00F642AA" w:rsidP="00F642A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§ 53 odst. 5 a § 55 odst. 1 správního řádu. § 2 odst. 2 písm. a) a odst. 3 písm. a) zákona č. 251/2016 Sb., o některých přestupcích. Dříve § 21 odst. 1 písm. g) zákona č. 200/1990 Sb., o přestupcích.</w:t>
      </w:r>
    </w:p>
  </w:footnote>
  <w:footnote w:id="25">
    <w:p w:rsidR="00F642AA" w:rsidRDefault="00F642AA" w:rsidP="00F642AA">
      <w:pPr>
        <w:pStyle w:val="Textpoznpodarou"/>
      </w:pPr>
      <w:r>
        <w:rPr>
          <w:rStyle w:val="Znakapoznpodarou"/>
        </w:rPr>
        <w:footnoteRef/>
      </w:r>
      <w:r>
        <w:t xml:space="preserve"> § 210-212 trestního zákoníku č. 40/2009 Sb.</w:t>
      </w:r>
    </w:p>
  </w:footnote>
  <w:footnote w:id="26">
    <w:p w:rsidR="002A0A56" w:rsidRDefault="002A0A56">
      <w:pPr>
        <w:pStyle w:val="Textpoznpodarou"/>
      </w:pPr>
      <w:r>
        <w:rPr>
          <w:rStyle w:val="Znakapoznpodarou"/>
        </w:rPr>
        <w:footnoteRef/>
      </w:r>
      <w:r>
        <w:t xml:space="preserve"> § 240 trestního zákoníku.</w:t>
      </w:r>
    </w:p>
  </w:footnote>
  <w:footnote w:id="27">
    <w:p w:rsidR="00F642AA" w:rsidRDefault="00F642AA" w:rsidP="00F642AA">
      <w:pPr>
        <w:pStyle w:val="Textpoznpodarou"/>
      </w:pPr>
      <w:r>
        <w:rPr>
          <w:rStyle w:val="Znakapoznpodarou"/>
        </w:rPr>
        <w:footnoteRef/>
      </w:r>
      <w:r>
        <w:t xml:space="preserve"> Čl. 39 Listiny základních práv a svobod.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5E52"/>
    <w:multiLevelType w:val="hybridMultilevel"/>
    <w:tmpl w:val="6B32CE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2553C"/>
    <w:multiLevelType w:val="multilevel"/>
    <w:tmpl w:val="D48EE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3A6D27E2"/>
    <w:multiLevelType w:val="hybridMultilevel"/>
    <w:tmpl w:val="1B420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0413A"/>
    <w:multiLevelType w:val="hybridMultilevel"/>
    <w:tmpl w:val="54D6FA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0CC"/>
    <w:rsid w:val="000566FD"/>
    <w:rsid w:val="00066804"/>
    <w:rsid w:val="000A297F"/>
    <w:rsid w:val="000B079C"/>
    <w:rsid w:val="00113635"/>
    <w:rsid w:val="00117FCE"/>
    <w:rsid w:val="00130F67"/>
    <w:rsid w:val="001420A8"/>
    <w:rsid w:val="00142308"/>
    <w:rsid w:val="0017408C"/>
    <w:rsid w:val="001B43EB"/>
    <w:rsid w:val="001C796E"/>
    <w:rsid w:val="00207CC6"/>
    <w:rsid w:val="0026205C"/>
    <w:rsid w:val="00266789"/>
    <w:rsid w:val="002803F4"/>
    <w:rsid w:val="002A0A56"/>
    <w:rsid w:val="002C20B6"/>
    <w:rsid w:val="002E238C"/>
    <w:rsid w:val="00312697"/>
    <w:rsid w:val="003228ED"/>
    <w:rsid w:val="003604D2"/>
    <w:rsid w:val="00370CD5"/>
    <w:rsid w:val="0038371B"/>
    <w:rsid w:val="00391D2F"/>
    <w:rsid w:val="003B5FA4"/>
    <w:rsid w:val="003B61CE"/>
    <w:rsid w:val="003C4072"/>
    <w:rsid w:val="00414BD0"/>
    <w:rsid w:val="00417C84"/>
    <w:rsid w:val="00443B81"/>
    <w:rsid w:val="0046247A"/>
    <w:rsid w:val="00467A10"/>
    <w:rsid w:val="00477970"/>
    <w:rsid w:val="004A214B"/>
    <w:rsid w:val="004B18C2"/>
    <w:rsid w:val="004E0D49"/>
    <w:rsid w:val="005205AC"/>
    <w:rsid w:val="005218AA"/>
    <w:rsid w:val="00524102"/>
    <w:rsid w:val="005D0696"/>
    <w:rsid w:val="00622A21"/>
    <w:rsid w:val="00643FC5"/>
    <w:rsid w:val="00664B47"/>
    <w:rsid w:val="006A2CBC"/>
    <w:rsid w:val="006B655D"/>
    <w:rsid w:val="006D51C9"/>
    <w:rsid w:val="00721E5A"/>
    <w:rsid w:val="00765411"/>
    <w:rsid w:val="0078290E"/>
    <w:rsid w:val="007A197E"/>
    <w:rsid w:val="007B6F69"/>
    <w:rsid w:val="007B7B2F"/>
    <w:rsid w:val="007E0080"/>
    <w:rsid w:val="007F2B41"/>
    <w:rsid w:val="00801724"/>
    <w:rsid w:val="00801A4E"/>
    <w:rsid w:val="008536CA"/>
    <w:rsid w:val="00875197"/>
    <w:rsid w:val="008A0DA8"/>
    <w:rsid w:val="008A4A81"/>
    <w:rsid w:val="008C33F5"/>
    <w:rsid w:val="008D70F8"/>
    <w:rsid w:val="00971546"/>
    <w:rsid w:val="0099295A"/>
    <w:rsid w:val="009A31FF"/>
    <w:rsid w:val="009A6667"/>
    <w:rsid w:val="009C30CC"/>
    <w:rsid w:val="009D4019"/>
    <w:rsid w:val="009E6EA8"/>
    <w:rsid w:val="00A00157"/>
    <w:rsid w:val="00A12C45"/>
    <w:rsid w:val="00A13A97"/>
    <w:rsid w:val="00A74501"/>
    <w:rsid w:val="00AE5D92"/>
    <w:rsid w:val="00B043D8"/>
    <w:rsid w:val="00B0440E"/>
    <w:rsid w:val="00B117E4"/>
    <w:rsid w:val="00B62B6B"/>
    <w:rsid w:val="00B77756"/>
    <w:rsid w:val="00BA216E"/>
    <w:rsid w:val="00BA798F"/>
    <w:rsid w:val="00BB1337"/>
    <w:rsid w:val="00BB40E1"/>
    <w:rsid w:val="00C140A3"/>
    <w:rsid w:val="00C30537"/>
    <w:rsid w:val="00C40057"/>
    <w:rsid w:val="00C5067C"/>
    <w:rsid w:val="00D5167A"/>
    <w:rsid w:val="00D7205E"/>
    <w:rsid w:val="00D81886"/>
    <w:rsid w:val="00D958BA"/>
    <w:rsid w:val="00D97226"/>
    <w:rsid w:val="00D97C30"/>
    <w:rsid w:val="00DA5F32"/>
    <w:rsid w:val="00DC44EC"/>
    <w:rsid w:val="00DC4ED9"/>
    <w:rsid w:val="00DE0113"/>
    <w:rsid w:val="00DE7A83"/>
    <w:rsid w:val="00DF14B0"/>
    <w:rsid w:val="00E01E84"/>
    <w:rsid w:val="00E369DC"/>
    <w:rsid w:val="00E7388E"/>
    <w:rsid w:val="00E83C54"/>
    <w:rsid w:val="00E8668E"/>
    <w:rsid w:val="00EA01FB"/>
    <w:rsid w:val="00F642AA"/>
    <w:rsid w:val="00FC6944"/>
    <w:rsid w:val="00FD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A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197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410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410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2410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A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6667"/>
  </w:style>
  <w:style w:type="paragraph" w:styleId="Zpat">
    <w:name w:val="footer"/>
    <w:basedOn w:val="Normln"/>
    <w:link w:val="ZpatChar"/>
    <w:uiPriority w:val="99"/>
    <w:unhideWhenUsed/>
    <w:rsid w:val="009A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6667"/>
  </w:style>
  <w:style w:type="character" w:styleId="Hypertextovodkaz">
    <w:name w:val="Hyperlink"/>
    <w:rsid w:val="0047797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0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481C-E343-4E1C-B98C-149539B3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1730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Zdeněk Koudelka</dc:creator>
  <cp:lastModifiedBy>J</cp:lastModifiedBy>
  <cp:revision>49</cp:revision>
  <dcterms:created xsi:type="dcterms:W3CDTF">2017-03-02T14:56:00Z</dcterms:created>
  <dcterms:modified xsi:type="dcterms:W3CDTF">2019-03-29T19:17:00Z</dcterms:modified>
</cp:coreProperties>
</file>