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A" w:rsidRPr="0034151A" w:rsidRDefault="0034151A" w:rsidP="0034151A">
      <w:pPr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cs-CZ"/>
        </w:rPr>
      </w:pPr>
      <w:r w:rsidRPr="0034151A"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cs-CZ"/>
        </w:rPr>
        <w:t>Manželství jako psychologický vztah: Polemika s Jungem</w:t>
      </w:r>
    </w:p>
    <w:p w:rsidR="0034151A" w:rsidRPr="0034151A" w:rsidRDefault="0034151A" w:rsidP="0034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5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Publikováno v </w:t>
      </w:r>
      <w:hyperlink r:id="rId5" w:history="1">
        <w:r w:rsidRPr="0034151A">
          <w:rPr>
            <w:rFonts w:ascii="Times New Roman" w:eastAsia="Times New Roman" w:hAnsi="Times New Roman" w:cs="Times New Roman"/>
            <w:color w:val="EA141F"/>
            <w:sz w:val="24"/>
            <w:szCs w:val="24"/>
            <w:u w:val="single"/>
            <w:bdr w:val="none" w:sz="0" w:space="0" w:color="auto" w:frame="1"/>
            <w:lang w:eastAsia="cs-CZ"/>
          </w:rPr>
          <w:t>Člověk</w:t>
        </w:r>
      </w:hyperlink>
      <w:r w:rsidRPr="003415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Od: </w:t>
      </w:r>
      <w:hyperlink r:id="rId6" w:tooltip="Příspěvky od David Lacko" w:history="1">
        <w:r w:rsidRPr="0034151A">
          <w:rPr>
            <w:rFonts w:ascii="Times New Roman" w:eastAsia="Times New Roman" w:hAnsi="Times New Roman" w:cs="Times New Roman"/>
            <w:color w:val="EA141F"/>
            <w:sz w:val="24"/>
            <w:szCs w:val="24"/>
            <w:u w:val="single"/>
            <w:bdr w:val="none" w:sz="0" w:space="0" w:color="auto" w:frame="1"/>
            <w:lang w:eastAsia="cs-CZ"/>
          </w:rPr>
          <w:t>David Lacko</w:t>
        </w:r>
      </w:hyperlink>
      <w:r w:rsidRPr="003415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Dne: Červen 5, 2017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Manželství. Pro někoho posvátný svazek, pro jiného právní instituce tvořící legislativní základ rodiny. Manželství můžeme jednoduše definovat jako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„zvykovým právem nebo zákonem definované soužití muže a ženy, případně několika partnerů“ 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(Hartl a Hartlová, 2010, str. 294). Poněkud vtipnější definice pak tvrdí, že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„manželství je jako kapitalismus. Má mnoho chyb a nemusí být vůbec spravedlivé ke každému, kdo v něm žije.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(…)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 Při vší kritičnosti a zdravé skepsi ale musíme uznat, že nic lepšího, trvaleji fungujícího a poskytujícího alespoň ve velké většině případů i patřiční „inkubátor“ dětem až do dospělosti, doposud vymyšleno nebylo“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(Novák a Šmolka, str. 113).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Zatímco strohá slovníková definice nahlíží na manželství jako legislativní instituci, druhá definice vyjímá smysl manželství a jeho přínos společnosti. Obé však něco ignorují – nezaměřují se na interpersonální vztah dvou zúčastněných osob. Na tento vztah se zaměřuje zakladatel analytické psychologie Carl Gustav Jung ve své eseji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Manželství jako psychologický vztah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. Meritem této práce je tudíž rozbor a polemika s touto esejí.</w:t>
      </w:r>
    </w:p>
    <w:p w:rsidR="0034151A" w:rsidRPr="0034151A" w:rsidRDefault="0034151A" w:rsidP="0034151A">
      <w:pPr>
        <w:spacing w:before="75"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r w:rsidRPr="0034151A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Manželství jako psychologický vztah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 sepsal velké množství materiálů týkajících se v podstatě všech aspektů lidského života, čímž stanovil komplexní psychologicko-filosoficko-duchovní učení o člověku. Součástí jeho pojetí lidské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psyché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je i intimní vztah mezi dvěma jedinci, nejčastěji manifestovaný jako manželství. Tomuto tématu věnoval již zmíněný esej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Manželství jako psychologický vztah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1994a), nicméně okrajově se tématu věnuje také v eseji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Životný obrat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1994b) a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Žena v Evropě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2012).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Dle Junga (2012) je v manželství důležité uvědomit si, že žena a muž na tuto instituci nahlížejí ze své podstaty rozdílně a mají proto jiná očekávání, touhy, představy i potřeby. Všechny tyto aspekty manželství ale neovlivňuje pouze pohlaví jedince, nýbrž i jeho individuální vývoj, který začíná už v dětství. Tehdy je určující vztah dítěte s rodičem opačného pohlaví, neb tento rodič v budoucnu silně (avšak nevědomě) ovlivňuje výběr partnera (Jung, 1994a).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Z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kolektivního nevědomí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celé lidské society si v této době také přebíráme určitou archetypální oblast – pro vztah nejdůležitější archetypy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anima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(ženská složka, eroticko-emocionální charakter) a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animus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(mužská složka, rozumějící charakter). Tyto archetypy jsou neustále projikovány do partnera a jsou tak zdrojem vášně a sexuální energie (Jung, 1944a). Každý člověk má v sobě do určité míry obraz opačného pohlaví. V poslední době se ale poměr těchto částí začíná převracet a stále více žen má v sobě více mužské části, naopak stále více mužů má v sobě více ženské části. Díky tomu se rozpadá velká část manželství a ty zbylé se stávají nejistějšími, neb ženy se přestávají chovat žensky a muži mužsky (viz Jung, 2012).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lastRenderedPageBreak/>
        <w:t>Jakmile člověk dospěje do věku vzniku manželství a má v sobě ukotvené důležité archetypy, nastává raná fáze manželství (Jung, 1994a). Pro toto období je typická zamilovanost, kterou Jung (1994a) popisuje jako návrat do dětství (objevují se infantilní projevy) a de facto i do mateřského lůna (harmonie, splynutí). Častými problémy jsou pak komplexy méněcennosti a sexuální problémy (1994b). V tomto období je člověk nástrojem svých pudů a harmonie ve vztahu je způsobena iluzemi a nevědomými projekcemi (vznikajících z archetypů i našich dětských zkušeností s rodiči opačného pohlaví) do partnera (Jung, 1994a; 1994b). Člověk v tomto věku sice má vědomí a sebeuvědomování, má však také rozsáhlé nevědomé oblasti. Ty postupně snižuje a poznává se – dostává se do středního věku (viz Jung, 1994b).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 (1994b, str. 95) tvrdí, že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„bez vědomí nejsou problémy“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a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„bez bolesti neexistuje sebeuvědomování“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1994a, str. 85). Asi málokdo by mu oponoval. Díky tomu se postupně dostává do krize nejenom člověk sám, ale i celé jeho manželství, protože člověk ztrácí svou nevědomě nabytou identitu a musí si vytvořit v procesu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individuace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svou vlastní, a pro zdárné přetrvání manželství musí tento proces zvládnout zdravě oba partneři. Proto považuje toto období za nejdůležitější složkou vztahu (Jung, 1994b). Jedině takto totiž může vzniknout opravdový psychologický vztah.</w:t>
      </w:r>
      <w:bookmarkStart w:id="0" w:name="_ftnref1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"_ftn1"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[1]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0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Celou tuto fázi lze považovat za střed života</w:t>
      </w:r>
      <w:bookmarkStart w:id="1" w:name="_ftnref2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"_ftn2"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[2]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1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1994a) a probíhá v ní největší rozvoj osobnosti, tzv.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proměna 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(sic!)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 duše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(Jung, 1994b). Když se tato fáze individuace nepodaří, člověk nikdy nezíská individuální identitu, nevznikne opravdový psychologický vztah a manželství se rozpadá.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Ve stáří pak Jung (1994a; 1994b; 2012) nespatřuje nic speciálního, považuje jej za degeneraci, involuci a symbolický návrat do dětství bez problémů, proto nezmiňuje ani žádná podstatná specifika manželství ve stáří.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Kromě vývoje fáze manželství mluví Jung (1994a) také o pojmech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duch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,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smyslnost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a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láska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, které musí být pro zvládnutí krize ve vzájemné rovnováze. Jejich uchopení je však složité a silně filosofické, nebudu je proto více rozebírat.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Poslední důležitou věcí je tzv.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„problém zahrnutého a zahrnujícího“ </w:t>
      </w:r>
      <w:bookmarkStart w:id="2" w:name="_ftnref3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"_ftn3"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[3]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2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(Jung, 1994a). Muži dle něj bývají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zahrnuti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ve své ženě citově a ženy ve svém muži duchovně. Člověk, jenž je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zahrnut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, je manželstvím úplně pohlcen, ztrácí svou individualitu a je na druhé osobě závislý. Člověk, jenž je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zahrnující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, má problém zvládnout vztah „za oba dva“ a postupně se cítí díky fixaci partnera vypuzován, a není schopen sjednotit vztah, lásku a vlastní identitu s protějškem. Tento stav končí buďto rozvodem, nebo zhroucením jednoho či obou partnerů. Pouze zřídkakdy se stává, že oba partneři tento problém sami zvládnou svým vývojem vyřešit.</w:t>
      </w:r>
    </w:p>
    <w:p w:rsidR="0034151A" w:rsidRPr="0034151A" w:rsidRDefault="0034151A" w:rsidP="0034151A">
      <w:pPr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r w:rsidRPr="0034151A">
        <w:rPr>
          <w:rFonts w:ascii="inherit" w:eastAsia="Times New Roman" w:hAnsi="inherit" w:cs="Arial"/>
          <w:b/>
          <w:bCs/>
          <w:color w:val="444444"/>
          <w:sz w:val="33"/>
          <w:szCs w:val="33"/>
          <w:bdr w:val="none" w:sz="0" w:space="0" w:color="auto" w:frame="1"/>
          <w:lang w:eastAsia="cs-CZ"/>
        </w:rPr>
        <w:t>Závěr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Jungův přístup k lidské psyché je komplexní, vše zastřešující a díky tomu také velmi atraktivní. Bere si něco tajuplného z psychoanalýzy, něco logického z ostatních vědeckých disciplín, něco spirituálního z duchovního dědictví západní civilizace, něco 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lastRenderedPageBreak/>
        <w:t>filosofického z východního taoismu a to vše Jung obaluje do složitých a mnohdy těžko uchopitelných ezoterických konstruktů. Možná proto byl dlouho zapomenut a jeho názory je i dnes náročné interpretovat a správně pochopit. Jung kromě výše zmíněných filosofických, vědeckých i pseudovědeckých zdrojů vychází především z klinického pozorování, lidových rčení a vlastních zkušeností. Jeho hypotézy (dají-li se tak nazvat jeho názory) jsou často nefalzifikovatelné, vychází až příliš často z explicitně nevyřčených axiomů a staví na stejnou úroveň zjištěná fakta a vlastní názor. Z tohoto pohledu by jeho přístup u dnešní přísně vědecké akademické obce nejspíš neuspěl.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Bylo by však chybou shodit jeho esej s tím, že je nevědecká. Domnívám se, že je vhodné oprostit se od výše zmíněných nedostatků a nahlížet na jeho práci více jako na filosofické dílo k zamyšlení, než jako na odbornou stať – a právě tehdy nám poskytuje jeho práce mnoho cenných podnětů.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 brilantně popisuje problém závislosti ve vztahu způsobený nedostatečně rozvinout identitou. Dále poukazuje na – pro manželské poradenství – důležitou skutečnost, že muž a žena nahlíží na vztah rozdílně. Byť je potřeba podotknout, že jeho pohled na muže a ženu podléhá stereotypním představám minulého století a pro dnešní liberální společnost utvářenou feministickými a sexuálními revolucemi by jeho pohled byl nejspíš nepřijatelný. Za přínosné lze považovat také jeho uvědomění si, že každý člověk v sobě obsahuje obraz opačného pohlaví, což může hrát klíčovou roli nejen v manželském poradenství, ale i v terapii.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 naopak přestává být aktuální, co se týče vývoje manželství. Na jednu stranu sice jako jeden z prvních popisuje krizi středního věku (a nutno říci, že v mnoha ohledech velmi kvalitně), na druhou stranu však silně generalizuje a zjednodušuje celý vývoj, přičemž nepřipouští možnost, že by si člověk dokázal utvořit individuální identitu výrazně dříve, či bez potřeby spirituality a ducha. Opomíjí také skutečnost, že i manželství ve stáří má svá výrazná specifika a ve své eseji nebere v potaz nově vznikající pojem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„vynořující se dospělost“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, která umožňuje mladému člověku teoreticky zažívat individuaci ještě před vstupem do manželství.</w:t>
      </w:r>
    </w:p>
    <w:p w:rsidR="0034151A" w:rsidRPr="0034151A" w:rsidRDefault="0034151A" w:rsidP="0034151A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Jeho práce tak zůstává dnes spíše zajímavým podnětným esejem, než přelomovým materiálem užívaným v manželském poradenství. Přesto v něm má své místo, neboť když už nic jiného, nahlíží na vztah dynamicky, jako na vývoj, na kterém může poradce či terapeut společně s párem pracovat. Jako na vývoj, který je závislý na vývoji obou partnerů, a který může fungovat zdravě pouze tehdy, pokud zvládají svou individuaci zdravě obě zúčastnění. A přesně to je, dle mého názoru, nejpřínosnější dopad jeho přístupu k manželství.</w:t>
      </w:r>
    </w:p>
    <w:p w:rsidR="0034151A" w:rsidRPr="0034151A" w:rsidRDefault="0034151A" w:rsidP="0034151A">
      <w:pPr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r w:rsidRPr="0034151A">
        <w:rPr>
          <w:rFonts w:ascii="inherit" w:eastAsia="Times New Roman" w:hAnsi="inherit" w:cs="Arial"/>
          <w:b/>
          <w:bCs/>
          <w:color w:val="444444"/>
          <w:sz w:val="33"/>
          <w:szCs w:val="33"/>
          <w:bdr w:val="none" w:sz="0" w:space="0" w:color="auto" w:frame="1"/>
          <w:lang w:eastAsia="cs-CZ"/>
        </w:rPr>
        <w:t>Použitá literatura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Hartl, P., &amp; Hartlová, H. (2010).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Velký psychologický slovník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. Praha: Portál. ISBN: 978-80-7367-686-5.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lastRenderedPageBreak/>
        <w:t>Jung, C. G. (1994a). Manželství jako psychologický vztah. In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Duše moderního člověka 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(pp. 82-92). Brno: Atlantis. ISBN: 80-7108-213-9.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Jung, C. G. (1994b). Životní obrat. In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Duše moderního člověka 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(pp. 93-106). Brno: Atlantis. ISBN: 80-7108-213-9.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Jung, C. G. (2012). Žena v Evropě. In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Člověk a kultura: Výbor z díla IX. 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(pp. 35-61). Brno: Emitos. ISBN: 978-80-87171-34-9.</w:t>
      </w:r>
    </w:p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Novák, T., &amp; Šmolka, P. (2016).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Manželské a rodinné poradenství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. Praha: Grada. ISBN: 978-80-247-5873-2.</w:t>
      </w:r>
    </w:p>
    <w:p w:rsidR="0034151A" w:rsidRPr="0034151A" w:rsidRDefault="0034151A" w:rsidP="0034151A">
      <w:pPr>
        <w:spacing w:before="75"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</w:pPr>
      <w:r w:rsidRPr="0034151A">
        <w:rPr>
          <w:rFonts w:ascii="Arial" w:eastAsia="Times New Roman" w:hAnsi="Arial" w:cs="Arial"/>
          <w:b/>
          <w:bCs/>
          <w:color w:val="444444"/>
          <w:sz w:val="33"/>
          <w:szCs w:val="33"/>
          <w:lang w:eastAsia="cs-CZ"/>
        </w:rPr>
        <w:t>Poznámky pod čarou</w:t>
      </w:r>
    </w:p>
    <w:bookmarkStart w:id="3" w:name="_ftn1"/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"_ftnref1"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[1]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3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Podle Junga (1994a) je předchozí fáze jen iluze, nikoliv vztah.</w:t>
      </w:r>
    </w:p>
    <w:bookmarkStart w:id="4" w:name="_ftn2"/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"_ftnref2"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[2]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4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Dnes se tomuto termínu nejvíce blíží zpopularizovaný termín „krize středního věku“. Jung (1994b) umístil toto období do rozmezí 35-40 let.</w:t>
      </w:r>
    </w:p>
    <w:bookmarkStart w:id="5" w:name="_ftn3"/>
    <w:p w:rsidR="0034151A" w:rsidRPr="0034151A" w:rsidRDefault="0034151A" w:rsidP="0034151A">
      <w:pPr>
        <w:spacing w:after="0" w:line="330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begin"/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instrText xml:space="preserve"> HYPERLINK "https://www.kzamysleni.cz/manzelstvi-jako-psychologicky-vztah-polemika-s-jungem/" \l "_ftnref3" </w:instrTex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separate"/>
      </w:r>
      <w:r w:rsidRPr="0034151A">
        <w:rPr>
          <w:rFonts w:ascii="Helvetica" w:eastAsia="Times New Roman" w:hAnsi="Helvetica" w:cs="Helvetica"/>
          <w:color w:val="EA141F"/>
          <w:sz w:val="23"/>
          <w:szCs w:val="23"/>
          <w:u w:val="single"/>
          <w:bdr w:val="none" w:sz="0" w:space="0" w:color="auto" w:frame="1"/>
          <w:lang w:eastAsia="cs-CZ"/>
        </w:rPr>
        <w:t>[3]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fldChar w:fldCharType="end"/>
      </w:r>
      <w:bookmarkEnd w:id="5"/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Ačkoliv terminologie může vybízet k tomu, aby byla pochopena jako dimenze </w:t>
      </w:r>
      <w:r w:rsidRPr="0034151A">
        <w:rPr>
          <w:rFonts w:ascii="Georgia" w:eastAsia="Times New Roman" w:hAnsi="Georgia" w:cs="Helvetica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dominance-submise</w:t>
      </w:r>
      <w:r w:rsidRPr="0034151A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(a autor tuto souvislost explicitně nevyvrátil), zaměřuje se na výrazně jinou část vztahu.</w:t>
      </w:r>
    </w:p>
    <w:p w:rsidR="00A14B33" w:rsidRDefault="00A14B33">
      <w:bookmarkStart w:id="6" w:name="_GoBack"/>
      <w:bookmarkEnd w:id="6"/>
    </w:p>
    <w:sectPr w:rsidR="00A1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3"/>
    <w:rsid w:val="0034151A"/>
    <w:rsid w:val="00A14B33"/>
    <w:rsid w:val="00D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1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15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heauthor">
    <w:name w:val="theauthor"/>
    <w:basedOn w:val="Standardnpsmoodstavce"/>
    <w:rsid w:val="0034151A"/>
  </w:style>
  <w:style w:type="character" w:styleId="Hypertextovodkaz">
    <w:name w:val="Hyperlink"/>
    <w:basedOn w:val="Standardnpsmoodstavce"/>
    <w:uiPriority w:val="99"/>
    <w:semiHidden/>
    <w:unhideWhenUsed/>
    <w:rsid w:val="003415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151A"/>
    <w:rPr>
      <w:i/>
      <w:iCs/>
    </w:rPr>
  </w:style>
  <w:style w:type="character" w:styleId="Siln">
    <w:name w:val="Strong"/>
    <w:basedOn w:val="Standardnpsmoodstavce"/>
    <w:uiPriority w:val="22"/>
    <w:qFormat/>
    <w:rsid w:val="00341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1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15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heauthor">
    <w:name w:val="theauthor"/>
    <w:basedOn w:val="Standardnpsmoodstavce"/>
    <w:rsid w:val="0034151A"/>
  </w:style>
  <w:style w:type="character" w:styleId="Hypertextovodkaz">
    <w:name w:val="Hyperlink"/>
    <w:basedOn w:val="Standardnpsmoodstavce"/>
    <w:uiPriority w:val="99"/>
    <w:semiHidden/>
    <w:unhideWhenUsed/>
    <w:rsid w:val="0034151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151A"/>
    <w:rPr>
      <w:i/>
      <w:iCs/>
    </w:rPr>
  </w:style>
  <w:style w:type="character" w:styleId="Siln">
    <w:name w:val="Strong"/>
    <w:basedOn w:val="Standardnpsmoodstavce"/>
    <w:uiPriority w:val="22"/>
    <w:qFormat/>
    <w:rsid w:val="00341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zamysleni.cz/author/david-lacko/" TargetMode="External"/><Relationship Id="rId5" Type="http://schemas.openxmlformats.org/officeDocument/2006/relationships/hyperlink" Target="https://www.kzamysleni.cz/category/temata/clov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Lacko</dc:creator>
  <cp:keywords/>
  <dc:description/>
  <cp:lastModifiedBy>David Lacko</cp:lastModifiedBy>
  <cp:revision>2</cp:revision>
  <dcterms:created xsi:type="dcterms:W3CDTF">2019-01-18T13:34:00Z</dcterms:created>
  <dcterms:modified xsi:type="dcterms:W3CDTF">2019-01-18T13:34:00Z</dcterms:modified>
</cp:coreProperties>
</file>