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E7" w:rsidRDefault="001A39E7" w:rsidP="00AC4446">
      <w:pPr>
        <w:pStyle w:val="00Nzevpspvku"/>
      </w:pPr>
      <w:bookmarkStart w:id="0" w:name="_GoBack"/>
      <w:bookmarkEnd w:id="0"/>
      <w:r w:rsidRPr="00AC4446">
        <w:t>Plíživé rozšiřování trestní represe</w:t>
      </w:r>
    </w:p>
    <w:p w:rsidR="00AC4446" w:rsidRPr="00AC4446" w:rsidRDefault="00AC4446" w:rsidP="00AC4446">
      <w:pPr>
        <w:pStyle w:val="00Title"/>
      </w:pPr>
      <w:r>
        <w:t xml:space="preserve">Creeping expansion of criminal repression </w:t>
      </w:r>
    </w:p>
    <w:p w:rsidR="001A39E7" w:rsidRDefault="001A39E7" w:rsidP="00AC4446">
      <w:pPr>
        <w:pStyle w:val="00Jmnoapjmenautora"/>
      </w:pPr>
      <w:r w:rsidRPr="00AC4446">
        <w:t>Zdeněk Koudelka</w:t>
      </w:r>
    </w:p>
    <w:p w:rsidR="00AC4446" w:rsidRPr="00AC4446" w:rsidRDefault="00AC4446" w:rsidP="00AC4446">
      <w:pPr>
        <w:pStyle w:val="00AnotaceCZSK"/>
      </w:pPr>
      <w:r w:rsidRPr="00AC4446">
        <w:t>Předkládaný text se zabývá otázkou</w:t>
      </w:r>
      <w:r w:rsidR="00815EC9">
        <w:t xml:space="preserve"> míry</w:t>
      </w:r>
      <w:r w:rsidRPr="00AC4446">
        <w:t xml:space="preserve"> trestní represe. Především je rozebrána problematika určení výše škody a vliv inflace na ni. </w:t>
      </w:r>
    </w:p>
    <w:p w:rsidR="00AC4446" w:rsidRPr="00AC4446" w:rsidRDefault="00AC4446" w:rsidP="00AC4446">
      <w:pPr>
        <w:pStyle w:val="00AnnotationEN"/>
      </w:pPr>
      <w:r w:rsidRPr="00AC4446">
        <w:t>The text deals with the scope of criminal repression. In particular, it is the determination of the amount of damage and the impact of inflation.</w:t>
      </w:r>
    </w:p>
    <w:p w:rsidR="003A44A1" w:rsidRPr="00AC4446" w:rsidRDefault="001A39E7" w:rsidP="00D73A08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AC4446">
        <w:rPr>
          <w:rFonts w:ascii="Times New Roman" w:eastAsiaTheme="minorHAnsi" w:hAnsi="Times New Roman" w:cs="Times New Roman"/>
          <w:lang w:eastAsia="en-US"/>
        </w:rPr>
        <w:t>Pro hranici trestného činu a přestupku v případě majetkových trestných činů nebo trestných činů, kde je znakem skutkové podstaty způsobení škody nebo neoprávněného prospěchu</w:t>
      </w:r>
      <w:r w:rsidR="00997B5C" w:rsidRPr="00AC4446">
        <w:rPr>
          <w:rFonts w:ascii="Times New Roman" w:eastAsiaTheme="minorHAnsi" w:hAnsi="Times New Roman" w:cs="Times New Roman"/>
          <w:lang w:eastAsia="en-US"/>
        </w:rPr>
        <w:t>, je</w:t>
      </w:r>
      <w:r w:rsidRPr="00AC4446">
        <w:rPr>
          <w:rFonts w:ascii="Times New Roman" w:eastAsiaTheme="minorHAnsi" w:hAnsi="Times New Roman" w:cs="Times New Roman"/>
          <w:lang w:eastAsia="en-US"/>
        </w:rPr>
        <w:t xml:space="preserve"> trestním zákonem stanovená finanční částka</w:t>
      </w:r>
      <w:r w:rsidR="00997B5C" w:rsidRPr="00AC4446">
        <w:rPr>
          <w:rFonts w:ascii="Times New Roman" w:eastAsiaTheme="minorHAnsi" w:hAnsi="Times New Roman" w:cs="Times New Roman"/>
          <w:lang w:eastAsia="en-US"/>
        </w:rPr>
        <w:t xml:space="preserve"> pro určení trestněprávní relevance této škody či prospěchu</w:t>
      </w:r>
      <w:r w:rsidRPr="00AC4446">
        <w:rPr>
          <w:rFonts w:ascii="Times New Roman" w:eastAsiaTheme="minorHAnsi" w:hAnsi="Times New Roman" w:cs="Times New Roman"/>
          <w:lang w:eastAsia="en-US"/>
        </w:rPr>
        <w:t>.</w:t>
      </w:r>
    </w:p>
    <w:p w:rsidR="004E7C85" w:rsidRPr="00AC4446" w:rsidRDefault="004E7C85" w:rsidP="00AC4446">
      <w:pPr>
        <w:pStyle w:val="00nadpisvecnacast"/>
        <w:ind w:left="360"/>
      </w:pPr>
      <w:r w:rsidRPr="00AC4446">
        <w:t>Stanovení hranic škody a prospěchu</w:t>
      </w:r>
    </w:p>
    <w:p w:rsidR="00B119FA" w:rsidRPr="00D73A08" w:rsidRDefault="001A39E7" w:rsidP="00D73A08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t>Hranice škody pro trestný čin 5 000 Kč</w:t>
      </w:r>
      <w:r w:rsidR="00D322EC" w:rsidRPr="00D73A08">
        <w:rPr>
          <w:rFonts w:ascii="Times New Roman" w:hAnsi="Times New Roman" w:cs="Times New Roman"/>
          <w:szCs w:val="24"/>
        </w:rPr>
        <w:t>,</w:t>
      </w:r>
      <w:r w:rsidR="005A5341" w:rsidRPr="00D73A08">
        <w:rPr>
          <w:rFonts w:ascii="Times New Roman" w:hAnsi="Times New Roman" w:cs="Times New Roman"/>
          <w:szCs w:val="24"/>
        </w:rPr>
        <w:t xml:space="preserve"> pro škodu nikoliv malou 25 000 Kč,</w:t>
      </w:r>
      <w:r w:rsidRPr="00D73A08">
        <w:rPr>
          <w:rFonts w:ascii="Times New Roman" w:hAnsi="Times New Roman" w:cs="Times New Roman"/>
          <w:szCs w:val="24"/>
        </w:rPr>
        <w:t xml:space="preserve"> pro </w:t>
      </w:r>
      <w:r w:rsidR="00D322EC" w:rsidRPr="00D73A08">
        <w:rPr>
          <w:rFonts w:ascii="Times New Roman" w:hAnsi="Times New Roman" w:cs="Times New Roman"/>
          <w:szCs w:val="24"/>
        </w:rPr>
        <w:t xml:space="preserve">větší škodu 50 000 Kč, </w:t>
      </w:r>
      <w:r w:rsidRPr="00D73A08">
        <w:rPr>
          <w:rFonts w:ascii="Times New Roman" w:hAnsi="Times New Roman" w:cs="Times New Roman"/>
          <w:szCs w:val="24"/>
        </w:rPr>
        <w:t>škodu značnou 500 000 Kč</w:t>
      </w:r>
      <w:r w:rsidR="00D322EC" w:rsidRPr="00D73A08">
        <w:rPr>
          <w:rFonts w:ascii="Times New Roman" w:hAnsi="Times New Roman" w:cs="Times New Roman"/>
          <w:szCs w:val="24"/>
        </w:rPr>
        <w:t xml:space="preserve"> a škodu velkého rozsahu 5 000 000 Kč</w:t>
      </w:r>
      <w:r w:rsidRPr="00D73A08">
        <w:rPr>
          <w:rFonts w:ascii="Times New Roman" w:hAnsi="Times New Roman" w:cs="Times New Roman"/>
          <w:szCs w:val="24"/>
        </w:rPr>
        <w:t xml:space="preserve"> byla zavedena do trestního zákona novelou § 89 odst. 11 zákonem č. 265/2001 Sb.</w:t>
      </w:r>
      <w:r w:rsidR="00A3688B" w:rsidRPr="00D73A08">
        <w:rPr>
          <w:rFonts w:ascii="Times New Roman" w:hAnsi="Times New Roman" w:cs="Times New Roman"/>
          <w:szCs w:val="24"/>
        </w:rPr>
        <w:t xml:space="preserve"> </w:t>
      </w:r>
      <w:r w:rsidR="00BD7F65" w:rsidRPr="00D73A08">
        <w:rPr>
          <w:rFonts w:ascii="Times New Roman" w:hAnsi="Times New Roman" w:cs="Times New Roman"/>
          <w:szCs w:val="24"/>
        </w:rPr>
        <w:t>Trestní zákoník jen tato ustanovení převzal.</w:t>
      </w:r>
      <w:r w:rsidR="00BD7F65" w:rsidRPr="00D73A08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="00BD7F65" w:rsidRPr="00D73A08">
        <w:rPr>
          <w:rFonts w:ascii="Times New Roman" w:hAnsi="Times New Roman" w:cs="Times New Roman"/>
          <w:szCs w:val="24"/>
        </w:rPr>
        <w:t xml:space="preserve"> </w:t>
      </w:r>
      <w:r w:rsidRPr="00D73A08">
        <w:rPr>
          <w:rFonts w:ascii="Times New Roman" w:hAnsi="Times New Roman" w:cs="Times New Roman"/>
          <w:szCs w:val="24"/>
        </w:rPr>
        <w:t>Zákonodárce v roce 2001 vyjádřil výslovně hranice škody číslem, zatímco dříve byly vázány na minimální mzdu.</w:t>
      </w:r>
      <w:r w:rsidR="003722D7" w:rsidRPr="00D73A08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D73A08">
        <w:rPr>
          <w:rFonts w:ascii="Times New Roman" w:hAnsi="Times New Roman" w:cs="Times New Roman"/>
          <w:szCs w:val="24"/>
        </w:rPr>
        <w:t xml:space="preserve"> </w:t>
      </w:r>
      <w:r w:rsidR="00B119FA" w:rsidRPr="00D73A08">
        <w:rPr>
          <w:rFonts w:ascii="Times New Roman" w:hAnsi="Times New Roman" w:cs="Times New Roman"/>
          <w:szCs w:val="24"/>
        </w:rPr>
        <w:t xml:space="preserve">Rovněž další hranice škod byly do roku 2001 stanoveny násobky minimální mzdy a po tomto roce absolutním číslem, které vzniklo jako vynásobení tehdy platné minimální mzdy 5 000 Kč a příslušného násobku. </w:t>
      </w:r>
    </w:p>
    <w:p w:rsidR="00673DB3" w:rsidRPr="00D73A08" w:rsidRDefault="00B119FA" w:rsidP="00D73A08">
      <w:pPr>
        <w:widowControl w:val="0"/>
        <w:autoSpaceDE w:val="0"/>
        <w:autoSpaceDN w:val="0"/>
        <w:adjustRightInd w:val="0"/>
        <w:spacing w:before="120" w:after="0" w:line="36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t>Zákonodárce znemožnil</w:t>
      </w:r>
      <w:r w:rsidR="001A39E7" w:rsidRPr="00D73A08">
        <w:rPr>
          <w:rFonts w:ascii="Times New Roman" w:hAnsi="Times New Roman" w:cs="Times New Roman"/>
          <w:szCs w:val="24"/>
        </w:rPr>
        <w:t xml:space="preserve"> svévolnou praxi vlády, kdy vláda vydávala v 90. letech 20. století odlišná nařízení pro faktickou minimální mzdu a odlišná pro </w:t>
      </w:r>
      <w:r w:rsidR="005A5341" w:rsidRPr="00D73A08">
        <w:rPr>
          <w:rFonts w:ascii="Times New Roman" w:hAnsi="Times New Roman" w:cs="Times New Roman"/>
          <w:szCs w:val="24"/>
        </w:rPr>
        <w:t xml:space="preserve">nejmenší měsíční </w:t>
      </w:r>
      <w:r w:rsidR="001A39E7" w:rsidRPr="00D73A08">
        <w:rPr>
          <w:rFonts w:ascii="Times New Roman" w:hAnsi="Times New Roman" w:cs="Times New Roman"/>
          <w:szCs w:val="24"/>
        </w:rPr>
        <w:t>mzdu pro potřeby trestního zákona, která byla nižší a tím docházelo k materiálnímu rozšiřování trestní represe.</w:t>
      </w:r>
      <w:r w:rsidR="001A39E7" w:rsidRPr="00D73A08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="003223C9" w:rsidRPr="00D73A08">
        <w:rPr>
          <w:rFonts w:ascii="Times New Roman" w:hAnsi="Times New Roman" w:cs="Times New Roman"/>
          <w:szCs w:val="24"/>
        </w:rPr>
        <w:t xml:space="preserve"> Rozdíl byl i v pojmech, kdy pracovněprávní předpis hovořil o minimální mzdě a trestní předpis o nejmenší měsíční mzdě. Oba pojmy však z hlediska zákona </w:t>
      </w:r>
      <w:r w:rsidR="00194054" w:rsidRPr="00D73A08">
        <w:rPr>
          <w:rFonts w:ascii="Times New Roman" w:hAnsi="Times New Roman" w:cs="Times New Roman"/>
          <w:szCs w:val="24"/>
        </w:rPr>
        <w:t>měly vyjadřovat stejnou hodnotu, byť tak nečinily.</w:t>
      </w:r>
      <w:r w:rsidR="002C40DD" w:rsidRPr="00D73A08">
        <w:rPr>
          <w:rFonts w:ascii="Times New Roman" w:hAnsi="Times New Roman" w:cs="Times New Roman"/>
          <w:szCs w:val="24"/>
        </w:rPr>
        <w:t xml:space="preserve"> Důvodová zpráva k zákonu, který stanovil hranici škody přímo číslem v trestním zákoně v roce 2001</w:t>
      </w:r>
      <w:r w:rsidR="00815EC9">
        <w:rPr>
          <w:rFonts w:ascii="Times New Roman" w:hAnsi="Times New Roman" w:cs="Times New Roman"/>
          <w:szCs w:val="24"/>
        </w:rPr>
        <w:t>,</w:t>
      </w:r>
      <w:r w:rsidR="002C40DD" w:rsidRPr="00D73A08">
        <w:rPr>
          <w:rFonts w:ascii="Times New Roman" w:hAnsi="Times New Roman" w:cs="Times New Roman"/>
          <w:szCs w:val="24"/>
        </w:rPr>
        <w:t xml:space="preserve"> uvedla, že vláda nesplnila očekávání, že bude svými nařízeními rychleji reagovat na inflační vývoj.</w:t>
      </w:r>
      <w:r w:rsidR="002C40DD" w:rsidRPr="00D73A08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2C40DD" w:rsidRPr="00D73A08">
        <w:rPr>
          <w:rFonts w:ascii="Times New Roman" w:hAnsi="Times New Roman" w:cs="Times New Roman"/>
          <w:szCs w:val="24"/>
        </w:rPr>
        <w:t xml:space="preserve"> Je komické, že šlo o vládní návrh zákona. Vláda kritizovala sama sebe a místo, aby situaci vyřešila jednoduše novelou nařízení vlády, navrhla novelu trestního zákona Parlamentu.</w:t>
      </w:r>
    </w:p>
    <w:p w:rsidR="002C40DD" w:rsidRPr="00D73A08" w:rsidRDefault="001A39E7" w:rsidP="005971BD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lastRenderedPageBreak/>
        <w:t>Hranici škody pro trestn</w:t>
      </w:r>
      <w:r w:rsidR="003A0951" w:rsidRPr="00D73A08">
        <w:rPr>
          <w:rFonts w:ascii="Times New Roman" w:hAnsi="Times New Roman" w:cs="Times New Roman"/>
          <w:szCs w:val="24"/>
        </w:rPr>
        <w:t>ý</w:t>
      </w:r>
      <w:r w:rsidRPr="00D73A08">
        <w:rPr>
          <w:rFonts w:ascii="Times New Roman" w:hAnsi="Times New Roman" w:cs="Times New Roman"/>
          <w:szCs w:val="24"/>
        </w:rPr>
        <w:t xml:space="preserve"> čin stanovil </w:t>
      </w:r>
      <w:r w:rsidR="00997B5C" w:rsidRPr="00D73A08">
        <w:rPr>
          <w:rFonts w:ascii="Times New Roman" w:hAnsi="Times New Roman" w:cs="Times New Roman"/>
          <w:szCs w:val="24"/>
        </w:rPr>
        <w:t xml:space="preserve">v roce 2001 trestní </w:t>
      </w:r>
      <w:r w:rsidRPr="00D73A08">
        <w:rPr>
          <w:rFonts w:ascii="Times New Roman" w:hAnsi="Times New Roman" w:cs="Times New Roman"/>
          <w:szCs w:val="24"/>
        </w:rPr>
        <w:t xml:space="preserve">zákon absolutním číslem 5 000 Kč. Ale nikoliv náhodně, avšak podle tehdy platné minimální měsíční mzdy dle nařízení vlády č. 303/1995 Sb. ve znění nařízení vlády č. 429/2000 Sb. Tedy úmyslem zákonodárce bylo zachovat vazbu na minimální </w:t>
      </w:r>
      <w:r w:rsidR="00815EC9" w:rsidRPr="00D73A08">
        <w:rPr>
          <w:rFonts w:ascii="Times New Roman" w:hAnsi="Times New Roman" w:cs="Times New Roman"/>
          <w:szCs w:val="24"/>
        </w:rPr>
        <w:t>mzdu,</w:t>
      </w:r>
      <w:r w:rsidRPr="00D73A08">
        <w:rPr>
          <w:rFonts w:ascii="Times New Roman" w:hAnsi="Times New Roman" w:cs="Times New Roman"/>
          <w:szCs w:val="24"/>
        </w:rPr>
        <w:t xml:space="preserve"> byť jinou formou. Od té doby se materiálně ekonomická situace a hodnota peněz změnily, ale nikoli absolutní částky hranice škody v trestním právu hmotném. Je přitom evidentní, že škoda 5 000 Kč</w:t>
      </w:r>
      <w:r w:rsidR="00D322EC" w:rsidRPr="00D73A08">
        <w:rPr>
          <w:rFonts w:ascii="Times New Roman" w:hAnsi="Times New Roman" w:cs="Times New Roman"/>
          <w:szCs w:val="24"/>
        </w:rPr>
        <w:t xml:space="preserve">, </w:t>
      </w:r>
      <w:r w:rsidRPr="00D73A08">
        <w:rPr>
          <w:rFonts w:ascii="Times New Roman" w:hAnsi="Times New Roman" w:cs="Times New Roman"/>
          <w:szCs w:val="24"/>
        </w:rPr>
        <w:t xml:space="preserve">500 000 Kč </w:t>
      </w:r>
      <w:r w:rsidR="00D322EC" w:rsidRPr="00D73A08">
        <w:rPr>
          <w:rFonts w:ascii="Times New Roman" w:hAnsi="Times New Roman" w:cs="Times New Roman"/>
          <w:szCs w:val="24"/>
        </w:rPr>
        <w:t xml:space="preserve">nebo 5 000 000 Kč </w:t>
      </w:r>
      <w:r w:rsidRPr="00D73A08">
        <w:rPr>
          <w:rFonts w:ascii="Times New Roman" w:hAnsi="Times New Roman" w:cs="Times New Roman"/>
          <w:szCs w:val="24"/>
        </w:rPr>
        <w:t xml:space="preserve">v roce 2001 byla reálně jiná než </w:t>
      </w:r>
      <w:r w:rsidR="003A0951" w:rsidRPr="00D73A08">
        <w:rPr>
          <w:rFonts w:ascii="Times New Roman" w:hAnsi="Times New Roman" w:cs="Times New Roman"/>
          <w:szCs w:val="24"/>
        </w:rPr>
        <w:t>dnes</w:t>
      </w:r>
      <w:r w:rsidRPr="00D73A08">
        <w:rPr>
          <w:rFonts w:ascii="Times New Roman" w:hAnsi="Times New Roman" w:cs="Times New Roman"/>
          <w:szCs w:val="24"/>
        </w:rPr>
        <w:t>. Dochází k</w:t>
      </w:r>
      <w:r w:rsidR="00815EC9">
        <w:rPr>
          <w:rFonts w:ascii="Times New Roman" w:hAnsi="Times New Roman" w:cs="Times New Roman"/>
          <w:szCs w:val="24"/>
        </w:rPr>
        <w:t> </w:t>
      </w:r>
      <w:r w:rsidRPr="00D73A08">
        <w:rPr>
          <w:rFonts w:ascii="Times New Roman" w:hAnsi="Times New Roman" w:cs="Times New Roman"/>
          <w:szCs w:val="24"/>
        </w:rPr>
        <w:t xml:space="preserve">inflačnímu rozšiřování trestní represe. Do </w:t>
      </w:r>
      <w:r w:rsidR="003A0951" w:rsidRPr="00D73A08">
        <w:rPr>
          <w:rFonts w:ascii="Times New Roman" w:hAnsi="Times New Roman" w:cs="Times New Roman"/>
          <w:szCs w:val="24"/>
        </w:rPr>
        <w:t>roku 201</w:t>
      </w:r>
      <w:r w:rsidR="004535ED">
        <w:rPr>
          <w:rFonts w:ascii="Times New Roman" w:hAnsi="Times New Roman" w:cs="Times New Roman"/>
          <w:szCs w:val="24"/>
        </w:rPr>
        <w:t>9</w:t>
      </w:r>
      <w:r w:rsidRPr="00D73A08">
        <w:rPr>
          <w:rFonts w:ascii="Times New Roman" w:hAnsi="Times New Roman" w:cs="Times New Roman"/>
          <w:szCs w:val="24"/>
        </w:rPr>
        <w:t xml:space="preserve"> se minimální mzda zvýšila </w:t>
      </w:r>
      <w:r w:rsidR="004535ED">
        <w:rPr>
          <w:rFonts w:ascii="Times New Roman" w:hAnsi="Times New Roman" w:cs="Times New Roman"/>
          <w:szCs w:val="24"/>
        </w:rPr>
        <w:t>více než</w:t>
      </w:r>
      <w:r w:rsidRPr="00D73A08">
        <w:rPr>
          <w:rFonts w:ascii="Times New Roman" w:hAnsi="Times New Roman" w:cs="Times New Roman"/>
          <w:szCs w:val="24"/>
        </w:rPr>
        <w:t xml:space="preserve"> 2,5krát na </w:t>
      </w:r>
      <w:r w:rsidR="006F203D">
        <w:rPr>
          <w:rFonts w:ascii="Times New Roman" w:hAnsi="Times New Roman" w:cs="Times New Roman"/>
          <w:szCs w:val="24"/>
        </w:rPr>
        <w:t>13 350</w:t>
      </w:r>
      <w:r w:rsidRPr="00D73A08">
        <w:rPr>
          <w:rFonts w:ascii="Times New Roman" w:hAnsi="Times New Roman" w:cs="Times New Roman"/>
          <w:szCs w:val="24"/>
        </w:rPr>
        <w:t xml:space="preserve"> Kč dle nařízení vlády č. 567/2006 Sb. ve znění nařízení č. </w:t>
      </w:r>
      <w:r w:rsidR="006F203D">
        <w:rPr>
          <w:rFonts w:ascii="Times New Roman" w:hAnsi="Times New Roman" w:cs="Times New Roman"/>
          <w:szCs w:val="24"/>
        </w:rPr>
        <w:t>273/2018</w:t>
      </w:r>
      <w:r w:rsidRPr="00D73A08">
        <w:rPr>
          <w:rFonts w:ascii="Times New Roman" w:hAnsi="Times New Roman" w:cs="Times New Roman"/>
          <w:szCs w:val="24"/>
        </w:rPr>
        <w:t xml:space="preserve"> Sb. Na tuto skutečnost již nereagovaly trestněprávní předpisy.</w:t>
      </w:r>
      <w:r w:rsidR="00BD7F65" w:rsidRPr="00D73A08">
        <w:rPr>
          <w:rFonts w:ascii="Times New Roman" w:hAnsi="Times New Roman" w:cs="Times New Roman"/>
          <w:szCs w:val="24"/>
        </w:rPr>
        <w:t xml:space="preserve"> </w:t>
      </w:r>
    </w:p>
    <w:p w:rsidR="001A39E7" w:rsidRPr="00D73A08" w:rsidRDefault="001A39E7" w:rsidP="005971BD">
      <w:pPr>
        <w:pStyle w:val="Normlnweb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rPr>
          <w:sz w:val="22"/>
        </w:rPr>
      </w:pPr>
      <w:r w:rsidRPr="00D73A08">
        <w:rPr>
          <w:sz w:val="22"/>
        </w:rPr>
        <w:t>Jde o nečinnost zákonodárce, která může mít neústavní důsledky faktickým rozšiřováním trestní represe. I když je soud vázán zákonem, měl by v otázce trestu přihlédnout k podstatné změně socioekonomických podmínek při zavedení platných hranic škod v roce 2001 ve srovnání s dnešní</w:t>
      </w:r>
      <w:r w:rsidR="00A52999">
        <w:rPr>
          <w:sz w:val="22"/>
        </w:rPr>
        <w:t>m</w:t>
      </w:r>
      <w:r w:rsidRPr="00D73A08">
        <w:rPr>
          <w:sz w:val="22"/>
        </w:rPr>
        <w:t xml:space="preserve"> stavem. Otázkou je, zda taková nečinnost zákonodárce již </w:t>
      </w:r>
      <w:r w:rsidR="0002749A" w:rsidRPr="00D73A08">
        <w:rPr>
          <w:sz w:val="22"/>
        </w:rPr>
        <w:t>nemá ústavní důsledky a samotné ustanovení trestního zákon</w:t>
      </w:r>
      <w:r w:rsidR="00485E5F" w:rsidRPr="00D73A08">
        <w:rPr>
          <w:sz w:val="22"/>
        </w:rPr>
        <w:t>íku</w:t>
      </w:r>
      <w:r w:rsidR="0002749A" w:rsidRPr="00D73A08">
        <w:rPr>
          <w:sz w:val="22"/>
        </w:rPr>
        <w:t xml:space="preserve">, které nereaguje na inflační vývoj pro určení rozsahu trestní represe, není protiústavní. </w:t>
      </w:r>
      <w:r w:rsidR="003A0951" w:rsidRPr="00D73A08">
        <w:rPr>
          <w:sz w:val="22"/>
        </w:rPr>
        <w:t>D</w:t>
      </w:r>
      <w:r w:rsidR="0002749A" w:rsidRPr="00D73A08">
        <w:rPr>
          <w:sz w:val="22"/>
        </w:rPr>
        <w:t>ůsledkem totiž je, že trestní represe</w:t>
      </w:r>
      <w:r w:rsidR="0045351A" w:rsidRPr="00D73A08">
        <w:rPr>
          <w:sz w:val="22"/>
        </w:rPr>
        <w:t xml:space="preserve"> se neustále rozšiřuje, aniž by to výslovně schválil zákonodárce formou zákona. Je zřejmé, že hodnota peněz díky inflaci klesá</w:t>
      </w:r>
      <w:r w:rsidR="005971BD">
        <w:rPr>
          <w:sz w:val="22"/>
        </w:rPr>
        <w:t>,</w:t>
      </w:r>
      <w:r w:rsidR="0045351A" w:rsidRPr="00D73A08">
        <w:rPr>
          <w:sz w:val="22"/>
        </w:rPr>
        <w:t xml:space="preserve"> a tedy jsou dnes trestním právem postihovány skutky, které byly původně jen přestupky. Na jedné straně se slovně trestní zákon</w:t>
      </w:r>
      <w:r w:rsidR="000853C0" w:rsidRPr="00D73A08">
        <w:rPr>
          <w:sz w:val="22"/>
        </w:rPr>
        <w:t>ík</w:t>
      </w:r>
      <w:r w:rsidR="0045351A" w:rsidRPr="00D73A08">
        <w:rPr>
          <w:sz w:val="22"/>
        </w:rPr>
        <w:t xml:space="preserve"> zaštiťuje principem subsidiarity trestní represe a zásadou </w:t>
      </w:r>
      <w:r w:rsidR="0045351A" w:rsidRPr="00815EC9">
        <w:rPr>
          <w:i/>
          <w:sz w:val="22"/>
        </w:rPr>
        <w:t>ultima ratio</w:t>
      </w:r>
      <w:r w:rsidR="0045351A" w:rsidRPr="00D73A08">
        <w:rPr>
          <w:sz w:val="22"/>
        </w:rPr>
        <w:t>. Na druhé straně se však rozšiřuje okruh trestných činů, které by dříve trestány nebyly či by byly postihovány mírnějšími tresty.</w:t>
      </w:r>
    </w:p>
    <w:p w:rsidR="00C62970" w:rsidRPr="005971BD" w:rsidRDefault="00C62970" w:rsidP="00815EC9">
      <w:pPr>
        <w:pStyle w:val="Normlnweb"/>
        <w:shd w:val="clear" w:color="auto" w:fill="FDFDFD"/>
        <w:spacing w:before="0" w:beforeAutospacing="0" w:after="240" w:afterAutospacing="0" w:line="360" w:lineRule="auto"/>
        <w:ind w:firstLine="709"/>
        <w:jc w:val="both"/>
        <w:rPr>
          <w:sz w:val="22"/>
        </w:rPr>
      </w:pPr>
      <w:r w:rsidRPr="00D73A08">
        <w:rPr>
          <w:sz w:val="22"/>
        </w:rPr>
        <w:t xml:space="preserve">S určitou mírou ironie lze uvést, jak by asi soudci </w:t>
      </w:r>
      <w:r w:rsidR="003A0951" w:rsidRPr="00D73A08">
        <w:rPr>
          <w:sz w:val="22"/>
        </w:rPr>
        <w:t xml:space="preserve">křičeli </w:t>
      </w:r>
      <w:r w:rsidRPr="00D73A08">
        <w:rPr>
          <w:sz w:val="22"/>
        </w:rPr>
        <w:t>o protiústavnosti, kdyby jim dnes byly jejich platy vypočítávány z průměrné</w:t>
      </w:r>
      <w:r w:rsidR="00485E5F" w:rsidRPr="00D73A08">
        <w:rPr>
          <w:sz w:val="22"/>
        </w:rPr>
        <w:t xml:space="preserve"> mzdy</w:t>
      </w:r>
      <w:r w:rsidRPr="00D73A08">
        <w:rPr>
          <w:sz w:val="22"/>
        </w:rPr>
        <w:t xml:space="preserve"> v roce 2001. To jim však nikterak nebrání odsuzovat lidi a ukládat jim tresty za použití hranic škod určených v roce 2001 ve zcela jiné ekonomické situaci.</w:t>
      </w:r>
    </w:p>
    <w:p w:rsidR="00D73A08" w:rsidRDefault="000853C0" w:rsidP="00D73A08">
      <w:pPr>
        <w:pStyle w:val="00nadpisvecnacast"/>
        <w:ind w:left="360"/>
      </w:pPr>
      <w:r w:rsidRPr="00180BE1">
        <w:t>R</w:t>
      </w:r>
      <w:r w:rsidR="003A44A1" w:rsidRPr="00180BE1">
        <w:t>ůst</w:t>
      </w:r>
      <w:r w:rsidRPr="00180BE1">
        <w:t xml:space="preserve"> příjmů</w:t>
      </w:r>
    </w:p>
    <w:p w:rsidR="003A44A1" w:rsidRPr="00D73A08" w:rsidRDefault="003A44A1" w:rsidP="005971BD">
      <w:pPr>
        <w:pStyle w:val="00nadpisvecnacast"/>
        <w:numPr>
          <w:ilvl w:val="0"/>
          <w:numId w:val="0"/>
        </w:numPr>
        <w:spacing w:after="0" w:line="360" w:lineRule="auto"/>
        <w:ind w:left="6" w:firstLine="709"/>
        <w:contextualSpacing/>
        <w:rPr>
          <w:sz w:val="22"/>
        </w:rPr>
      </w:pPr>
      <w:r w:rsidRPr="00D73A08">
        <w:rPr>
          <w:b w:val="0"/>
          <w:sz w:val="22"/>
        </w:rPr>
        <w:t>V roce 2001 byla měsíční minimální mzda 5 000 Kč.</w:t>
      </w:r>
      <w:r w:rsidRPr="00D73A08">
        <w:rPr>
          <w:rStyle w:val="Znakapoznpodarou"/>
          <w:b w:val="0"/>
          <w:sz w:val="22"/>
        </w:rPr>
        <w:footnoteReference w:id="6"/>
      </w:r>
      <w:r w:rsidR="005D5D20" w:rsidRPr="00D73A08">
        <w:rPr>
          <w:b w:val="0"/>
          <w:sz w:val="22"/>
        </w:rPr>
        <w:t xml:space="preserve"> V roce 2018</w:t>
      </w:r>
      <w:r w:rsidRPr="00D73A08">
        <w:rPr>
          <w:b w:val="0"/>
          <w:sz w:val="22"/>
        </w:rPr>
        <w:t xml:space="preserve"> byla 1</w:t>
      </w:r>
      <w:r w:rsidR="005D5D20" w:rsidRPr="00D73A08">
        <w:rPr>
          <w:b w:val="0"/>
          <w:sz w:val="22"/>
        </w:rPr>
        <w:t>2</w:t>
      </w:r>
      <w:r w:rsidRPr="00D73A08">
        <w:rPr>
          <w:b w:val="0"/>
          <w:sz w:val="22"/>
        </w:rPr>
        <w:t> </w:t>
      </w:r>
      <w:r w:rsidR="005D5D20" w:rsidRPr="00D73A08">
        <w:rPr>
          <w:b w:val="0"/>
          <w:sz w:val="22"/>
        </w:rPr>
        <w:t>2</w:t>
      </w:r>
      <w:r w:rsidRPr="00D73A08">
        <w:rPr>
          <w:b w:val="0"/>
          <w:sz w:val="22"/>
        </w:rPr>
        <w:t>00 Kč</w:t>
      </w:r>
      <w:r w:rsidR="00A52999">
        <w:rPr>
          <w:b w:val="0"/>
          <w:sz w:val="22"/>
        </w:rPr>
        <w:t xml:space="preserve"> a v roce 2019 již 13 350 Kč</w:t>
      </w:r>
      <w:r w:rsidRPr="00D73A08">
        <w:rPr>
          <w:sz w:val="22"/>
        </w:rPr>
        <w:t>.</w:t>
      </w:r>
      <w:r w:rsidRPr="00D73A08">
        <w:rPr>
          <w:rStyle w:val="Znakapoznpodarou"/>
          <w:sz w:val="22"/>
        </w:rPr>
        <w:footnoteReference w:id="7"/>
      </w:r>
      <w:r w:rsidRPr="00D73A08">
        <w:rPr>
          <w:sz w:val="22"/>
        </w:rPr>
        <w:t xml:space="preserve"> </w:t>
      </w:r>
      <w:r w:rsidRPr="00D73A08">
        <w:rPr>
          <w:b w:val="0"/>
          <w:sz w:val="22"/>
        </w:rPr>
        <w:t xml:space="preserve">Tedy </w:t>
      </w:r>
      <w:r w:rsidRPr="00D73A08">
        <w:rPr>
          <w:sz w:val="22"/>
        </w:rPr>
        <w:t xml:space="preserve">nárůst vůči roku 2001 byl </w:t>
      </w:r>
      <w:r w:rsidR="00A52999">
        <w:rPr>
          <w:sz w:val="22"/>
        </w:rPr>
        <w:t xml:space="preserve">v roce 2018 </w:t>
      </w:r>
      <w:r w:rsidR="00D81B19" w:rsidRPr="00D73A08">
        <w:rPr>
          <w:sz w:val="22"/>
        </w:rPr>
        <w:t xml:space="preserve">na </w:t>
      </w:r>
      <w:r w:rsidRPr="00D73A08">
        <w:rPr>
          <w:sz w:val="22"/>
        </w:rPr>
        <w:t>2</w:t>
      </w:r>
      <w:r w:rsidR="00005BF6" w:rsidRPr="00D73A08">
        <w:rPr>
          <w:sz w:val="22"/>
        </w:rPr>
        <w:t>44</w:t>
      </w:r>
      <w:r w:rsidRPr="00D73A08">
        <w:rPr>
          <w:sz w:val="22"/>
        </w:rPr>
        <w:t>%</w:t>
      </w:r>
      <w:r w:rsidR="00A52999">
        <w:rPr>
          <w:sz w:val="22"/>
        </w:rPr>
        <w:t xml:space="preserve"> a v roce 2019 na 267%</w:t>
      </w:r>
      <w:r w:rsidRPr="00D73A08">
        <w:rPr>
          <w:sz w:val="22"/>
        </w:rPr>
        <w:t>.</w:t>
      </w:r>
      <w:r w:rsidR="00D73A08">
        <w:rPr>
          <w:sz w:val="22"/>
        </w:rPr>
        <w:t xml:space="preserve"> </w:t>
      </w:r>
      <w:r w:rsidR="00485E5F" w:rsidRPr="00D73A08">
        <w:rPr>
          <w:b w:val="0"/>
          <w:sz w:val="22"/>
          <w:szCs w:val="24"/>
        </w:rPr>
        <w:t>Průměrná měsíční mzda v roce</w:t>
      </w:r>
      <w:r w:rsidRPr="00D73A08">
        <w:rPr>
          <w:b w:val="0"/>
          <w:sz w:val="22"/>
          <w:szCs w:val="24"/>
        </w:rPr>
        <w:t xml:space="preserve"> 2001 byla 1</w:t>
      </w:r>
      <w:r w:rsidR="00BB0AE4" w:rsidRPr="00D73A08">
        <w:rPr>
          <w:b w:val="0"/>
          <w:sz w:val="22"/>
          <w:szCs w:val="24"/>
        </w:rPr>
        <w:t>4</w:t>
      </w:r>
      <w:r w:rsidRPr="00D73A08">
        <w:rPr>
          <w:b w:val="0"/>
          <w:sz w:val="22"/>
          <w:szCs w:val="24"/>
        </w:rPr>
        <w:t xml:space="preserve"> </w:t>
      </w:r>
      <w:r w:rsidR="00BB0AE4" w:rsidRPr="00D73A08">
        <w:rPr>
          <w:b w:val="0"/>
          <w:sz w:val="22"/>
          <w:szCs w:val="24"/>
        </w:rPr>
        <w:t>378</w:t>
      </w:r>
      <w:r w:rsidRPr="00D73A08">
        <w:rPr>
          <w:b w:val="0"/>
          <w:sz w:val="22"/>
          <w:szCs w:val="24"/>
        </w:rPr>
        <w:t xml:space="preserve"> Kč a v</w:t>
      </w:r>
      <w:r w:rsidR="006B5D97" w:rsidRPr="00D73A08">
        <w:rPr>
          <w:b w:val="0"/>
          <w:sz w:val="22"/>
          <w:szCs w:val="24"/>
        </w:rPr>
        <w:t>e 2. čtvrtletí</w:t>
      </w:r>
      <w:r w:rsidRPr="00D73A08">
        <w:rPr>
          <w:b w:val="0"/>
          <w:sz w:val="22"/>
          <w:szCs w:val="24"/>
        </w:rPr>
        <w:t xml:space="preserve"> </w:t>
      </w:r>
      <w:r w:rsidR="0001449C" w:rsidRPr="00D73A08">
        <w:rPr>
          <w:b w:val="0"/>
          <w:sz w:val="22"/>
          <w:szCs w:val="24"/>
        </w:rPr>
        <w:t xml:space="preserve">2018 </w:t>
      </w:r>
      <w:r w:rsidRPr="00D73A08">
        <w:rPr>
          <w:b w:val="0"/>
          <w:sz w:val="22"/>
          <w:szCs w:val="24"/>
        </w:rPr>
        <w:t xml:space="preserve">byla </w:t>
      </w:r>
      <w:r w:rsidR="006B5D97" w:rsidRPr="00D73A08">
        <w:rPr>
          <w:b w:val="0"/>
          <w:sz w:val="22"/>
          <w:szCs w:val="24"/>
        </w:rPr>
        <w:t>31</w:t>
      </w:r>
      <w:r w:rsidRPr="00D73A08">
        <w:rPr>
          <w:b w:val="0"/>
          <w:sz w:val="22"/>
          <w:szCs w:val="24"/>
        </w:rPr>
        <w:t> 8</w:t>
      </w:r>
      <w:r w:rsidR="006B5D97" w:rsidRPr="00D73A08">
        <w:rPr>
          <w:b w:val="0"/>
          <w:sz w:val="22"/>
          <w:szCs w:val="24"/>
        </w:rPr>
        <w:t>51</w:t>
      </w:r>
      <w:r w:rsidRPr="00D73A08">
        <w:rPr>
          <w:b w:val="0"/>
          <w:sz w:val="22"/>
          <w:szCs w:val="24"/>
        </w:rPr>
        <w:t xml:space="preserve"> Kč.</w:t>
      </w:r>
      <w:r w:rsidRPr="00D73A08">
        <w:rPr>
          <w:sz w:val="22"/>
          <w:szCs w:val="24"/>
        </w:rPr>
        <w:t xml:space="preserve"> </w:t>
      </w:r>
      <w:r w:rsidRPr="00D73A08">
        <w:rPr>
          <w:b w:val="0"/>
          <w:sz w:val="22"/>
          <w:szCs w:val="24"/>
        </w:rPr>
        <w:t>Tedy</w:t>
      </w:r>
      <w:r w:rsidRPr="00D73A08">
        <w:rPr>
          <w:sz w:val="22"/>
          <w:szCs w:val="24"/>
        </w:rPr>
        <w:t xml:space="preserve"> nárůst vůči roku 2001 byl </w:t>
      </w:r>
      <w:r w:rsidR="00D81B19" w:rsidRPr="00D73A08">
        <w:rPr>
          <w:sz w:val="22"/>
          <w:szCs w:val="24"/>
        </w:rPr>
        <w:t xml:space="preserve">na </w:t>
      </w:r>
      <w:r w:rsidR="006B5D97" w:rsidRPr="00D73A08">
        <w:rPr>
          <w:sz w:val="22"/>
          <w:szCs w:val="24"/>
        </w:rPr>
        <w:t>2</w:t>
      </w:r>
      <w:r w:rsidR="00BB0AE4" w:rsidRPr="00D73A08">
        <w:rPr>
          <w:sz w:val="22"/>
          <w:szCs w:val="24"/>
        </w:rPr>
        <w:t>2</w:t>
      </w:r>
      <w:r w:rsidR="006B5D97" w:rsidRPr="00D73A08">
        <w:rPr>
          <w:sz w:val="22"/>
          <w:szCs w:val="24"/>
        </w:rPr>
        <w:t>2</w:t>
      </w:r>
      <w:r w:rsidR="00A76F14">
        <w:rPr>
          <w:sz w:val="22"/>
          <w:szCs w:val="24"/>
        </w:rPr>
        <w:t xml:space="preserve"> </w:t>
      </w:r>
      <w:r w:rsidR="006B5D97" w:rsidRPr="00D73A08">
        <w:rPr>
          <w:sz w:val="22"/>
          <w:szCs w:val="24"/>
        </w:rPr>
        <w:t>%</w:t>
      </w:r>
      <w:r w:rsidRPr="00D73A08">
        <w:rPr>
          <w:sz w:val="22"/>
          <w:szCs w:val="24"/>
        </w:rPr>
        <w:t>.</w:t>
      </w:r>
      <w:r w:rsidRPr="00D73A08">
        <w:rPr>
          <w:rStyle w:val="Znakapoznpodarou"/>
          <w:sz w:val="22"/>
          <w:szCs w:val="24"/>
        </w:rPr>
        <w:footnoteReference w:id="8"/>
      </w:r>
    </w:p>
    <w:p w:rsidR="003A44A1" w:rsidRPr="00D73A08" w:rsidRDefault="003A44A1" w:rsidP="00815EC9">
      <w:pPr>
        <w:tabs>
          <w:tab w:val="left" w:pos="1260"/>
          <w:tab w:val="left" w:pos="1440"/>
          <w:tab w:val="left" w:pos="57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lastRenderedPageBreak/>
        <w:t>Platová základna představitelů státní moci, ze které se koeficientem 2,06</w:t>
      </w:r>
      <w:r w:rsidRPr="00D73A08">
        <w:rPr>
          <w:rStyle w:val="Znakapoznpodarou"/>
          <w:rFonts w:ascii="Times New Roman" w:hAnsi="Times New Roman" w:cs="Times New Roman"/>
          <w:szCs w:val="24"/>
        </w:rPr>
        <w:footnoteReference w:id="9"/>
      </w:r>
      <w:r w:rsidRPr="00D73A08">
        <w:rPr>
          <w:rFonts w:ascii="Times New Roman" w:hAnsi="Times New Roman" w:cs="Times New Roman"/>
          <w:szCs w:val="24"/>
        </w:rPr>
        <w:t xml:space="preserve"> vypočítává plat ministr</w:t>
      </w:r>
      <w:r w:rsidR="006B5D97" w:rsidRPr="00D73A08">
        <w:rPr>
          <w:rFonts w:ascii="Times New Roman" w:hAnsi="Times New Roman" w:cs="Times New Roman"/>
          <w:szCs w:val="24"/>
        </w:rPr>
        <w:t>a</w:t>
      </w:r>
      <w:r w:rsidRPr="00D73A08">
        <w:rPr>
          <w:rFonts w:ascii="Times New Roman" w:hAnsi="Times New Roman" w:cs="Times New Roman"/>
          <w:szCs w:val="24"/>
        </w:rPr>
        <w:t xml:space="preserve"> v roce 2001 byla 33 420 Kč</w:t>
      </w:r>
      <w:r w:rsidRPr="00D73A08">
        <w:rPr>
          <w:rStyle w:val="Znakapoznpodarou"/>
          <w:rFonts w:ascii="Times New Roman" w:hAnsi="Times New Roman" w:cs="Times New Roman"/>
          <w:szCs w:val="24"/>
        </w:rPr>
        <w:footnoteReference w:id="10"/>
      </w:r>
      <w:r w:rsidRPr="00D73A08">
        <w:rPr>
          <w:rFonts w:ascii="Times New Roman" w:hAnsi="Times New Roman" w:cs="Times New Roman"/>
          <w:szCs w:val="24"/>
        </w:rPr>
        <w:t xml:space="preserve"> a v roce 201</w:t>
      </w:r>
      <w:r w:rsidR="00E8609F">
        <w:rPr>
          <w:rFonts w:ascii="Times New Roman" w:hAnsi="Times New Roman" w:cs="Times New Roman"/>
          <w:szCs w:val="24"/>
        </w:rPr>
        <w:t>9</w:t>
      </w:r>
      <w:r w:rsidRPr="00D73A08">
        <w:rPr>
          <w:rFonts w:ascii="Times New Roman" w:hAnsi="Times New Roman" w:cs="Times New Roman"/>
          <w:szCs w:val="24"/>
        </w:rPr>
        <w:t xml:space="preserve"> byla </w:t>
      </w:r>
      <w:r w:rsidR="006B5D97" w:rsidRPr="00D73A08">
        <w:rPr>
          <w:rFonts w:ascii="Times New Roman" w:hAnsi="Times New Roman" w:cs="Times New Roman"/>
          <w:szCs w:val="24"/>
        </w:rPr>
        <w:t>7</w:t>
      </w:r>
      <w:r w:rsidR="00E8609F">
        <w:rPr>
          <w:rFonts w:ascii="Times New Roman" w:hAnsi="Times New Roman" w:cs="Times New Roman"/>
          <w:szCs w:val="24"/>
        </w:rPr>
        <w:t>6 245</w:t>
      </w:r>
      <w:r w:rsidRPr="00D73A08">
        <w:rPr>
          <w:rFonts w:ascii="Times New Roman" w:hAnsi="Times New Roman" w:cs="Times New Roman"/>
          <w:szCs w:val="24"/>
        </w:rPr>
        <w:t xml:space="preserve"> Kč.</w:t>
      </w:r>
      <w:r w:rsidRPr="00D73A08">
        <w:rPr>
          <w:rStyle w:val="Znakapoznpodarou"/>
          <w:rFonts w:ascii="Times New Roman" w:hAnsi="Times New Roman" w:cs="Times New Roman"/>
          <w:szCs w:val="24"/>
        </w:rPr>
        <w:footnoteReference w:id="11"/>
      </w:r>
      <w:r w:rsidRPr="00D73A08">
        <w:rPr>
          <w:rFonts w:ascii="Times New Roman" w:hAnsi="Times New Roman" w:cs="Times New Roman"/>
          <w:szCs w:val="24"/>
        </w:rPr>
        <w:t xml:space="preserve"> </w:t>
      </w:r>
      <w:r w:rsidRPr="00D73A08">
        <w:rPr>
          <w:rFonts w:ascii="Times New Roman" w:hAnsi="Times New Roman" w:cs="Times New Roman"/>
          <w:b/>
          <w:szCs w:val="24"/>
        </w:rPr>
        <w:t>Nárůst platové základny ministra činí ve srovnání s rokem 2001</w:t>
      </w:r>
      <w:r w:rsidR="00D81B19" w:rsidRPr="00D73A08">
        <w:rPr>
          <w:rFonts w:ascii="Times New Roman" w:hAnsi="Times New Roman" w:cs="Times New Roman"/>
          <w:b/>
          <w:szCs w:val="24"/>
        </w:rPr>
        <w:t xml:space="preserve"> </w:t>
      </w:r>
      <w:r w:rsidRPr="00D73A08">
        <w:rPr>
          <w:rFonts w:ascii="Times New Roman" w:hAnsi="Times New Roman" w:cs="Times New Roman"/>
          <w:b/>
          <w:szCs w:val="24"/>
        </w:rPr>
        <w:t xml:space="preserve">asi </w:t>
      </w:r>
      <w:r w:rsidR="00D81B19" w:rsidRPr="00D73A08">
        <w:rPr>
          <w:rFonts w:ascii="Times New Roman" w:hAnsi="Times New Roman" w:cs="Times New Roman"/>
          <w:b/>
          <w:szCs w:val="24"/>
        </w:rPr>
        <w:t xml:space="preserve">na </w:t>
      </w:r>
      <w:r w:rsidR="006B5D97" w:rsidRPr="00D73A08">
        <w:rPr>
          <w:rFonts w:ascii="Times New Roman" w:hAnsi="Times New Roman" w:cs="Times New Roman"/>
          <w:b/>
          <w:szCs w:val="24"/>
        </w:rPr>
        <w:t>2</w:t>
      </w:r>
      <w:r w:rsidR="00E8609F">
        <w:rPr>
          <w:rFonts w:ascii="Times New Roman" w:hAnsi="Times New Roman" w:cs="Times New Roman"/>
          <w:b/>
          <w:szCs w:val="24"/>
        </w:rPr>
        <w:t>28</w:t>
      </w:r>
      <w:r w:rsidR="00A76F14">
        <w:rPr>
          <w:rFonts w:ascii="Times New Roman" w:hAnsi="Times New Roman" w:cs="Times New Roman"/>
          <w:b/>
          <w:szCs w:val="24"/>
        </w:rPr>
        <w:t xml:space="preserve"> </w:t>
      </w:r>
      <w:r w:rsidRPr="00D73A08">
        <w:rPr>
          <w:rFonts w:ascii="Times New Roman" w:hAnsi="Times New Roman" w:cs="Times New Roman"/>
          <w:b/>
          <w:szCs w:val="24"/>
        </w:rPr>
        <w:t>%.</w:t>
      </w:r>
      <w:r w:rsidRPr="00D73A08">
        <w:rPr>
          <w:rFonts w:ascii="Times New Roman" w:hAnsi="Times New Roman" w:cs="Times New Roman"/>
          <w:szCs w:val="24"/>
        </w:rPr>
        <w:t xml:space="preserve"> </w:t>
      </w:r>
    </w:p>
    <w:p w:rsidR="003A44A1" w:rsidRPr="00D73A08" w:rsidRDefault="003A44A1" w:rsidP="005971BD">
      <w:pPr>
        <w:tabs>
          <w:tab w:val="left" w:pos="1260"/>
          <w:tab w:val="left" w:pos="1440"/>
          <w:tab w:val="left" w:pos="57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D73A08">
        <w:rPr>
          <w:rFonts w:ascii="Times New Roman" w:hAnsi="Times New Roman" w:cs="Times New Roman"/>
          <w:szCs w:val="24"/>
        </w:rPr>
        <w:t>Soudce okresního soudu s praxí 9 let měl v roce 2001 měsíční plat 35 100 Kč (koeficient 1,05) a v roce 201</w:t>
      </w:r>
      <w:r w:rsidR="00E8609F">
        <w:rPr>
          <w:rFonts w:ascii="Times New Roman" w:hAnsi="Times New Roman" w:cs="Times New Roman"/>
          <w:szCs w:val="24"/>
        </w:rPr>
        <w:t>9</w:t>
      </w:r>
      <w:r w:rsidRPr="00D73A08">
        <w:rPr>
          <w:rFonts w:ascii="Times New Roman" w:hAnsi="Times New Roman" w:cs="Times New Roman"/>
          <w:szCs w:val="24"/>
        </w:rPr>
        <w:t xml:space="preserve"> plat </w:t>
      </w:r>
      <w:r w:rsidR="00E8609F">
        <w:rPr>
          <w:rFonts w:ascii="Times New Roman" w:hAnsi="Times New Roman" w:cs="Times New Roman"/>
          <w:szCs w:val="24"/>
        </w:rPr>
        <w:t>104 400</w:t>
      </w:r>
      <w:r w:rsidRPr="00D73A08">
        <w:rPr>
          <w:rFonts w:ascii="Times New Roman" w:hAnsi="Times New Roman" w:cs="Times New Roman"/>
          <w:szCs w:val="24"/>
        </w:rPr>
        <w:t xml:space="preserve"> Kč (koeficient 1,14 a platová základna pro soudce </w:t>
      </w:r>
      <w:r w:rsidR="00E8609F">
        <w:rPr>
          <w:rFonts w:ascii="Times New Roman" w:hAnsi="Times New Roman" w:cs="Times New Roman"/>
          <w:szCs w:val="24"/>
        </w:rPr>
        <w:t>91 494</w:t>
      </w:r>
      <w:r w:rsidR="00AE3F41" w:rsidRPr="00D73A08">
        <w:rPr>
          <w:rFonts w:ascii="Times New Roman" w:hAnsi="Times New Roman" w:cs="Times New Roman"/>
          <w:szCs w:val="24"/>
        </w:rPr>
        <w:t xml:space="preserve"> </w:t>
      </w:r>
      <w:r w:rsidRPr="00D73A08">
        <w:rPr>
          <w:rFonts w:ascii="Times New Roman" w:hAnsi="Times New Roman" w:cs="Times New Roman"/>
          <w:szCs w:val="24"/>
        </w:rPr>
        <w:t>Kč).</w:t>
      </w:r>
      <w:r w:rsidRPr="00D73A08">
        <w:rPr>
          <w:rStyle w:val="Znakapoznpodarou"/>
          <w:rFonts w:ascii="Times New Roman" w:hAnsi="Times New Roman" w:cs="Times New Roman"/>
          <w:szCs w:val="24"/>
        </w:rPr>
        <w:footnoteReference w:id="12"/>
      </w:r>
      <w:r w:rsidRPr="00D73A08">
        <w:rPr>
          <w:rFonts w:ascii="Times New Roman" w:hAnsi="Times New Roman" w:cs="Times New Roman"/>
          <w:szCs w:val="24"/>
        </w:rPr>
        <w:t xml:space="preserve"> </w:t>
      </w:r>
      <w:r w:rsidRPr="00D73A08">
        <w:rPr>
          <w:rFonts w:ascii="Times New Roman" w:hAnsi="Times New Roman" w:cs="Times New Roman"/>
          <w:b/>
          <w:szCs w:val="24"/>
        </w:rPr>
        <w:t>Plat soudce okresního soudu se k roku 201</w:t>
      </w:r>
      <w:r w:rsidR="00E8609F">
        <w:rPr>
          <w:rFonts w:ascii="Times New Roman" w:hAnsi="Times New Roman" w:cs="Times New Roman"/>
          <w:b/>
          <w:szCs w:val="24"/>
        </w:rPr>
        <w:t>9</w:t>
      </w:r>
      <w:r w:rsidRPr="00D73A08">
        <w:rPr>
          <w:rFonts w:ascii="Times New Roman" w:hAnsi="Times New Roman" w:cs="Times New Roman"/>
          <w:b/>
          <w:szCs w:val="24"/>
        </w:rPr>
        <w:t xml:space="preserve"> ve srovnání s rokem 2001 </w:t>
      </w:r>
      <w:r w:rsidR="00745E9C" w:rsidRPr="00D73A08">
        <w:rPr>
          <w:rFonts w:ascii="Times New Roman" w:hAnsi="Times New Roman" w:cs="Times New Roman"/>
          <w:b/>
          <w:szCs w:val="24"/>
        </w:rPr>
        <w:t>zvýšil</w:t>
      </w:r>
      <w:r w:rsidRPr="00D73A08">
        <w:rPr>
          <w:rFonts w:ascii="Times New Roman" w:hAnsi="Times New Roman" w:cs="Times New Roman"/>
          <w:b/>
          <w:szCs w:val="24"/>
        </w:rPr>
        <w:t xml:space="preserve"> na </w:t>
      </w:r>
      <w:r w:rsidR="00AE3F41" w:rsidRPr="00D73A08">
        <w:rPr>
          <w:rFonts w:ascii="Times New Roman" w:hAnsi="Times New Roman" w:cs="Times New Roman"/>
          <w:b/>
          <w:szCs w:val="24"/>
        </w:rPr>
        <w:t>2</w:t>
      </w:r>
      <w:r w:rsidR="00E8609F">
        <w:rPr>
          <w:rFonts w:ascii="Times New Roman" w:hAnsi="Times New Roman" w:cs="Times New Roman"/>
          <w:b/>
          <w:szCs w:val="24"/>
        </w:rPr>
        <w:t>97</w:t>
      </w:r>
      <w:r w:rsidRPr="00D73A08">
        <w:rPr>
          <w:rFonts w:ascii="Times New Roman" w:hAnsi="Times New Roman" w:cs="Times New Roman"/>
          <w:b/>
          <w:szCs w:val="24"/>
        </w:rPr>
        <w:t>%</w:t>
      </w:r>
      <w:r w:rsidRPr="00D73A08">
        <w:rPr>
          <w:rFonts w:ascii="Times New Roman" w:hAnsi="Times New Roman" w:cs="Times New Roman"/>
          <w:szCs w:val="24"/>
        </w:rPr>
        <w:t>.</w:t>
      </w:r>
      <w:r w:rsidR="0061045B" w:rsidRPr="00D73A08">
        <w:rPr>
          <w:rFonts w:ascii="Times New Roman" w:hAnsi="Times New Roman" w:cs="Times New Roman"/>
          <w:szCs w:val="24"/>
        </w:rPr>
        <w:t xml:space="preserve"> </w:t>
      </w:r>
      <w:r w:rsidR="0061045B" w:rsidRPr="00D73A08">
        <w:rPr>
          <w:rFonts w:ascii="Times New Roman" w:hAnsi="Times New Roman" w:cs="Times New Roman"/>
          <w:b/>
          <w:szCs w:val="24"/>
        </w:rPr>
        <w:t xml:space="preserve">Plat soudce Nejvyššího soudu byl </w:t>
      </w:r>
      <w:r w:rsidR="000B0FDC" w:rsidRPr="00D73A08">
        <w:rPr>
          <w:rFonts w:ascii="Times New Roman" w:hAnsi="Times New Roman" w:cs="Times New Roman"/>
          <w:b/>
          <w:szCs w:val="24"/>
        </w:rPr>
        <w:t xml:space="preserve">59 700 Kč </w:t>
      </w:r>
      <w:r w:rsidR="0061045B" w:rsidRPr="00D73A08">
        <w:rPr>
          <w:rFonts w:ascii="Times New Roman" w:hAnsi="Times New Roman" w:cs="Times New Roman"/>
          <w:b/>
          <w:szCs w:val="24"/>
        </w:rPr>
        <w:t xml:space="preserve">v roce 2001 </w:t>
      </w:r>
      <w:r w:rsidR="000B0FDC" w:rsidRPr="00D73A08">
        <w:rPr>
          <w:rFonts w:ascii="Times New Roman" w:hAnsi="Times New Roman" w:cs="Times New Roman"/>
          <w:szCs w:val="24"/>
        </w:rPr>
        <w:t>(koeficient 1,7)</w:t>
      </w:r>
      <w:r w:rsidR="000B0FDC" w:rsidRPr="00D73A08">
        <w:rPr>
          <w:rFonts w:ascii="Times New Roman" w:hAnsi="Times New Roman" w:cs="Times New Roman"/>
          <w:b/>
          <w:szCs w:val="24"/>
        </w:rPr>
        <w:t xml:space="preserve"> </w:t>
      </w:r>
      <w:r w:rsidR="0061045B" w:rsidRPr="00D73A08">
        <w:rPr>
          <w:rFonts w:ascii="Times New Roman" w:hAnsi="Times New Roman" w:cs="Times New Roman"/>
          <w:b/>
          <w:szCs w:val="24"/>
        </w:rPr>
        <w:t>a v roce 201</w:t>
      </w:r>
      <w:r w:rsidR="007B64BD">
        <w:rPr>
          <w:rFonts w:ascii="Times New Roman" w:hAnsi="Times New Roman" w:cs="Times New Roman"/>
          <w:b/>
          <w:szCs w:val="24"/>
        </w:rPr>
        <w:t>9</w:t>
      </w:r>
      <w:r w:rsidR="0061045B" w:rsidRPr="00D73A08">
        <w:rPr>
          <w:rFonts w:ascii="Times New Roman" w:hAnsi="Times New Roman" w:cs="Times New Roman"/>
          <w:b/>
          <w:szCs w:val="24"/>
        </w:rPr>
        <w:t xml:space="preserve"> </w:t>
      </w:r>
      <w:r w:rsidR="0061045B" w:rsidRPr="00D73A08">
        <w:rPr>
          <w:rFonts w:ascii="Times New Roman" w:hAnsi="Times New Roman" w:cs="Times New Roman"/>
          <w:szCs w:val="24"/>
        </w:rPr>
        <w:t>(koeficient</w:t>
      </w:r>
      <w:r w:rsidR="000B0FDC" w:rsidRPr="00D73A08">
        <w:rPr>
          <w:rFonts w:ascii="Times New Roman" w:hAnsi="Times New Roman" w:cs="Times New Roman"/>
          <w:szCs w:val="24"/>
        </w:rPr>
        <w:t xml:space="preserve"> 1,84</w:t>
      </w:r>
      <w:r w:rsidR="0061045B" w:rsidRPr="00D73A08">
        <w:rPr>
          <w:rFonts w:ascii="Times New Roman" w:hAnsi="Times New Roman" w:cs="Times New Roman"/>
          <w:szCs w:val="24"/>
        </w:rPr>
        <w:t>)</w:t>
      </w:r>
      <w:r w:rsidR="000B0FDC" w:rsidRPr="00D73A08">
        <w:rPr>
          <w:rFonts w:ascii="Times New Roman" w:hAnsi="Times New Roman" w:cs="Times New Roman"/>
          <w:b/>
          <w:szCs w:val="24"/>
        </w:rPr>
        <w:t xml:space="preserve"> 1</w:t>
      </w:r>
      <w:r w:rsidR="007B64BD">
        <w:rPr>
          <w:rFonts w:ascii="Times New Roman" w:hAnsi="Times New Roman" w:cs="Times New Roman"/>
          <w:b/>
          <w:szCs w:val="24"/>
        </w:rPr>
        <w:t>68 400</w:t>
      </w:r>
      <w:r w:rsidR="000B0FDC" w:rsidRPr="00D73A08">
        <w:rPr>
          <w:rFonts w:ascii="Times New Roman" w:hAnsi="Times New Roman" w:cs="Times New Roman"/>
          <w:b/>
          <w:szCs w:val="24"/>
        </w:rPr>
        <w:t xml:space="preserve"> Kč</w:t>
      </w:r>
      <w:r w:rsidR="0061045B" w:rsidRPr="00D73A08">
        <w:rPr>
          <w:rFonts w:ascii="Times New Roman" w:hAnsi="Times New Roman" w:cs="Times New Roman"/>
          <w:b/>
          <w:szCs w:val="24"/>
        </w:rPr>
        <w:t xml:space="preserve">, nárůst na </w:t>
      </w:r>
      <w:r w:rsidR="000853C0" w:rsidRPr="00D73A08">
        <w:rPr>
          <w:rFonts w:ascii="Times New Roman" w:hAnsi="Times New Roman" w:cs="Times New Roman"/>
          <w:b/>
          <w:szCs w:val="24"/>
        </w:rPr>
        <w:t>2</w:t>
      </w:r>
      <w:r w:rsidR="007B64BD">
        <w:rPr>
          <w:rFonts w:ascii="Times New Roman" w:hAnsi="Times New Roman" w:cs="Times New Roman"/>
          <w:b/>
          <w:szCs w:val="24"/>
        </w:rPr>
        <w:t>82</w:t>
      </w:r>
      <w:r w:rsidR="00815EC9">
        <w:rPr>
          <w:rFonts w:ascii="Times New Roman" w:hAnsi="Times New Roman" w:cs="Times New Roman"/>
          <w:b/>
          <w:szCs w:val="24"/>
        </w:rPr>
        <w:t xml:space="preserve"> </w:t>
      </w:r>
      <w:r w:rsidR="0061045B" w:rsidRPr="00D73A08">
        <w:rPr>
          <w:rFonts w:ascii="Times New Roman" w:hAnsi="Times New Roman" w:cs="Times New Roman"/>
          <w:b/>
          <w:szCs w:val="24"/>
        </w:rPr>
        <w:t>%.</w:t>
      </w:r>
    </w:p>
    <w:p w:rsidR="00D53C91" w:rsidRPr="00D73A08" w:rsidRDefault="00D53C91" w:rsidP="005971BD">
      <w:pPr>
        <w:tabs>
          <w:tab w:val="left" w:pos="1260"/>
          <w:tab w:val="left" w:pos="1440"/>
          <w:tab w:val="left" w:pos="57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t>Ústavní soudce měl v roce 2001 plat 63 500 Kč (koeficient 1,9 z platové základny poslance) a</w:t>
      </w:r>
      <w:r w:rsidR="00815EC9">
        <w:rPr>
          <w:rFonts w:ascii="Times New Roman" w:hAnsi="Times New Roman" w:cs="Times New Roman"/>
          <w:szCs w:val="24"/>
        </w:rPr>
        <w:t> </w:t>
      </w:r>
      <w:r w:rsidRPr="00D73A08">
        <w:rPr>
          <w:rFonts w:ascii="Times New Roman" w:hAnsi="Times New Roman" w:cs="Times New Roman"/>
          <w:szCs w:val="24"/>
        </w:rPr>
        <w:t>v roce 201</w:t>
      </w:r>
      <w:r w:rsidR="007B64BD">
        <w:rPr>
          <w:rFonts w:ascii="Times New Roman" w:hAnsi="Times New Roman" w:cs="Times New Roman"/>
          <w:szCs w:val="24"/>
        </w:rPr>
        <w:t>9</w:t>
      </w:r>
      <w:r w:rsidRPr="00D73A08">
        <w:rPr>
          <w:rFonts w:ascii="Times New Roman" w:hAnsi="Times New Roman" w:cs="Times New Roman"/>
          <w:szCs w:val="24"/>
        </w:rPr>
        <w:t xml:space="preserve"> plat 1</w:t>
      </w:r>
      <w:r w:rsidR="007B64BD">
        <w:rPr>
          <w:rFonts w:ascii="Times New Roman" w:hAnsi="Times New Roman" w:cs="Times New Roman"/>
          <w:szCs w:val="24"/>
        </w:rPr>
        <w:t>88 500</w:t>
      </w:r>
      <w:r w:rsidRPr="00D73A08">
        <w:rPr>
          <w:rFonts w:ascii="Times New Roman" w:hAnsi="Times New Roman" w:cs="Times New Roman"/>
          <w:szCs w:val="24"/>
        </w:rPr>
        <w:t xml:space="preserve"> Kč (koeficient 2,06 z platové základny soudců). Předseda Ústavního soudu měl </w:t>
      </w:r>
      <w:r w:rsidR="00815EC9">
        <w:rPr>
          <w:rFonts w:ascii="Times New Roman" w:hAnsi="Times New Roman" w:cs="Times New Roman"/>
          <w:szCs w:val="24"/>
        </w:rPr>
        <w:t xml:space="preserve">v roce </w:t>
      </w:r>
      <w:r w:rsidRPr="00D73A08">
        <w:rPr>
          <w:rFonts w:ascii="Times New Roman" w:hAnsi="Times New Roman" w:cs="Times New Roman"/>
          <w:szCs w:val="24"/>
        </w:rPr>
        <w:t>2001 plat 97 000 Kč (koeficient 2,9 z platové základny poslanců) a v roce 201</w:t>
      </w:r>
      <w:r w:rsidR="007B64BD">
        <w:rPr>
          <w:rFonts w:ascii="Times New Roman" w:hAnsi="Times New Roman" w:cs="Times New Roman"/>
          <w:szCs w:val="24"/>
        </w:rPr>
        <w:t>9</w:t>
      </w:r>
      <w:r w:rsidRPr="00D73A08">
        <w:rPr>
          <w:rFonts w:ascii="Times New Roman" w:hAnsi="Times New Roman" w:cs="Times New Roman"/>
          <w:szCs w:val="24"/>
        </w:rPr>
        <w:t xml:space="preserve"> plat 2</w:t>
      </w:r>
      <w:r w:rsidR="007B64BD">
        <w:rPr>
          <w:rFonts w:ascii="Times New Roman" w:hAnsi="Times New Roman" w:cs="Times New Roman"/>
          <w:szCs w:val="24"/>
        </w:rPr>
        <w:t>65 400</w:t>
      </w:r>
      <w:r w:rsidRPr="00D73A08">
        <w:rPr>
          <w:rFonts w:ascii="Times New Roman" w:hAnsi="Times New Roman" w:cs="Times New Roman"/>
          <w:szCs w:val="24"/>
        </w:rPr>
        <w:t xml:space="preserve"> Kč (koeficient 2,9 z platové základny soudců). </w:t>
      </w:r>
      <w:r w:rsidRPr="00D73A08">
        <w:rPr>
          <w:rFonts w:ascii="Times New Roman" w:hAnsi="Times New Roman" w:cs="Times New Roman"/>
          <w:b/>
          <w:szCs w:val="24"/>
        </w:rPr>
        <w:t xml:space="preserve">Platový nárůst byl u ústavních soudců na </w:t>
      </w:r>
      <w:r w:rsidR="00815EC9" w:rsidRPr="00D73A08">
        <w:rPr>
          <w:rFonts w:ascii="Times New Roman" w:hAnsi="Times New Roman" w:cs="Times New Roman"/>
          <w:b/>
          <w:szCs w:val="24"/>
        </w:rPr>
        <w:t>2</w:t>
      </w:r>
      <w:r w:rsidR="007B64BD">
        <w:rPr>
          <w:rFonts w:ascii="Times New Roman" w:hAnsi="Times New Roman" w:cs="Times New Roman"/>
          <w:b/>
          <w:szCs w:val="24"/>
        </w:rPr>
        <w:t>97</w:t>
      </w:r>
      <w:r w:rsidR="00815EC9" w:rsidRPr="00D73A08">
        <w:rPr>
          <w:rFonts w:ascii="Times New Roman" w:hAnsi="Times New Roman" w:cs="Times New Roman"/>
          <w:b/>
          <w:szCs w:val="24"/>
        </w:rPr>
        <w:t xml:space="preserve"> %</w:t>
      </w:r>
      <w:r w:rsidRPr="00D73A08">
        <w:rPr>
          <w:rFonts w:ascii="Times New Roman" w:hAnsi="Times New Roman" w:cs="Times New Roman"/>
          <w:b/>
          <w:szCs w:val="24"/>
        </w:rPr>
        <w:t xml:space="preserve"> a u předsedy Ústavního soudu na </w:t>
      </w:r>
      <w:r w:rsidR="00180BE1" w:rsidRPr="00D73A08">
        <w:rPr>
          <w:rFonts w:ascii="Times New Roman" w:hAnsi="Times New Roman" w:cs="Times New Roman"/>
          <w:b/>
          <w:szCs w:val="24"/>
        </w:rPr>
        <w:t>2</w:t>
      </w:r>
      <w:r w:rsidR="007B64BD">
        <w:rPr>
          <w:rFonts w:ascii="Times New Roman" w:hAnsi="Times New Roman" w:cs="Times New Roman"/>
          <w:b/>
          <w:szCs w:val="24"/>
        </w:rPr>
        <w:t>74</w:t>
      </w:r>
      <w:r w:rsidR="00815EC9">
        <w:rPr>
          <w:rFonts w:ascii="Times New Roman" w:hAnsi="Times New Roman" w:cs="Times New Roman"/>
          <w:b/>
          <w:szCs w:val="24"/>
        </w:rPr>
        <w:t xml:space="preserve"> </w:t>
      </w:r>
      <w:r w:rsidRPr="00D73A08">
        <w:rPr>
          <w:rFonts w:ascii="Times New Roman" w:hAnsi="Times New Roman" w:cs="Times New Roman"/>
          <w:b/>
          <w:szCs w:val="24"/>
        </w:rPr>
        <w:t>%.</w:t>
      </w:r>
    </w:p>
    <w:p w:rsidR="003A44A1" w:rsidRPr="00D73A08" w:rsidRDefault="00085B0E" w:rsidP="00815EC9">
      <w:pPr>
        <w:tabs>
          <w:tab w:val="left" w:pos="1260"/>
          <w:tab w:val="left" w:pos="1440"/>
          <w:tab w:val="left" w:pos="57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t xml:space="preserve">V případě advokátů byl advokátní </w:t>
      </w:r>
      <w:r w:rsidR="003A44A1" w:rsidRPr="00D73A08">
        <w:rPr>
          <w:rFonts w:ascii="Times New Roman" w:hAnsi="Times New Roman" w:cs="Times New Roman"/>
          <w:szCs w:val="24"/>
        </w:rPr>
        <w:t>tarif z částky 10 000 Kč v roce 2001 ve výši 1 000 Kč + 75 Kč paušálu, v roce 201</w:t>
      </w:r>
      <w:r w:rsidR="007B64BD">
        <w:rPr>
          <w:rFonts w:ascii="Times New Roman" w:hAnsi="Times New Roman" w:cs="Times New Roman"/>
          <w:szCs w:val="24"/>
        </w:rPr>
        <w:t>9</w:t>
      </w:r>
      <w:r w:rsidR="003A44A1" w:rsidRPr="00D73A08">
        <w:rPr>
          <w:rFonts w:ascii="Times New Roman" w:hAnsi="Times New Roman" w:cs="Times New Roman"/>
          <w:szCs w:val="24"/>
        </w:rPr>
        <w:t xml:space="preserve"> je to 1 500 Kč + 300 Kč paušálu. Včetně paušálu vzrostla tato tarifní sazba mezi roky 2001 a 201</w:t>
      </w:r>
      <w:r w:rsidR="007B64BD">
        <w:rPr>
          <w:rFonts w:ascii="Times New Roman" w:hAnsi="Times New Roman" w:cs="Times New Roman"/>
          <w:szCs w:val="24"/>
        </w:rPr>
        <w:t>9</w:t>
      </w:r>
      <w:r w:rsidR="003A44A1" w:rsidRPr="00D73A08">
        <w:rPr>
          <w:rFonts w:ascii="Times New Roman" w:hAnsi="Times New Roman" w:cs="Times New Roman"/>
          <w:szCs w:val="24"/>
        </w:rPr>
        <w:t xml:space="preserve"> na 167</w:t>
      </w:r>
      <w:r w:rsidR="005971BD">
        <w:rPr>
          <w:rFonts w:ascii="Times New Roman" w:hAnsi="Times New Roman" w:cs="Times New Roman"/>
          <w:szCs w:val="24"/>
        </w:rPr>
        <w:t xml:space="preserve"> </w:t>
      </w:r>
      <w:r w:rsidR="003A44A1" w:rsidRPr="00D73A08">
        <w:rPr>
          <w:rFonts w:ascii="Times New Roman" w:hAnsi="Times New Roman" w:cs="Times New Roman"/>
          <w:szCs w:val="24"/>
        </w:rPr>
        <w:t>%.</w:t>
      </w:r>
    </w:p>
    <w:p w:rsidR="00395D84" w:rsidRPr="00D73A08" w:rsidRDefault="003A44A1" w:rsidP="005971BD">
      <w:pPr>
        <w:tabs>
          <w:tab w:val="left" w:pos="1260"/>
          <w:tab w:val="left" w:pos="1440"/>
          <w:tab w:val="left" w:pos="57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D73A08">
        <w:rPr>
          <w:rFonts w:ascii="Times New Roman" w:hAnsi="Times New Roman" w:cs="Times New Roman"/>
          <w:szCs w:val="24"/>
        </w:rPr>
        <w:t xml:space="preserve">Je evidentní notorietou, kterou netřeba dokazovat, že </w:t>
      </w:r>
      <w:r w:rsidR="00395D84" w:rsidRPr="00D73A08">
        <w:rPr>
          <w:rFonts w:ascii="Times New Roman" w:hAnsi="Times New Roman" w:cs="Times New Roman"/>
          <w:szCs w:val="24"/>
        </w:rPr>
        <w:t>od roku 2001</w:t>
      </w:r>
      <w:r w:rsidRPr="00D73A08">
        <w:rPr>
          <w:rFonts w:ascii="Times New Roman" w:hAnsi="Times New Roman" w:cs="Times New Roman"/>
          <w:szCs w:val="24"/>
        </w:rPr>
        <w:t xml:space="preserve"> podstatně vzrostly mzdy. Díky kumulované inflaci</w:t>
      </w:r>
      <w:r w:rsidR="004B45D0" w:rsidRPr="00D73A08">
        <w:rPr>
          <w:rFonts w:ascii="Times New Roman" w:hAnsi="Times New Roman" w:cs="Times New Roman"/>
          <w:szCs w:val="24"/>
        </w:rPr>
        <w:t xml:space="preserve"> </w:t>
      </w:r>
      <w:r w:rsidRPr="00D73A08">
        <w:rPr>
          <w:rFonts w:ascii="Times New Roman" w:hAnsi="Times New Roman" w:cs="Times New Roman"/>
          <w:szCs w:val="24"/>
        </w:rPr>
        <w:t xml:space="preserve">vzrostly i ceny zboží a služeb. </w:t>
      </w:r>
      <w:r w:rsidR="005620F5" w:rsidRPr="00D73A08">
        <w:rPr>
          <w:rFonts w:ascii="Times New Roman" w:hAnsi="Times New Roman" w:cs="Times New Roman"/>
          <w:szCs w:val="24"/>
        </w:rPr>
        <w:t>Hodnot</w:t>
      </w:r>
      <w:r w:rsidR="00815EC9">
        <w:rPr>
          <w:rFonts w:ascii="Times New Roman" w:hAnsi="Times New Roman" w:cs="Times New Roman"/>
          <w:szCs w:val="24"/>
        </w:rPr>
        <w:t>a</w:t>
      </w:r>
      <w:r w:rsidR="005620F5" w:rsidRPr="00D73A08">
        <w:rPr>
          <w:rFonts w:ascii="Times New Roman" w:hAnsi="Times New Roman" w:cs="Times New Roman"/>
          <w:szCs w:val="24"/>
        </w:rPr>
        <w:t xml:space="preserve"> peněz v čase se mění. </w:t>
      </w:r>
      <w:r w:rsidRPr="00D73A08">
        <w:rPr>
          <w:rFonts w:ascii="Times New Roman" w:hAnsi="Times New Roman" w:cs="Times New Roman"/>
          <w:szCs w:val="24"/>
        </w:rPr>
        <w:t xml:space="preserve">Jen </w:t>
      </w:r>
      <w:r w:rsidR="00395D84" w:rsidRPr="00D73A08">
        <w:rPr>
          <w:rFonts w:ascii="Times New Roman" w:hAnsi="Times New Roman" w:cs="Times New Roman"/>
          <w:szCs w:val="24"/>
        </w:rPr>
        <w:t>hranice škody a prospěchu pro účely trestního práva</w:t>
      </w:r>
      <w:r w:rsidRPr="00D73A08">
        <w:rPr>
          <w:rFonts w:ascii="Times New Roman" w:hAnsi="Times New Roman" w:cs="Times New Roman"/>
          <w:szCs w:val="24"/>
        </w:rPr>
        <w:t xml:space="preserve"> nerostla</w:t>
      </w:r>
      <w:r w:rsidR="00395D84" w:rsidRPr="00D73A08">
        <w:rPr>
          <w:rFonts w:ascii="Times New Roman" w:hAnsi="Times New Roman" w:cs="Times New Roman"/>
          <w:szCs w:val="24"/>
        </w:rPr>
        <w:t>. Takové</w:t>
      </w:r>
      <w:r w:rsidRPr="00D73A08">
        <w:rPr>
          <w:rFonts w:ascii="Times New Roman" w:hAnsi="Times New Roman" w:cs="Times New Roman"/>
          <w:szCs w:val="24"/>
        </w:rPr>
        <w:t xml:space="preserve"> jednání se vymy</w:t>
      </w:r>
      <w:r w:rsidR="00150C12" w:rsidRPr="00D73A08">
        <w:rPr>
          <w:rFonts w:ascii="Times New Roman" w:hAnsi="Times New Roman" w:cs="Times New Roman"/>
          <w:szCs w:val="24"/>
        </w:rPr>
        <w:t>ká ekonomickým reáliím ve státě a</w:t>
      </w:r>
      <w:r w:rsidRPr="00D73A08">
        <w:rPr>
          <w:rFonts w:ascii="Times New Roman" w:hAnsi="Times New Roman" w:cs="Times New Roman"/>
          <w:szCs w:val="24"/>
        </w:rPr>
        <w:t xml:space="preserve"> požadavku rozumnosti pr</w:t>
      </w:r>
      <w:r w:rsidR="00150C12" w:rsidRPr="00D73A08">
        <w:rPr>
          <w:rFonts w:ascii="Times New Roman" w:hAnsi="Times New Roman" w:cs="Times New Roman"/>
          <w:szCs w:val="24"/>
        </w:rPr>
        <w:t>ávní úpravy</w:t>
      </w:r>
      <w:r w:rsidR="00395D84" w:rsidRPr="00D73A08">
        <w:rPr>
          <w:rFonts w:ascii="Times New Roman" w:hAnsi="Times New Roman" w:cs="Times New Roman"/>
          <w:szCs w:val="24"/>
        </w:rPr>
        <w:t>.</w:t>
      </w:r>
    </w:p>
    <w:p w:rsidR="003A44A1" w:rsidRPr="00180BE1" w:rsidRDefault="003A44A1" w:rsidP="003A44A1">
      <w:pPr>
        <w:pStyle w:val="Normlnweb"/>
        <w:shd w:val="clear" w:color="auto" w:fill="FDFDFD"/>
        <w:spacing w:before="120" w:beforeAutospacing="0" w:after="0" w:afterAutospacing="0"/>
        <w:jc w:val="both"/>
      </w:pPr>
    </w:p>
    <w:p w:rsidR="0052752A" w:rsidRPr="00AC4446" w:rsidRDefault="0045351A" w:rsidP="00AC4446">
      <w:pPr>
        <w:pStyle w:val="00nadpisvecnacast"/>
        <w:ind w:left="360"/>
      </w:pPr>
      <w:r w:rsidRPr="00180BE1">
        <w:t>Způsob stanovení hranice škody</w:t>
      </w:r>
    </w:p>
    <w:p w:rsidR="0052752A" w:rsidRPr="00180BE1" w:rsidRDefault="0052752A" w:rsidP="005971BD">
      <w:pPr>
        <w:pStyle w:val="Normlnweb"/>
        <w:numPr>
          <w:ilvl w:val="1"/>
          <w:numId w:val="2"/>
        </w:numPr>
        <w:shd w:val="clear" w:color="auto" w:fill="FDFDFD"/>
        <w:spacing w:before="120" w:beforeAutospacing="0" w:after="240" w:afterAutospacing="0"/>
        <w:ind w:left="714" w:hanging="357"/>
        <w:jc w:val="both"/>
        <w:rPr>
          <w:b/>
        </w:rPr>
      </w:pPr>
      <w:r w:rsidRPr="00180BE1">
        <w:rPr>
          <w:b/>
        </w:rPr>
        <w:t xml:space="preserve">Stanovení absolutním číslem v </w:t>
      </w:r>
      <w:r w:rsidR="003223C9" w:rsidRPr="00180BE1">
        <w:rPr>
          <w:b/>
        </w:rPr>
        <w:t xml:space="preserve">trestním </w:t>
      </w:r>
      <w:r w:rsidRPr="00180BE1">
        <w:rPr>
          <w:b/>
        </w:rPr>
        <w:t>zákon</w:t>
      </w:r>
      <w:r w:rsidR="003223C9" w:rsidRPr="00180BE1">
        <w:rPr>
          <w:b/>
        </w:rPr>
        <w:t>íku</w:t>
      </w:r>
    </w:p>
    <w:p w:rsidR="00F10CDC" w:rsidRPr="005971BD" w:rsidRDefault="00027726" w:rsidP="00260B1C">
      <w:pPr>
        <w:pStyle w:val="Normlnweb"/>
        <w:shd w:val="clear" w:color="auto" w:fill="FDFDFD"/>
        <w:spacing w:before="120" w:beforeAutospacing="0"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5971BD">
        <w:rPr>
          <w:sz w:val="22"/>
          <w:szCs w:val="22"/>
        </w:rPr>
        <w:t>Tento z</w:t>
      </w:r>
      <w:r w:rsidR="00637E99" w:rsidRPr="005971BD">
        <w:rPr>
          <w:sz w:val="22"/>
          <w:szCs w:val="22"/>
        </w:rPr>
        <w:t>působ se užívá o</w:t>
      </w:r>
      <w:r w:rsidR="00DC3552" w:rsidRPr="005971BD">
        <w:rPr>
          <w:sz w:val="22"/>
          <w:szCs w:val="22"/>
        </w:rPr>
        <w:t>d roku 200</w:t>
      </w:r>
      <w:r w:rsidR="00637E99" w:rsidRPr="005971BD">
        <w:rPr>
          <w:sz w:val="22"/>
          <w:szCs w:val="22"/>
        </w:rPr>
        <w:t xml:space="preserve">2, kdy </w:t>
      </w:r>
      <w:r w:rsidR="00DC3552" w:rsidRPr="005971BD">
        <w:rPr>
          <w:sz w:val="22"/>
          <w:szCs w:val="22"/>
        </w:rPr>
        <w:t xml:space="preserve">se </w:t>
      </w:r>
      <w:r w:rsidR="0045351A" w:rsidRPr="005971BD">
        <w:rPr>
          <w:sz w:val="22"/>
          <w:szCs w:val="22"/>
        </w:rPr>
        <w:t xml:space="preserve">k vyjádření výše škody či neoprávněného prospěchu </w:t>
      </w:r>
      <w:r w:rsidR="00DC3552" w:rsidRPr="005971BD">
        <w:rPr>
          <w:sz w:val="22"/>
          <w:szCs w:val="22"/>
        </w:rPr>
        <w:t xml:space="preserve">užívá </w:t>
      </w:r>
      <w:r w:rsidR="0045351A" w:rsidRPr="005971BD">
        <w:rPr>
          <w:sz w:val="22"/>
          <w:szCs w:val="22"/>
        </w:rPr>
        <w:t>absolutní čísl</w:t>
      </w:r>
      <w:r w:rsidR="00DC3552" w:rsidRPr="005971BD">
        <w:rPr>
          <w:sz w:val="22"/>
          <w:szCs w:val="22"/>
        </w:rPr>
        <w:t>o v trestním zákoníku</w:t>
      </w:r>
      <w:r w:rsidR="0045351A" w:rsidRPr="005971BD">
        <w:rPr>
          <w:sz w:val="22"/>
          <w:szCs w:val="22"/>
        </w:rPr>
        <w:t xml:space="preserve">. Vyjádření absolutním číslem </w:t>
      </w:r>
      <w:r w:rsidRPr="005971BD">
        <w:rPr>
          <w:sz w:val="22"/>
          <w:szCs w:val="22"/>
        </w:rPr>
        <w:t xml:space="preserve">formálně </w:t>
      </w:r>
      <w:r w:rsidR="0045351A" w:rsidRPr="005971BD">
        <w:rPr>
          <w:sz w:val="22"/>
          <w:szCs w:val="22"/>
        </w:rPr>
        <w:t>splňuje princip zákonnosti pro stanovení toho, co je trestným činem. Též je jednoduší apli</w:t>
      </w:r>
      <w:r w:rsidR="004F00D1" w:rsidRPr="005971BD">
        <w:rPr>
          <w:sz w:val="22"/>
          <w:szCs w:val="22"/>
        </w:rPr>
        <w:t>kace trestního práva, když je tento znak</w:t>
      </w:r>
      <w:r w:rsidR="0045351A" w:rsidRPr="005971BD">
        <w:rPr>
          <w:sz w:val="22"/>
          <w:szCs w:val="22"/>
        </w:rPr>
        <w:t xml:space="preserve"> přímo vyjádřen v trestním zákoníku</w:t>
      </w:r>
      <w:r w:rsidR="000853C0" w:rsidRPr="005971BD">
        <w:rPr>
          <w:sz w:val="22"/>
          <w:szCs w:val="22"/>
        </w:rPr>
        <w:t xml:space="preserve"> číslem</w:t>
      </w:r>
      <w:r w:rsidR="0045351A" w:rsidRPr="005971BD">
        <w:rPr>
          <w:sz w:val="22"/>
          <w:szCs w:val="22"/>
        </w:rPr>
        <w:t>.</w:t>
      </w:r>
    </w:p>
    <w:p w:rsidR="0052752A" w:rsidRPr="005971BD" w:rsidRDefault="006825AB" w:rsidP="00260B1C">
      <w:pPr>
        <w:pStyle w:val="Normlnweb"/>
        <w:shd w:val="clear" w:color="auto" w:fill="FDFDFD"/>
        <w:spacing w:before="120" w:beforeAutospacing="0"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5971BD">
        <w:rPr>
          <w:sz w:val="22"/>
          <w:szCs w:val="22"/>
        </w:rPr>
        <w:lastRenderedPageBreak/>
        <w:t>Tento způsob dnes vede k ústavně absurdním důsledkům, že hranice trestní represe je určována Bankovní radou České národní banky. Neboť ona v rámci měnové politiky stanovuje i</w:t>
      </w:r>
      <w:r w:rsidR="00815EC9">
        <w:rPr>
          <w:sz w:val="22"/>
          <w:szCs w:val="22"/>
        </w:rPr>
        <w:t> </w:t>
      </w:r>
      <w:r w:rsidRPr="005971BD">
        <w:rPr>
          <w:sz w:val="22"/>
          <w:szCs w:val="22"/>
        </w:rPr>
        <w:t>inflační cíl. Tím fakticky rozšiřuje hranice trestní represe. Věc, jejíž odcizení 1. ledna bylo přestupkem, se díky inflaci cílené centrální bankou zdraží a 31. prosince</w:t>
      </w:r>
      <w:r w:rsidR="007573D5" w:rsidRPr="005971BD">
        <w:rPr>
          <w:sz w:val="22"/>
          <w:szCs w:val="22"/>
        </w:rPr>
        <w:t xml:space="preserve"> již jde o trestný čin. Dnešní </w:t>
      </w:r>
      <w:r w:rsidRPr="005971BD">
        <w:rPr>
          <w:sz w:val="22"/>
          <w:szCs w:val="22"/>
        </w:rPr>
        <w:t>stav vede k tomu, že ani zákonodárce, ani vláda nařízením, ale orgán, který k tomu není podle ústavy oprávněn, tedy Bankovní rada ČNB</w:t>
      </w:r>
      <w:r w:rsidR="007573D5" w:rsidRPr="005971BD">
        <w:rPr>
          <w:sz w:val="22"/>
          <w:szCs w:val="22"/>
        </w:rPr>
        <w:t>,</w:t>
      </w:r>
      <w:r w:rsidRPr="005971BD">
        <w:rPr>
          <w:sz w:val="22"/>
          <w:szCs w:val="22"/>
        </w:rPr>
        <w:t xml:space="preserve"> má významný vliv na trestní právo.</w:t>
      </w:r>
    </w:p>
    <w:p w:rsidR="0052752A" w:rsidRPr="00180BE1" w:rsidRDefault="0052752A" w:rsidP="00C16775">
      <w:pPr>
        <w:pStyle w:val="Normlnweb"/>
        <w:numPr>
          <w:ilvl w:val="1"/>
          <w:numId w:val="2"/>
        </w:numPr>
        <w:shd w:val="clear" w:color="auto" w:fill="FDFDFD"/>
        <w:spacing w:before="120" w:beforeAutospacing="0" w:after="240" w:afterAutospacing="0"/>
        <w:ind w:left="714" w:hanging="357"/>
        <w:jc w:val="both"/>
        <w:rPr>
          <w:b/>
        </w:rPr>
      </w:pPr>
      <w:r w:rsidRPr="00180BE1">
        <w:rPr>
          <w:b/>
        </w:rPr>
        <w:t xml:space="preserve">Stanovení obecným pojmem v </w:t>
      </w:r>
      <w:r w:rsidR="003223C9" w:rsidRPr="00180BE1">
        <w:rPr>
          <w:b/>
        </w:rPr>
        <w:t xml:space="preserve">trestním </w:t>
      </w:r>
      <w:r w:rsidRPr="00180BE1">
        <w:rPr>
          <w:b/>
        </w:rPr>
        <w:t>zákon</w:t>
      </w:r>
      <w:r w:rsidR="003223C9" w:rsidRPr="00180BE1">
        <w:rPr>
          <w:b/>
        </w:rPr>
        <w:t>íku</w:t>
      </w:r>
    </w:p>
    <w:p w:rsidR="009D1A40" w:rsidRPr="00C16775" w:rsidRDefault="0052752A" w:rsidP="00C16775">
      <w:pPr>
        <w:pStyle w:val="Normlnweb"/>
        <w:shd w:val="clear" w:color="auto" w:fill="FDFDFD"/>
        <w:spacing w:before="120" w:beforeAutospacing="0"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C16775">
        <w:rPr>
          <w:sz w:val="22"/>
          <w:szCs w:val="22"/>
        </w:rPr>
        <w:t>Z</w:t>
      </w:r>
      <w:r w:rsidR="009D1A40" w:rsidRPr="00C16775">
        <w:rPr>
          <w:sz w:val="22"/>
          <w:szCs w:val="22"/>
        </w:rPr>
        <w:t xml:space="preserve">ákon může </w:t>
      </w:r>
      <w:r w:rsidR="000853C0" w:rsidRPr="00C16775">
        <w:rPr>
          <w:sz w:val="22"/>
          <w:szCs w:val="22"/>
        </w:rPr>
        <w:t>určit znaky skutkové</w:t>
      </w:r>
      <w:r w:rsidR="009D1A40" w:rsidRPr="00C16775">
        <w:rPr>
          <w:sz w:val="22"/>
          <w:szCs w:val="22"/>
        </w:rPr>
        <w:t xml:space="preserve"> podstat</w:t>
      </w:r>
      <w:r w:rsidR="000853C0" w:rsidRPr="00C16775">
        <w:rPr>
          <w:sz w:val="22"/>
          <w:szCs w:val="22"/>
        </w:rPr>
        <w:t>y</w:t>
      </w:r>
      <w:r w:rsidR="009D1A40" w:rsidRPr="00C16775">
        <w:rPr>
          <w:sz w:val="22"/>
          <w:szCs w:val="22"/>
        </w:rPr>
        <w:t xml:space="preserve"> i </w:t>
      </w:r>
      <w:r w:rsidR="00637E99" w:rsidRPr="00C16775">
        <w:rPr>
          <w:sz w:val="22"/>
          <w:szCs w:val="22"/>
        </w:rPr>
        <w:t>druhým způsobem, který byl užíván 199</w:t>
      </w:r>
      <w:r w:rsidR="003722D7" w:rsidRPr="00C16775">
        <w:rPr>
          <w:sz w:val="22"/>
          <w:szCs w:val="22"/>
        </w:rPr>
        <w:t>0</w:t>
      </w:r>
      <w:r w:rsidR="00637E99" w:rsidRPr="00C16775">
        <w:rPr>
          <w:sz w:val="22"/>
          <w:szCs w:val="22"/>
        </w:rPr>
        <w:t xml:space="preserve">-2001 </w:t>
      </w:r>
      <w:r w:rsidR="009D1A40" w:rsidRPr="00C16775">
        <w:rPr>
          <w:sz w:val="22"/>
          <w:szCs w:val="22"/>
        </w:rPr>
        <w:t xml:space="preserve">tak, že </w:t>
      </w:r>
      <w:r w:rsidR="00637E99" w:rsidRPr="00C16775">
        <w:rPr>
          <w:sz w:val="22"/>
          <w:szCs w:val="22"/>
        </w:rPr>
        <w:t xml:space="preserve">se </w:t>
      </w:r>
      <w:r w:rsidR="00D90826" w:rsidRPr="00C16775">
        <w:rPr>
          <w:sz w:val="22"/>
          <w:szCs w:val="22"/>
        </w:rPr>
        <w:t xml:space="preserve">užije </w:t>
      </w:r>
      <w:r w:rsidR="009D1A40" w:rsidRPr="00C16775">
        <w:rPr>
          <w:sz w:val="22"/>
          <w:szCs w:val="22"/>
        </w:rPr>
        <w:t>blanketov</w:t>
      </w:r>
      <w:r w:rsidR="00637E99" w:rsidRPr="00C16775">
        <w:rPr>
          <w:sz w:val="22"/>
          <w:szCs w:val="22"/>
        </w:rPr>
        <w:t>á</w:t>
      </w:r>
      <w:r w:rsidR="009D1A40" w:rsidRPr="00C16775">
        <w:rPr>
          <w:sz w:val="22"/>
          <w:szCs w:val="22"/>
        </w:rPr>
        <w:t xml:space="preserve"> norm</w:t>
      </w:r>
      <w:r w:rsidR="00637E99" w:rsidRPr="00C16775">
        <w:rPr>
          <w:sz w:val="22"/>
          <w:szCs w:val="22"/>
        </w:rPr>
        <w:t>a</w:t>
      </w:r>
      <w:r w:rsidR="009D1A40" w:rsidRPr="00C16775">
        <w:rPr>
          <w:sz w:val="22"/>
          <w:szCs w:val="22"/>
        </w:rPr>
        <w:t>, která odkazuje na jiný právní předpis. Pokud zákonodárce vyjádří znak skutkové podstaty spočívající ve způsobené škodě nebo majetkovém prospěchu t</w:t>
      </w:r>
      <w:r w:rsidR="00AF077F">
        <w:rPr>
          <w:sz w:val="22"/>
          <w:szCs w:val="22"/>
        </w:rPr>
        <w:t>ím</w:t>
      </w:r>
      <w:r w:rsidR="009D1A40" w:rsidRPr="00C16775">
        <w:rPr>
          <w:sz w:val="22"/>
          <w:szCs w:val="22"/>
        </w:rPr>
        <w:t>, že použije pojem minimální mzdy, je zachován ústavní požadavek, že zákon stanoví, co je trestným činem.</w:t>
      </w:r>
      <w:r w:rsidR="009D1A40" w:rsidRPr="00C16775">
        <w:rPr>
          <w:rStyle w:val="Znakapoznpodarou"/>
          <w:sz w:val="22"/>
          <w:szCs w:val="22"/>
        </w:rPr>
        <w:footnoteReference w:id="13"/>
      </w:r>
      <w:r w:rsidR="009D1A40" w:rsidRPr="00C16775">
        <w:rPr>
          <w:sz w:val="22"/>
          <w:szCs w:val="22"/>
        </w:rPr>
        <w:t xml:space="preserve"> To, že následně konkrétní výši minimální mzdy stanoví vláda nařízením</w:t>
      </w:r>
      <w:r w:rsidR="00815EC9">
        <w:rPr>
          <w:sz w:val="22"/>
          <w:szCs w:val="22"/>
        </w:rPr>
        <w:t>,</w:t>
      </w:r>
      <w:r w:rsidR="009D1A40" w:rsidRPr="00C16775">
        <w:rPr>
          <w:sz w:val="22"/>
          <w:szCs w:val="22"/>
        </w:rPr>
        <w:t xml:space="preserve"> není porušením této zásady, jelikož vláda vydává toto nařízení ve speciálním režimu. Zatímco obecně může vláda vydat nařízení k</w:t>
      </w:r>
      <w:r w:rsidR="00C16775">
        <w:t> </w:t>
      </w:r>
      <w:r w:rsidR="009D1A40" w:rsidRPr="00C16775">
        <w:rPr>
          <w:sz w:val="22"/>
          <w:szCs w:val="22"/>
        </w:rPr>
        <w:t>provedení zákona i bez zákonného zmocnění,</w:t>
      </w:r>
      <w:r w:rsidR="00D90826" w:rsidRPr="00C16775">
        <w:rPr>
          <w:rStyle w:val="Znakapoznpodarou"/>
          <w:sz w:val="22"/>
          <w:szCs w:val="22"/>
        </w:rPr>
        <w:footnoteReference w:id="14"/>
      </w:r>
      <w:r w:rsidR="009D1A40" w:rsidRPr="00C16775">
        <w:rPr>
          <w:sz w:val="22"/>
          <w:szCs w:val="22"/>
        </w:rPr>
        <w:t xml:space="preserve"> nařízení vlády o stanovení minimální mzdy je vydáváno na základě zákonného zmocnění v zákoníku práce</w:t>
      </w:r>
      <w:r w:rsidR="00FE6D4E" w:rsidRPr="00C16775">
        <w:rPr>
          <w:sz w:val="22"/>
          <w:szCs w:val="22"/>
        </w:rPr>
        <w:t xml:space="preserve">. </w:t>
      </w:r>
      <w:r w:rsidR="00545D13" w:rsidRPr="00C16775">
        <w:rPr>
          <w:sz w:val="22"/>
          <w:szCs w:val="22"/>
        </w:rPr>
        <w:t xml:space="preserve">Zákoník práce stanovil </w:t>
      </w:r>
      <w:r w:rsidR="00FE6D4E" w:rsidRPr="00C16775">
        <w:rPr>
          <w:sz w:val="22"/>
          <w:szCs w:val="22"/>
        </w:rPr>
        <w:t>minimální mzd</w:t>
      </w:r>
      <w:r w:rsidR="00952CC6" w:rsidRPr="00C16775">
        <w:rPr>
          <w:sz w:val="22"/>
          <w:szCs w:val="22"/>
        </w:rPr>
        <w:t>u</w:t>
      </w:r>
      <w:r w:rsidR="00FE6D4E" w:rsidRPr="00C16775">
        <w:rPr>
          <w:sz w:val="22"/>
          <w:szCs w:val="22"/>
        </w:rPr>
        <w:t xml:space="preserve"> pro počátek své účinnosti </w:t>
      </w:r>
      <w:r w:rsidR="00952CC6" w:rsidRPr="00C16775">
        <w:rPr>
          <w:sz w:val="22"/>
          <w:szCs w:val="22"/>
        </w:rPr>
        <w:t xml:space="preserve">k 1. 1. 2007 </w:t>
      </w:r>
      <w:r w:rsidR="00FE6D4E" w:rsidRPr="00C16775">
        <w:rPr>
          <w:sz w:val="22"/>
          <w:szCs w:val="22"/>
        </w:rPr>
        <w:t>na 7 955 Kč měsíčně s tím, že vláda minimální mzdu může změnit, ale s přihlédnutím k vývoji mezd a sp</w:t>
      </w:r>
      <w:r w:rsidR="0017483B" w:rsidRPr="00C16775">
        <w:rPr>
          <w:sz w:val="22"/>
          <w:szCs w:val="22"/>
        </w:rPr>
        <w:t>o</w:t>
      </w:r>
      <w:r w:rsidR="00FE6D4E" w:rsidRPr="00C16775">
        <w:rPr>
          <w:sz w:val="22"/>
          <w:szCs w:val="22"/>
        </w:rPr>
        <w:t>třebitelských cen.</w:t>
      </w:r>
      <w:r w:rsidR="009D1A40" w:rsidRPr="00C16775">
        <w:rPr>
          <w:rStyle w:val="Znakapoznpodarou"/>
          <w:sz w:val="22"/>
          <w:szCs w:val="22"/>
        </w:rPr>
        <w:footnoteReference w:id="15"/>
      </w:r>
      <w:r w:rsidR="00014694" w:rsidRPr="00C16775">
        <w:rPr>
          <w:sz w:val="22"/>
          <w:szCs w:val="22"/>
        </w:rPr>
        <w:t xml:space="preserve"> Vláda je zde</w:t>
      </w:r>
      <w:r w:rsidR="00CE463D" w:rsidRPr="00C16775">
        <w:rPr>
          <w:sz w:val="22"/>
          <w:szCs w:val="22"/>
        </w:rPr>
        <w:t xml:space="preserve"> limitována zákonodárcem.</w:t>
      </w:r>
    </w:p>
    <w:p w:rsidR="00E80C30" w:rsidRPr="00C16775" w:rsidRDefault="00992B6F" w:rsidP="00C16775">
      <w:pPr>
        <w:pStyle w:val="Normlnweb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C16775">
        <w:rPr>
          <w:sz w:val="22"/>
          <w:szCs w:val="22"/>
        </w:rPr>
        <w:t>Takové určení splňuje požadavek zákonnosti pro stanovení, co je trestným činem. Minimální mzda je trvalou hodnotou, byť se mění její výše. Zákon prost</w:t>
      </w:r>
      <w:r w:rsidR="00245EEF" w:rsidRPr="00C16775">
        <w:rPr>
          <w:sz w:val="22"/>
          <w:szCs w:val="22"/>
        </w:rPr>
        <w:t>ě</w:t>
      </w:r>
      <w:r w:rsidRPr="00C16775">
        <w:rPr>
          <w:sz w:val="22"/>
          <w:szCs w:val="22"/>
        </w:rPr>
        <w:t xml:space="preserve"> chce, aby bylo trestné to, když někdo spáchá škodu ve výši měsíčního výdělku nejméně placených lidí. </w:t>
      </w:r>
      <w:r w:rsidR="00FE7223" w:rsidRPr="00C16775">
        <w:rPr>
          <w:sz w:val="22"/>
          <w:szCs w:val="22"/>
        </w:rPr>
        <w:t>T</w:t>
      </w:r>
      <w:r w:rsidR="00245EEF" w:rsidRPr="00C16775">
        <w:rPr>
          <w:sz w:val="22"/>
          <w:szCs w:val="22"/>
        </w:rPr>
        <w:t xml:space="preserve">restním právem </w:t>
      </w:r>
      <w:r w:rsidR="00FE7223" w:rsidRPr="00C16775">
        <w:rPr>
          <w:sz w:val="22"/>
          <w:szCs w:val="22"/>
        </w:rPr>
        <w:t xml:space="preserve">je </w:t>
      </w:r>
      <w:r w:rsidRPr="00C16775">
        <w:rPr>
          <w:sz w:val="22"/>
          <w:szCs w:val="22"/>
        </w:rPr>
        <w:t>chrán</w:t>
      </w:r>
      <w:r w:rsidR="00245EEF" w:rsidRPr="00C16775">
        <w:rPr>
          <w:sz w:val="22"/>
          <w:szCs w:val="22"/>
        </w:rPr>
        <w:t xml:space="preserve">ěna </w:t>
      </w:r>
      <w:r w:rsidRPr="00C16775">
        <w:rPr>
          <w:sz w:val="22"/>
          <w:szCs w:val="22"/>
        </w:rPr>
        <w:t>hodnot</w:t>
      </w:r>
      <w:r w:rsidR="00245EEF" w:rsidRPr="00C16775">
        <w:rPr>
          <w:sz w:val="22"/>
          <w:szCs w:val="22"/>
        </w:rPr>
        <w:t>a</w:t>
      </w:r>
      <w:r w:rsidRPr="00C16775">
        <w:rPr>
          <w:sz w:val="22"/>
          <w:szCs w:val="22"/>
        </w:rPr>
        <w:t xml:space="preserve"> práce vykonávan</w:t>
      </w:r>
      <w:r w:rsidR="00245EEF" w:rsidRPr="00C16775">
        <w:rPr>
          <w:sz w:val="22"/>
          <w:szCs w:val="22"/>
        </w:rPr>
        <w:t>é</w:t>
      </w:r>
      <w:r w:rsidRPr="00C16775">
        <w:rPr>
          <w:sz w:val="22"/>
          <w:szCs w:val="22"/>
        </w:rPr>
        <w:t xml:space="preserve"> jeden měsíc nejméně placenými lidmi, přitom hodnota vyjádřená množstvím času v práci </w:t>
      </w:r>
      <w:r w:rsidR="00FE7223" w:rsidRPr="00C16775">
        <w:rPr>
          <w:sz w:val="22"/>
          <w:szCs w:val="22"/>
        </w:rPr>
        <w:t xml:space="preserve">se nemění (8 hodin každý pracovní den) </w:t>
      </w:r>
      <w:r w:rsidRPr="00C16775">
        <w:rPr>
          <w:sz w:val="22"/>
          <w:szCs w:val="22"/>
        </w:rPr>
        <w:t>bez ohledu za změnu minimální mzdy</w:t>
      </w:r>
      <w:r w:rsidR="00AF077F">
        <w:rPr>
          <w:sz w:val="22"/>
          <w:szCs w:val="22"/>
        </w:rPr>
        <w:t xml:space="preserve"> vyjádřené v penězích</w:t>
      </w:r>
      <w:r w:rsidRPr="00C16775">
        <w:rPr>
          <w:sz w:val="22"/>
          <w:szCs w:val="22"/>
        </w:rPr>
        <w:t>.</w:t>
      </w:r>
    </w:p>
    <w:p w:rsidR="005D2E75" w:rsidRPr="00C16775" w:rsidRDefault="00992B6F" w:rsidP="00220739">
      <w:pPr>
        <w:pStyle w:val="Normlnweb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rPr>
          <w:sz w:val="22"/>
          <w:szCs w:val="22"/>
        </w:rPr>
      </w:pPr>
      <w:r w:rsidRPr="00C16775">
        <w:rPr>
          <w:sz w:val="22"/>
          <w:szCs w:val="22"/>
        </w:rPr>
        <w:t>Má to i svůj filozofický rozměr.</w:t>
      </w:r>
      <w:r w:rsidR="00E80C30" w:rsidRPr="00C16775">
        <w:rPr>
          <w:sz w:val="22"/>
          <w:szCs w:val="22"/>
        </w:rPr>
        <w:t xml:space="preserve"> </w:t>
      </w:r>
      <w:r w:rsidRPr="00C16775">
        <w:rPr>
          <w:sz w:val="22"/>
          <w:szCs w:val="22"/>
        </w:rPr>
        <w:t>Pokud je škoda určena v zákoně číslem, tak se sice číslo nemění, ale mění se neustále a bez rozhodnutí zákonodárce hodnota</w:t>
      </w:r>
      <w:r w:rsidR="00E80C30" w:rsidRPr="00C16775">
        <w:rPr>
          <w:sz w:val="22"/>
          <w:szCs w:val="22"/>
        </w:rPr>
        <w:t xml:space="preserve"> tohoto čísla vyjádřená množstvím pracovního času</w:t>
      </w:r>
      <w:r w:rsidRPr="00C16775">
        <w:rPr>
          <w:sz w:val="22"/>
          <w:szCs w:val="22"/>
        </w:rPr>
        <w:t xml:space="preserve"> v závislosti na změně hodnoty peněz v čase. Pokud má být voleno mezi neměn</w:t>
      </w:r>
      <w:r w:rsidR="00312C05" w:rsidRPr="00C16775">
        <w:rPr>
          <w:sz w:val="22"/>
          <w:szCs w:val="22"/>
        </w:rPr>
        <w:t>n</w:t>
      </w:r>
      <w:r w:rsidRPr="00C16775">
        <w:rPr>
          <w:sz w:val="22"/>
          <w:szCs w:val="22"/>
        </w:rPr>
        <w:t>ostí čísla a nemě</w:t>
      </w:r>
      <w:r w:rsidR="00312C05" w:rsidRPr="00C16775">
        <w:rPr>
          <w:sz w:val="22"/>
          <w:szCs w:val="22"/>
        </w:rPr>
        <w:t>n</w:t>
      </w:r>
      <w:r w:rsidRPr="00C16775">
        <w:rPr>
          <w:sz w:val="22"/>
          <w:szCs w:val="22"/>
        </w:rPr>
        <w:t xml:space="preserve">ností hodnoty vyjádřené časem </w:t>
      </w:r>
      <w:r w:rsidR="00AF077F">
        <w:rPr>
          <w:sz w:val="22"/>
          <w:szCs w:val="22"/>
        </w:rPr>
        <w:t xml:space="preserve">(dobou) </w:t>
      </w:r>
      <w:r w:rsidRPr="00C16775">
        <w:rPr>
          <w:sz w:val="22"/>
          <w:szCs w:val="22"/>
        </w:rPr>
        <w:t>lidské práce, je správně dát lidské práci přednost před číslem.</w:t>
      </w:r>
    </w:p>
    <w:p w:rsidR="003223C9" w:rsidRPr="00AC4446" w:rsidRDefault="009D1A40" w:rsidP="00C1677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775">
        <w:rPr>
          <w:rFonts w:ascii="Times New Roman" w:hAnsi="Times New Roman" w:cs="Times New Roman"/>
        </w:rPr>
        <w:t xml:space="preserve">Zásadní výhodou takové úpravy je, že </w:t>
      </w:r>
      <w:r w:rsidR="00152D86" w:rsidRPr="00C16775">
        <w:rPr>
          <w:rFonts w:ascii="Times New Roman" w:hAnsi="Times New Roman" w:cs="Times New Roman"/>
        </w:rPr>
        <w:t xml:space="preserve">dochází k snazší úpravě hranic škody a prospěchu pro účely trestního práva, aniž by byla nutná přímá novela trestního zákoníku. Je možné tyto hranice konstruovat i </w:t>
      </w:r>
      <w:r w:rsidR="00732915" w:rsidRPr="00C16775">
        <w:rPr>
          <w:rFonts w:ascii="Times New Roman" w:hAnsi="Times New Roman" w:cs="Times New Roman"/>
        </w:rPr>
        <w:t>jinak – například</w:t>
      </w:r>
      <w:r w:rsidR="00152D86" w:rsidRPr="00C16775">
        <w:rPr>
          <w:rFonts w:ascii="Times New Roman" w:hAnsi="Times New Roman" w:cs="Times New Roman"/>
        </w:rPr>
        <w:t xml:space="preserve"> vazbou na třetinu průměrné mzdy, která je vyhlašována na základě údajů statistického úřadu pro účely platové základny představitelů státu, včetně soudců a státních zástupců.</w:t>
      </w:r>
      <w:r w:rsidR="000D0004" w:rsidRPr="00C16775">
        <w:rPr>
          <w:rFonts w:ascii="Times New Roman" w:hAnsi="Times New Roman" w:cs="Times New Roman"/>
        </w:rPr>
        <w:t xml:space="preserve"> Anebo může být užita vazba na životní minimum.</w:t>
      </w:r>
    </w:p>
    <w:p w:rsidR="003223C9" w:rsidRPr="00180BE1" w:rsidRDefault="003223C9" w:rsidP="00732915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BE1">
        <w:rPr>
          <w:rFonts w:ascii="Times New Roman" w:hAnsi="Times New Roman" w:cs="Times New Roman"/>
          <w:b/>
          <w:sz w:val="24"/>
          <w:szCs w:val="24"/>
        </w:rPr>
        <w:lastRenderedPageBreak/>
        <w:t>Stanovení soudní judikaturou</w:t>
      </w:r>
    </w:p>
    <w:p w:rsidR="003223C9" w:rsidRPr="00732915" w:rsidRDefault="003223C9" w:rsidP="00260B1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732915">
        <w:rPr>
          <w:rFonts w:ascii="Times New Roman" w:hAnsi="Times New Roman" w:cs="Times New Roman"/>
          <w:szCs w:val="24"/>
        </w:rPr>
        <w:t>Do roku 1990 byl</w:t>
      </w:r>
      <w:r w:rsidR="00220739">
        <w:rPr>
          <w:rFonts w:ascii="Times New Roman" w:hAnsi="Times New Roman" w:cs="Times New Roman"/>
          <w:szCs w:val="24"/>
        </w:rPr>
        <w:t>a</w:t>
      </w:r>
      <w:r w:rsidRPr="00732915">
        <w:rPr>
          <w:rFonts w:ascii="Times New Roman" w:hAnsi="Times New Roman" w:cs="Times New Roman"/>
          <w:szCs w:val="24"/>
        </w:rPr>
        <w:t xml:space="preserve"> kategorie škody a prospěchu naplňována judikatorně, nebyla stanovena právním předpisem. Přičemž pro značnou škodu byla </w:t>
      </w:r>
      <w:r w:rsidR="007053C4" w:rsidRPr="00732915">
        <w:rPr>
          <w:rFonts w:ascii="Times New Roman" w:hAnsi="Times New Roman" w:cs="Times New Roman"/>
          <w:szCs w:val="24"/>
        </w:rPr>
        <w:t xml:space="preserve">judikáty z přelomu 50. a 60. let 20 století </w:t>
      </w:r>
      <w:r w:rsidRPr="00732915">
        <w:rPr>
          <w:rFonts w:ascii="Times New Roman" w:hAnsi="Times New Roman" w:cs="Times New Roman"/>
          <w:szCs w:val="24"/>
        </w:rPr>
        <w:t>stanovena na 20 000 Kč</w:t>
      </w:r>
      <w:r w:rsidR="007053C4" w:rsidRPr="00732915">
        <w:rPr>
          <w:rFonts w:ascii="Times New Roman" w:hAnsi="Times New Roman" w:cs="Times New Roman"/>
          <w:szCs w:val="24"/>
        </w:rPr>
        <w:t xml:space="preserve"> (cena osobního auta)</w:t>
      </w:r>
      <w:r w:rsidRPr="00732915">
        <w:rPr>
          <w:rFonts w:ascii="Times New Roman" w:hAnsi="Times New Roman" w:cs="Times New Roman"/>
          <w:szCs w:val="24"/>
        </w:rPr>
        <w:t xml:space="preserve"> a škoda velkého rozsahu na 100 000 Kč</w:t>
      </w:r>
      <w:r w:rsidR="007053C4" w:rsidRPr="00732915">
        <w:rPr>
          <w:rFonts w:ascii="Times New Roman" w:hAnsi="Times New Roman" w:cs="Times New Roman"/>
          <w:szCs w:val="24"/>
        </w:rPr>
        <w:t xml:space="preserve"> (cena rodinného domu)</w:t>
      </w:r>
      <w:r w:rsidRPr="00732915">
        <w:rPr>
          <w:rFonts w:ascii="Times New Roman" w:hAnsi="Times New Roman" w:cs="Times New Roman"/>
          <w:szCs w:val="24"/>
        </w:rPr>
        <w:t>.</w:t>
      </w:r>
      <w:r w:rsidRPr="00732915">
        <w:rPr>
          <w:rStyle w:val="Znakapoznpodarou"/>
          <w:rFonts w:ascii="Times New Roman" w:hAnsi="Times New Roman" w:cs="Times New Roman"/>
          <w:szCs w:val="24"/>
        </w:rPr>
        <w:footnoteReference w:id="16"/>
      </w:r>
      <w:r w:rsidR="007053C4" w:rsidRPr="00732915">
        <w:rPr>
          <w:rFonts w:ascii="Times New Roman" w:hAnsi="Times New Roman" w:cs="Times New Roman"/>
          <w:szCs w:val="24"/>
        </w:rPr>
        <w:t xml:space="preserve"> Ovšem i t</w:t>
      </w:r>
      <w:r w:rsidR="00684882" w:rsidRPr="00732915">
        <w:rPr>
          <w:rFonts w:ascii="Times New Roman" w:hAnsi="Times New Roman" w:cs="Times New Roman"/>
          <w:szCs w:val="24"/>
        </w:rPr>
        <w:t>yto judikované hranice škod ustrnuly</w:t>
      </w:r>
      <w:r w:rsidR="007053C4" w:rsidRPr="00732915">
        <w:rPr>
          <w:rFonts w:ascii="Times New Roman" w:hAnsi="Times New Roman" w:cs="Times New Roman"/>
          <w:szCs w:val="24"/>
        </w:rPr>
        <w:t>.</w:t>
      </w:r>
    </w:p>
    <w:p w:rsidR="003223C9" w:rsidRPr="00732915" w:rsidRDefault="003223C9" w:rsidP="00260B1C">
      <w:pPr>
        <w:pStyle w:val="Normlnweb"/>
        <w:shd w:val="clear" w:color="auto" w:fill="FDFDFD"/>
        <w:spacing w:before="0" w:beforeAutospacing="0" w:after="0" w:afterAutospacing="0" w:line="360" w:lineRule="auto"/>
        <w:ind w:firstLine="709"/>
        <w:contextualSpacing/>
        <w:jc w:val="both"/>
        <w:rPr>
          <w:sz w:val="22"/>
        </w:rPr>
      </w:pPr>
      <w:r w:rsidRPr="00732915">
        <w:rPr>
          <w:sz w:val="22"/>
        </w:rPr>
        <w:t>Není správné ponechávat tuto hranici na judikatuře. Nelze zde analogicky odkázat na stanovení trestněprávně relevantního množství návykových látek. Účinky těchto látek a s tím spojené</w:t>
      </w:r>
      <w:r w:rsidR="008639C4" w:rsidRPr="00732915">
        <w:rPr>
          <w:sz w:val="22"/>
        </w:rPr>
        <w:t>ho</w:t>
      </w:r>
      <w:r w:rsidRPr="00732915">
        <w:rPr>
          <w:sz w:val="22"/>
        </w:rPr>
        <w:t xml:space="preserve"> </w:t>
      </w:r>
      <w:r w:rsidR="008639C4" w:rsidRPr="00732915">
        <w:rPr>
          <w:sz w:val="22"/>
        </w:rPr>
        <w:t xml:space="preserve">účinného </w:t>
      </w:r>
      <w:r w:rsidRPr="00732915">
        <w:rPr>
          <w:sz w:val="22"/>
        </w:rPr>
        <w:t>množství látky jsou stabilní, zatímco hodnota peněz v čase nikoliv. To by vedlo k</w:t>
      </w:r>
      <w:r w:rsidR="00732915">
        <w:rPr>
          <w:sz w:val="22"/>
        </w:rPr>
        <w:t> </w:t>
      </w:r>
      <w:r w:rsidRPr="00732915">
        <w:rPr>
          <w:sz w:val="22"/>
        </w:rPr>
        <w:t>neustálému a oprávněnému tlaku na změnu judikatury.</w:t>
      </w:r>
    </w:p>
    <w:p w:rsidR="003A44A1" w:rsidRPr="00180BE1" w:rsidRDefault="003A44A1" w:rsidP="003A44A1">
      <w:pPr>
        <w:pStyle w:val="Normlnweb"/>
        <w:shd w:val="clear" w:color="auto" w:fill="FDFDFD"/>
        <w:spacing w:before="120" w:beforeAutospacing="0" w:after="0" w:afterAutospacing="0"/>
        <w:jc w:val="both"/>
      </w:pPr>
    </w:p>
    <w:p w:rsidR="00152D86" w:rsidRPr="00AC4446" w:rsidRDefault="00152D86" w:rsidP="00AC4446">
      <w:pPr>
        <w:pStyle w:val="00nadpisvecnacast"/>
        <w:numPr>
          <w:ilvl w:val="0"/>
          <w:numId w:val="0"/>
        </w:numPr>
      </w:pPr>
      <w:r w:rsidRPr="00180BE1">
        <w:t>Závěr</w:t>
      </w:r>
    </w:p>
    <w:p w:rsidR="00006309" w:rsidRDefault="00152D86" w:rsidP="00260B1C">
      <w:pPr>
        <w:pStyle w:val="Normlnweb"/>
        <w:shd w:val="clear" w:color="auto" w:fill="FDFDFD"/>
        <w:spacing w:before="120" w:beforeAutospacing="0" w:after="0" w:afterAutospacing="0" w:line="360" w:lineRule="auto"/>
        <w:ind w:firstLine="709"/>
        <w:jc w:val="both"/>
        <w:rPr>
          <w:sz w:val="22"/>
        </w:rPr>
      </w:pPr>
      <w:r w:rsidRPr="00732915">
        <w:rPr>
          <w:sz w:val="22"/>
        </w:rPr>
        <w:t xml:space="preserve">I když je vyjádření výše škody </w:t>
      </w:r>
      <w:r w:rsidR="006963BD" w:rsidRPr="00732915">
        <w:rPr>
          <w:sz w:val="22"/>
        </w:rPr>
        <w:t xml:space="preserve">a neoprávněného prospěchu </w:t>
      </w:r>
      <w:r w:rsidRPr="00732915">
        <w:rPr>
          <w:sz w:val="22"/>
        </w:rPr>
        <w:t xml:space="preserve">absolutním číslem v trestním zákoníku </w:t>
      </w:r>
      <w:r w:rsidR="00952CC6" w:rsidRPr="00732915">
        <w:rPr>
          <w:sz w:val="22"/>
        </w:rPr>
        <w:t xml:space="preserve">pro </w:t>
      </w:r>
      <w:r w:rsidRPr="00732915">
        <w:rPr>
          <w:sz w:val="22"/>
        </w:rPr>
        <w:t>právní aplikaci jednoduší, praxe ukázala, že Parlament není schopen</w:t>
      </w:r>
      <w:r w:rsidR="006963BD" w:rsidRPr="00732915">
        <w:rPr>
          <w:sz w:val="22"/>
        </w:rPr>
        <w:t xml:space="preserve"> zajistit průběžnou novelizaci těchto částek v závislosti na změně hodnoty peněz. Proto je z hlediska zabránění neúmyslnému rozšiřování trestní represe způsobené inflací, vhodnější stanovit tyto hranice obecným zákonným vyjá</w:t>
      </w:r>
      <w:r w:rsidR="00C62970" w:rsidRPr="00732915">
        <w:rPr>
          <w:sz w:val="22"/>
        </w:rPr>
        <w:t>dřením, které by bylo určité z pohledu právního řádu jako celku, ale zároveň pohyblivé v závislosti na změn</w:t>
      </w:r>
      <w:r w:rsidR="005755D8" w:rsidRPr="00732915">
        <w:rPr>
          <w:sz w:val="22"/>
        </w:rPr>
        <w:t>ě</w:t>
      </w:r>
      <w:r w:rsidR="00C62970" w:rsidRPr="00732915">
        <w:rPr>
          <w:sz w:val="22"/>
        </w:rPr>
        <w:t xml:space="preserve"> ekonomických podmínek ve státě. </w:t>
      </w:r>
      <w:r w:rsidR="000853C0" w:rsidRPr="00732915">
        <w:rPr>
          <w:sz w:val="22"/>
        </w:rPr>
        <w:t>Možné</w:t>
      </w:r>
      <w:r w:rsidR="00C62970" w:rsidRPr="00732915">
        <w:rPr>
          <w:sz w:val="22"/>
        </w:rPr>
        <w:t xml:space="preserve"> je vázání těchto škod na minimální mzdu, ale může být užito i jiného způsobu.</w:t>
      </w:r>
    </w:p>
    <w:p w:rsidR="00260B1C" w:rsidRDefault="00260B1C" w:rsidP="00260B1C">
      <w:pPr>
        <w:pStyle w:val="Normlnweb"/>
        <w:shd w:val="clear" w:color="auto" w:fill="FDFDFD"/>
        <w:spacing w:before="120" w:beforeAutospacing="0" w:after="0" w:afterAutospacing="0" w:line="360" w:lineRule="auto"/>
        <w:ind w:firstLine="709"/>
        <w:jc w:val="both"/>
        <w:rPr>
          <w:sz w:val="22"/>
        </w:rPr>
      </w:pPr>
    </w:p>
    <w:p w:rsidR="00260B1C" w:rsidRPr="0079007F" w:rsidRDefault="00260B1C" w:rsidP="00260B1C">
      <w:pPr>
        <w:pStyle w:val="00Nadpisy"/>
        <w:numPr>
          <w:ilvl w:val="0"/>
          <w:numId w:val="0"/>
        </w:numPr>
      </w:pPr>
      <w:r>
        <w:t>Seznam literatury</w:t>
      </w:r>
    </w:p>
    <w:p w:rsidR="00260B1C" w:rsidRPr="00651F4C" w:rsidRDefault="00260B1C" w:rsidP="00260B1C">
      <w:pPr>
        <w:pStyle w:val="00Literatura"/>
        <w:numPr>
          <w:ilvl w:val="0"/>
          <w:numId w:val="9"/>
        </w:numPr>
        <w:rPr>
          <w:sz w:val="22"/>
        </w:rPr>
      </w:pPr>
      <w:r w:rsidRPr="00260B1C">
        <w:rPr>
          <w:sz w:val="22"/>
        </w:rPr>
        <w:t xml:space="preserve">KŘÍSTEK, Lukáš. Škoda v trestním právu a zvyšování cen. </w:t>
      </w:r>
      <w:r w:rsidRPr="00260B1C">
        <w:rPr>
          <w:i/>
          <w:sz w:val="22"/>
        </w:rPr>
        <w:t>Česká justice</w:t>
      </w:r>
      <w:r>
        <w:rPr>
          <w:i/>
          <w:sz w:val="22"/>
        </w:rPr>
        <w:t>,</w:t>
      </w:r>
      <w:r w:rsidRPr="00260B1C">
        <w:rPr>
          <w:sz w:val="22"/>
        </w:rPr>
        <w:t xml:space="preserve"> 19. 9. 2018, Blogy, www.ceska-justice.cz.</w:t>
      </w:r>
    </w:p>
    <w:p w:rsidR="00260B1C" w:rsidRPr="00732915" w:rsidRDefault="00260B1C" w:rsidP="0073291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DC2E33" w:rsidRPr="00DC2E33" w:rsidRDefault="00DC2E33" w:rsidP="00DC2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2E33" w:rsidRPr="00DC2E33" w:rsidSect="00A35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C0" w:rsidRDefault="00762AC0" w:rsidP="001A39E7">
      <w:pPr>
        <w:spacing w:after="0" w:line="240" w:lineRule="auto"/>
      </w:pPr>
      <w:r>
        <w:separator/>
      </w:r>
    </w:p>
  </w:endnote>
  <w:endnote w:type="continuationSeparator" w:id="1">
    <w:p w:rsidR="00762AC0" w:rsidRDefault="00762AC0" w:rsidP="001A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634851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:rsidR="005971BD" w:rsidRPr="005971BD" w:rsidRDefault="005971BD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5971BD">
              <w:rPr>
                <w:rFonts w:ascii="Times New Roman" w:hAnsi="Times New Roman" w:cs="Times New Roman"/>
              </w:rPr>
              <w:t xml:space="preserve">Stránka </w:t>
            </w:r>
            <w:r w:rsidR="001F46A5" w:rsidRPr="00597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971B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1F46A5" w:rsidRPr="00597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594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1F46A5" w:rsidRPr="00597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971BD">
              <w:rPr>
                <w:rFonts w:ascii="Times New Roman" w:hAnsi="Times New Roman" w:cs="Times New Roman"/>
              </w:rPr>
              <w:t xml:space="preserve"> z </w:t>
            </w:r>
            <w:r w:rsidR="001F46A5" w:rsidRPr="00597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971B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1F46A5" w:rsidRPr="00597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6594B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1F46A5" w:rsidRPr="00597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44A1" w:rsidRDefault="003A44A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C0" w:rsidRDefault="00762AC0" w:rsidP="001A39E7">
      <w:pPr>
        <w:spacing w:after="0" w:line="240" w:lineRule="auto"/>
      </w:pPr>
      <w:r>
        <w:separator/>
      </w:r>
    </w:p>
  </w:footnote>
  <w:footnote w:type="continuationSeparator" w:id="1">
    <w:p w:rsidR="00762AC0" w:rsidRDefault="00762AC0" w:rsidP="001A39E7">
      <w:pPr>
        <w:spacing w:after="0" w:line="240" w:lineRule="auto"/>
      </w:pPr>
      <w:r>
        <w:continuationSeparator/>
      </w:r>
    </w:p>
  </w:footnote>
  <w:footnote w:id="2">
    <w:p w:rsidR="00BD7F65" w:rsidRPr="00D73A08" w:rsidRDefault="00BD7F65" w:rsidP="00BD7F65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D73A08">
        <w:rPr>
          <w:rStyle w:val="Znakapoznpodarou"/>
          <w:rFonts w:ascii="Times New Roman" w:hAnsi="Times New Roman" w:cs="Times New Roman"/>
          <w:sz w:val="18"/>
        </w:rPr>
        <w:footnoteRef/>
      </w:r>
      <w:r w:rsidRPr="00D73A08">
        <w:rPr>
          <w:rFonts w:ascii="Times New Roman" w:hAnsi="Times New Roman" w:cs="Times New Roman"/>
          <w:sz w:val="18"/>
        </w:rPr>
        <w:t xml:space="preserve"> § 138 trestního zákoníku č. 40/2009 Sb.</w:t>
      </w:r>
    </w:p>
  </w:footnote>
  <w:footnote w:id="3">
    <w:p w:rsidR="003722D7" w:rsidRPr="00D73A08" w:rsidRDefault="003722D7" w:rsidP="00B119FA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D73A08">
        <w:rPr>
          <w:rStyle w:val="Znakapoznpodarou"/>
          <w:rFonts w:ascii="Times New Roman" w:hAnsi="Times New Roman" w:cs="Times New Roman"/>
          <w:sz w:val="18"/>
        </w:rPr>
        <w:footnoteRef/>
      </w:r>
      <w:r w:rsidRPr="00D73A08">
        <w:rPr>
          <w:rFonts w:ascii="Times New Roman" w:hAnsi="Times New Roman" w:cs="Times New Roman"/>
          <w:sz w:val="18"/>
        </w:rPr>
        <w:t xml:space="preserve"> Původně § 89 odst. 14 trestního zákona č. 141/1961 Sb. ve znění zákona č. 175/1990 Sb. vázal trestní odpovědnost na škodu ve výši poloviny nejnižší měsíční mzdy. Později došlo </w:t>
      </w:r>
      <w:r w:rsidR="0051190A" w:rsidRPr="00D73A08">
        <w:rPr>
          <w:rFonts w:ascii="Times New Roman" w:hAnsi="Times New Roman" w:cs="Times New Roman"/>
          <w:sz w:val="18"/>
        </w:rPr>
        <w:t xml:space="preserve">zákonem č. 290/1993 Sb. k </w:t>
      </w:r>
      <w:r w:rsidRPr="00D73A08">
        <w:rPr>
          <w:rFonts w:ascii="Times New Roman" w:hAnsi="Times New Roman" w:cs="Times New Roman"/>
          <w:sz w:val="18"/>
        </w:rPr>
        <w:t xml:space="preserve">zvýšení na celou měsíční minimální </w:t>
      </w:r>
      <w:r w:rsidR="00D73A08" w:rsidRPr="00D73A08">
        <w:rPr>
          <w:rFonts w:ascii="Times New Roman" w:hAnsi="Times New Roman" w:cs="Times New Roman"/>
          <w:sz w:val="18"/>
        </w:rPr>
        <w:t>mzdu,</w:t>
      </w:r>
      <w:r w:rsidR="0051190A" w:rsidRPr="00D73A08">
        <w:rPr>
          <w:rFonts w:ascii="Times New Roman" w:hAnsi="Times New Roman" w:cs="Times New Roman"/>
          <w:sz w:val="18"/>
        </w:rPr>
        <w:t xml:space="preserve"> a ještě později došlo k přesunu této úpravy do odstavce 11 zákonem č. 148/1998 Sb.</w:t>
      </w:r>
    </w:p>
  </w:footnote>
  <w:footnote w:id="4">
    <w:p w:rsidR="001A39E7" w:rsidRPr="00D73A08" w:rsidRDefault="001A39E7" w:rsidP="00AF3633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D73A08">
        <w:rPr>
          <w:rStyle w:val="Znakapoznpodarou"/>
          <w:rFonts w:ascii="Times New Roman" w:hAnsi="Times New Roman" w:cs="Times New Roman"/>
          <w:sz w:val="18"/>
        </w:rPr>
        <w:footnoteRef/>
      </w:r>
      <w:r w:rsidRPr="00D73A08">
        <w:rPr>
          <w:rFonts w:ascii="Times New Roman" w:hAnsi="Times New Roman" w:cs="Times New Roman"/>
          <w:sz w:val="18"/>
        </w:rPr>
        <w:t xml:space="preserve"> </w:t>
      </w:r>
      <w:r w:rsidR="004E7C85" w:rsidRPr="00D73A08">
        <w:rPr>
          <w:rFonts w:ascii="Times New Roman" w:hAnsi="Times New Roman" w:cs="Times New Roman"/>
          <w:sz w:val="18"/>
        </w:rPr>
        <w:t>Srovnej nařízení o minimální mzdě č. 99/1991 Sb. (2 000 Kč), 53/1992 Sb. (2 200 Kč), 303/1995 Sb. (2 500 Kč a</w:t>
      </w:r>
      <w:r w:rsidR="00363064" w:rsidRPr="00D73A08">
        <w:rPr>
          <w:rFonts w:ascii="Times New Roman" w:hAnsi="Times New Roman" w:cs="Times New Roman"/>
          <w:sz w:val="18"/>
        </w:rPr>
        <w:t xml:space="preserve"> postupně zvyšována na 5 000 Kč v roce 2001</w:t>
      </w:r>
      <w:r w:rsidR="004E7C85" w:rsidRPr="00D73A08">
        <w:rPr>
          <w:rFonts w:ascii="Times New Roman" w:hAnsi="Times New Roman" w:cs="Times New Roman"/>
          <w:sz w:val="18"/>
        </w:rPr>
        <w:t>) ve srovnání s nařízení o stanovení nejnižší měsíční mzdy pro účely trestního zákona č. 258/1990 Sb. (1 600 Kč) a 464/1991 Sb. (2 000 Kč).</w:t>
      </w:r>
      <w:r w:rsidR="003722D7" w:rsidRPr="00D73A08">
        <w:rPr>
          <w:rFonts w:ascii="Times New Roman" w:hAnsi="Times New Roman" w:cs="Times New Roman"/>
          <w:sz w:val="18"/>
        </w:rPr>
        <w:t xml:space="preserve"> </w:t>
      </w:r>
    </w:p>
  </w:footnote>
  <w:footnote w:id="5">
    <w:p w:rsidR="002C40DD" w:rsidRPr="00D73A08" w:rsidRDefault="002C40DD" w:rsidP="002C40DD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D73A08">
        <w:rPr>
          <w:rStyle w:val="Znakapoznpodarou"/>
          <w:rFonts w:ascii="Times New Roman" w:hAnsi="Times New Roman" w:cs="Times New Roman"/>
          <w:sz w:val="18"/>
        </w:rPr>
        <w:footnoteRef/>
      </w:r>
      <w:r w:rsidRPr="00D73A08">
        <w:rPr>
          <w:rFonts w:ascii="Times New Roman" w:hAnsi="Times New Roman" w:cs="Times New Roman"/>
          <w:sz w:val="18"/>
        </w:rPr>
        <w:t xml:space="preserve"> Důvodová zpráva k části druhé (Změna trestního zákona), bod 33. Tisk 785, 3. volební období Poslanecké sněmovny 1998-2002. </w:t>
      </w:r>
      <w:r w:rsidRPr="00D73A08">
        <w:rPr>
          <w:rStyle w:val="Hypertextovodkaz"/>
          <w:rFonts w:ascii="Times New Roman" w:hAnsi="Times New Roman" w:cs="Times New Roman"/>
          <w:color w:val="auto"/>
          <w:sz w:val="18"/>
          <w:u w:val="none"/>
        </w:rPr>
        <w:t>http://www.psp.cz/sqw/text/tiskt.sqw?o=3&amp;ct=785&amp;ct1=0</w:t>
      </w:r>
    </w:p>
  </w:footnote>
  <w:footnote w:id="6">
    <w:p w:rsidR="003A44A1" w:rsidRPr="00260B1C" w:rsidRDefault="003A44A1" w:rsidP="00AF363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260B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260B1C">
        <w:rPr>
          <w:rFonts w:ascii="Times New Roman" w:hAnsi="Times New Roman" w:cs="Times New Roman"/>
          <w:sz w:val="18"/>
          <w:szCs w:val="18"/>
        </w:rPr>
        <w:t xml:space="preserve"> Nařízení vlády č. 303/1995 Sb., o minimální mzdě, ve znění nařízení vlády č. 429/2000 Sb.</w:t>
      </w:r>
    </w:p>
  </w:footnote>
  <w:footnote w:id="7">
    <w:p w:rsidR="003A44A1" w:rsidRPr="00260B1C" w:rsidRDefault="003A44A1" w:rsidP="00AF36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60B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260B1C">
        <w:rPr>
          <w:rFonts w:ascii="Times New Roman" w:hAnsi="Times New Roman" w:cs="Times New Roman"/>
          <w:sz w:val="18"/>
          <w:szCs w:val="18"/>
        </w:rPr>
        <w:t xml:space="preserve"> Nařízení vlády č. 567/2006 Sb., o minimální mzdě, o nejnižších úrovních zaručené mzdy, o vymezení ztíženého pracovního prostředí a o výši příplatku ke mzdě za práci ve ztíženém pracovním prostředí, ve znění nařízení vlády č. 336 a 337/2016 Sb.</w:t>
      </w:r>
      <w:r w:rsidR="00311373" w:rsidRPr="00260B1C">
        <w:rPr>
          <w:rFonts w:ascii="Times New Roman" w:hAnsi="Times New Roman" w:cs="Times New Roman"/>
          <w:sz w:val="18"/>
          <w:szCs w:val="18"/>
        </w:rPr>
        <w:t>, č. 286/2017 Sb.</w:t>
      </w:r>
      <w:r w:rsidR="00EC4B09">
        <w:rPr>
          <w:rFonts w:ascii="Times New Roman" w:hAnsi="Times New Roman" w:cs="Times New Roman"/>
          <w:sz w:val="18"/>
          <w:szCs w:val="18"/>
        </w:rPr>
        <w:t xml:space="preserve"> a č. 273/2018 Sb.</w:t>
      </w:r>
    </w:p>
  </w:footnote>
  <w:footnote w:id="8">
    <w:p w:rsidR="003A44A1" w:rsidRPr="00260B1C" w:rsidRDefault="003A44A1" w:rsidP="00D73A08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260B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="006B5D97" w:rsidRPr="00260B1C">
        <w:rPr>
          <w:rFonts w:ascii="Times New Roman" w:hAnsi="Times New Roman" w:cs="Times New Roman"/>
          <w:sz w:val="18"/>
          <w:szCs w:val="18"/>
        </w:rPr>
        <w:t>Průměrné h</w:t>
      </w:r>
      <w:r w:rsidRPr="00260B1C">
        <w:rPr>
          <w:rFonts w:ascii="Times New Roman" w:hAnsi="Times New Roman" w:cs="Times New Roman"/>
          <w:sz w:val="18"/>
          <w:szCs w:val="18"/>
        </w:rPr>
        <w:t>rubé měsíční mzdy</w:t>
      </w:r>
      <w:r w:rsidR="006B5D97" w:rsidRPr="00260B1C">
        <w:rPr>
          <w:rFonts w:ascii="Times New Roman" w:hAnsi="Times New Roman" w:cs="Times New Roman"/>
          <w:sz w:val="18"/>
          <w:szCs w:val="18"/>
        </w:rPr>
        <w:t>.</w:t>
      </w:r>
      <w:r w:rsidRPr="00260B1C">
        <w:rPr>
          <w:rFonts w:ascii="Times New Roman" w:hAnsi="Times New Roman" w:cs="Times New Roman"/>
          <w:sz w:val="18"/>
          <w:szCs w:val="18"/>
        </w:rPr>
        <w:t xml:space="preserve"> Český statistický úřad.</w:t>
      </w:r>
      <w:r w:rsidR="00D73A08" w:rsidRPr="00260B1C">
        <w:rPr>
          <w:rFonts w:ascii="Times New Roman" w:hAnsi="Times New Roman" w:cs="Times New Roman"/>
          <w:sz w:val="18"/>
          <w:szCs w:val="18"/>
        </w:rPr>
        <w:t xml:space="preserve"> </w:t>
      </w:r>
      <w:r w:rsidR="00D73A08" w:rsidRPr="00260B1C">
        <w:rPr>
          <w:rStyle w:val="Hypertextovodkaz"/>
          <w:rFonts w:ascii="Times New Roman" w:hAnsi="Times New Roman" w:cs="Times New Roman"/>
          <w:color w:val="auto"/>
          <w:sz w:val="18"/>
          <w:szCs w:val="18"/>
          <w:u w:val="none"/>
        </w:rPr>
        <w:t>https://www.czso.cz/documents/10180/60622076/ pmzcr090418_1.xlsx/52cf653d-9e05-4f5d-84d0-4d4391d64eac?version=1.0</w:t>
      </w:r>
    </w:p>
  </w:footnote>
  <w:footnote w:id="9">
    <w:p w:rsidR="003A44A1" w:rsidRPr="00260B1C" w:rsidRDefault="003A44A1" w:rsidP="00AF363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260B1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260B1C">
        <w:rPr>
          <w:rFonts w:ascii="Times New Roman" w:hAnsi="Times New Roman" w:cs="Times New Roman"/>
          <w:sz w:val="18"/>
          <w:szCs w:val="18"/>
        </w:rPr>
        <w:t xml:space="preserve"> Do roku 2004 byl koeficient 1,9, ale byl poskytován zároveň 13. a 14. plat. § 11 zákona č. 236/1995 Sb., o platu a dalších náležitostech spojených s výkonem funkce představitelů státní moci a některých státních orgánů a soudců a poslanců Evropského parlamentu. Novela zákonem č. 626/2004 Sb.</w:t>
      </w:r>
    </w:p>
  </w:footnote>
  <w:footnote w:id="10">
    <w:p w:rsidR="003A44A1" w:rsidRPr="00260B1C" w:rsidRDefault="003A44A1" w:rsidP="00AF3633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§ 3 zákona č. 236/1995 Sb., o platu a dalších náležitostech spojených s výkonem funkce představitelů státní moci a</w:t>
      </w:r>
      <w:r w:rsidR="00260B1C">
        <w:rPr>
          <w:rFonts w:ascii="Times New Roman" w:hAnsi="Times New Roman" w:cs="Times New Roman"/>
          <w:sz w:val="18"/>
        </w:rPr>
        <w:t> </w:t>
      </w:r>
      <w:r w:rsidRPr="00260B1C">
        <w:rPr>
          <w:rFonts w:ascii="Times New Roman" w:hAnsi="Times New Roman" w:cs="Times New Roman"/>
          <w:sz w:val="18"/>
        </w:rPr>
        <w:t>některých státních orgánů a soudců a poslanců Evropského parlamentu, ve znění do změny zákonem č. 425/2002 Sb. Nařízení vlády č. 253/1992 Sb., o platových poměrech zaměstnanců orgánů státní správy, některých dalších orgánů a obcí, ve znění nařízení vlády č. 454/2000 Sb.</w:t>
      </w:r>
    </w:p>
  </w:footnote>
  <w:footnote w:id="11">
    <w:p w:rsidR="003A44A1" w:rsidRPr="00260B1C" w:rsidRDefault="003A44A1" w:rsidP="00AF3633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Sdělení Ministerst</w:t>
      </w:r>
      <w:r w:rsidR="006B5D97" w:rsidRPr="00260B1C">
        <w:rPr>
          <w:rFonts w:ascii="Times New Roman" w:hAnsi="Times New Roman" w:cs="Times New Roman"/>
          <w:sz w:val="18"/>
        </w:rPr>
        <w:t xml:space="preserve">va práce a sociálních věcí č. </w:t>
      </w:r>
      <w:r w:rsidR="00E8609F">
        <w:rPr>
          <w:rFonts w:ascii="Times New Roman" w:hAnsi="Times New Roman" w:cs="Times New Roman"/>
          <w:sz w:val="18"/>
        </w:rPr>
        <w:t>317/2018</w:t>
      </w:r>
      <w:r w:rsidRPr="00260B1C">
        <w:rPr>
          <w:rFonts w:ascii="Times New Roman" w:hAnsi="Times New Roman" w:cs="Times New Roman"/>
          <w:sz w:val="18"/>
        </w:rPr>
        <w:t xml:space="preserve"> Sb., o vyhlášení výše platové základny pro určení platu a</w:t>
      </w:r>
      <w:r w:rsidR="00260B1C">
        <w:rPr>
          <w:rFonts w:ascii="Times New Roman" w:hAnsi="Times New Roman" w:cs="Times New Roman"/>
          <w:sz w:val="18"/>
        </w:rPr>
        <w:t> </w:t>
      </w:r>
      <w:r w:rsidRPr="00260B1C">
        <w:rPr>
          <w:rFonts w:ascii="Times New Roman" w:hAnsi="Times New Roman" w:cs="Times New Roman"/>
          <w:sz w:val="18"/>
        </w:rPr>
        <w:t>některých náhrad výdajů představitelů podle zákona č. 236/1995 Sb., o platu a dalších náležitostech spojených s výkonem funkce představitelů státní moci a některých státních orgánů a soudců.</w:t>
      </w:r>
    </w:p>
  </w:footnote>
  <w:footnote w:id="12">
    <w:p w:rsidR="003A44A1" w:rsidRPr="00260B1C" w:rsidRDefault="003A44A1" w:rsidP="00AF3633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§ 28 odst. 1 zákona o platu a dalších náležitostech spojených s výkonem funkce představitelů státní moci a některých státních orgánů a soudců. Sdělení Ministerstva práce a sociálních věcí č. </w:t>
      </w:r>
      <w:r w:rsidR="00E8609F">
        <w:rPr>
          <w:rFonts w:ascii="Times New Roman" w:hAnsi="Times New Roman" w:cs="Times New Roman"/>
          <w:sz w:val="18"/>
        </w:rPr>
        <w:t>319/2018</w:t>
      </w:r>
      <w:r w:rsidRPr="00260B1C">
        <w:rPr>
          <w:rFonts w:ascii="Times New Roman" w:hAnsi="Times New Roman" w:cs="Times New Roman"/>
          <w:sz w:val="18"/>
        </w:rPr>
        <w:t xml:space="preserve"> Sb.</w:t>
      </w:r>
      <w:r w:rsidR="000B0FDC" w:rsidRPr="00260B1C">
        <w:rPr>
          <w:rFonts w:ascii="Times New Roman" w:hAnsi="Times New Roman" w:cs="Times New Roman"/>
          <w:sz w:val="18"/>
        </w:rPr>
        <w:t xml:space="preserve"> V roce 2001 náležel představitelům státu 13. a 14. plat, což bylo zrušeno a zvýšeny koeficienty. Proto jsou je jiný koeficient násobku platové základny k roku 2001 a jiný nyní.</w:t>
      </w:r>
    </w:p>
  </w:footnote>
  <w:footnote w:id="13">
    <w:p w:rsidR="009D1A40" w:rsidRPr="00260B1C" w:rsidRDefault="009D1A40" w:rsidP="00AF3633">
      <w:pPr>
        <w:pStyle w:val="Textpoznpodarou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Čl. 39 Listiny základních práv a svobod.</w:t>
      </w:r>
    </w:p>
  </w:footnote>
  <w:footnote w:id="14">
    <w:p w:rsidR="00D90826" w:rsidRPr="00260B1C" w:rsidRDefault="00D90826" w:rsidP="00AF3633">
      <w:pPr>
        <w:pStyle w:val="Textpoznpodarou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Čl. 78 Ústavy Čech, Moravy a Slezska č. 1/1993 Sb.</w:t>
      </w:r>
    </w:p>
  </w:footnote>
  <w:footnote w:id="15">
    <w:p w:rsidR="009D1A40" w:rsidRPr="00260B1C" w:rsidRDefault="009D1A40" w:rsidP="00AF3633">
      <w:pPr>
        <w:pStyle w:val="Textpoznpodarou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</w:t>
      </w:r>
      <w:r w:rsidR="00FE6D4E" w:rsidRPr="00260B1C">
        <w:rPr>
          <w:rFonts w:ascii="Times New Roman" w:hAnsi="Times New Roman" w:cs="Times New Roman"/>
          <w:sz w:val="18"/>
        </w:rPr>
        <w:t xml:space="preserve">§ 111 </w:t>
      </w:r>
      <w:r w:rsidR="004E7C85" w:rsidRPr="00260B1C">
        <w:rPr>
          <w:rFonts w:ascii="Times New Roman" w:hAnsi="Times New Roman" w:cs="Times New Roman"/>
          <w:sz w:val="18"/>
        </w:rPr>
        <w:t xml:space="preserve">odst. 2 </w:t>
      </w:r>
      <w:r w:rsidR="00FE6D4E" w:rsidRPr="00260B1C">
        <w:rPr>
          <w:rFonts w:ascii="Times New Roman" w:hAnsi="Times New Roman" w:cs="Times New Roman"/>
          <w:sz w:val="18"/>
        </w:rPr>
        <w:t>zákoníku práce č. 262/2006 Sb.</w:t>
      </w:r>
    </w:p>
  </w:footnote>
  <w:footnote w:id="16">
    <w:p w:rsidR="003223C9" w:rsidRPr="00260B1C" w:rsidRDefault="003223C9" w:rsidP="00AF3633">
      <w:pPr>
        <w:pStyle w:val="Textpoznpodarou"/>
        <w:jc w:val="both"/>
        <w:rPr>
          <w:rFonts w:ascii="Times New Roman" w:hAnsi="Times New Roman" w:cs="Times New Roman"/>
          <w:sz w:val="18"/>
        </w:rPr>
      </w:pPr>
      <w:r w:rsidRPr="00260B1C">
        <w:rPr>
          <w:rStyle w:val="Znakapoznpodarou"/>
          <w:rFonts w:ascii="Times New Roman" w:hAnsi="Times New Roman" w:cs="Times New Roman"/>
          <w:sz w:val="18"/>
        </w:rPr>
        <w:footnoteRef/>
      </w:r>
      <w:r w:rsidRPr="00260B1C">
        <w:rPr>
          <w:rFonts w:ascii="Times New Roman" w:hAnsi="Times New Roman" w:cs="Times New Roman"/>
          <w:sz w:val="18"/>
        </w:rPr>
        <w:t xml:space="preserve"> Rozhodnutí č. 2/1958 a 3/1963 Sbírky rozhodnutí trestních Nejvyššího soudu. </w:t>
      </w:r>
      <w:r w:rsidR="00260B1C">
        <w:rPr>
          <w:rFonts w:ascii="Times New Roman" w:hAnsi="Times New Roman" w:cs="Times New Roman"/>
          <w:sz w:val="18"/>
        </w:rPr>
        <w:t>KŘÍSTEK, Lukáš.</w:t>
      </w:r>
      <w:r w:rsidRPr="00260B1C">
        <w:rPr>
          <w:rFonts w:ascii="Times New Roman" w:hAnsi="Times New Roman" w:cs="Times New Roman"/>
          <w:sz w:val="18"/>
        </w:rPr>
        <w:t xml:space="preserve"> Škoda v trestním právu a</w:t>
      </w:r>
      <w:r w:rsidR="00260B1C">
        <w:rPr>
          <w:rFonts w:ascii="Times New Roman" w:hAnsi="Times New Roman" w:cs="Times New Roman"/>
          <w:sz w:val="18"/>
        </w:rPr>
        <w:t> </w:t>
      </w:r>
      <w:r w:rsidRPr="00260B1C">
        <w:rPr>
          <w:rFonts w:ascii="Times New Roman" w:hAnsi="Times New Roman" w:cs="Times New Roman"/>
          <w:sz w:val="18"/>
        </w:rPr>
        <w:t xml:space="preserve">zvyšování cen. </w:t>
      </w:r>
      <w:r w:rsidRPr="00260B1C">
        <w:rPr>
          <w:rFonts w:ascii="Times New Roman" w:hAnsi="Times New Roman" w:cs="Times New Roman"/>
          <w:i/>
          <w:sz w:val="18"/>
        </w:rPr>
        <w:t>Česká justice</w:t>
      </w:r>
      <w:r w:rsidRPr="00260B1C">
        <w:rPr>
          <w:rFonts w:ascii="Times New Roman" w:hAnsi="Times New Roman" w:cs="Times New Roman"/>
          <w:sz w:val="18"/>
        </w:rPr>
        <w:t xml:space="preserve"> 19. 9. 2018, Blogy, www.ceska-justice.cz.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9AA"/>
    <w:multiLevelType w:val="hybridMultilevel"/>
    <w:tmpl w:val="C0A4D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D4E77"/>
    <w:multiLevelType w:val="hybridMultilevel"/>
    <w:tmpl w:val="182C9AC4"/>
    <w:lvl w:ilvl="0" w:tplc="F6B66BC0">
      <w:start w:val="1"/>
      <w:numFmt w:val="decimal"/>
      <w:pStyle w:val="00Nadpisy"/>
      <w:lvlText w:val="%1."/>
      <w:lvlJc w:val="left"/>
      <w:pPr>
        <w:ind w:left="92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195981"/>
    <w:multiLevelType w:val="hybridMultilevel"/>
    <w:tmpl w:val="CDE07F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26FF"/>
    <w:multiLevelType w:val="multilevel"/>
    <w:tmpl w:val="77E6355E"/>
    <w:lvl w:ilvl="0">
      <w:start w:val="1"/>
      <w:numFmt w:val="decimal"/>
      <w:pStyle w:val="00nadpisvecnaca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363651E"/>
    <w:multiLevelType w:val="multilevel"/>
    <w:tmpl w:val="77E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9E7"/>
    <w:rsid w:val="00005BF6"/>
    <w:rsid w:val="00006309"/>
    <w:rsid w:val="0001449C"/>
    <w:rsid w:val="00014694"/>
    <w:rsid w:val="0002749A"/>
    <w:rsid w:val="00027726"/>
    <w:rsid w:val="000853C0"/>
    <w:rsid w:val="00085B0E"/>
    <w:rsid w:val="000943AC"/>
    <w:rsid w:val="000B0FDC"/>
    <w:rsid w:val="000D0004"/>
    <w:rsid w:val="000F10E3"/>
    <w:rsid w:val="00114BC1"/>
    <w:rsid w:val="00150C12"/>
    <w:rsid w:val="00152D86"/>
    <w:rsid w:val="00172583"/>
    <w:rsid w:val="0017483B"/>
    <w:rsid w:val="00180BE1"/>
    <w:rsid w:val="00194054"/>
    <w:rsid w:val="001A39E7"/>
    <w:rsid w:val="001F46A5"/>
    <w:rsid w:val="002109D5"/>
    <w:rsid w:val="00217A43"/>
    <w:rsid w:val="00220739"/>
    <w:rsid w:val="00245EEF"/>
    <w:rsid w:val="00260B1C"/>
    <w:rsid w:val="002C148C"/>
    <w:rsid w:val="002C40DD"/>
    <w:rsid w:val="00303786"/>
    <w:rsid w:val="00311373"/>
    <w:rsid w:val="00312C05"/>
    <w:rsid w:val="003154AC"/>
    <w:rsid w:val="003223C9"/>
    <w:rsid w:val="00344D8C"/>
    <w:rsid w:val="0035014C"/>
    <w:rsid w:val="00363064"/>
    <w:rsid w:val="003722D7"/>
    <w:rsid w:val="00374462"/>
    <w:rsid w:val="00395D84"/>
    <w:rsid w:val="003A0951"/>
    <w:rsid w:val="003A44A1"/>
    <w:rsid w:val="003A5F7C"/>
    <w:rsid w:val="00412416"/>
    <w:rsid w:val="0045351A"/>
    <w:rsid w:val="004535ED"/>
    <w:rsid w:val="00485E5F"/>
    <w:rsid w:val="00491BB1"/>
    <w:rsid w:val="004A7793"/>
    <w:rsid w:val="004B45D0"/>
    <w:rsid w:val="004D61B3"/>
    <w:rsid w:val="004E7C85"/>
    <w:rsid w:val="004F00D1"/>
    <w:rsid w:val="0051190A"/>
    <w:rsid w:val="00512FFF"/>
    <w:rsid w:val="0052752A"/>
    <w:rsid w:val="00545D13"/>
    <w:rsid w:val="00550663"/>
    <w:rsid w:val="005620F5"/>
    <w:rsid w:val="005755D8"/>
    <w:rsid w:val="005971BD"/>
    <w:rsid w:val="005A5341"/>
    <w:rsid w:val="005B6BAA"/>
    <w:rsid w:val="005D06AA"/>
    <w:rsid w:val="005D2E75"/>
    <w:rsid w:val="005D5D20"/>
    <w:rsid w:val="0061045B"/>
    <w:rsid w:val="006150B0"/>
    <w:rsid w:val="00626910"/>
    <w:rsid w:val="00633016"/>
    <w:rsid w:val="006364AC"/>
    <w:rsid w:val="00637E99"/>
    <w:rsid w:val="00673DB3"/>
    <w:rsid w:val="006825AB"/>
    <w:rsid w:val="00684882"/>
    <w:rsid w:val="006963BD"/>
    <w:rsid w:val="006B3652"/>
    <w:rsid w:val="006B5D97"/>
    <w:rsid w:val="006F203D"/>
    <w:rsid w:val="007053C4"/>
    <w:rsid w:val="00721FA7"/>
    <w:rsid w:val="00732915"/>
    <w:rsid w:val="00745E9C"/>
    <w:rsid w:val="007573D5"/>
    <w:rsid w:val="00762AC0"/>
    <w:rsid w:val="007B64BD"/>
    <w:rsid w:val="007C7F5B"/>
    <w:rsid w:val="007D1DC0"/>
    <w:rsid w:val="00815EC9"/>
    <w:rsid w:val="00823B3D"/>
    <w:rsid w:val="00830322"/>
    <w:rsid w:val="008639C4"/>
    <w:rsid w:val="008B11FF"/>
    <w:rsid w:val="008B3F02"/>
    <w:rsid w:val="00952CC6"/>
    <w:rsid w:val="00992B6F"/>
    <w:rsid w:val="00997B5C"/>
    <w:rsid w:val="009D152B"/>
    <w:rsid w:val="009D1A40"/>
    <w:rsid w:val="00A1539F"/>
    <w:rsid w:val="00A32EE5"/>
    <w:rsid w:val="00A35D06"/>
    <w:rsid w:val="00A3688B"/>
    <w:rsid w:val="00A52999"/>
    <w:rsid w:val="00A53DC0"/>
    <w:rsid w:val="00A65CA8"/>
    <w:rsid w:val="00A76F14"/>
    <w:rsid w:val="00A8693B"/>
    <w:rsid w:val="00AC4446"/>
    <w:rsid w:val="00AD64C6"/>
    <w:rsid w:val="00AE3F41"/>
    <w:rsid w:val="00AF077F"/>
    <w:rsid w:val="00AF3633"/>
    <w:rsid w:val="00B119FA"/>
    <w:rsid w:val="00BA542E"/>
    <w:rsid w:val="00BB0AE4"/>
    <w:rsid w:val="00BD7F65"/>
    <w:rsid w:val="00C16775"/>
    <w:rsid w:val="00C21021"/>
    <w:rsid w:val="00C2269A"/>
    <w:rsid w:val="00C62970"/>
    <w:rsid w:val="00C65ADB"/>
    <w:rsid w:val="00C875E1"/>
    <w:rsid w:val="00C8761D"/>
    <w:rsid w:val="00CB092F"/>
    <w:rsid w:val="00CC52B8"/>
    <w:rsid w:val="00CE463D"/>
    <w:rsid w:val="00D06902"/>
    <w:rsid w:val="00D322EC"/>
    <w:rsid w:val="00D47637"/>
    <w:rsid w:val="00D53C91"/>
    <w:rsid w:val="00D73A08"/>
    <w:rsid w:val="00D803FB"/>
    <w:rsid w:val="00D81B19"/>
    <w:rsid w:val="00D90826"/>
    <w:rsid w:val="00DC2E33"/>
    <w:rsid w:val="00DC3552"/>
    <w:rsid w:val="00DD1355"/>
    <w:rsid w:val="00E6594B"/>
    <w:rsid w:val="00E80C30"/>
    <w:rsid w:val="00E8609F"/>
    <w:rsid w:val="00E91581"/>
    <w:rsid w:val="00E9699A"/>
    <w:rsid w:val="00EC2D37"/>
    <w:rsid w:val="00EC4B09"/>
    <w:rsid w:val="00ED40F6"/>
    <w:rsid w:val="00ED7018"/>
    <w:rsid w:val="00F10CDC"/>
    <w:rsid w:val="00F202CD"/>
    <w:rsid w:val="00F36A17"/>
    <w:rsid w:val="00F86042"/>
    <w:rsid w:val="00FE6D4E"/>
    <w:rsid w:val="00FE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A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1A39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A39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A39E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4A1"/>
  </w:style>
  <w:style w:type="paragraph" w:styleId="Zpat">
    <w:name w:val="footer"/>
    <w:basedOn w:val="Normln"/>
    <w:link w:val="ZpatChar"/>
    <w:uiPriority w:val="99"/>
    <w:unhideWhenUsed/>
    <w:rsid w:val="003A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4A1"/>
  </w:style>
  <w:style w:type="character" w:styleId="Hypertextovodkaz">
    <w:name w:val="Hyperlink"/>
    <w:basedOn w:val="Standardnpsmoodstavce"/>
    <w:uiPriority w:val="99"/>
    <w:unhideWhenUsed/>
    <w:rsid w:val="0001449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45D0"/>
    <w:pPr>
      <w:ind w:left="720"/>
      <w:contextualSpacing/>
    </w:pPr>
  </w:style>
  <w:style w:type="paragraph" w:customStyle="1" w:styleId="00Nzevpspvku">
    <w:name w:val="00_Název příspěvku"/>
    <w:basedOn w:val="Normln"/>
    <w:link w:val="00NzevpspvkuChar"/>
    <w:qFormat/>
    <w:rsid w:val="00AC4446"/>
    <w:pPr>
      <w:jc w:val="center"/>
    </w:pPr>
    <w:rPr>
      <w:rFonts w:ascii="Times New Roman" w:eastAsiaTheme="minorHAnsi" w:hAnsi="Times New Roman" w:cs="Times New Roman"/>
      <w:b/>
      <w:sz w:val="28"/>
      <w:lang w:eastAsia="en-US"/>
    </w:rPr>
  </w:style>
  <w:style w:type="character" w:customStyle="1" w:styleId="00NzevpspvkuChar">
    <w:name w:val="00_Název příspěvku Char"/>
    <w:basedOn w:val="Standardnpsmoodstavce"/>
    <w:link w:val="00Nzevpspvku"/>
    <w:rsid w:val="00AC4446"/>
    <w:rPr>
      <w:rFonts w:ascii="Times New Roman" w:eastAsiaTheme="minorHAnsi" w:hAnsi="Times New Roman" w:cs="Times New Roman"/>
      <w:b/>
      <w:sz w:val="28"/>
      <w:lang w:eastAsia="en-US"/>
    </w:rPr>
  </w:style>
  <w:style w:type="paragraph" w:customStyle="1" w:styleId="00Title">
    <w:name w:val="00_Title"/>
    <w:basedOn w:val="00Nzevpspvku"/>
    <w:link w:val="00TitleChar"/>
    <w:qFormat/>
    <w:rsid w:val="00AC4446"/>
    <w:rPr>
      <w:i/>
    </w:rPr>
  </w:style>
  <w:style w:type="character" w:customStyle="1" w:styleId="00TitleChar">
    <w:name w:val="00_Title Char"/>
    <w:basedOn w:val="00NzevpspvkuChar"/>
    <w:link w:val="00Title"/>
    <w:rsid w:val="00AC4446"/>
    <w:rPr>
      <w:rFonts w:ascii="Times New Roman" w:eastAsiaTheme="minorHAnsi" w:hAnsi="Times New Roman" w:cs="Times New Roman"/>
      <w:b/>
      <w:i/>
      <w:sz w:val="28"/>
      <w:lang w:eastAsia="en-US"/>
    </w:rPr>
  </w:style>
  <w:style w:type="paragraph" w:customStyle="1" w:styleId="00Jmnoapjmenautora">
    <w:name w:val="00_Jméno a příjmení autora"/>
    <w:basedOn w:val="Normln"/>
    <w:link w:val="00JmnoapjmenautoraChar"/>
    <w:qFormat/>
    <w:rsid w:val="00AC4446"/>
    <w:pPr>
      <w:spacing w:after="600"/>
      <w:jc w:val="center"/>
    </w:pPr>
    <w:rPr>
      <w:rFonts w:ascii="Times New Roman" w:eastAsiaTheme="minorHAnsi" w:hAnsi="Times New Roman" w:cs="Times New Roman"/>
      <w:b/>
      <w:sz w:val="24"/>
      <w:lang w:eastAsia="en-US"/>
    </w:rPr>
  </w:style>
  <w:style w:type="character" w:customStyle="1" w:styleId="00JmnoapjmenautoraChar">
    <w:name w:val="00_Jméno a příjmení autora Char"/>
    <w:basedOn w:val="Standardnpsmoodstavce"/>
    <w:link w:val="00Jmnoapjmenautora"/>
    <w:rsid w:val="00AC4446"/>
    <w:rPr>
      <w:rFonts w:ascii="Times New Roman" w:eastAsiaTheme="minorHAnsi" w:hAnsi="Times New Roman" w:cs="Times New Roman"/>
      <w:b/>
      <w:sz w:val="24"/>
      <w:lang w:eastAsia="en-US"/>
    </w:rPr>
  </w:style>
  <w:style w:type="paragraph" w:customStyle="1" w:styleId="00AnnotationEN">
    <w:name w:val="00_Annotation EN"/>
    <w:basedOn w:val="Normln"/>
    <w:link w:val="00AnnotationENChar"/>
    <w:qFormat/>
    <w:rsid w:val="00AC4446"/>
    <w:pPr>
      <w:spacing w:after="360"/>
      <w:jc w:val="both"/>
    </w:pPr>
    <w:rPr>
      <w:rFonts w:ascii="Times New Roman" w:eastAsiaTheme="minorHAnsi" w:hAnsi="Times New Roman" w:cs="Times New Roman"/>
      <w:i/>
      <w:lang w:eastAsia="en-US"/>
    </w:rPr>
  </w:style>
  <w:style w:type="character" w:customStyle="1" w:styleId="00AnnotationENChar">
    <w:name w:val="00_Annotation EN Char"/>
    <w:basedOn w:val="Standardnpsmoodstavce"/>
    <w:link w:val="00AnnotationEN"/>
    <w:rsid w:val="00AC4446"/>
    <w:rPr>
      <w:rFonts w:ascii="Times New Roman" w:eastAsiaTheme="minorHAnsi" w:hAnsi="Times New Roman" w:cs="Times New Roman"/>
      <w:i/>
      <w:lang w:eastAsia="en-US"/>
    </w:rPr>
  </w:style>
  <w:style w:type="paragraph" w:customStyle="1" w:styleId="00AnotaceCZSK">
    <w:name w:val="00_Anotace CZ/SK"/>
    <w:basedOn w:val="Normln"/>
    <w:link w:val="00AnotaceCZSKChar"/>
    <w:qFormat/>
    <w:rsid w:val="00AC4446"/>
    <w:pPr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00AnotaceCZSKChar">
    <w:name w:val="00_Anotace CZ/SK Char"/>
    <w:basedOn w:val="Standardnpsmoodstavce"/>
    <w:link w:val="00AnotaceCZSK"/>
    <w:rsid w:val="00AC4446"/>
    <w:rPr>
      <w:rFonts w:ascii="Times New Roman" w:eastAsiaTheme="minorHAnsi" w:hAnsi="Times New Roman" w:cs="Times New Roman"/>
      <w:lang w:eastAsia="en-US"/>
    </w:rPr>
  </w:style>
  <w:style w:type="paragraph" w:customStyle="1" w:styleId="00nadpisvecnacast">
    <w:name w:val="00_nadpis_vecna cast"/>
    <w:basedOn w:val="Normln"/>
    <w:link w:val="00nadpisvecnacastChar"/>
    <w:qFormat/>
    <w:rsid w:val="00AC4446"/>
    <w:pPr>
      <w:numPr>
        <w:numId w:val="2"/>
      </w:numPr>
      <w:spacing w:after="120"/>
      <w:jc w:val="both"/>
    </w:pPr>
    <w:rPr>
      <w:rFonts w:ascii="Times New Roman" w:eastAsiaTheme="minorHAnsi" w:hAnsi="Times New Roman" w:cs="Times New Roman"/>
      <w:b/>
      <w:sz w:val="24"/>
      <w:lang w:eastAsia="en-US"/>
    </w:rPr>
  </w:style>
  <w:style w:type="character" w:customStyle="1" w:styleId="00nadpisvecnacastChar">
    <w:name w:val="00_nadpis_vecna cast Char"/>
    <w:basedOn w:val="Standardnpsmoodstavce"/>
    <w:link w:val="00nadpisvecnacast"/>
    <w:rsid w:val="00AC4446"/>
    <w:rPr>
      <w:rFonts w:ascii="Times New Roman" w:eastAsiaTheme="minorHAnsi" w:hAnsi="Times New Roman" w:cs="Times New Roman"/>
      <w:b/>
      <w:sz w:val="24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3A08"/>
    <w:rPr>
      <w:color w:val="605E5C"/>
      <w:shd w:val="clear" w:color="auto" w:fill="E1DFDD"/>
    </w:rPr>
  </w:style>
  <w:style w:type="paragraph" w:customStyle="1" w:styleId="00Nadpisy">
    <w:name w:val="00_Nadpisy"/>
    <w:basedOn w:val="Odstavecseseznamem"/>
    <w:link w:val="00NadpisyChar"/>
    <w:qFormat/>
    <w:rsid w:val="00260B1C"/>
    <w:pPr>
      <w:numPr>
        <w:numId w:val="8"/>
      </w:numPr>
      <w:spacing w:after="120"/>
      <w:contextualSpacing w:val="0"/>
      <w:jc w:val="both"/>
    </w:pPr>
    <w:rPr>
      <w:rFonts w:ascii="Times New Roman" w:eastAsiaTheme="minorHAnsi" w:hAnsi="Times New Roman" w:cs="Times New Roman"/>
      <w:b/>
      <w:sz w:val="24"/>
      <w:lang w:eastAsia="en-US"/>
    </w:rPr>
  </w:style>
  <w:style w:type="character" w:customStyle="1" w:styleId="00NadpisyChar">
    <w:name w:val="00_Nadpisy Char"/>
    <w:basedOn w:val="Standardnpsmoodstavce"/>
    <w:link w:val="00Nadpisy"/>
    <w:rsid w:val="00260B1C"/>
    <w:rPr>
      <w:rFonts w:ascii="Times New Roman" w:eastAsiaTheme="minorHAnsi" w:hAnsi="Times New Roman" w:cs="Times New Roman"/>
      <w:b/>
      <w:sz w:val="24"/>
      <w:lang w:eastAsia="en-US"/>
    </w:rPr>
  </w:style>
  <w:style w:type="paragraph" w:customStyle="1" w:styleId="00Literatura">
    <w:name w:val="00_Literatura"/>
    <w:basedOn w:val="00Nadpisy"/>
    <w:link w:val="00LiteraturaChar"/>
    <w:qFormat/>
    <w:rsid w:val="00260B1C"/>
    <w:pPr>
      <w:numPr>
        <w:numId w:val="0"/>
      </w:numPr>
    </w:pPr>
    <w:rPr>
      <w:b w:val="0"/>
    </w:rPr>
  </w:style>
  <w:style w:type="character" w:customStyle="1" w:styleId="00LiteraturaChar">
    <w:name w:val="00_Literatura Char"/>
    <w:basedOn w:val="00NadpisyChar"/>
    <w:link w:val="00Literatura"/>
    <w:rsid w:val="00260B1C"/>
    <w:rPr>
      <w:rFonts w:ascii="Times New Roman" w:eastAsiaTheme="minorHAnsi" w:hAnsi="Times New Roman" w:cs="Times New Roman"/>
      <w:b w:val="0"/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1138-B846-43F1-A25D-E91F064F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1586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2019-01-09T10:36:00Z</dcterms:created>
  <dcterms:modified xsi:type="dcterms:W3CDTF">2019-01-09T10:36:00Z</dcterms:modified>
</cp:coreProperties>
</file>