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EA" w:rsidRPr="002655EA" w:rsidRDefault="002655EA" w:rsidP="0026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EA">
        <w:rPr>
          <w:rFonts w:ascii="Times New Roman" w:hAnsi="Times New Roman" w:cs="Times New Roman"/>
          <w:b/>
          <w:sz w:val="24"/>
          <w:szCs w:val="24"/>
        </w:rPr>
        <w:t>Zákonný úrok ze starých dluhů a dobré mravy</w:t>
      </w:r>
    </w:p>
    <w:p w:rsidR="002655EA" w:rsidRDefault="002655EA" w:rsidP="0026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EA">
        <w:rPr>
          <w:rFonts w:ascii="Times New Roman" w:hAnsi="Times New Roman" w:cs="Times New Roman"/>
          <w:b/>
          <w:sz w:val="24"/>
          <w:szCs w:val="24"/>
        </w:rPr>
        <w:t>Zdeněk Koudelka</w:t>
      </w:r>
    </w:p>
    <w:p w:rsidR="000D461F" w:rsidRPr="002655EA" w:rsidRDefault="000D461F" w:rsidP="0026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EA" w:rsidRDefault="002655EA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soudní praxe nejsou </w:t>
      </w:r>
      <w:r w:rsidR="00D925F8">
        <w:rPr>
          <w:rFonts w:ascii="Times New Roman" w:hAnsi="Times New Roman" w:cs="Times New Roman"/>
          <w:sz w:val="24"/>
          <w:szCs w:val="24"/>
        </w:rPr>
        <w:t>ojedinělé</w:t>
      </w:r>
      <w:r>
        <w:rPr>
          <w:rFonts w:ascii="Times New Roman" w:hAnsi="Times New Roman" w:cs="Times New Roman"/>
          <w:sz w:val="24"/>
          <w:szCs w:val="24"/>
        </w:rPr>
        <w:t xml:space="preserve"> případy, kdy soudy rozhodují o závazcích vzniklých před značnou dobu a to i dluzích z 90. let 20. století. K tomu obvykle přiznávají i úroky z</w:t>
      </w:r>
      <w:r w:rsidR="00336D93">
        <w:rPr>
          <w:rFonts w:ascii="Times New Roman" w:hAnsi="Times New Roman" w:cs="Times New Roman"/>
          <w:sz w:val="24"/>
          <w:szCs w:val="24"/>
        </w:rPr>
        <w:t xml:space="preserve"> prodlení. Přitom postupují </w:t>
      </w:r>
      <w:r w:rsidR="0067567C">
        <w:rPr>
          <w:rFonts w:ascii="Times New Roman" w:hAnsi="Times New Roman" w:cs="Times New Roman"/>
          <w:sz w:val="24"/>
          <w:szCs w:val="24"/>
        </w:rPr>
        <w:t xml:space="preserve">při určení výše úroků z prodlení </w:t>
      </w:r>
      <w:r w:rsidR="00336D93">
        <w:rPr>
          <w:rFonts w:ascii="Times New Roman" w:hAnsi="Times New Roman" w:cs="Times New Roman"/>
          <w:sz w:val="24"/>
          <w:szCs w:val="24"/>
        </w:rPr>
        <w:t>podle právních předpisů platných v době vzniku prodlení.</w:t>
      </w:r>
    </w:p>
    <w:p w:rsidR="0066344E" w:rsidRDefault="0066344E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4E" w:rsidRPr="00F0011F" w:rsidRDefault="00857ED7" w:rsidP="00F0011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1F">
        <w:rPr>
          <w:rFonts w:ascii="Times New Roman" w:hAnsi="Times New Roman" w:cs="Times New Roman"/>
          <w:b/>
          <w:sz w:val="24"/>
          <w:szCs w:val="24"/>
        </w:rPr>
        <w:t>Určení v</w:t>
      </w:r>
      <w:r w:rsidR="0066344E" w:rsidRPr="00F0011F">
        <w:rPr>
          <w:rFonts w:ascii="Times New Roman" w:hAnsi="Times New Roman" w:cs="Times New Roman"/>
          <w:b/>
          <w:sz w:val="24"/>
          <w:szCs w:val="24"/>
        </w:rPr>
        <w:t>ýše zákonných úroků starých dluhů</w:t>
      </w:r>
    </w:p>
    <w:p w:rsidR="0066344E" w:rsidRDefault="0066344E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totalitního řízení ekonomiky státem byla stanovena výše úroku z prodlení na 3%</w:t>
      </w:r>
      <w:r w:rsidR="00685AF1">
        <w:rPr>
          <w:rFonts w:ascii="Times New Roman" w:hAnsi="Times New Roman" w:cs="Times New Roman"/>
          <w:sz w:val="24"/>
          <w:szCs w:val="24"/>
        </w:rPr>
        <w:t xml:space="preserve"> ročně</w:t>
      </w:r>
      <w:r w:rsidR="00FA65AD">
        <w:rPr>
          <w:rFonts w:ascii="Times New Roman" w:hAnsi="Times New Roman" w:cs="Times New Roman"/>
          <w:sz w:val="24"/>
          <w:szCs w:val="24"/>
        </w:rPr>
        <w:t xml:space="preserve"> přímo právním předpisem</w:t>
      </w:r>
      <w:r>
        <w:rPr>
          <w:rFonts w:ascii="Times New Roman" w:hAnsi="Times New Roman" w:cs="Times New Roman"/>
          <w:sz w:val="24"/>
          <w:szCs w:val="24"/>
        </w:rPr>
        <w:t>, což platilo až do roku 1994.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Vzhledem k tomu, že administrativním řízením</w:t>
      </w:r>
      <w:r w:rsidR="00663589">
        <w:rPr>
          <w:rFonts w:ascii="Times New Roman" w:hAnsi="Times New Roman" w:cs="Times New Roman"/>
          <w:sz w:val="24"/>
          <w:szCs w:val="24"/>
        </w:rPr>
        <w:t xml:space="preserve"> ekonomiky</w:t>
      </w:r>
      <w:r>
        <w:rPr>
          <w:rFonts w:ascii="Times New Roman" w:hAnsi="Times New Roman" w:cs="Times New Roman"/>
          <w:sz w:val="24"/>
          <w:szCs w:val="24"/>
        </w:rPr>
        <w:t xml:space="preserve"> se dosahovala dlouhodob</w:t>
      </w:r>
      <w:r w:rsidR="0066358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cenová stabilita, byla tato výše úroků až do roku 1989 odpovídající.</w:t>
      </w:r>
      <w:r w:rsidR="00663589">
        <w:rPr>
          <w:rFonts w:ascii="Times New Roman" w:hAnsi="Times New Roman" w:cs="Times New Roman"/>
          <w:sz w:val="24"/>
          <w:szCs w:val="24"/>
        </w:rPr>
        <w:t xml:space="preserve"> Ovšem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35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roku 1990 došlo k velkému růstu cen a inflaci. Tato sazba se dostala hluboko pod komerční úrokové sazby bank. Pro dlužníky bylo výhodnější neplatit a tak se fakticky nechat financovat svými věřiteli, než si půjčit u bank. Navíc právo bylo tehdy nevymahatelné, jelikož peněžní výkon rozhodnut</w:t>
      </w:r>
      <w:r w:rsidR="00FA65AD">
        <w:rPr>
          <w:rFonts w:ascii="Times New Roman" w:hAnsi="Times New Roman" w:cs="Times New Roman"/>
          <w:sz w:val="24"/>
          <w:szCs w:val="24"/>
        </w:rPr>
        <w:t>í soudy byl zdlouhavý a málo</w:t>
      </w:r>
      <w:r>
        <w:rPr>
          <w:rFonts w:ascii="Times New Roman" w:hAnsi="Times New Roman" w:cs="Times New Roman"/>
          <w:sz w:val="24"/>
          <w:szCs w:val="24"/>
        </w:rPr>
        <w:t xml:space="preserve"> úspěšný.</w:t>
      </w:r>
    </w:p>
    <w:p w:rsidR="00394A9A" w:rsidRDefault="0066344E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došlo v roce 1994 k novému určení </w:t>
      </w:r>
      <w:r w:rsidR="00BE7B73">
        <w:rPr>
          <w:rFonts w:ascii="Times New Roman" w:hAnsi="Times New Roman" w:cs="Times New Roman"/>
          <w:sz w:val="24"/>
          <w:szCs w:val="24"/>
        </w:rPr>
        <w:t xml:space="preserve">roční </w:t>
      </w:r>
      <w:r>
        <w:rPr>
          <w:rFonts w:ascii="Times New Roman" w:hAnsi="Times New Roman" w:cs="Times New Roman"/>
          <w:sz w:val="24"/>
          <w:szCs w:val="24"/>
        </w:rPr>
        <w:t xml:space="preserve">výše zákonného úroku z prodlení občanskoprávních závazků na dvojnásob diskontní sazby České národní banky. Přitom změna měla povahu nepravé retroaktivity, takže nová úroková sazba se vztahovala i na dluhy vzniklé před účinností této změny v části úroků za období po </w:t>
      </w:r>
      <w:r w:rsidR="00BE7B73">
        <w:rPr>
          <w:rFonts w:ascii="Times New Roman" w:hAnsi="Times New Roman" w:cs="Times New Roman"/>
          <w:sz w:val="24"/>
          <w:szCs w:val="24"/>
        </w:rPr>
        <w:t xml:space="preserve">její </w:t>
      </w:r>
      <w:r>
        <w:rPr>
          <w:rFonts w:ascii="Times New Roman" w:hAnsi="Times New Roman" w:cs="Times New Roman"/>
          <w:sz w:val="24"/>
          <w:szCs w:val="24"/>
        </w:rPr>
        <w:t>účinnosti.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D4714C">
        <w:rPr>
          <w:rFonts w:ascii="Times New Roman" w:hAnsi="Times New Roman" w:cs="Times New Roman"/>
          <w:sz w:val="24"/>
          <w:szCs w:val="24"/>
        </w:rPr>
        <w:t xml:space="preserve"> Úrok tedy již nebyl stanoven právním předpisem v konkrétní výši, ale byl vázán na plovoucí sazbu České národní banky vycházející z ekonomické situace. V roce </w:t>
      </w:r>
      <w:r w:rsidR="00CA7359">
        <w:rPr>
          <w:rFonts w:ascii="Times New Roman" w:hAnsi="Times New Roman" w:cs="Times New Roman"/>
          <w:sz w:val="24"/>
          <w:szCs w:val="24"/>
        </w:rPr>
        <w:t xml:space="preserve">2005 byl výpočet nově vázán na </w:t>
      </w:r>
      <w:proofErr w:type="spellStart"/>
      <w:r w:rsidR="00CA7359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="00CA7359">
        <w:rPr>
          <w:rFonts w:ascii="Times New Roman" w:hAnsi="Times New Roman" w:cs="Times New Roman"/>
          <w:sz w:val="24"/>
          <w:szCs w:val="24"/>
        </w:rPr>
        <w:t xml:space="preserve"> sazbu</w:t>
      </w:r>
      <w:r w:rsidR="004902C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CA7359">
        <w:rPr>
          <w:rFonts w:ascii="Times New Roman" w:hAnsi="Times New Roman" w:cs="Times New Roman"/>
          <w:sz w:val="24"/>
          <w:szCs w:val="24"/>
        </w:rPr>
        <w:t xml:space="preserve"> České národní banky s tím, že je úrok o 7 procentních bodů vyšší než tato sazba.</w:t>
      </w:r>
      <w:r w:rsidR="00CA7359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CA7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4E" w:rsidRDefault="00CA7359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2013 byl zvýšen o 1 procentní bod a k sazbě </w:t>
      </w:r>
      <w:r w:rsidR="00BE7B7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přičítalo 8% bodů,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což převzala i úprava za účinnosti nového občanského zákoníku.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394A9A">
        <w:rPr>
          <w:rFonts w:ascii="Times New Roman" w:hAnsi="Times New Roman" w:cs="Times New Roman"/>
          <w:sz w:val="24"/>
          <w:szCs w:val="24"/>
        </w:rPr>
        <w:t xml:space="preserve"> Důvodem změny byla evropská </w:t>
      </w:r>
      <w:r w:rsidR="0087785E">
        <w:rPr>
          <w:rFonts w:ascii="Times New Roman" w:hAnsi="Times New Roman" w:cs="Times New Roman"/>
          <w:sz w:val="24"/>
          <w:szCs w:val="24"/>
        </w:rPr>
        <w:t>směrnice</w:t>
      </w:r>
      <w:r w:rsidR="00394A9A">
        <w:rPr>
          <w:rFonts w:ascii="Times New Roman" w:hAnsi="Times New Roman" w:cs="Times New Roman"/>
          <w:sz w:val="24"/>
          <w:szCs w:val="24"/>
        </w:rPr>
        <w:t xml:space="preserve">, která stanovuje pro obchodní vztahy úrok z prodlení </w:t>
      </w:r>
      <w:proofErr w:type="spellStart"/>
      <w:r w:rsidR="00394A9A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="00F65FD0">
        <w:rPr>
          <w:rFonts w:ascii="Times New Roman" w:hAnsi="Times New Roman" w:cs="Times New Roman"/>
          <w:sz w:val="24"/>
          <w:szCs w:val="24"/>
        </w:rPr>
        <w:t xml:space="preserve"> </w:t>
      </w:r>
      <w:r w:rsidR="00394A9A">
        <w:rPr>
          <w:rFonts w:ascii="Times New Roman" w:hAnsi="Times New Roman" w:cs="Times New Roman"/>
          <w:sz w:val="24"/>
          <w:szCs w:val="24"/>
        </w:rPr>
        <w:t>sazbu a minimálně 8 procentních bodů.</w:t>
      </w:r>
      <w:r w:rsidR="00394A9A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394A9A">
        <w:rPr>
          <w:rFonts w:ascii="Times New Roman" w:hAnsi="Times New Roman" w:cs="Times New Roman"/>
          <w:sz w:val="24"/>
          <w:szCs w:val="24"/>
        </w:rPr>
        <w:t xml:space="preserve"> </w:t>
      </w:r>
      <w:r w:rsidR="0087785E">
        <w:rPr>
          <w:rFonts w:ascii="Times New Roman" w:hAnsi="Times New Roman" w:cs="Times New Roman"/>
          <w:sz w:val="24"/>
          <w:szCs w:val="24"/>
        </w:rPr>
        <w:t>Evropská s</w:t>
      </w:r>
      <w:r w:rsidR="00394A9A">
        <w:rPr>
          <w:rFonts w:ascii="Times New Roman" w:hAnsi="Times New Roman" w:cs="Times New Roman"/>
          <w:sz w:val="24"/>
          <w:szCs w:val="24"/>
        </w:rPr>
        <w:t xml:space="preserve">měrnice se vztahuje jen na obchodní vztahy, takže je možné v jiných závazcích stanovit </w:t>
      </w:r>
      <w:r w:rsidR="00D16476">
        <w:rPr>
          <w:rFonts w:ascii="Times New Roman" w:hAnsi="Times New Roman" w:cs="Times New Roman"/>
          <w:sz w:val="24"/>
          <w:szCs w:val="24"/>
        </w:rPr>
        <w:t>jinou</w:t>
      </w:r>
      <w:r w:rsidR="00394A9A">
        <w:rPr>
          <w:rFonts w:ascii="Times New Roman" w:hAnsi="Times New Roman" w:cs="Times New Roman"/>
          <w:sz w:val="24"/>
          <w:szCs w:val="24"/>
        </w:rPr>
        <w:t xml:space="preserve"> sazbu. Nařízení vlády však stanovuje jednu sazbu úroku z prodlení bez ohledu charakter subjektu </w:t>
      </w:r>
      <w:r w:rsidR="0087785E">
        <w:rPr>
          <w:rFonts w:ascii="Times New Roman" w:hAnsi="Times New Roman" w:cs="Times New Roman"/>
          <w:sz w:val="24"/>
          <w:szCs w:val="24"/>
        </w:rPr>
        <w:t xml:space="preserve">a typ </w:t>
      </w:r>
      <w:r w:rsidR="00394A9A">
        <w:rPr>
          <w:rFonts w:ascii="Times New Roman" w:hAnsi="Times New Roman" w:cs="Times New Roman"/>
          <w:sz w:val="24"/>
          <w:szCs w:val="24"/>
        </w:rPr>
        <w:t>závazkového vztahu.</w:t>
      </w:r>
    </w:p>
    <w:p w:rsidR="00CA7359" w:rsidRDefault="00CA7359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 úpravu měl původně úrok z prodlení podle obchodního zákoníku, který byl od roku 1992 stanoven jako o 1% vyšší, než je obvyklá výše úroků poskytovaných komerčními bankami. Od roku 2001 však i obchodní zákoník odkazoval na výši úroků z prodlení dle občanského zákoníku.</w:t>
      </w:r>
      <w:r w:rsidR="00126981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</w:p>
    <w:p w:rsidR="00857ED7" w:rsidRDefault="00857ED7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D7" w:rsidRPr="00F0011F" w:rsidRDefault="00857ED7" w:rsidP="00F0011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1F">
        <w:rPr>
          <w:rFonts w:ascii="Times New Roman" w:hAnsi="Times New Roman" w:cs="Times New Roman"/>
          <w:b/>
          <w:sz w:val="24"/>
          <w:szCs w:val="24"/>
        </w:rPr>
        <w:lastRenderedPageBreak/>
        <w:t>Skutečná výše úroků</w:t>
      </w:r>
    </w:p>
    <w:p w:rsidR="00857ED7" w:rsidRDefault="00AF285E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nejproblematičtější výši úroků u starých dluhů lze označit období mezi </w:t>
      </w:r>
      <w:r w:rsidR="003C62F1">
        <w:rPr>
          <w:rFonts w:ascii="Times New Roman" w:hAnsi="Times New Roman" w:cs="Times New Roman"/>
          <w:sz w:val="24"/>
          <w:szCs w:val="24"/>
        </w:rPr>
        <w:t xml:space="preserve">červencem </w:t>
      </w:r>
      <w:r>
        <w:rPr>
          <w:rFonts w:ascii="Times New Roman" w:hAnsi="Times New Roman" w:cs="Times New Roman"/>
          <w:sz w:val="24"/>
          <w:szCs w:val="24"/>
        </w:rPr>
        <w:t xml:space="preserve">1994 až </w:t>
      </w:r>
      <w:r w:rsidR="003C62F1">
        <w:rPr>
          <w:rFonts w:ascii="Times New Roman" w:hAnsi="Times New Roman" w:cs="Times New Roman"/>
          <w:sz w:val="24"/>
          <w:szCs w:val="24"/>
        </w:rPr>
        <w:t xml:space="preserve">dubnem </w:t>
      </w:r>
      <w:r>
        <w:rPr>
          <w:rFonts w:ascii="Times New Roman" w:hAnsi="Times New Roman" w:cs="Times New Roman"/>
          <w:sz w:val="24"/>
          <w:szCs w:val="24"/>
        </w:rPr>
        <w:t>2005, kdy určující byl</w:t>
      </w:r>
      <w:r w:rsidR="00BE7B73">
        <w:rPr>
          <w:rFonts w:ascii="Times New Roman" w:hAnsi="Times New Roman" w:cs="Times New Roman"/>
          <w:sz w:val="24"/>
          <w:szCs w:val="24"/>
        </w:rPr>
        <w:t>a velmi proměnlivá</w:t>
      </w:r>
      <w:r>
        <w:rPr>
          <w:rFonts w:ascii="Times New Roman" w:hAnsi="Times New Roman" w:cs="Times New Roman"/>
          <w:sz w:val="24"/>
          <w:szCs w:val="24"/>
        </w:rPr>
        <w:t xml:space="preserve"> diskontní sazba. </w:t>
      </w:r>
      <w:r w:rsidR="003C62F1">
        <w:rPr>
          <w:rFonts w:ascii="Times New Roman" w:hAnsi="Times New Roman" w:cs="Times New Roman"/>
          <w:sz w:val="24"/>
          <w:szCs w:val="24"/>
        </w:rPr>
        <w:t>V červenci 1994 činila 8%, takže dvojnásobek rovnající se zákonným úrokům z prodlení byl 16%</w:t>
      </w:r>
      <w:r w:rsidR="00685AF1">
        <w:rPr>
          <w:rFonts w:ascii="Times New Roman" w:hAnsi="Times New Roman" w:cs="Times New Roman"/>
          <w:sz w:val="24"/>
          <w:szCs w:val="24"/>
        </w:rPr>
        <w:t xml:space="preserve"> ročně</w:t>
      </w:r>
      <w:r w:rsidR="003C62F1">
        <w:rPr>
          <w:rFonts w:ascii="Times New Roman" w:hAnsi="Times New Roman" w:cs="Times New Roman"/>
          <w:sz w:val="24"/>
          <w:szCs w:val="24"/>
        </w:rPr>
        <w:t xml:space="preserve">, v květnu 1997 dosáhla </w:t>
      </w:r>
      <w:r w:rsidR="00772334">
        <w:rPr>
          <w:rFonts w:ascii="Times New Roman" w:hAnsi="Times New Roman" w:cs="Times New Roman"/>
          <w:sz w:val="24"/>
          <w:szCs w:val="24"/>
        </w:rPr>
        <w:t xml:space="preserve">diskontní sazba </w:t>
      </w:r>
      <w:r w:rsidR="003C62F1">
        <w:rPr>
          <w:rFonts w:ascii="Times New Roman" w:hAnsi="Times New Roman" w:cs="Times New Roman"/>
          <w:sz w:val="24"/>
          <w:szCs w:val="24"/>
        </w:rPr>
        <w:t xml:space="preserve">13%, takže zákonné úroky byly dnes nepředstavitelných 26%, ale pak došlo k jejímu </w:t>
      </w:r>
      <w:r w:rsidR="00FD2730">
        <w:rPr>
          <w:rFonts w:ascii="Times New Roman" w:hAnsi="Times New Roman" w:cs="Times New Roman"/>
          <w:sz w:val="24"/>
          <w:szCs w:val="24"/>
        </w:rPr>
        <w:t>snížení</w:t>
      </w:r>
      <w:r w:rsidR="003C62F1">
        <w:rPr>
          <w:rFonts w:ascii="Times New Roman" w:hAnsi="Times New Roman" w:cs="Times New Roman"/>
          <w:sz w:val="24"/>
          <w:szCs w:val="24"/>
        </w:rPr>
        <w:t xml:space="preserve"> a v dubnu 2005 byla pouhé 1%, takže úrok z prodlení byl jen 2%.</w:t>
      </w:r>
      <w:r w:rsidR="003C62F1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 w:rsidR="00336C73">
        <w:rPr>
          <w:rFonts w:ascii="Times New Roman" w:hAnsi="Times New Roman" w:cs="Times New Roman"/>
          <w:sz w:val="24"/>
          <w:szCs w:val="24"/>
        </w:rPr>
        <w:t xml:space="preserve"> Diskontní sazba byla také určující pro úrokové sazby komerčních bank, takž</w:t>
      </w:r>
      <w:r w:rsidR="00772334">
        <w:rPr>
          <w:rFonts w:ascii="Times New Roman" w:hAnsi="Times New Roman" w:cs="Times New Roman"/>
          <w:sz w:val="24"/>
          <w:szCs w:val="24"/>
        </w:rPr>
        <w:t>e</w:t>
      </w:r>
      <w:r w:rsidR="00336C73">
        <w:rPr>
          <w:rFonts w:ascii="Times New Roman" w:hAnsi="Times New Roman" w:cs="Times New Roman"/>
          <w:sz w:val="24"/>
          <w:szCs w:val="24"/>
        </w:rPr>
        <w:t xml:space="preserve"> v 90. letech se též úrok z prodlení podle obchodního zákoníku</w:t>
      </w:r>
      <w:r w:rsidR="00772334">
        <w:rPr>
          <w:rFonts w:ascii="Times New Roman" w:hAnsi="Times New Roman" w:cs="Times New Roman"/>
          <w:sz w:val="24"/>
          <w:szCs w:val="24"/>
        </w:rPr>
        <w:t>, který byl o 1% vyšší než obvyklý bankovní úrok,</w:t>
      </w:r>
      <w:r w:rsidR="00336C73">
        <w:rPr>
          <w:rFonts w:ascii="Times New Roman" w:hAnsi="Times New Roman" w:cs="Times New Roman"/>
          <w:sz w:val="24"/>
          <w:szCs w:val="24"/>
        </w:rPr>
        <w:t xml:space="preserve"> pohyboval až k 20%.</w:t>
      </w:r>
    </w:p>
    <w:p w:rsidR="00CA7359" w:rsidRDefault="00CA7359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FCA" w:rsidRPr="00B77FCA" w:rsidRDefault="00B77FCA" w:rsidP="00B77FCA">
      <w:pPr>
        <w:pStyle w:val="Odstavecseseznamem"/>
        <w:keepNext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CA">
        <w:rPr>
          <w:rFonts w:ascii="Times New Roman" w:hAnsi="Times New Roman" w:cs="Times New Roman"/>
          <w:b/>
          <w:sz w:val="24"/>
          <w:szCs w:val="24"/>
        </w:rPr>
        <w:t>Dobré mravy</w:t>
      </w:r>
    </w:p>
    <w:p w:rsidR="00B77FCA" w:rsidRDefault="00B77FCA" w:rsidP="00B77F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Občas se mediálně objeví postoje stranící dlužníkům a útočící </w:t>
      </w:r>
      <w:r w:rsidR="00167AC6">
        <w:rPr>
          <w:rFonts w:ascii="Times New Roman" w:hAnsi="Times New Roman" w:cs="Times New Roman"/>
          <w:sz w:val="24"/>
          <w:szCs w:val="24"/>
        </w:rPr>
        <w:t xml:space="preserve">paušálně a mnohdy nedůvodně </w:t>
      </w:r>
      <w:r>
        <w:rPr>
          <w:rFonts w:ascii="Times New Roman" w:hAnsi="Times New Roman" w:cs="Times New Roman"/>
          <w:sz w:val="24"/>
          <w:szCs w:val="24"/>
        </w:rPr>
        <w:t>na soudní exekutory. Při</w:t>
      </w:r>
      <w:r w:rsidR="00336C73">
        <w:rPr>
          <w:rFonts w:ascii="Times New Roman" w:hAnsi="Times New Roman" w:cs="Times New Roman"/>
          <w:sz w:val="24"/>
          <w:szCs w:val="24"/>
        </w:rPr>
        <w:t xml:space="preserve">tom za </w:t>
      </w:r>
      <w:r w:rsidR="00BE7B73">
        <w:rPr>
          <w:rFonts w:ascii="Times New Roman" w:hAnsi="Times New Roman" w:cs="Times New Roman"/>
          <w:sz w:val="24"/>
          <w:szCs w:val="24"/>
        </w:rPr>
        <w:t>značnou část</w:t>
      </w:r>
      <w:r w:rsidR="00336C73">
        <w:rPr>
          <w:rFonts w:ascii="Times New Roman" w:hAnsi="Times New Roman" w:cs="Times New Roman"/>
          <w:sz w:val="24"/>
          <w:szCs w:val="24"/>
        </w:rPr>
        <w:t xml:space="preserve"> příslušenství dluhů může stát. Výši zákonných úroků z prodlení nestanoví věřitel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C73">
        <w:rPr>
          <w:rFonts w:ascii="Times New Roman" w:hAnsi="Times New Roman" w:cs="Times New Roman"/>
          <w:sz w:val="24"/>
          <w:szCs w:val="24"/>
        </w:rPr>
        <w:t>ani exekutor, ale vláda. Stát také zatížením exekuční činnosti 21% sazbou daně z přidané hodnoty, kterou nakonec platí dlužník, vydělává na dlužnících. U starých dluhů splacení samotné jistiny ne</w:t>
      </w:r>
      <w:r w:rsidR="00BE7B73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336C73">
        <w:rPr>
          <w:rFonts w:ascii="Times New Roman" w:hAnsi="Times New Roman" w:cs="Times New Roman"/>
          <w:sz w:val="24"/>
          <w:szCs w:val="24"/>
        </w:rPr>
        <w:t>problém, ale příslušenství již m</w:t>
      </w:r>
      <w:r w:rsidR="00BE7B73">
        <w:rPr>
          <w:rFonts w:ascii="Times New Roman" w:hAnsi="Times New Roman" w:cs="Times New Roman"/>
          <w:sz w:val="24"/>
          <w:szCs w:val="24"/>
        </w:rPr>
        <w:t xml:space="preserve">ohlo několikanásobně překročit </w:t>
      </w:r>
      <w:r w:rsidR="00336C73">
        <w:rPr>
          <w:rFonts w:ascii="Times New Roman" w:hAnsi="Times New Roman" w:cs="Times New Roman"/>
          <w:sz w:val="24"/>
          <w:szCs w:val="24"/>
        </w:rPr>
        <w:t>jistinu a je pro dlužníka likvidační.</w:t>
      </w:r>
      <w:r w:rsidR="00BE7B73">
        <w:rPr>
          <w:rFonts w:ascii="Times New Roman" w:hAnsi="Times New Roman" w:cs="Times New Roman"/>
          <w:sz w:val="24"/>
          <w:szCs w:val="24"/>
        </w:rPr>
        <w:t xml:space="preserve"> Přitom mohlo jít o spornou pohledávku, kde se v různých instancích mě</w:t>
      </w:r>
      <w:r w:rsidR="00167AC6">
        <w:rPr>
          <w:rFonts w:ascii="Times New Roman" w:hAnsi="Times New Roman" w:cs="Times New Roman"/>
          <w:sz w:val="24"/>
          <w:szCs w:val="24"/>
        </w:rPr>
        <w:t>ni</w:t>
      </w:r>
      <w:r w:rsidR="00BE7B73">
        <w:rPr>
          <w:rFonts w:ascii="Times New Roman" w:hAnsi="Times New Roman" w:cs="Times New Roman"/>
          <w:sz w:val="24"/>
          <w:szCs w:val="24"/>
        </w:rPr>
        <w:t>l právní názor soudů a řízení trvalo i 15 a více let, takže nelze říci, že za vše může zavinění dlužníka.</w:t>
      </w:r>
    </w:p>
    <w:p w:rsidR="0034120F" w:rsidRDefault="003A4322" w:rsidP="0034120F">
      <w:pPr>
        <w:spacing w:before="120"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Součástí aplikace práva obecně a soukromého práva zvláště je ochrana dobrých mravů.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20F" w:rsidRPr="00F04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Smyslem </w:t>
      </w:r>
      <w:r w:rsidR="0034120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dobrých mravů</w:t>
      </w:r>
      <w:r w:rsidR="0034120F" w:rsidRPr="00F04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je zamezit výkonu práva, který sice odpovídá </w:t>
      </w:r>
      <w:r w:rsidR="0034120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textu </w:t>
      </w:r>
      <w:r w:rsidR="0034120F" w:rsidRPr="00F04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zákon</w:t>
      </w:r>
      <w:r w:rsidR="00D945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</w:t>
      </w:r>
      <w:r w:rsidR="0034120F" w:rsidRPr="00F04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, avšak odporuje dobrým mravům, jež lze definovat jako souhrn společenských, kulturních a mravních norem, jež v historickém vývoji osvědčují jistou neměnnost, vystihují podstatné historické tendence, jsou sdíleny rozhodující částí společnosti a mají povahu norem </w:t>
      </w:r>
      <w:r w:rsidR="0034120F" w:rsidRPr="009E6F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základních</w:t>
      </w:r>
      <w:r w:rsidR="00D94511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D94511">
        <w:rPr>
          <w:rStyle w:val="Znakapoznpodarou"/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footnoteReference w:id="11"/>
      </w:r>
      <w:r w:rsidR="0034120F" w:rsidRPr="009E6F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I výkon práva, který odpovídá zákonu, může být shledán v rozporu s dobrými mravy</w:t>
      </w:r>
      <w:r w:rsidR="0034120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</w:t>
      </w:r>
      <w:r w:rsidR="0034120F" w:rsidRPr="009E6F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a proto mu bude soudem odepřena soudní ochrana.</w:t>
      </w:r>
    </w:p>
    <w:p w:rsidR="00C427DE" w:rsidRDefault="00685AF1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Pojem dobrých mravů je neurčitý právní pojem a naplňuje se aplikací v konkrétních případech. Ovšem přiznání či vymáhání úroků 13, 16, či až 26% ročně, které </w:t>
      </w:r>
      <w:r w:rsidR="0034120F" w:rsidRPr="009E6F25">
        <w:rPr>
          <w:rFonts w:ascii="Times New Roman" w:hAnsi="Times New Roman" w:cs="Times New Roman"/>
          <w:sz w:val="24"/>
          <w:szCs w:val="24"/>
        </w:rPr>
        <w:t>odpovíd</w:t>
      </w:r>
      <w:r>
        <w:rPr>
          <w:rFonts w:ascii="Times New Roman" w:hAnsi="Times New Roman" w:cs="Times New Roman"/>
          <w:sz w:val="24"/>
          <w:szCs w:val="24"/>
        </w:rPr>
        <w:t>al</w:t>
      </w:r>
      <w:r w:rsidR="001E7E72">
        <w:rPr>
          <w:rFonts w:ascii="Times New Roman" w:hAnsi="Times New Roman" w:cs="Times New Roman"/>
          <w:sz w:val="24"/>
          <w:szCs w:val="24"/>
        </w:rPr>
        <w:t>y</w:t>
      </w:r>
      <w:r w:rsidR="0034120F" w:rsidRPr="009E6F25">
        <w:rPr>
          <w:rFonts w:ascii="Times New Roman" w:hAnsi="Times New Roman" w:cs="Times New Roman"/>
          <w:sz w:val="24"/>
          <w:szCs w:val="24"/>
        </w:rPr>
        <w:t xml:space="preserve"> inflační realitě roku 199</w:t>
      </w:r>
      <w:r>
        <w:rPr>
          <w:rFonts w:ascii="Times New Roman" w:hAnsi="Times New Roman" w:cs="Times New Roman"/>
          <w:sz w:val="24"/>
          <w:szCs w:val="24"/>
        </w:rPr>
        <w:t>4-99</w:t>
      </w:r>
      <w:r w:rsidR="0034120F" w:rsidRPr="009E6F25">
        <w:rPr>
          <w:rFonts w:ascii="Times New Roman" w:hAnsi="Times New Roman" w:cs="Times New Roman"/>
          <w:sz w:val="24"/>
          <w:szCs w:val="24"/>
        </w:rPr>
        <w:t>, ale dnes</w:t>
      </w:r>
      <w:r w:rsidR="0034120F" w:rsidRPr="00F04B2D">
        <w:rPr>
          <w:rFonts w:ascii="Times New Roman" w:hAnsi="Times New Roman" w:cs="Times New Roman"/>
          <w:sz w:val="24"/>
          <w:szCs w:val="24"/>
        </w:rPr>
        <w:t xml:space="preserve"> jde o nepřiměřeně vysoký úrok</w:t>
      </w:r>
      <w:r>
        <w:rPr>
          <w:rFonts w:ascii="Times New Roman" w:hAnsi="Times New Roman" w:cs="Times New Roman"/>
          <w:sz w:val="24"/>
          <w:szCs w:val="24"/>
        </w:rPr>
        <w:t>, rozpor s dobrými mravy naplňuje, pakliže je tento úrok přiznán a vymáhán i za roky, kde běžná úroková sazba vklad</w:t>
      </w:r>
      <w:r w:rsidR="001E7E72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72">
        <w:rPr>
          <w:rFonts w:ascii="Times New Roman" w:hAnsi="Times New Roman" w:cs="Times New Roman"/>
          <w:sz w:val="24"/>
          <w:szCs w:val="24"/>
        </w:rPr>
        <w:t>byla</w:t>
      </w:r>
      <w:r>
        <w:rPr>
          <w:rFonts w:ascii="Times New Roman" w:hAnsi="Times New Roman" w:cs="Times New Roman"/>
          <w:sz w:val="24"/>
          <w:szCs w:val="24"/>
        </w:rPr>
        <w:t xml:space="preserve"> 0% a na půjčky se pohyb</w:t>
      </w:r>
      <w:r w:rsidR="001E7E72">
        <w:rPr>
          <w:rFonts w:ascii="Times New Roman" w:hAnsi="Times New Roman" w:cs="Times New Roman"/>
          <w:sz w:val="24"/>
          <w:szCs w:val="24"/>
        </w:rPr>
        <w:t>ovala</w:t>
      </w:r>
      <w:r>
        <w:rPr>
          <w:rFonts w:ascii="Times New Roman" w:hAnsi="Times New Roman" w:cs="Times New Roman"/>
          <w:sz w:val="24"/>
          <w:szCs w:val="24"/>
        </w:rPr>
        <w:t xml:space="preserve"> mezi 2-</w:t>
      </w:r>
      <w:r w:rsidR="00117E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34120F" w:rsidRPr="00F04B2D">
        <w:rPr>
          <w:rFonts w:ascii="Times New Roman" w:hAnsi="Times New Roman" w:cs="Times New Roman"/>
          <w:sz w:val="24"/>
          <w:szCs w:val="24"/>
        </w:rPr>
        <w:t xml:space="preserve">V důsledku </w:t>
      </w:r>
      <w:r w:rsidR="000160C9">
        <w:rPr>
          <w:rFonts w:ascii="Times New Roman" w:hAnsi="Times New Roman" w:cs="Times New Roman"/>
          <w:sz w:val="24"/>
          <w:szCs w:val="24"/>
        </w:rPr>
        <w:t>tohoto nepřiměřeného úroku</w:t>
      </w:r>
      <w:r w:rsidR="0034120F" w:rsidRPr="00F04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starých dluhů </w:t>
      </w:r>
      <w:r w:rsidR="001E7E72">
        <w:rPr>
          <w:rFonts w:ascii="Times New Roman" w:hAnsi="Times New Roman" w:cs="Times New Roman"/>
          <w:sz w:val="24"/>
          <w:szCs w:val="24"/>
        </w:rPr>
        <w:t xml:space="preserve">celková </w:t>
      </w:r>
      <w:r w:rsidR="0034120F">
        <w:rPr>
          <w:rFonts w:ascii="Times New Roman" w:hAnsi="Times New Roman" w:cs="Times New Roman"/>
          <w:sz w:val="24"/>
          <w:szCs w:val="24"/>
        </w:rPr>
        <w:t xml:space="preserve">pohledávka </w:t>
      </w:r>
      <w:r w:rsidR="0034120F" w:rsidRPr="00F04B2D">
        <w:rPr>
          <w:rFonts w:ascii="Times New Roman" w:hAnsi="Times New Roman" w:cs="Times New Roman"/>
          <w:sz w:val="24"/>
          <w:szCs w:val="24"/>
        </w:rPr>
        <w:t>podstatně překr</w:t>
      </w:r>
      <w:r>
        <w:rPr>
          <w:rFonts w:ascii="Times New Roman" w:hAnsi="Times New Roman" w:cs="Times New Roman"/>
          <w:sz w:val="24"/>
          <w:szCs w:val="24"/>
        </w:rPr>
        <w:t xml:space="preserve">ačuje </w:t>
      </w:r>
      <w:r w:rsidR="0034120F" w:rsidRPr="00F04B2D">
        <w:rPr>
          <w:rFonts w:ascii="Times New Roman" w:hAnsi="Times New Roman" w:cs="Times New Roman"/>
          <w:sz w:val="24"/>
          <w:szCs w:val="24"/>
        </w:rPr>
        <w:t>původně dlužnou jistiny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21D" w:rsidRDefault="008C721D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Judikatura Nejvyššího soudu řešila analogickou situaci v oblasti smluvních úroků</w:t>
      </w:r>
      <w:r w:rsidR="00DB04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Nejvyšší soud prohlásil z</w:t>
      </w:r>
      <w:r w:rsidR="00C673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rozporné s dobrými mravy a tedy neplatné, smluvní ujednání o úrocích podstatně (čtyřnásobně) překračující obvyklé úroky komerčních bank.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="001614F5">
        <w:rPr>
          <w:rFonts w:ascii="Times New Roman" w:hAnsi="Times New Roman" w:cs="Times New Roman"/>
          <w:sz w:val="24"/>
          <w:szCs w:val="24"/>
        </w:rPr>
        <w:t xml:space="preserve"> Judikatura Ústavního soudu již označila za rozporné s dobrými mravy roční smluvní úrok z prodlení ve výši 182%, protože jde o zisk, který by věřitel nemohl získat uložením u žádné z bank, ani si nelze představit jinou investici s obdobným ziskem.</w:t>
      </w:r>
      <w:r w:rsidR="001614F5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="001614F5">
        <w:rPr>
          <w:rFonts w:ascii="Times New Roman" w:hAnsi="Times New Roman" w:cs="Times New Roman"/>
          <w:sz w:val="24"/>
          <w:szCs w:val="24"/>
        </w:rPr>
        <w:t xml:space="preserve"> Ústavní soud navíc uznal, že sledovat sou</w:t>
      </w:r>
      <w:r w:rsidR="003E2EAD">
        <w:rPr>
          <w:rFonts w:ascii="Times New Roman" w:hAnsi="Times New Roman" w:cs="Times New Roman"/>
          <w:sz w:val="24"/>
          <w:szCs w:val="24"/>
        </w:rPr>
        <w:t>l</w:t>
      </w:r>
      <w:r w:rsidR="001614F5">
        <w:rPr>
          <w:rFonts w:ascii="Times New Roman" w:hAnsi="Times New Roman" w:cs="Times New Roman"/>
          <w:sz w:val="24"/>
          <w:szCs w:val="24"/>
        </w:rPr>
        <w:t xml:space="preserve">ad s dobrými mravy v případě nemravných úroků musí nejen soudy nalézací, ale i exekuční </w:t>
      </w:r>
      <w:r w:rsidR="001614F5">
        <w:rPr>
          <w:rFonts w:ascii="Times New Roman" w:hAnsi="Times New Roman" w:cs="Times New Roman"/>
          <w:sz w:val="24"/>
          <w:szCs w:val="24"/>
        </w:rPr>
        <w:lastRenderedPageBreak/>
        <w:t xml:space="preserve">v rámci </w:t>
      </w:r>
      <w:r w:rsidR="003E2EAD">
        <w:rPr>
          <w:rFonts w:ascii="Times New Roman" w:hAnsi="Times New Roman" w:cs="Times New Roman"/>
          <w:sz w:val="24"/>
          <w:szCs w:val="24"/>
        </w:rPr>
        <w:t>exekuce takových úroků.</w:t>
      </w:r>
      <w:r w:rsidR="001614F5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="003E2EAD">
        <w:rPr>
          <w:rFonts w:ascii="Times New Roman" w:hAnsi="Times New Roman" w:cs="Times New Roman"/>
          <w:sz w:val="24"/>
          <w:szCs w:val="24"/>
        </w:rPr>
        <w:t xml:space="preserve"> </w:t>
      </w:r>
      <w:r w:rsidR="00165F16">
        <w:rPr>
          <w:rFonts w:ascii="Times New Roman" w:hAnsi="Times New Roman" w:cs="Times New Roman"/>
          <w:sz w:val="24"/>
          <w:szCs w:val="24"/>
        </w:rPr>
        <w:t xml:space="preserve">Soudy jsou povinny </w:t>
      </w:r>
      <w:r w:rsidR="003E2EAD">
        <w:rPr>
          <w:rFonts w:ascii="Times New Roman" w:hAnsi="Times New Roman" w:cs="Times New Roman"/>
          <w:sz w:val="24"/>
          <w:szCs w:val="24"/>
        </w:rPr>
        <w:t>odmítn</w:t>
      </w:r>
      <w:r w:rsidR="00165F16">
        <w:rPr>
          <w:rFonts w:ascii="Times New Roman" w:hAnsi="Times New Roman" w:cs="Times New Roman"/>
          <w:sz w:val="24"/>
          <w:szCs w:val="24"/>
        </w:rPr>
        <w:t>out</w:t>
      </w:r>
      <w:r w:rsidR="003E2EAD">
        <w:rPr>
          <w:rFonts w:ascii="Times New Roman" w:hAnsi="Times New Roman" w:cs="Times New Roman"/>
          <w:sz w:val="24"/>
          <w:szCs w:val="24"/>
        </w:rPr>
        <w:t xml:space="preserve"> právní ochrana tomuto zjevnému zneužití práva.</w:t>
      </w:r>
    </w:p>
    <w:p w:rsidR="00625642" w:rsidRDefault="00906475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zmíněná soudní rozhodnutí řešila smluvní úroky z prodlení, jsou její závěry aplikovatelné i na zákonné úroky z prodlení. </w:t>
      </w:r>
      <w:r w:rsidR="00625642">
        <w:rPr>
          <w:rFonts w:ascii="Times New Roman" w:hAnsi="Times New Roman" w:cs="Times New Roman"/>
          <w:sz w:val="24"/>
          <w:szCs w:val="24"/>
        </w:rPr>
        <w:t>Přísnější výklad, co je již úrok v rozporu s dobrými mravy</w:t>
      </w:r>
      <w:r w:rsidR="001E0602">
        <w:rPr>
          <w:rFonts w:ascii="Times New Roman" w:hAnsi="Times New Roman" w:cs="Times New Roman"/>
          <w:sz w:val="24"/>
          <w:szCs w:val="24"/>
        </w:rPr>
        <w:t>, má</w:t>
      </w:r>
      <w:r w:rsidR="00625642">
        <w:rPr>
          <w:rFonts w:ascii="Times New Roman" w:hAnsi="Times New Roman" w:cs="Times New Roman"/>
          <w:sz w:val="24"/>
          <w:szCs w:val="24"/>
        </w:rPr>
        <w:t xml:space="preserve"> být u zákonných úroků z prodlení. Se smluvními úroky totiž musí dlužník souhlasit, byť jeho souhlas může být ovlivněn finanční tísní. Ovšem úroky z prodlení stanovuje mocensky stát bez </w:t>
      </w:r>
      <w:r w:rsidR="001E0602">
        <w:rPr>
          <w:rFonts w:ascii="Times New Roman" w:hAnsi="Times New Roman" w:cs="Times New Roman"/>
          <w:sz w:val="24"/>
          <w:szCs w:val="24"/>
        </w:rPr>
        <w:t>ohledu na vůli</w:t>
      </w:r>
      <w:r w:rsidR="00625642">
        <w:rPr>
          <w:rFonts w:ascii="Times New Roman" w:hAnsi="Times New Roman" w:cs="Times New Roman"/>
          <w:sz w:val="24"/>
          <w:szCs w:val="24"/>
        </w:rPr>
        <w:t xml:space="preserve"> dlužníka či věřitele.</w:t>
      </w:r>
    </w:p>
    <w:p w:rsidR="00F32FB1" w:rsidRDefault="007866C1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zákonných úroků </w:t>
      </w:r>
      <w:r w:rsidR="00F32FB1">
        <w:rPr>
          <w:rFonts w:ascii="Times New Roman" w:hAnsi="Times New Roman" w:cs="Times New Roman"/>
          <w:sz w:val="24"/>
          <w:szCs w:val="24"/>
        </w:rPr>
        <w:t xml:space="preserve">je situace </w:t>
      </w:r>
      <w:r>
        <w:rPr>
          <w:rFonts w:ascii="Times New Roman" w:hAnsi="Times New Roman" w:cs="Times New Roman"/>
          <w:sz w:val="24"/>
          <w:szCs w:val="24"/>
        </w:rPr>
        <w:t xml:space="preserve">specifická </w:t>
      </w:r>
      <w:r w:rsidR="00F32FB1">
        <w:rPr>
          <w:rFonts w:ascii="Times New Roman" w:hAnsi="Times New Roman" w:cs="Times New Roman"/>
          <w:sz w:val="24"/>
          <w:szCs w:val="24"/>
        </w:rPr>
        <w:t xml:space="preserve">v tom, že při vzniku prodlení byly úroky z prodlení odpovídající, ale </w:t>
      </w:r>
      <w:r w:rsidR="00165F16">
        <w:rPr>
          <w:rFonts w:ascii="Times New Roman" w:hAnsi="Times New Roman" w:cs="Times New Roman"/>
          <w:sz w:val="24"/>
          <w:szCs w:val="24"/>
        </w:rPr>
        <w:t xml:space="preserve">nepřiměřené </w:t>
      </w:r>
      <w:r w:rsidR="00F32FB1">
        <w:rPr>
          <w:rFonts w:ascii="Times New Roman" w:hAnsi="Times New Roman" w:cs="Times New Roman"/>
          <w:sz w:val="24"/>
          <w:szCs w:val="24"/>
        </w:rPr>
        <w:t xml:space="preserve">se </w:t>
      </w:r>
      <w:r w:rsidR="00165F16">
        <w:rPr>
          <w:rFonts w:ascii="Times New Roman" w:hAnsi="Times New Roman" w:cs="Times New Roman"/>
          <w:sz w:val="24"/>
          <w:szCs w:val="24"/>
        </w:rPr>
        <w:t>staly</w:t>
      </w:r>
      <w:r w:rsidR="00F32FB1">
        <w:rPr>
          <w:rFonts w:ascii="Times New Roman" w:hAnsi="Times New Roman" w:cs="Times New Roman"/>
          <w:sz w:val="24"/>
          <w:szCs w:val="24"/>
        </w:rPr>
        <w:t xml:space="preserve"> postupně kombinací změnou ekonomických podmínek ve státě, především razantním snížením inflace, a nečinností tvůrce práva</w:t>
      </w:r>
      <w:r w:rsidR="00F3063F">
        <w:rPr>
          <w:rFonts w:ascii="Times New Roman" w:hAnsi="Times New Roman" w:cs="Times New Roman"/>
          <w:sz w:val="24"/>
          <w:szCs w:val="24"/>
        </w:rPr>
        <w:t xml:space="preserve"> (vlády)</w:t>
      </w:r>
      <w:r w:rsidR="00F32FB1">
        <w:rPr>
          <w:rFonts w:ascii="Times New Roman" w:hAnsi="Times New Roman" w:cs="Times New Roman"/>
          <w:sz w:val="24"/>
          <w:szCs w:val="24"/>
        </w:rPr>
        <w:t>, kter</w:t>
      </w:r>
      <w:r w:rsidR="00F3063F">
        <w:rPr>
          <w:rFonts w:ascii="Times New Roman" w:hAnsi="Times New Roman" w:cs="Times New Roman"/>
          <w:sz w:val="24"/>
          <w:szCs w:val="24"/>
        </w:rPr>
        <w:t>ý</w:t>
      </w:r>
      <w:r w:rsidR="00F32FB1">
        <w:rPr>
          <w:rFonts w:ascii="Times New Roman" w:hAnsi="Times New Roman" w:cs="Times New Roman"/>
          <w:sz w:val="24"/>
          <w:szCs w:val="24"/>
        </w:rPr>
        <w:t xml:space="preserve"> na změnu materiálních ekonomických podmínek nereagoval změnou nařízení</w:t>
      </w:r>
      <w:r w:rsidR="00165F16">
        <w:rPr>
          <w:rFonts w:ascii="Times New Roman" w:hAnsi="Times New Roman" w:cs="Times New Roman"/>
          <w:sz w:val="24"/>
          <w:szCs w:val="24"/>
        </w:rPr>
        <w:t xml:space="preserve"> vlády</w:t>
      </w:r>
      <w:r w:rsidR="00F32FB1">
        <w:rPr>
          <w:rFonts w:ascii="Times New Roman" w:hAnsi="Times New Roman" w:cs="Times New Roman"/>
          <w:sz w:val="24"/>
          <w:szCs w:val="24"/>
        </w:rPr>
        <w:t>.</w:t>
      </w:r>
      <w:r w:rsidR="00F3063F">
        <w:rPr>
          <w:rFonts w:ascii="Times New Roman" w:hAnsi="Times New Roman" w:cs="Times New Roman"/>
          <w:sz w:val="24"/>
          <w:szCs w:val="24"/>
        </w:rPr>
        <w:t xml:space="preserve"> Přitom právní řešení je jednoduché t</w:t>
      </w:r>
      <w:r w:rsidR="00165F16">
        <w:rPr>
          <w:rFonts w:ascii="Times New Roman" w:hAnsi="Times New Roman" w:cs="Times New Roman"/>
          <w:sz w:val="24"/>
          <w:szCs w:val="24"/>
        </w:rPr>
        <w:t>ak</w:t>
      </w:r>
      <w:r w:rsidR="00F3063F">
        <w:rPr>
          <w:rFonts w:ascii="Times New Roman" w:hAnsi="Times New Roman" w:cs="Times New Roman"/>
          <w:sz w:val="24"/>
          <w:szCs w:val="24"/>
        </w:rPr>
        <w:t>, že při podstatné změně inflace by se nově stanovená výše úroků z prodlení vztahovala i na staré dluhy</w:t>
      </w:r>
      <w:r w:rsidR="00165F16">
        <w:rPr>
          <w:rFonts w:ascii="Times New Roman" w:hAnsi="Times New Roman" w:cs="Times New Roman"/>
          <w:sz w:val="24"/>
          <w:szCs w:val="24"/>
        </w:rPr>
        <w:t>, respektive jejich přírůstek po změně zákonných úroků z prodlení,</w:t>
      </w:r>
      <w:r w:rsidR="00F3063F">
        <w:rPr>
          <w:rFonts w:ascii="Times New Roman" w:hAnsi="Times New Roman" w:cs="Times New Roman"/>
          <w:sz w:val="24"/>
          <w:szCs w:val="24"/>
        </w:rPr>
        <w:t xml:space="preserve"> formou nepravé zpětné účinnosti (nepravé retroaktivity), která je v soukromoprávních vztazích přípustná.</w:t>
      </w:r>
    </w:p>
    <w:p w:rsidR="0018632D" w:rsidRDefault="00906475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Pakliže zákonné úroky z prodlení v roce 1997 činily 26% a dluh, jehož byly příslušenstvím, stále trvá, je dnes jejich přírůstek nemravný. </w:t>
      </w:r>
      <w:r w:rsidR="00165F16">
        <w:rPr>
          <w:rFonts w:ascii="Times New Roman" w:hAnsi="Times New Roman" w:cs="Times New Roman"/>
          <w:sz w:val="24"/>
          <w:szCs w:val="24"/>
        </w:rPr>
        <w:t>Jestli</w:t>
      </w:r>
      <w:r>
        <w:rPr>
          <w:rFonts w:ascii="Times New Roman" w:hAnsi="Times New Roman" w:cs="Times New Roman"/>
          <w:sz w:val="24"/>
          <w:szCs w:val="24"/>
        </w:rPr>
        <w:t xml:space="preserve"> Nejvyšší soud prohlásil za nemravný </w:t>
      </w:r>
      <w:r w:rsidR="009B45E2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úrok ve výši </w:t>
      </w:r>
      <w:r w:rsidR="00D46123">
        <w:rPr>
          <w:rFonts w:ascii="Times New Roman" w:hAnsi="Times New Roman" w:cs="Times New Roman"/>
          <w:sz w:val="24"/>
          <w:szCs w:val="24"/>
        </w:rPr>
        <w:t>čtyřnásobku, pak</w:t>
      </w:r>
      <w:r>
        <w:rPr>
          <w:rFonts w:ascii="Times New Roman" w:hAnsi="Times New Roman" w:cs="Times New Roman"/>
          <w:sz w:val="24"/>
          <w:szCs w:val="24"/>
        </w:rPr>
        <w:t xml:space="preserve"> v době, kdy obvyklá úr</w:t>
      </w:r>
      <w:r w:rsidR="00165F16">
        <w:rPr>
          <w:rFonts w:ascii="Times New Roman" w:hAnsi="Times New Roman" w:cs="Times New Roman"/>
          <w:sz w:val="24"/>
          <w:szCs w:val="24"/>
        </w:rPr>
        <w:t xml:space="preserve">oková sazba u komerčních bank byla </w:t>
      </w:r>
      <w:r>
        <w:rPr>
          <w:rFonts w:ascii="Times New Roman" w:hAnsi="Times New Roman" w:cs="Times New Roman"/>
          <w:sz w:val="24"/>
          <w:szCs w:val="24"/>
        </w:rPr>
        <w:t xml:space="preserve">tři procenta, </w:t>
      </w:r>
      <w:r w:rsidR="00D4612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838DA">
        <w:rPr>
          <w:rFonts w:ascii="Times New Roman" w:hAnsi="Times New Roman" w:cs="Times New Roman"/>
          <w:sz w:val="24"/>
          <w:szCs w:val="24"/>
        </w:rPr>
        <w:t>přiměřený</w:t>
      </w:r>
      <w:r>
        <w:rPr>
          <w:rFonts w:ascii="Times New Roman" w:hAnsi="Times New Roman" w:cs="Times New Roman"/>
          <w:sz w:val="24"/>
          <w:szCs w:val="24"/>
        </w:rPr>
        <w:t xml:space="preserve"> úrok 13</w:t>
      </w:r>
      <w:r w:rsidR="009B45E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 více. </w:t>
      </w:r>
      <w:r w:rsidR="009B45E2">
        <w:rPr>
          <w:rFonts w:ascii="Times New Roman" w:hAnsi="Times New Roman" w:cs="Times New Roman"/>
          <w:sz w:val="24"/>
          <w:szCs w:val="24"/>
        </w:rPr>
        <w:t xml:space="preserve">V případě zákonných úroků z prodlení </w:t>
      </w:r>
      <w:r w:rsidR="00391D45">
        <w:rPr>
          <w:rFonts w:ascii="Times New Roman" w:hAnsi="Times New Roman" w:cs="Times New Roman"/>
          <w:sz w:val="24"/>
          <w:szCs w:val="24"/>
        </w:rPr>
        <w:t>má</w:t>
      </w:r>
      <w:r w:rsidR="009B45E2">
        <w:rPr>
          <w:rFonts w:ascii="Times New Roman" w:hAnsi="Times New Roman" w:cs="Times New Roman"/>
          <w:sz w:val="24"/>
          <w:szCs w:val="24"/>
        </w:rPr>
        <w:t xml:space="preserve"> být </w:t>
      </w:r>
      <w:r w:rsidR="005838DA">
        <w:rPr>
          <w:rFonts w:ascii="Times New Roman" w:hAnsi="Times New Roman" w:cs="Times New Roman"/>
          <w:sz w:val="24"/>
          <w:szCs w:val="24"/>
        </w:rPr>
        <w:t>vazba na obvyklou úrokovou sazbu komerčních bank j</w:t>
      </w:r>
      <w:r w:rsidR="009B45E2">
        <w:rPr>
          <w:rFonts w:ascii="Times New Roman" w:hAnsi="Times New Roman" w:cs="Times New Roman"/>
          <w:sz w:val="24"/>
          <w:szCs w:val="24"/>
        </w:rPr>
        <w:t>eště přísnější</w:t>
      </w:r>
      <w:r w:rsidR="00391D45">
        <w:rPr>
          <w:rFonts w:ascii="Times New Roman" w:hAnsi="Times New Roman" w:cs="Times New Roman"/>
          <w:sz w:val="24"/>
          <w:szCs w:val="24"/>
        </w:rPr>
        <w:t xml:space="preserve">. Pak se nepřiměřený jeví </w:t>
      </w:r>
      <w:r w:rsidR="005838DA">
        <w:rPr>
          <w:rFonts w:ascii="Times New Roman" w:hAnsi="Times New Roman" w:cs="Times New Roman"/>
          <w:sz w:val="24"/>
          <w:szCs w:val="24"/>
        </w:rPr>
        <w:t>více než dvojnásobek obvyklé výše komerčních bankovních úroků</w:t>
      </w:r>
      <w:r w:rsidR="009B45E2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oud přihlédne k okolnostem případu a při závazku, který byl </w:t>
      </w:r>
      <w:r w:rsidR="001E0B91">
        <w:rPr>
          <w:rFonts w:ascii="Times New Roman" w:hAnsi="Times New Roman" w:cs="Times New Roman"/>
          <w:sz w:val="24"/>
          <w:szCs w:val="24"/>
        </w:rPr>
        <w:t>pro vě</w:t>
      </w:r>
      <w:r>
        <w:rPr>
          <w:rFonts w:ascii="Times New Roman" w:hAnsi="Times New Roman" w:cs="Times New Roman"/>
          <w:sz w:val="24"/>
          <w:szCs w:val="24"/>
        </w:rPr>
        <w:t>řitele riskantní</w:t>
      </w:r>
      <w:r w:rsidR="001E0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uzná i úrok, který by běžně neuznal, zvláště v obchodních vztazích. Na druhé straně by měl soud přihlédnout i k tomu, </w:t>
      </w:r>
      <w:r w:rsidR="009B45E2">
        <w:rPr>
          <w:rFonts w:ascii="Times New Roman" w:hAnsi="Times New Roman" w:cs="Times New Roman"/>
          <w:sz w:val="24"/>
          <w:szCs w:val="24"/>
        </w:rPr>
        <w:t>zda</w:t>
      </w:r>
      <w:r>
        <w:rPr>
          <w:rFonts w:ascii="Times New Roman" w:hAnsi="Times New Roman" w:cs="Times New Roman"/>
          <w:sz w:val="24"/>
          <w:szCs w:val="24"/>
        </w:rPr>
        <w:t xml:space="preserve"> úrok přirůstal díky dlouhodobé nečinnosti soudů, kdy například věřitel si na tuto nečinnost nestěžoval nebo </w:t>
      </w:r>
      <w:r w:rsidR="00CD2508">
        <w:rPr>
          <w:rFonts w:ascii="Times New Roman" w:hAnsi="Times New Roman" w:cs="Times New Roman"/>
          <w:sz w:val="24"/>
          <w:szCs w:val="24"/>
        </w:rPr>
        <w:t>svým p</w:t>
      </w:r>
      <w:r w:rsidR="00391D45">
        <w:rPr>
          <w:rFonts w:ascii="Times New Roman" w:hAnsi="Times New Roman" w:cs="Times New Roman"/>
          <w:sz w:val="24"/>
          <w:szCs w:val="24"/>
        </w:rPr>
        <w:t>řístupem</w:t>
      </w:r>
      <w:r w:rsidR="00CD25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0B91">
        <w:rPr>
          <w:rFonts w:ascii="Times New Roman" w:hAnsi="Times New Roman" w:cs="Times New Roman"/>
          <w:sz w:val="24"/>
          <w:szCs w:val="24"/>
        </w:rPr>
        <w:t xml:space="preserve">řízení </w:t>
      </w:r>
      <w:r w:rsidR="00CD2508">
        <w:rPr>
          <w:rFonts w:ascii="Times New Roman" w:hAnsi="Times New Roman" w:cs="Times New Roman"/>
          <w:sz w:val="24"/>
          <w:szCs w:val="24"/>
        </w:rPr>
        <w:t>prodlužoval.</w:t>
      </w:r>
    </w:p>
    <w:p w:rsidR="00685AF1" w:rsidRDefault="00685AF1" w:rsidP="0034120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F1" w:rsidRPr="00685AF1" w:rsidRDefault="00685AF1" w:rsidP="00685AF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F1">
        <w:rPr>
          <w:rFonts w:ascii="Times New Roman" w:hAnsi="Times New Roman" w:cs="Times New Roman"/>
          <w:b/>
          <w:sz w:val="24"/>
          <w:szCs w:val="24"/>
        </w:rPr>
        <w:t>Neústavnost a nezákonnost nařízení vlády stanovící úroky z prodlení</w:t>
      </w:r>
    </w:p>
    <w:p w:rsidR="00685AF1" w:rsidRDefault="00685AF1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 může </w:t>
      </w:r>
      <w:r w:rsidR="00D2128F">
        <w:rPr>
          <w:rFonts w:ascii="Times New Roman" w:hAnsi="Times New Roman" w:cs="Times New Roman"/>
          <w:sz w:val="24"/>
          <w:szCs w:val="24"/>
        </w:rPr>
        <w:t>posoudit sám, zde je podzákonný právní předpis v rozporu se zákonem a ústavou. Pokud dojde k závěru, že ano, tak jej nepoužije.</w:t>
      </w:r>
      <w:r w:rsidR="00D2128F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="00D2128F">
        <w:rPr>
          <w:rFonts w:ascii="Times New Roman" w:hAnsi="Times New Roman" w:cs="Times New Roman"/>
          <w:sz w:val="24"/>
          <w:szCs w:val="24"/>
        </w:rPr>
        <w:t xml:space="preserve"> Nemůže jej na rozdíl od Ústavního soudu zrušit, ale </w:t>
      </w:r>
      <w:r w:rsidR="00DD1E37">
        <w:rPr>
          <w:rFonts w:ascii="Times New Roman" w:hAnsi="Times New Roman" w:cs="Times New Roman"/>
          <w:sz w:val="24"/>
          <w:szCs w:val="24"/>
        </w:rPr>
        <w:t>v</w:t>
      </w:r>
      <w:r w:rsidR="00D2128F">
        <w:rPr>
          <w:rFonts w:ascii="Times New Roman" w:hAnsi="Times New Roman" w:cs="Times New Roman"/>
          <w:sz w:val="24"/>
          <w:szCs w:val="24"/>
        </w:rPr>
        <w:t xml:space="preserve"> konkrétním případě jej nemusí akceptovat, což </w:t>
      </w:r>
      <w:r w:rsidR="00393FD5">
        <w:rPr>
          <w:rFonts w:ascii="Times New Roman" w:hAnsi="Times New Roman" w:cs="Times New Roman"/>
          <w:sz w:val="24"/>
          <w:szCs w:val="24"/>
        </w:rPr>
        <w:t>zdůvodní</w:t>
      </w:r>
      <w:r w:rsidR="00D2128F">
        <w:rPr>
          <w:rFonts w:ascii="Times New Roman" w:hAnsi="Times New Roman" w:cs="Times New Roman"/>
          <w:sz w:val="24"/>
          <w:szCs w:val="24"/>
        </w:rPr>
        <w:t xml:space="preserve"> v odůvodnění svého rozhodnutí.</w:t>
      </w:r>
    </w:p>
    <w:p w:rsidR="00393FD5" w:rsidRDefault="00393FD5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skutečná výše úroků z prodlení nebyla přímo</w:t>
      </w:r>
      <w:r w:rsidR="00DD1E37">
        <w:rPr>
          <w:rFonts w:ascii="Times New Roman" w:hAnsi="Times New Roman" w:cs="Times New Roman"/>
          <w:sz w:val="24"/>
          <w:szCs w:val="24"/>
        </w:rPr>
        <w:t xml:space="preserve"> stanovena zákonem, ale provádě</w:t>
      </w:r>
      <w:r>
        <w:rPr>
          <w:rFonts w:ascii="Times New Roman" w:hAnsi="Times New Roman" w:cs="Times New Roman"/>
          <w:sz w:val="24"/>
          <w:szCs w:val="24"/>
        </w:rPr>
        <w:t>cím předpisem a ještě dále i sazbami České národní banky či v případě obchodního zákoníku sazbami komerčních bank, může soud posoudit, zda tyto podzákonné prameny práva či dokonce jen prameny práva materiální (bankovní sazby)  a nikoliv formální pro své rozhodnutí použije. Protože Česká republika je právní stát,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je ochrana dobrých mravů součástí nejen zákonných zásad soukromoprávních podle občanského zákoní</w:t>
      </w:r>
      <w:r w:rsidR="00DD1E37">
        <w:rPr>
          <w:rFonts w:ascii="Times New Roman" w:hAnsi="Times New Roman" w:cs="Times New Roman"/>
          <w:sz w:val="24"/>
          <w:szCs w:val="24"/>
        </w:rPr>
        <w:t>ku, ale jde</w:t>
      </w:r>
      <w:r>
        <w:rPr>
          <w:rFonts w:ascii="Times New Roman" w:hAnsi="Times New Roman" w:cs="Times New Roman"/>
          <w:sz w:val="24"/>
          <w:szCs w:val="24"/>
        </w:rPr>
        <w:t xml:space="preserve"> o ústavní princip, neboť dobré mravy jsou součástí tohoto ústavního principu. Tím spíše musí soud aplikovat právo tak, aby tento ústavní princip respektoval</w:t>
      </w:r>
      <w:r w:rsidR="00DD1E37">
        <w:rPr>
          <w:rFonts w:ascii="Times New Roman" w:hAnsi="Times New Roman" w:cs="Times New Roman"/>
          <w:sz w:val="24"/>
          <w:szCs w:val="24"/>
        </w:rPr>
        <w:t>.</w:t>
      </w:r>
    </w:p>
    <w:p w:rsidR="00DD1E37" w:rsidRDefault="00DD1E37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D5" w:rsidRPr="00393FD5" w:rsidRDefault="00393FD5" w:rsidP="00DD1E37">
      <w:pPr>
        <w:pStyle w:val="Odstavecseseznamem"/>
        <w:keepNext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D5">
        <w:rPr>
          <w:rFonts w:ascii="Times New Roman" w:hAnsi="Times New Roman" w:cs="Times New Roman"/>
          <w:b/>
          <w:sz w:val="24"/>
          <w:szCs w:val="24"/>
        </w:rPr>
        <w:lastRenderedPageBreak/>
        <w:t>Ústavní a zákonný výklad má přednost před neústavním a nezákonným</w:t>
      </w:r>
    </w:p>
    <w:p w:rsidR="00393FD5" w:rsidRDefault="00E21D40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Ústavní soud již judikoval zásadu, že nemusí zrušit zákon, který je sice aplikován protiústavně, ale tento zákon nabízí i ústavně konformní výklad.</w:t>
      </w:r>
      <w:r w:rsidR="00714665" w:rsidRPr="0071466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V takovém případě Ústavní soud nepřistoupí ke zrušení zákona, ale jen ve svém nálezu určí, který výklad je neústavní a tedy nepřípustný a který je ústavní. Obdobně lze postupovat i při posuzování podzákonných právních předpisů.</w:t>
      </w:r>
    </w:p>
    <w:p w:rsidR="000205C6" w:rsidRDefault="00E21D40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Nařízení vlády </w:t>
      </w:r>
      <w:r w:rsidR="001C7F10">
        <w:rPr>
          <w:rFonts w:ascii="Times New Roman" w:hAnsi="Times New Roman" w:cs="Times New Roman"/>
          <w:sz w:val="24"/>
          <w:szCs w:val="24"/>
        </w:rPr>
        <w:t>určující</w:t>
      </w:r>
      <w:r w:rsidR="0052299A">
        <w:rPr>
          <w:rFonts w:ascii="Times New Roman" w:hAnsi="Times New Roman" w:cs="Times New Roman"/>
          <w:sz w:val="24"/>
          <w:szCs w:val="24"/>
        </w:rPr>
        <w:t xml:space="preserve"> úroky z prodlení se běžně vykládá tak, že výše úrok</w:t>
      </w:r>
      <w:r w:rsidR="001C7F10">
        <w:rPr>
          <w:rFonts w:ascii="Times New Roman" w:hAnsi="Times New Roman" w:cs="Times New Roman"/>
          <w:sz w:val="24"/>
          <w:szCs w:val="24"/>
        </w:rPr>
        <w:t>ů</w:t>
      </w:r>
      <w:r w:rsidR="0052299A">
        <w:rPr>
          <w:rFonts w:ascii="Times New Roman" w:hAnsi="Times New Roman" w:cs="Times New Roman"/>
          <w:sz w:val="24"/>
          <w:szCs w:val="24"/>
        </w:rPr>
        <w:t xml:space="preserve"> je stanovena v aktuální výši platné k vzniku prodlení. Tato výše pak platí do budoucna stále bez ohledu na změnu úrokových sazeb. </w:t>
      </w:r>
      <w:r w:rsidR="003B7367">
        <w:rPr>
          <w:rFonts w:ascii="Times New Roman" w:hAnsi="Times New Roman" w:cs="Times New Roman"/>
          <w:sz w:val="24"/>
          <w:szCs w:val="24"/>
        </w:rPr>
        <w:t xml:space="preserve">Pokud však </w:t>
      </w:r>
      <w:r w:rsidR="001C7F10">
        <w:rPr>
          <w:rFonts w:ascii="Times New Roman" w:hAnsi="Times New Roman" w:cs="Times New Roman"/>
          <w:sz w:val="24"/>
          <w:szCs w:val="24"/>
        </w:rPr>
        <w:t xml:space="preserve">se </w:t>
      </w:r>
      <w:r w:rsidR="003B7367">
        <w:rPr>
          <w:rFonts w:ascii="Times New Roman" w:hAnsi="Times New Roman" w:cs="Times New Roman"/>
          <w:sz w:val="24"/>
          <w:szCs w:val="24"/>
        </w:rPr>
        <w:t>takový úrok</w:t>
      </w:r>
      <w:r w:rsidR="00DD1E37">
        <w:rPr>
          <w:rFonts w:ascii="Times New Roman" w:hAnsi="Times New Roman" w:cs="Times New Roman"/>
          <w:sz w:val="24"/>
          <w:szCs w:val="24"/>
        </w:rPr>
        <w:t>,</w:t>
      </w:r>
      <w:r w:rsidR="003B7367">
        <w:rPr>
          <w:rFonts w:ascii="Times New Roman" w:hAnsi="Times New Roman" w:cs="Times New Roman"/>
          <w:sz w:val="24"/>
          <w:szCs w:val="24"/>
        </w:rPr>
        <w:t xml:space="preserve"> díky razantnímu poklesu inflace</w:t>
      </w:r>
      <w:r w:rsidR="00DD1E37">
        <w:rPr>
          <w:rFonts w:ascii="Times New Roman" w:hAnsi="Times New Roman" w:cs="Times New Roman"/>
          <w:sz w:val="24"/>
          <w:szCs w:val="24"/>
        </w:rPr>
        <w:t>,</w:t>
      </w:r>
      <w:r w:rsidR="003B7367">
        <w:rPr>
          <w:rFonts w:ascii="Times New Roman" w:hAnsi="Times New Roman" w:cs="Times New Roman"/>
          <w:sz w:val="24"/>
          <w:szCs w:val="24"/>
        </w:rPr>
        <w:t xml:space="preserve"> ukáže jako v rozporu s dobrými mravy, je možné nařízení vlády aplikovat tak, že se použije postupně po sobě jdoucích kalendářních pololetích prodlení vždy jiná výše úroku z prodlení aktuálně platná k prvnímu dni kalendářního pololetí.</w:t>
      </w:r>
    </w:p>
    <w:p w:rsidR="00E21D40" w:rsidRPr="00685AF1" w:rsidRDefault="000205C6" w:rsidP="00685AF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Takový výklad chrání nejen dlužníka před nepřiměřeně velkými úrokovými sazbami u starých dluhů vzniklých za zcela jiné inflační situace, ale i věřitele, jemuž by svědčila malá úroková sazba, ale vlivem hospodářské politiky vlády vedoucí k obrovskému zadlužení státu je možné očekávat velkou inflaci. V takovém případě by platná sazba </w:t>
      </w:r>
      <w:r w:rsidR="001C7F10">
        <w:rPr>
          <w:rFonts w:ascii="Times New Roman" w:hAnsi="Times New Roman" w:cs="Times New Roman"/>
          <w:sz w:val="24"/>
          <w:szCs w:val="24"/>
        </w:rPr>
        <w:t xml:space="preserve">zákonných úroků z prodlení </w:t>
      </w:r>
      <w:r>
        <w:rPr>
          <w:rFonts w:ascii="Times New Roman" w:hAnsi="Times New Roman" w:cs="Times New Roman"/>
          <w:sz w:val="24"/>
          <w:szCs w:val="24"/>
        </w:rPr>
        <w:t>k 1. 1. 2021 ve výši 8,25% ročně byla nepřiměřená</w:t>
      </w:r>
      <w:r w:rsidR="0018632D">
        <w:rPr>
          <w:rFonts w:ascii="Times New Roman" w:hAnsi="Times New Roman" w:cs="Times New Roman"/>
          <w:sz w:val="24"/>
          <w:szCs w:val="24"/>
        </w:rPr>
        <w:t xml:space="preserve"> v neprospěch věřitele</w:t>
      </w:r>
      <w:r>
        <w:rPr>
          <w:rFonts w:ascii="Times New Roman" w:hAnsi="Times New Roman" w:cs="Times New Roman"/>
          <w:sz w:val="24"/>
          <w:szCs w:val="24"/>
        </w:rPr>
        <w:t>, pokud by inflace činila 80% ročně.</w:t>
      </w:r>
      <w:r w:rsidR="00DD1E37">
        <w:rPr>
          <w:rFonts w:ascii="Times New Roman" w:hAnsi="Times New Roman" w:cs="Times New Roman"/>
          <w:sz w:val="24"/>
          <w:szCs w:val="24"/>
        </w:rPr>
        <w:t xml:space="preserve"> De lege </w:t>
      </w:r>
      <w:proofErr w:type="spellStart"/>
      <w:r w:rsidR="00DD1E37">
        <w:rPr>
          <w:rFonts w:ascii="Times New Roman" w:hAnsi="Times New Roman" w:cs="Times New Roman"/>
          <w:sz w:val="24"/>
          <w:szCs w:val="24"/>
        </w:rPr>
        <w:t>ferenda</w:t>
      </w:r>
      <w:proofErr w:type="spellEnd"/>
      <w:r w:rsidR="00DD1E37">
        <w:rPr>
          <w:rFonts w:ascii="Times New Roman" w:hAnsi="Times New Roman" w:cs="Times New Roman"/>
          <w:sz w:val="24"/>
          <w:szCs w:val="24"/>
        </w:rPr>
        <w:t xml:space="preserve"> by vláda měla tuto možnost v nařízení vlády </w:t>
      </w:r>
      <w:r w:rsidR="001614F5">
        <w:rPr>
          <w:rFonts w:ascii="Times New Roman" w:hAnsi="Times New Roman" w:cs="Times New Roman"/>
          <w:sz w:val="24"/>
          <w:szCs w:val="24"/>
        </w:rPr>
        <w:t>upravit</w:t>
      </w:r>
      <w:r w:rsidR="00DD1E37">
        <w:rPr>
          <w:rFonts w:ascii="Times New Roman" w:hAnsi="Times New Roman" w:cs="Times New Roman"/>
          <w:sz w:val="24"/>
          <w:szCs w:val="24"/>
        </w:rPr>
        <w:t xml:space="preserve"> výslovně.</w:t>
      </w:r>
    </w:p>
    <w:sectPr w:rsidR="00E21D40" w:rsidRPr="00685A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A7" w:rsidRDefault="00804BA7" w:rsidP="0034120F">
      <w:pPr>
        <w:spacing w:after="0" w:line="240" w:lineRule="auto"/>
      </w:pPr>
      <w:r>
        <w:separator/>
      </w:r>
    </w:p>
  </w:endnote>
  <w:endnote w:type="continuationSeparator" w:id="0">
    <w:p w:rsidR="00804BA7" w:rsidRDefault="00804BA7" w:rsidP="0034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74087"/>
      <w:docPartObj>
        <w:docPartGallery w:val="Page Numbers (Bottom of Page)"/>
        <w:docPartUnique/>
      </w:docPartObj>
    </w:sdtPr>
    <w:sdtEndPr/>
    <w:sdtContent>
      <w:p w:rsidR="00685AF1" w:rsidRDefault="00685A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45">
          <w:rPr>
            <w:noProof/>
          </w:rPr>
          <w:t>4</w:t>
        </w:r>
        <w:r>
          <w:fldChar w:fldCharType="end"/>
        </w:r>
      </w:p>
    </w:sdtContent>
  </w:sdt>
  <w:p w:rsidR="00685AF1" w:rsidRDefault="00685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A7" w:rsidRDefault="00804BA7" w:rsidP="0034120F">
      <w:pPr>
        <w:spacing w:after="0" w:line="240" w:lineRule="auto"/>
      </w:pPr>
      <w:r>
        <w:separator/>
      </w:r>
    </w:p>
  </w:footnote>
  <w:footnote w:type="continuationSeparator" w:id="0">
    <w:p w:rsidR="00804BA7" w:rsidRDefault="00804BA7" w:rsidP="0034120F">
      <w:pPr>
        <w:spacing w:after="0" w:line="240" w:lineRule="auto"/>
      </w:pPr>
      <w:r>
        <w:continuationSeparator/>
      </w:r>
    </w:p>
  </w:footnote>
  <w:footnote w:id="1">
    <w:p w:rsidR="0066344E" w:rsidRDefault="0066344E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176CE">
        <w:t xml:space="preserve">§ 85 občanského zákoníku č. 40/1964 Sb. v původním znění. </w:t>
      </w:r>
      <w:r>
        <w:t>§ 1 vyhlášky Ministerstva spravedlnosti č. 45/1964 Sb.</w:t>
      </w:r>
    </w:p>
  </w:footnote>
  <w:footnote w:id="2">
    <w:p w:rsidR="0013139F" w:rsidRDefault="0066344E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176CE">
        <w:t xml:space="preserve">§ 517 odst. 2 občanského zákoníku č. 40/1964 Sb. ve znění zákona č. 509/1991 Sb. </w:t>
      </w:r>
      <w:r>
        <w:t>Nařízení vlády č. 142/1994 Sb.</w:t>
      </w:r>
      <w:r w:rsidR="00835F58">
        <w:t>, ú</w:t>
      </w:r>
      <w:r w:rsidR="00CA7359">
        <w:t>činnost 15. 7. 1994.</w:t>
      </w:r>
    </w:p>
  </w:footnote>
  <w:footnote w:id="3">
    <w:p w:rsidR="004902C0" w:rsidRDefault="004902C0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Sazba pro refinanční operace stanovená Českou národní bankou.</w:t>
      </w:r>
    </w:p>
  </w:footnote>
  <w:footnote w:id="4">
    <w:p w:rsidR="00CA7359" w:rsidRDefault="00CA7359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Nařízení vlády č. 163/2005 Sb. Účinnost 28. 4. 2005.</w:t>
      </w:r>
    </w:p>
  </w:footnote>
  <w:footnote w:id="5">
    <w:p w:rsidR="00CA7359" w:rsidRDefault="00CA7359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Nařízení vlády č. 180/2013 Sb. Účinnost 1. 7. 2013.</w:t>
      </w:r>
    </w:p>
  </w:footnote>
  <w:footnote w:id="6">
    <w:p w:rsidR="00CA7359" w:rsidRDefault="00CA7359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19699E">
        <w:t xml:space="preserve">§ 1970 občanského zákoníku č. 89/2012 Sb. </w:t>
      </w:r>
      <w:r>
        <w:t>Nařízení vlády č. 351/2013 Sb. Účinnost 1. 1. 2014.</w:t>
      </w:r>
    </w:p>
  </w:footnote>
  <w:footnote w:id="7">
    <w:p w:rsidR="00394A9A" w:rsidRPr="00394A9A" w:rsidRDefault="00394A9A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2 bod 6 směrnice </w:t>
      </w:r>
      <w:r w:rsidRPr="00394A9A">
        <w:t xml:space="preserve">Evropského parlamentu a Rady </w:t>
      </w:r>
      <w:r w:rsidR="00D16476">
        <w:t xml:space="preserve">č. 2011/7/EU </w:t>
      </w:r>
      <w:r w:rsidRPr="00394A9A">
        <w:t>ze dne 16.</w:t>
      </w:r>
      <w:r w:rsidR="00D16476">
        <w:t xml:space="preserve"> </w:t>
      </w:r>
      <w:r w:rsidRPr="00394A9A">
        <w:t>2.</w:t>
      </w:r>
      <w:r w:rsidR="00D16476">
        <w:t xml:space="preserve"> </w:t>
      </w:r>
      <w:r w:rsidRPr="00394A9A">
        <w:t>2011, o postupu proti opožděným platbám v obchodních transakcích.</w:t>
      </w:r>
    </w:p>
  </w:footnote>
  <w:footnote w:id="8">
    <w:p w:rsidR="00126981" w:rsidRDefault="00126981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369 odst. 1 a § 502 obchodního zákoníku v původním znění a ve znění po změně zákonem č. 370/2000 Sb. účinné od 1. 1. 2001.</w:t>
      </w:r>
    </w:p>
  </w:footnote>
  <w:footnote w:id="9">
    <w:p w:rsidR="003C62F1" w:rsidRDefault="003C62F1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Česká národní banka: Jak se vyvíjela diskontní sazba ČNB?, </w:t>
      </w:r>
      <w:r w:rsidRPr="003C62F1">
        <w:t>https://www.cnb.cz/cs/casto-kladene-dotazy/Jak-se-vyvijela-diskontni-sazba-CNB/</w:t>
      </w:r>
      <w:r>
        <w:t>.</w:t>
      </w:r>
    </w:p>
  </w:footnote>
  <w:footnote w:id="10">
    <w:p w:rsidR="003A4322" w:rsidRDefault="003A4322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3 odst. 3 občanského zákoníku č. 89/2013 Sb.</w:t>
      </w:r>
    </w:p>
  </w:footnote>
  <w:footnote w:id="11">
    <w:p w:rsidR="00D94511" w:rsidRPr="00D94511" w:rsidRDefault="00D94511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</w:t>
      </w:r>
      <w:r w:rsidRPr="00D94511">
        <w:t>ozsudek Nejvyššího soudu z 26. 6. 1997, 3Cdon 69/96, publikovaný v časopise Soudní judikatura 8/1997 pod č. 62.</w:t>
      </w:r>
    </w:p>
  </w:footnote>
  <w:footnote w:id="12">
    <w:p w:rsidR="008C721D" w:rsidRDefault="008C72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47DB0">
        <w:t xml:space="preserve">Rozsudek </w:t>
      </w:r>
      <w:r>
        <w:t xml:space="preserve">Nejvyššího soudu z 15. 12. 2004, </w:t>
      </w:r>
      <w:r w:rsidR="00647DB0">
        <w:t xml:space="preserve">21 </w:t>
      </w:r>
      <w:proofErr w:type="spellStart"/>
      <w:r>
        <w:t>Cdo</w:t>
      </w:r>
      <w:proofErr w:type="spellEnd"/>
      <w:r>
        <w:t xml:space="preserve"> 1484/2004.</w:t>
      </w:r>
    </w:p>
  </w:footnote>
  <w:footnote w:id="13">
    <w:p w:rsidR="001614F5" w:rsidRDefault="001614F5">
      <w:pPr>
        <w:pStyle w:val="Textpoznpodarou"/>
      </w:pPr>
      <w:r>
        <w:rPr>
          <w:rStyle w:val="Znakapoznpodarou"/>
        </w:rPr>
        <w:footnoteRef/>
      </w:r>
      <w:r>
        <w:t xml:space="preserve"> Nález Ústavního soudu </w:t>
      </w:r>
      <w:r w:rsidR="000C325C">
        <w:t xml:space="preserve">ze 7. 5. </w:t>
      </w:r>
      <w:proofErr w:type="gramStart"/>
      <w:r w:rsidR="000C325C">
        <w:t xml:space="preserve">2009, </w:t>
      </w:r>
      <w:r>
        <w:t>I.ÚS</w:t>
      </w:r>
      <w:proofErr w:type="gramEnd"/>
      <w:r>
        <w:t xml:space="preserve"> 523/07, a nález Ústavního soudu z</w:t>
      </w:r>
      <w:r w:rsidR="00A60ACD">
        <w:t> 1. 7. 2010</w:t>
      </w:r>
      <w:r>
        <w:t>, I.ÚS 728/10.</w:t>
      </w:r>
    </w:p>
  </w:footnote>
  <w:footnote w:id="14">
    <w:p w:rsidR="001614F5" w:rsidRDefault="001614F5">
      <w:pPr>
        <w:pStyle w:val="Textpoznpodarou"/>
      </w:pPr>
      <w:r>
        <w:rPr>
          <w:rStyle w:val="Znakapoznpodarou"/>
        </w:rPr>
        <w:footnoteRef/>
      </w:r>
      <w:r>
        <w:t xml:space="preserve"> Nález Ústavního soudu z 1. 4. 2019, </w:t>
      </w:r>
      <w:proofErr w:type="gramStart"/>
      <w:r>
        <w:t>II.ÚS</w:t>
      </w:r>
      <w:proofErr w:type="gramEnd"/>
      <w:r>
        <w:t xml:space="preserve"> 3194/18.</w:t>
      </w:r>
    </w:p>
  </w:footnote>
  <w:footnote w:id="15">
    <w:p w:rsidR="00D2128F" w:rsidRDefault="00D2128F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95 odst. 1 Ústavy č. 1/1993 Sb.</w:t>
      </w:r>
    </w:p>
  </w:footnote>
  <w:footnote w:id="16">
    <w:p w:rsidR="00393FD5" w:rsidRDefault="00393FD5" w:rsidP="00F65FD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 odst. 1 Ústavy.</w:t>
      </w:r>
    </w:p>
  </w:footnote>
  <w:footnote w:id="17">
    <w:p w:rsidR="00714665" w:rsidRDefault="00714665" w:rsidP="00F65FD0">
      <w:pPr>
        <w:pStyle w:val="Textpoznpodarou"/>
        <w:jc w:val="both"/>
      </w:pPr>
      <w:r w:rsidRPr="00B05B73">
        <w:rPr>
          <w:rStyle w:val="Znakapoznpodarou"/>
        </w:rPr>
        <w:footnoteRef/>
      </w:r>
      <w:r w:rsidRPr="00B05B73">
        <w:t xml:space="preserve"> Nálezy č. 21 a 98/1996, 93 a 121/1999, 180/2005 Sbírky nálezů a usnesení Ústavního soudu (</w:t>
      </w:r>
      <w:proofErr w:type="spellStart"/>
      <w:proofErr w:type="gramStart"/>
      <w:r w:rsidRPr="00B05B73">
        <w:t>Pl.ÚS</w:t>
      </w:r>
      <w:proofErr w:type="spellEnd"/>
      <w:proofErr w:type="gramEnd"/>
      <w:r w:rsidRPr="00B05B73">
        <w:t xml:space="preserve"> 48/95, </w:t>
      </w:r>
      <w:proofErr w:type="spellStart"/>
      <w:r w:rsidRPr="00B05B73">
        <w:t>Pl.ÚS</w:t>
      </w:r>
      <w:proofErr w:type="spellEnd"/>
      <w:r w:rsidRPr="00B05B73">
        <w:t xml:space="preserve"> 5/96, </w:t>
      </w:r>
      <w:proofErr w:type="spellStart"/>
      <w:r w:rsidRPr="00B05B73">
        <w:t>Pl.ÚS</w:t>
      </w:r>
      <w:proofErr w:type="spellEnd"/>
      <w:r w:rsidRPr="00B05B73">
        <w:t xml:space="preserve"> 4/99 a 192/1999 Sb. ve znění opravy chyby v částce 16/2000 Sb., IV.ÚS 202/99). Stejně na Slovensku nález č. 1/1999 </w:t>
      </w:r>
      <w:proofErr w:type="spellStart"/>
      <w:r w:rsidRPr="00B05B73">
        <w:t>Zbierky</w:t>
      </w:r>
      <w:proofErr w:type="spellEnd"/>
      <w:r w:rsidRPr="00B05B73">
        <w:t xml:space="preserve"> </w:t>
      </w:r>
      <w:proofErr w:type="spellStart"/>
      <w:r w:rsidRPr="00B05B73">
        <w:t>nálezov</w:t>
      </w:r>
      <w:proofErr w:type="spellEnd"/>
      <w:r w:rsidRPr="00B05B73">
        <w:t xml:space="preserve"> a </w:t>
      </w:r>
      <w:proofErr w:type="spellStart"/>
      <w:r w:rsidRPr="00B05B73">
        <w:t>uznesení</w:t>
      </w:r>
      <w:proofErr w:type="spellEnd"/>
      <w:r w:rsidRPr="00B05B73">
        <w:t xml:space="preserve"> </w:t>
      </w:r>
      <w:proofErr w:type="spellStart"/>
      <w:r w:rsidRPr="00B05B73">
        <w:t>Ústavného</w:t>
      </w:r>
      <w:proofErr w:type="spellEnd"/>
      <w:r w:rsidRPr="00B05B73">
        <w:t xml:space="preserve"> </w:t>
      </w:r>
      <w:proofErr w:type="spellStart"/>
      <w:r w:rsidRPr="00B05B73">
        <w:t>súdu</w:t>
      </w:r>
      <w:proofErr w:type="spellEnd"/>
      <w:r w:rsidRPr="00B05B73">
        <w:t xml:space="preserve"> SR (66/1999 </w:t>
      </w:r>
      <w:proofErr w:type="spellStart"/>
      <w:r w:rsidRPr="00B05B73">
        <w:t>Z.z</w:t>
      </w:r>
      <w:proofErr w:type="spellEnd"/>
      <w:r w:rsidRPr="00B05B73">
        <w:t xml:space="preserve">., </w:t>
      </w:r>
      <w:proofErr w:type="spellStart"/>
      <w:proofErr w:type="gramStart"/>
      <w:r w:rsidRPr="00B05B73">
        <w:t>Pl.ÚS</w:t>
      </w:r>
      <w:proofErr w:type="spellEnd"/>
      <w:proofErr w:type="gramEnd"/>
      <w:r w:rsidRPr="00B05B73">
        <w:t xml:space="preserve"> 15/98). </w:t>
      </w:r>
      <w:r w:rsidRPr="00E25D5B">
        <w:rPr>
          <w:caps/>
        </w:rPr>
        <w:t>Richard Král</w:t>
      </w:r>
      <w:r w:rsidRPr="00B05B73">
        <w:t>: K nálezu Ústavního soudu vyjasňujícímu meze jeho derogační pravomoci ve vztahu k českým předpisům nesluč</w:t>
      </w:r>
      <w:r>
        <w:t>i</w:t>
      </w:r>
      <w:r w:rsidRPr="00B05B73">
        <w:t>t</w:t>
      </w:r>
      <w:r>
        <w:t>e</w:t>
      </w:r>
      <w:r w:rsidRPr="00B05B73">
        <w:t>lným s komunitá</w:t>
      </w:r>
      <w:r>
        <w:t>rním právem.</w:t>
      </w:r>
      <w:r w:rsidRPr="00B05B73">
        <w:t xml:space="preserve"> </w:t>
      </w:r>
      <w:r w:rsidRPr="00412A51">
        <w:rPr>
          <w:i/>
        </w:rPr>
        <w:t>Právní rozhledy</w:t>
      </w:r>
      <w:r>
        <w:t xml:space="preserve"> 8/2007 s. 301.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1D60"/>
    <w:multiLevelType w:val="hybridMultilevel"/>
    <w:tmpl w:val="2D708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7B"/>
    <w:rsid w:val="000160C9"/>
    <w:rsid w:val="000205C6"/>
    <w:rsid w:val="00063ABB"/>
    <w:rsid w:val="000C325C"/>
    <w:rsid w:val="000C6A2B"/>
    <w:rsid w:val="000D461F"/>
    <w:rsid w:val="00117E07"/>
    <w:rsid w:val="00126981"/>
    <w:rsid w:val="0013139F"/>
    <w:rsid w:val="001614F5"/>
    <w:rsid w:val="00165F16"/>
    <w:rsid w:val="00167AC6"/>
    <w:rsid w:val="0018632D"/>
    <w:rsid w:val="0019699E"/>
    <w:rsid w:val="001C7F10"/>
    <w:rsid w:val="001E0602"/>
    <w:rsid w:val="001E0B91"/>
    <w:rsid w:val="001E7E72"/>
    <w:rsid w:val="00232735"/>
    <w:rsid w:val="002655EA"/>
    <w:rsid w:val="00336C73"/>
    <w:rsid w:val="00336D93"/>
    <w:rsid w:val="0034120F"/>
    <w:rsid w:val="00391D45"/>
    <w:rsid w:val="00393FD5"/>
    <w:rsid w:val="00394A9A"/>
    <w:rsid w:val="003A4322"/>
    <w:rsid w:val="003B7367"/>
    <w:rsid w:val="003C62F1"/>
    <w:rsid w:val="003E2EAD"/>
    <w:rsid w:val="004902C0"/>
    <w:rsid w:val="0052299A"/>
    <w:rsid w:val="005838DA"/>
    <w:rsid w:val="006176CE"/>
    <w:rsid w:val="00625642"/>
    <w:rsid w:val="00647DB0"/>
    <w:rsid w:val="0066344E"/>
    <w:rsid w:val="00663589"/>
    <w:rsid w:val="0067567C"/>
    <w:rsid w:val="00685AF1"/>
    <w:rsid w:val="00703B36"/>
    <w:rsid w:val="00706FF4"/>
    <w:rsid w:val="00714665"/>
    <w:rsid w:val="00772334"/>
    <w:rsid w:val="007866C1"/>
    <w:rsid w:val="00804BA7"/>
    <w:rsid w:val="00835F58"/>
    <w:rsid w:val="00857ED7"/>
    <w:rsid w:val="00870AE2"/>
    <w:rsid w:val="0087785E"/>
    <w:rsid w:val="00884235"/>
    <w:rsid w:val="008C721D"/>
    <w:rsid w:val="00906475"/>
    <w:rsid w:val="009579D9"/>
    <w:rsid w:val="009B45E2"/>
    <w:rsid w:val="00A60ACD"/>
    <w:rsid w:val="00AF285E"/>
    <w:rsid w:val="00B45575"/>
    <w:rsid w:val="00B77FCA"/>
    <w:rsid w:val="00BE7B73"/>
    <w:rsid w:val="00C427DE"/>
    <w:rsid w:val="00C4492F"/>
    <w:rsid w:val="00C5567B"/>
    <w:rsid w:val="00C67379"/>
    <w:rsid w:val="00CA7359"/>
    <w:rsid w:val="00CD2508"/>
    <w:rsid w:val="00D16476"/>
    <w:rsid w:val="00D2128F"/>
    <w:rsid w:val="00D46123"/>
    <w:rsid w:val="00D4714C"/>
    <w:rsid w:val="00D925F8"/>
    <w:rsid w:val="00D94511"/>
    <w:rsid w:val="00DB0455"/>
    <w:rsid w:val="00DD1E37"/>
    <w:rsid w:val="00E21D40"/>
    <w:rsid w:val="00F0011F"/>
    <w:rsid w:val="00F3063F"/>
    <w:rsid w:val="00F32FB1"/>
    <w:rsid w:val="00F65FD0"/>
    <w:rsid w:val="00FA65AD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060A"/>
  <w15:chartTrackingRefBased/>
  <w15:docId w15:val="{59FF73BF-DEC8-4A1F-89AF-68227D41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20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41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120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12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01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AF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AF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1C5B-FABB-437C-A6D7-0DDCCDD9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Koudelka</dc:creator>
  <cp:keywords/>
  <dc:description/>
  <cp:lastModifiedBy>Zdeněk Koudelka</cp:lastModifiedBy>
  <cp:revision>65</cp:revision>
  <dcterms:created xsi:type="dcterms:W3CDTF">2021-01-22T12:30:00Z</dcterms:created>
  <dcterms:modified xsi:type="dcterms:W3CDTF">2021-01-24T09:24:00Z</dcterms:modified>
</cp:coreProperties>
</file>