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bidi w:val="0"/>
        <w:jc w:val="center"/>
        <w:rPr>
          <w:b/>
          <w:b/>
          <w:bCs/>
        </w:rPr>
      </w:pPr>
      <w:r>
        <w:rPr>
          <w:b/>
          <w:bCs/>
        </w:rPr>
        <w:t>Platelet microparticles in relation to disease-related risk factors in polycythemia vera and essential thrombocytosis</w:t>
      </w:r>
    </w:p>
    <w:p>
      <w:pPr>
        <w:pStyle w:val="LOnormal"/>
        <w:keepNext w:val="false"/>
        <w:keepLines w:val="false"/>
        <w:widowControl w:val="false"/>
        <w:spacing w:lineRule="auto" w:line="288" w:before="0" w:after="140"/>
        <w:ind w:left="0" w:right="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Mohamed Hussam Aswad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1,2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Jarmila Kissova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1,2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Petra Ovesna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3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shd w:fill="auto" w:val="clear"/>
          <w:vertAlign w:val="baseline"/>
        </w:rPr>
        <w:t xml:space="preserve">, Miroslav Penka 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shd w:fill="auto" w:val="clear"/>
          <w:vertAlign w:val="superscript"/>
        </w:rPr>
        <w:t>1,2</w:t>
      </w:r>
    </w:p>
    <w:p>
      <w:pPr>
        <w:pStyle w:val="LO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perscript"/>
        </w:rPr>
        <w:t>1</w:t>
      </w: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Department of Clinical Hematology, Faculty of Medicine, University Hospital Brno</w:t>
      </w:r>
    </w:p>
    <w:p>
      <w:pPr>
        <w:pStyle w:val="LO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i w:val="false"/>
          <w:color w:val="000000"/>
          <w:sz w:val="24"/>
          <w:szCs w:val="24"/>
          <w:vertAlign w:val="superscript"/>
        </w:rPr>
        <w:t>2</w:t>
      </w:r>
      <w:r>
        <w:rPr>
          <w:rFonts w:eastAsia="Times New Roman" w:cs="Times New Roman" w:ascii="Times New Roman" w:hAnsi="Times New Roman"/>
          <w:i w:val="false"/>
          <w:color w:val="000000"/>
          <w:position w:val="0"/>
          <w:sz w:val="24"/>
          <w:sz w:val="24"/>
          <w:szCs w:val="24"/>
          <w:vertAlign w:val="baseline"/>
        </w:rPr>
        <w:t xml:space="preserve"> Faculty of Medicine, Masaryk University</w:t>
      </w:r>
    </w:p>
    <w:p>
      <w:pPr>
        <w:pStyle w:val="LOnormal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vertAlign w:val="superscript"/>
        </w:rPr>
        <w:t>3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Institute of Biostatics and Analyses, Faculty of Medicine, Masaryk University, Brno</w:t>
      </w:r>
    </w:p>
    <w:p>
      <w:pPr>
        <w:pStyle w:val="LOnormal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b/>
          <w:bCs/>
        </w:rPr>
        <w:t>Abstract</w:t>
      </w:r>
    </w:p>
    <w:p>
      <w:pPr>
        <w:pStyle w:val="TextBody"/>
        <w:bidi w:val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Introduction:</w:t>
      </w:r>
    </w:p>
    <w:p>
      <w:pPr>
        <w:pStyle w:val="TextBody"/>
        <w:bidi w:val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>Thromboembolism is a common life-threatening complication in patients with polycythemia vera (PV) and essential thrombocythemia (ET), accounting for a mortality rate of 41% and 26% of patients with an incidence rate of 3.8% and 1.9% per year, respectively. Besides older age and history of thrombosis being the definite risk factors of thrombosis, disease-related factors, such as JAK2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V617F</w:t>
      </w:r>
      <w:r>
        <w:rPr>
          <w:rFonts w:ascii="Times New Roman" w:hAnsi="Times New Roman"/>
          <w:color w:val="000000"/>
          <w:sz w:val="24"/>
          <w:szCs w:val="24"/>
        </w:rPr>
        <w:t xml:space="preserve"> mutation and blood count results, have been linked to the increased risk of thrombosis. </w:t>
      </w:r>
      <w:r>
        <w:rPr>
          <w:rFonts w:eastAsia="Songti SC" w:cs="Arial Unicode MS" w:ascii="Times New Roman" w:hAnsi="Times New Roman"/>
          <w:color w:val="000000"/>
          <w:kern w:val="2"/>
          <w:sz w:val="24"/>
          <w:szCs w:val="24"/>
          <w:lang w:val="en-US" w:eastAsia="zh-CN" w:bidi="hi-IN"/>
        </w:rPr>
        <w:t>C</w:t>
      </w:r>
      <w:r>
        <w:rPr>
          <w:rFonts w:ascii="Times New Roman" w:hAnsi="Times New Roman"/>
          <w:color w:val="000000"/>
          <w:sz w:val="24"/>
          <w:szCs w:val="24"/>
        </w:rPr>
        <w:t xml:space="preserve">irculating microparticles (MPs) may contribute to thrombosis through expressing pro-coagulant phosphatidylserine and tissue factor. </w:t>
      </w:r>
    </w:p>
    <w:p>
      <w:pPr>
        <w:pStyle w:val="TextBody"/>
        <w:bidi w:val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Patients and methods:</w:t>
      </w:r>
    </w:p>
    <w:p>
      <w:pPr>
        <w:pStyle w:val="TextBody"/>
        <w:bidi w:val="0"/>
        <w:jc w:val="left"/>
        <w:rPr/>
      </w:pPr>
      <w:r>
        <w:rPr>
          <w:rFonts w:ascii="Times New Roman" w:hAnsi="Times New Roman"/>
          <w:color w:val="000000"/>
          <w:sz w:val="24"/>
        </w:rPr>
        <w:t xml:space="preserve">The absolute count of platelet microparticles </w:t>
      </w:r>
      <w:r>
        <w:rPr>
          <w:rFonts w:ascii="TimesNewRomanPSMT" w:hAnsi="TimesNewRomanPSMT"/>
          <w:color w:val="0C0F19"/>
          <w:sz w:val="24"/>
        </w:rPr>
        <w:t>(PMPs)</w:t>
      </w:r>
      <w:r>
        <w:rPr>
          <w:rFonts w:ascii="Times New Roman" w:hAnsi="Times New Roman"/>
          <w:color w:val="000000"/>
          <w:sz w:val="24"/>
        </w:rPr>
        <w:t xml:space="preserve"> and </w:t>
      </w:r>
      <w:r>
        <w:rPr>
          <w:rFonts w:eastAsia="Songti SC" w:cs="Arial Unicode MS" w:ascii="Times New Roman" w:hAnsi="Times New Roman"/>
          <w:color w:val="000000"/>
          <w:kern w:val="2"/>
          <w:sz w:val="24"/>
          <w:szCs w:val="24"/>
          <w:lang w:val="en-US" w:eastAsia="zh-CN" w:bidi="hi-IN"/>
        </w:rPr>
        <w:t>MPs</w:t>
      </w:r>
      <w:r>
        <w:rPr>
          <w:rFonts w:ascii="Times New Roman" w:hAnsi="Times New Roman"/>
          <w:color w:val="000000"/>
          <w:sz w:val="24"/>
        </w:rPr>
        <w:t xml:space="preserve"> procoagulant activity (MP-activity) were evaluated in relation to disease-related thrombotic risk factors in a cohort of 170 patients (51 with PV and 119 with ET). </w:t>
      </w:r>
      <w:r>
        <w:rPr>
          <w:rFonts w:ascii="TimesNewRomanPSMT" w:hAnsi="TimesNewRomanPSMT"/>
          <w:color w:val="0C0F19"/>
          <w:sz w:val="24"/>
        </w:rPr>
        <w:t xml:space="preserve">MP-activity was measured by the Zymuphen functional assay in 363 samples. PMPs were enumerated by flow cytometry in 466 samples. </w:t>
      </w:r>
    </w:p>
    <w:p>
      <w:pPr>
        <w:pStyle w:val="TextBody"/>
        <w:bidi w:val="0"/>
        <w:jc w:val="left"/>
        <w:rPr>
          <w:rFonts w:ascii="Times New Roman" w:hAnsi="Times New Roman"/>
          <w:b/>
          <w:b/>
          <w:bCs/>
          <w:color w:val="000000"/>
          <w:sz w:val="24"/>
        </w:rPr>
      </w:pPr>
      <w:r>
        <w:rPr>
          <w:rFonts w:ascii="TimesNewRomanPSMT" w:hAnsi="TimesNewRomanPSMT"/>
          <w:b/>
          <w:bCs/>
          <w:color w:val="0C0F19"/>
          <w:sz w:val="24"/>
        </w:rPr>
        <w:t>Results:</w:t>
      </w:r>
    </w:p>
    <w:p>
      <w:pPr>
        <w:pStyle w:val="TextBody"/>
        <w:bidi w:val="0"/>
        <w:jc w:val="left"/>
        <w:rPr/>
      </w:pPr>
      <w:r>
        <w:rPr>
          <w:rFonts w:ascii="TimesNewRomanPSMT" w:hAnsi="TimesNewRomanPSMT"/>
          <w:color w:val="0C0F19"/>
          <w:sz w:val="24"/>
        </w:rPr>
        <w:t>Compared to healthy individuals, patients with ET or PV have significantly higher MPs levels. The pathological values of MP-activity are significantly higher in PV patients than in ET patients. Regarding disease-related risk factors, the presence of JAK2</w:t>
      </w:r>
      <w:r>
        <w:rPr>
          <w:rFonts w:ascii="TimesNewRomanPSMT" w:hAnsi="TimesNewRomanPSMT"/>
          <w:color w:val="0C0F19"/>
          <w:sz w:val="24"/>
          <w:vertAlign w:val="superscript"/>
        </w:rPr>
        <w:t>V617F</w:t>
      </w:r>
      <w:r>
        <w:rPr>
          <w:rFonts w:ascii="TimesNewRomanPSMT" w:hAnsi="TimesNewRomanPSMT"/>
          <w:color w:val="0C0F19"/>
          <w:sz w:val="24"/>
        </w:rPr>
        <w:t xml:space="preserve"> mutation is associated with a significantly higher PMPs count. During the follow-up, patients who had their hematocrit value &gt;45%, platelet count &gt;400</w:t>
      </w:r>
      <w:r>
        <w:rPr>
          <w:rFonts w:ascii="Times New Roman" w:hAnsi="Times New Roman"/>
          <w:color w:val="0C0F19"/>
          <w:sz w:val="24"/>
        </w:rPr>
        <w:t>×</w:t>
      </w:r>
      <w:r>
        <w:rPr>
          <w:rFonts w:ascii="TimesNewRomanPSMT" w:hAnsi="TimesNewRomanPSMT"/>
          <w:color w:val="0C0F19"/>
          <w:sz w:val="24"/>
        </w:rPr>
        <w:t>10</w:t>
      </w:r>
      <w:r>
        <w:rPr>
          <w:rFonts w:ascii="TimesNewRomanPSMT" w:hAnsi="TimesNewRomanPSMT"/>
          <w:color w:val="0C0F19"/>
          <w:sz w:val="24"/>
          <w:vertAlign w:val="superscript"/>
        </w:rPr>
        <w:t>9</w:t>
      </w:r>
      <w:r>
        <w:rPr>
          <w:rFonts w:ascii="TimesNewRomanPSMT" w:hAnsi="TimesNewRomanPSMT"/>
          <w:color w:val="0C0F19"/>
          <w:sz w:val="24"/>
        </w:rPr>
        <w:t>/L, or leukocytes count &gt;10</w:t>
      </w:r>
      <w:r>
        <w:rPr>
          <w:rFonts w:ascii="Times New Roman" w:hAnsi="Times New Roman"/>
          <w:color w:val="0C0F19"/>
          <w:sz w:val="24"/>
        </w:rPr>
        <w:t>×</w:t>
      </w:r>
      <w:r>
        <w:rPr>
          <w:rFonts w:ascii="TimesNewRomanPSMT" w:hAnsi="TimesNewRomanPSMT"/>
          <w:color w:val="0C0F19"/>
          <w:sz w:val="24"/>
        </w:rPr>
        <w:t>10</w:t>
      </w:r>
      <w:r>
        <w:rPr>
          <w:rFonts w:ascii="TimesNewRomanPSMT" w:hAnsi="TimesNewRomanPSMT"/>
          <w:color w:val="0C0F19"/>
          <w:sz w:val="24"/>
          <w:vertAlign w:val="superscript"/>
        </w:rPr>
        <w:t>9</w:t>
      </w:r>
      <w:r>
        <w:rPr>
          <w:rFonts w:ascii="TimesNewRomanPSMT" w:hAnsi="TimesNewRomanPSMT"/>
          <w:color w:val="0C0F19"/>
          <w:sz w:val="24"/>
        </w:rPr>
        <w:t xml:space="preserve">/L have significantly increased MPs levels. Patients with a history of thrombosis before </w:t>
      </w:r>
      <w:r>
        <w:rPr>
          <w:rFonts w:eastAsia="Songti SC" w:cs="Arial Unicode MS" w:ascii="TimesNewRomanPSMT" w:hAnsi="TimesNewRomanPSMT"/>
          <w:color w:val="0C0F19"/>
          <w:kern w:val="2"/>
          <w:sz w:val="24"/>
          <w:szCs w:val="24"/>
          <w:lang w:val="en-US" w:eastAsia="zh-CN" w:bidi="hi-IN"/>
        </w:rPr>
        <w:t>PV or ET</w:t>
      </w:r>
      <w:r>
        <w:rPr>
          <w:rFonts w:ascii="TimesNewRomanPSMT" w:hAnsi="TimesNewRomanPSMT"/>
          <w:color w:val="0C0F19"/>
          <w:sz w:val="24"/>
        </w:rPr>
        <w:t xml:space="preserve"> diagnosis have significantly higher MP-activity values than thrombosis-free patients. Treatment during the follow-up </w:t>
      </w:r>
      <w:r>
        <w:rPr>
          <w:rFonts w:eastAsia="Songti SC" w:cs="Arial Unicode MS" w:ascii="TimesNewRomanPSMT" w:hAnsi="TimesNewRomanPSMT"/>
          <w:color w:val="0C0F19"/>
          <w:kern w:val="2"/>
          <w:sz w:val="24"/>
          <w:szCs w:val="24"/>
          <w:lang w:val="en-US" w:eastAsia="zh-CN" w:bidi="hi-IN"/>
        </w:rPr>
        <w:t>probably</w:t>
      </w:r>
      <w:r>
        <w:rPr>
          <w:rFonts w:ascii="TimesNewRomanPSMT" w:hAnsi="TimesNewRomanPSMT"/>
          <w:color w:val="0C0F19"/>
          <w:sz w:val="24"/>
        </w:rPr>
        <w:t xml:space="preserve"> affects MPs </w:t>
      </w:r>
      <w:r>
        <w:rPr>
          <w:rFonts w:eastAsia="Songti SC" w:cs="Arial Unicode MS" w:ascii="TimesNewRomanPSMT" w:hAnsi="TimesNewRomanPSMT"/>
          <w:color w:val="0C0F19"/>
          <w:kern w:val="2"/>
          <w:sz w:val="24"/>
          <w:szCs w:val="24"/>
          <w:lang w:val="en-US" w:eastAsia="zh-CN" w:bidi="hi-IN"/>
        </w:rPr>
        <w:t>levels</w:t>
      </w:r>
      <w:r>
        <w:rPr>
          <w:rFonts w:ascii="TimesNewRomanPSMT" w:hAnsi="TimesNewRomanPSMT"/>
          <w:color w:val="0C0F19"/>
          <w:sz w:val="24"/>
        </w:rPr>
        <w:t xml:space="preserve"> as patients with arterial or venous thrombotic complications after diagnosis have significantly lower MPs values. </w:t>
      </w:r>
    </w:p>
    <w:p>
      <w:pPr>
        <w:pStyle w:val="TextBody"/>
        <w:bidi w:val="0"/>
        <w:jc w:val="left"/>
        <w:rPr>
          <w:b/>
          <w:b/>
          <w:bCs/>
        </w:rPr>
      </w:pPr>
      <w:r>
        <w:rPr>
          <w:rFonts w:ascii="TimesNewRomanPSMT" w:hAnsi="TimesNewRomanPSMT"/>
          <w:b/>
          <w:bCs/>
          <w:color w:val="0C0F19"/>
          <w:sz w:val="24"/>
        </w:rPr>
        <w:t>Conclusion:</w:t>
      </w:r>
    </w:p>
    <w:p>
      <w:pPr>
        <w:pStyle w:val="TextBody"/>
        <w:bidi w:val="0"/>
        <w:jc w:val="left"/>
        <w:rPr/>
      </w:pPr>
      <w:r>
        <w:rPr>
          <w:rFonts w:ascii="TimesNewRomanPSMT" w:hAnsi="TimesNewRomanPSMT"/>
          <w:color w:val="0C0F19"/>
          <w:sz w:val="24"/>
        </w:rPr>
        <w:t>Levels of p</w:t>
      </w:r>
      <w:r>
        <w:rPr>
          <w:rFonts w:ascii="TimesNewRomanPSMT" w:hAnsi="TimesNewRomanPSMT"/>
          <w:color w:val="0C0F19"/>
          <w:sz w:val="24"/>
        </w:rPr>
        <w:t>latelet microparticles and their procoagulant activity are increased in disease-related risk factors for thrombosis, and this relationship indicates a possible role of MP</w:t>
      </w:r>
      <w:r>
        <w:rPr>
          <w:rFonts w:ascii="TimesNewRomanPSMT" w:hAnsi="TimesNewRomanPSMT"/>
          <w:color w:val="0C0F19"/>
          <w:sz w:val="24"/>
        </w:rPr>
        <w:t>s</w:t>
      </w:r>
      <w:r>
        <w:rPr>
          <w:rFonts w:ascii="TimesNewRomanPSMT" w:hAnsi="TimesNewRomanPSMT"/>
          <w:color w:val="0C0F19"/>
          <w:sz w:val="24"/>
        </w:rPr>
        <w:t xml:space="preserve"> in thrombo</w:t>
      </w:r>
      <w:r>
        <w:rPr>
          <w:rFonts w:ascii="TimesNewRomanPSMT" w:hAnsi="TimesNewRomanPSMT"/>
          <w:color w:val="0C0F19"/>
          <w:sz w:val="24"/>
        </w:rPr>
        <w:t>tic complications</w:t>
      </w:r>
      <w:r>
        <w:rPr>
          <w:rFonts w:ascii="TimesNewRomanPSMT" w:hAnsi="TimesNewRomanPSMT"/>
          <w:color w:val="0C0F19"/>
          <w:sz w:val="24"/>
        </w:rPr>
        <w:t xml:space="preserve"> of patients with polycythemia vera and essential thrombocythemia.</w:t>
      </w:r>
    </w:p>
    <w:p>
      <w:pPr>
        <w:pStyle w:val="Heading1"/>
        <w:rPr>
          <w:rFonts w:ascii="Times New Roman" w:hAnsi="Times New Roman"/>
        </w:rPr>
      </w:pPr>
      <w:r>
        <w:rPr>
          <w:rFonts w:eastAsia="Arial Unicode MS" w:cs="Arial Unicode MS" w:ascii="Times New Roman" w:hAnsi="Times New Roman"/>
          <w:b/>
          <w:bCs/>
          <w:i w:val="false"/>
          <w:iC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  <w:t>Acknowledgment</w:t>
      </w: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  <w:t>:</w:t>
      </w:r>
    </w:p>
    <w:p>
      <w:pPr>
        <w:pStyle w:val="Normal"/>
        <w:bidi w:val="0"/>
        <w:jc w:val="left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</w:pP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  <w:t>Supported by MH CZ–DRO (FNBr–65269705).</w:t>
      </w:r>
    </w:p>
    <w:p>
      <w:pPr>
        <w:pStyle w:val="Normal"/>
        <w:bidi w:val="0"/>
        <w:jc w:val="left"/>
        <w:rPr>
          <w:rFonts w:ascii="Times New Roman" w:hAnsi="Times New Roman" w:eastAsia="Arial Unicode MS" w:cs="Arial Unicode MS"/>
          <w:b w:val="false"/>
          <w:b w:val="false"/>
          <w:bCs w:val="false"/>
          <w:i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</w:pPr>
      <w:r>
        <w:rPr>
          <w:rFonts w:eastAsia="Arial Unicode MS" w:cs="Arial Unicode MS" w:ascii="Times New Roman" w:hAnsi="Times New Roman"/>
          <w:b w:val="false"/>
          <w:bCs w:val="false"/>
          <w:i w:val="false"/>
          <w:iCs w:val="false"/>
          <w:color w:val="000000"/>
          <w:spacing w:val="0"/>
          <w:position w:val="0"/>
          <w:sz w:val="24"/>
          <w:sz w:val="24"/>
          <w:szCs w:val="24"/>
          <w:u w:val="none"/>
          <w:vertAlign w:val="baseline"/>
          <w:lang w:val="en-US"/>
        </w:rPr>
      </w:r>
    </w:p>
    <w:p>
      <w:pPr>
        <w:pStyle w:val="Heading1"/>
        <w:bidi w:val="0"/>
        <w:spacing w:lineRule="auto" w:line="360" w:before="240" w:after="120"/>
        <w:ind w:left="0" w:right="0" w:hanging="0"/>
        <w:jc w:val="left"/>
        <w:rPr>
          <w:rFonts w:ascii="Times New Roman" w:hAnsi="Times New Roman" w:eastAsia="Arial Unicode MS" w:cs="Arial Unicode MS"/>
          <w:b/>
          <w:b/>
          <w:bCs/>
          <w:i w:val="false"/>
          <w:i w:val="false"/>
          <w:iCs w:val="false"/>
          <w:caps w:val="false"/>
          <w:smallCaps w:val="false"/>
          <w:color w:val="000000"/>
          <w:spacing w:val="0"/>
          <w:kern w:val="0"/>
          <w:position w:val="0"/>
          <w:sz w:val="36"/>
          <w:sz w:val="24"/>
          <w:szCs w:val="24"/>
          <w:u w:val="none"/>
          <w:shd w:fill="auto" w:val="clear"/>
          <w:vertAlign w:val="baseline"/>
          <w:lang w:val="en-US" w:eastAsia="zh-CN" w:bidi="hi-IN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TimesNewRomanPSMT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ongti SC" w:cs="Arial Unicode MS"/>
      <w:color w:val="auto"/>
      <w:kern w:val="2"/>
      <w:sz w:val="24"/>
      <w:szCs w:val="24"/>
      <w:lang w:val="en-US" w:eastAsia="zh-CN" w:bidi="hi-IN"/>
    </w:rPr>
  </w:style>
  <w:style w:type="paragraph" w:styleId="Heading1" w:customStyle="1">
    <w:name w:val="Heading 1"/>
    <w:basedOn w:val="LOnormal"/>
    <w:next w:val="LOnormal"/>
    <w:qFormat/>
    <w:pPr>
      <w:keepNext w:val="true"/>
      <w:spacing w:lineRule="auto" w:line="240" w:before="240" w:after="120"/>
      <w:ind w:left="0" w:right="0" w:hanging="0"/>
    </w:pPr>
    <w:rPr>
      <w:rFonts w:ascii="Liberation Sans" w:hAnsi="Liberation Sans" w:eastAsia="Liberation Sans" w:cs="Liberation Sans"/>
      <w:b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umberingSymbols" w:customStyle="1">
    <w:name w:val="Numbering Symbols"/>
    <w:qFormat/>
    <w:rPr/>
  </w:style>
  <w:style w:type="paragraph" w:styleId="Heading" w:customStyle="1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 w:customStyle="1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cs="Arial Unicode MS"/>
    </w:rPr>
  </w:style>
  <w:style w:type="paragraph" w:styleId="LOnormal" w:customStyle="1">
    <w:name w:val="LO-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100</TotalTime>
  <Application>LibreOffice/7.0.3.1$MacOSX_X86_64 LibreOffice_project/d7547858d014d4cf69878db179d326fc3483e082</Application>
  <Pages>1</Pages>
  <Words>356</Words>
  <Characters>2224</Characters>
  <CharactersWithSpaces>2565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2021-06-02T08:35:11Z</dcterms:created>
  <dc:creator>Hussam</dc:creator>
  <dc:description/>
  <dc:language>en-US</dc:language>
  <cp:lastModifiedBy>Hussam </cp:lastModifiedBy>
  <dcterms:modified xsi:type="dcterms:W3CDTF">2021-06-04T10:06:41Z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