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95EED" w14:textId="59E3123D" w:rsidR="00165B46" w:rsidRPr="00295CD5" w:rsidRDefault="00DC4E35" w:rsidP="00165B46">
      <w:pPr>
        <w:jc w:val="center"/>
        <w:rPr>
          <w:rFonts w:ascii="Garamond" w:hAnsi="Garamond" w:cs="Times New Roman"/>
          <w:sz w:val="52"/>
          <w:szCs w:val="52"/>
        </w:rPr>
      </w:pPr>
      <w:r>
        <w:rPr>
          <w:rFonts w:ascii="Garamond" w:hAnsi="Garamond" w:cs="Times New Roman"/>
          <w:sz w:val="52"/>
          <w:szCs w:val="52"/>
          <w:lang w:val="en-GB"/>
        </w:rPr>
        <w:t xml:space="preserve">More goals, </w:t>
      </w:r>
      <w:r w:rsidR="000E4ACB">
        <w:rPr>
          <w:rFonts w:ascii="Garamond" w:hAnsi="Garamond" w:cs="Times New Roman"/>
          <w:sz w:val="52"/>
          <w:szCs w:val="52"/>
          <w:lang w:val="en-GB"/>
        </w:rPr>
        <w:t xml:space="preserve">fewer </w:t>
      </w:r>
      <w:r>
        <w:rPr>
          <w:rFonts w:ascii="Garamond" w:hAnsi="Garamond" w:cs="Times New Roman"/>
          <w:sz w:val="52"/>
          <w:szCs w:val="52"/>
          <w:lang w:val="en-GB"/>
        </w:rPr>
        <w:t>babies</w:t>
      </w:r>
      <w:r w:rsidR="003C18C0" w:rsidRPr="00295CD5">
        <w:rPr>
          <w:rFonts w:ascii="Garamond" w:hAnsi="Garamond" w:cs="Times New Roman"/>
          <w:sz w:val="52"/>
          <w:szCs w:val="52"/>
          <w:lang w:val="en-GB"/>
        </w:rPr>
        <w:t xml:space="preserve">? </w:t>
      </w:r>
      <w:r w:rsidR="003C18C0" w:rsidRPr="00295CD5">
        <w:rPr>
          <w:rFonts w:ascii="Garamond" w:hAnsi="Garamond" w:cs="Times New Roman"/>
          <w:sz w:val="52"/>
          <w:szCs w:val="52"/>
        </w:rPr>
        <w:t xml:space="preserve">On national teams’ performance and </w:t>
      </w:r>
      <w:r w:rsidR="00AE11C0">
        <w:rPr>
          <w:rFonts w:ascii="Garamond" w:hAnsi="Garamond" w:cs="Times New Roman"/>
          <w:sz w:val="52"/>
          <w:szCs w:val="52"/>
        </w:rPr>
        <w:t>birth rate</w:t>
      </w:r>
      <w:r>
        <w:rPr>
          <w:rFonts w:ascii="Garamond" w:hAnsi="Garamond" w:cs="Times New Roman"/>
          <w:sz w:val="52"/>
          <w:szCs w:val="52"/>
        </w:rPr>
        <w:t>s</w:t>
      </w:r>
    </w:p>
    <w:p w14:paraId="744F9B98" w14:textId="2D11178C" w:rsidR="00680B64" w:rsidRPr="00295CD5" w:rsidRDefault="00680B64" w:rsidP="00165B46">
      <w:pPr>
        <w:jc w:val="center"/>
        <w:rPr>
          <w:rFonts w:ascii="Garamond" w:hAnsi="Garamond" w:cs="Times New Roman"/>
          <w:sz w:val="52"/>
          <w:szCs w:val="52"/>
        </w:rPr>
      </w:pPr>
    </w:p>
    <w:p w14:paraId="03C11D1F" w14:textId="77777777" w:rsidR="00680B64" w:rsidRPr="00295CD5" w:rsidRDefault="00680B64" w:rsidP="00165B46">
      <w:pPr>
        <w:jc w:val="center"/>
        <w:rPr>
          <w:rFonts w:ascii="Garamond" w:hAnsi="Garamond" w:cs="Times New Roman"/>
          <w:sz w:val="52"/>
          <w:szCs w:val="52"/>
        </w:rPr>
      </w:pPr>
    </w:p>
    <w:tbl>
      <w:tblPr>
        <w:tblW w:w="0" w:type="auto"/>
        <w:jc w:val="center"/>
        <w:tblBorders>
          <w:top w:val="nil"/>
          <w:left w:val="nil"/>
          <w:bottom w:val="nil"/>
          <w:right w:val="nil"/>
        </w:tblBorders>
        <w:tblLayout w:type="fixed"/>
        <w:tblLook w:val="0000" w:firstRow="0" w:lastRow="0" w:firstColumn="0" w:lastColumn="0" w:noHBand="0" w:noVBand="0"/>
      </w:tblPr>
      <w:tblGrid>
        <w:gridCol w:w="3373"/>
        <w:gridCol w:w="3373"/>
      </w:tblGrid>
      <w:tr w:rsidR="00680B64" w:rsidRPr="00680B64" w14:paraId="7B9F88BE" w14:textId="77777777" w:rsidTr="00BF2395">
        <w:trPr>
          <w:trHeight w:val="120"/>
          <w:jc w:val="center"/>
        </w:trPr>
        <w:tc>
          <w:tcPr>
            <w:tcW w:w="3373" w:type="dxa"/>
            <w:vAlign w:val="bottom"/>
          </w:tcPr>
          <w:p w14:paraId="7A650AC7" w14:textId="641ED880" w:rsidR="00680B64" w:rsidRPr="00102AAF" w:rsidRDefault="00680B64" w:rsidP="00102AAF">
            <w:pPr>
              <w:autoSpaceDE w:val="0"/>
              <w:autoSpaceDN w:val="0"/>
              <w:adjustRightInd w:val="0"/>
              <w:spacing w:after="0" w:line="240" w:lineRule="auto"/>
              <w:jc w:val="center"/>
              <w:rPr>
                <w:rFonts w:ascii="Garamond" w:eastAsia="Calibri" w:hAnsi="Garamond" w:cs="Garamond"/>
                <w:b/>
                <w:bCs/>
                <w:color w:val="000000"/>
                <w:sz w:val="28"/>
                <w:szCs w:val="28"/>
              </w:rPr>
            </w:pPr>
            <w:r>
              <w:rPr>
                <w:rFonts w:ascii="Garamond" w:eastAsia="Calibri" w:hAnsi="Garamond" w:cs="Garamond"/>
                <w:b/>
                <w:bCs/>
                <w:color w:val="000000"/>
                <w:sz w:val="28"/>
                <w:szCs w:val="28"/>
                <w:lang w:val="en-GB"/>
              </w:rPr>
              <w:t>Luca Fumarco</w:t>
            </w:r>
          </w:p>
        </w:tc>
        <w:tc>
          <w:tcPr>
            <w:tcW w:w="3373" w:type="dxa"/>
            <w:vAlign w:val="bottom"/>
          </w:tcPr>
          <w:p w14:paraId="115B6E34" w14:textId="129BC330" w:rsidR="00680B64" w:rsidRPr="00680B64" w:rsidRDefault="00680B64" w:rsidP="00680B64">
            <w:pPr>
              <w:autoSpaceDE w:val="0"/>
              <w:autoSpaceDN w:val="0"/>
              <w:adjustRightInd w:val="0"/>
              <w:spacing w:after="0" w:line="240" w:lineRule="auto"/>
              <w:jc w:val="center"/>
              <w:rPr>
                <w:rFonts w:ascii="Garamond" w:eastAsia="Calibri" w:hAnsi="Garamond" w:cs="Garamond"/>
                <w:b/>
                <w:bCs/>
                <w:color w:val="000000"/>
                <w:sz w:val="28"/>
                <w:szCs w:val="28"/>
                <w:lang w:val="en-GB"/>
              </w:rPr>
            </w:pPr>
            <w:r w:rsidRPr="00680B64">
              <w:rPr>
                <w:rFonts w:ascii="Garamond" w:eastAsia="Calibri" w:hAnsi="Garamond" w:cs="Garamond"/>
                <w:b/>
                <w:bCs/>
                <w:color w:val="000000"/>
                <w:sz w:val="28"/>
                <w:szCs w:val="28"/>
                <w:lang w:val="en-GB"/>
              </w:rPr>
              <w:t>Francesco Principe</w:t>
            </w:r>
          </w:p>
        </w:tc>
      </w:tr>
      <w:tr w:rsidR="00680B64" w:rsidRPr="00680B64" w14:paraId="59A271F5" w14:textId="77777777" w:rsidTr="00BF2395">
        <w:trPr>
          <w:trHeight w:val="296"/>
          <w:jc w:val="center"/>
        </w:trPr>
        <w:tc>
          <w:tcPr>
            <w:tcW w:w="3373" w:type="dxa"/>
          </w:tcPr>
          <w:p w14:paraId="25C8E855" w14:textId="0A1C45E6" w:rsidR="00680B64" w:rsidRPr="00680B64" w:rsidRDefault="00680B64" w:rsidP="00680B64">
            <w:pPr>
              <w:autoSpaceDE w:val="0"/>
              <w:autoSpaceDN w:val="0"/>
              <w:adjustRightInd w:val="0"/>
              <w:spacing w:after="0" w:line="240" w:lineRule="auto"/>
              <w:jc w:val="center"/>
              <w:rPr>
                <w:rFonts w:ascii="Garamond" w:eastAsia="Calibri" w:hAnsi="Garamond" w:cs="Garamond"/>
                <w:b/>
                <w:bCs/>
                <w:color w:val="000000"/>
                <w:sz w:val="20"/>
                <w:szCs w:val="20"/>
                <w:lang w:val="en-GB"/>
              </w:rPr>
            </w:pPr>
            <w:r w:rsidRPr="00680B64">
              <w:rPr>
                <w:rFonts w:ascii="Garamond" w:eastAsia="Calibri" w:hAnsi="Garamond" w:cs="Garamond"/>
                <w:b/>
                <w:bCs/>
                <w:color w:val="000000"/>
                <w:sz w:val="20"/>
                <w:szCs w:val="20"/>
                <w:lang w:val="en-GB"/>
              </w:rPr>
              <w:t>Tulane University</w:t>
            </w:r>
            <w:r w:rsidR="00B6033D">
              <w:rPr>
                <w:rFonts w:ascii="Garamond" w:eastAsia="Calibri" w:hAnsi="Garamond" w:cs="Garamond"/>
                <w:b/>
                <w:bCs/>
                <w:color w:val="000000"/>
                <w:sz w:val="20"/>
                <w:szCs w:val="20"/>
                <w:lang w:val="en-GB"/>
              </w:rPr>
              <w:t xml:space="preserve"> - Murphy Institute, </w:t>
            </w:r>
            <w:r w:rsidR="00C93678">
              <w:rPr>
                <w:rFonts w:ascii="Garamond" w:eastAsia="Calibri" w:hAnsi="Garamond" w:cs="Garamond"/>
                <w:b/>
                <w:bCs/>
                <w:color w:val="000000"/>
                <w:sz w:val="20"/>
                <w:szCs w:val="20"/>
                <w:lang w:val="en-GB"/>
              </w:rPr>
              <w:t>Masaryk U</w:t>
            </w:r>
            <w:r w:rsidR="00C93678" w:rsidRPr="00C93678">
              <w:rPr>
                <w:rFonts w:ascii="Garamond" w:eastAsia="Calibri" w:hAnsi="Garamond" w:cs="Garamond"/>
                <w:b/>
                <w:bCs/>
                <w:color w:val="000000"/>
                <w:sz w:val="20"/>
                <w:szCs w:val="20"/>
                <w:lang w:val="en-GB"/>
              </w:rPr>
              <w:t>niversity</w:t>
            </w:r>
            <w:r w:rsidR="00C93678">
              <w:rPr>
                <w:rFonts w:ascii="Garamond" w:eastAsia="Calibri" w:hAnsi="Garamond" w:cs="Garamond"/>
                <w:b/>
                <w:bCs/>
                <w:color w:val="000000"/>
                <w:sz w:val="20"/>
                <w:szCs w:val="20"/>
                <w:lang w:val="en-GB"/>
              </w:rPr>
              <w:t xml:space="preserve">, </w:t>
            </w:r>
            <w:r w:rsidR="00B6033D">
              <w:rPr>
                <w:rFonts w:ascii="Garamond" w:eastAsia="Calibri" w:hAnsi="Garamond" w:cs="Garamond"/>
                <w:b/>
                <w:bCs/>
                <w:color w:val="000000"/>
                <w:sz w:val="20"/>
                <w:szCs w:val="20"/>
                <w:lang w:val="en-GB"/>
              </w:rPr>
              <w:t>IZA, GLO</w:t>
            </w:r>
          </w:p>
        </w:tc>
        <w:tc>
          <w:tcPr>
            <w:tcW w:w="3373" w:type="dxa"/>
          </w:tcPr>
          <w:p w14:paraId="718DDB1C" w14:textId="77777777" w:rsidR="00680B64" w:rsidRPr="00680B64" w:rsidRDefault="00680B64" w:rsidP="00680B64">
            <w:pPr>
              <w:autoSpaceDE w:val="0"/>
              <w:autoSpaceDN w:val="0"/>
              <w:adjustRightInd w:val="0"/>
              <w:spacing w:after="0" w:line="240" w:lineRule="auto"/>
              <w:jc w:val="center"/>
              <w:rPr>
                <w:rFonts w:ascii="Garamond" w:eastAsia="Calibri" w:hAnsi="Garamond" w:cs="Garamond"/>
                <w:b/>
                <w:bCs/>
                <w:color w:val="000000"/>
                <w:sz w:val="20"/>
                <w:szCs w:val="20"/>
                <w:lang w:val="en-GB"/>
              </w:rPr>
            </w:pPr>
            <w:r w:rsidRPr="00680B64">
              <w:rPr>
                <w:rFonts w:ascii="Garamond" w:eastAsia="Calibri" w:hAnsi="Garamond" w:cs="Garamond"/>
                <w:b/>
                <w:bCs/>
                <w:color w:val="000000"/>
                <w:sz w:val="20"/>
                <w:szCs w:val="20"/>
                <w:lang w:val="en-GB"/>
              </w:rPr>
              <w:t>Erasmus School of Economics</w:t>
            </w:r>
          </w:p>
          <w:p w14:paraId="52992EBA" w14:textId="4B6F9AA3" w:rsidR="00680B64" w:rsidRPr="00680B64" w:rsidRDefault="00680B64" w:rsidP="00680B64">
            <w:pPr>
              <w:autoSpaceDE w:val="0"/>
              <w:autoSpaceDN w:val="0"/>
              <w:adjustRightInd w:val="0"/>
              <w:spacing w:after="0" w:line="240" w:lineRule="auto"/>
              <w:jc w:val="center"/>
              <w:rPr>
                <w:rFonts w:ascii="Garamond" w:eastAsia="Calibri" w:hAnsi="Garamond" w:cs="Garamond"/>
                <w:b/>
                <w:bCs/>
                <w:color w:val="000000"/>
                <w:sz w:val="20"/>
                <w:szCs w:val="20"/>
                <w:lang w:val="en-GB"/>
              </w:rPr>
            </w:pPr>
            <w:r w:rsidRPr="00680B64">
              <w:rPr>
                <w:rFonts w:ascii="Garamond" w:eastAsia="Calibri" w:hAnsi="Garamond" w:cs="Garamond"/>
                <w:b/>
                <w:bCs/>
                <w:color w:val="000000"/>
                <w:sz w:val="20"/>
                <w:szCs w:val="20"/>
                <w:lang w:val="en-GB"/>
              </w:rPr>
              <w:t>Tinbergen Institute</w:t>
            </w:r>
          </w:p>
        </w:tc>
      </w:tr>
    </w:tbl>
    <w:p w14:paraId="496EE0E8" w14:textId="77777777" w:rsidR="00E4494E" w:rsidRPr="00680B64" w:rsidRDefault="00E4494E" w:rsidP="00165B46">
      <w:pPr>
        <w:jc w:val="center"/>
        <w:rPr>
          <w:rFonts w:ascii="Garamond" w:hAnsi="Garamond" w:cs="Times New Roman"/>
          <w:b/>
          <w:bCs/>
          <w:sz w:val="24"/>
          <w:szCs w:val="24"/>
        </w:rPr>
      </w:pPr>
    </w:p>
    <w:p w14:paraId="5F13F245" w14:textId="77777777" w:rsidR="00E4494E" w:rsidRDefault="00E4494E" w:rsidP="00680B64">
      <w:pPr>
        <w:rPr>
          <w:rFonts w:ascii="Garamond" w:hAnsi="Garamond" w:cs="Times New Roman"/>
          <w:b/>
          <w:bCs/>
          <w:sz w:val="24"/>
          <w:szCs w:val="24"/>
          <w:lang w:val="en-GB"/>
        </w:rPr>
      </w:pPr>
    </w:p>
    <w:p w14:paraId="54E9271A" w14:textId="77777777" w:rsidR="00E4494E" w:rsidRDefault="00E4494E" w:rsidP="00165B46">
      <w:pPr>
        <w:jc w:val="center"/>
        <w:rPr>
          <w:rFonts w:ascii="Garamond" w:hAnsi="Garamond" w:cs="Times New Roman"/>
          <w:b/>
          <w:bCs/>
          <w:sz w:val="24"/>
          <w:szCs w:val="24"/>
          <w:lang w:val="en-GB"/>
        </w:rPr>
      </w:pPr>
    </w:p>
    <w:p w14:paraId="160137AC" w14:textId="1B422DF1" w:rsidR="00165B46" w:rsidRPr="00E4494E" w:rsidRDefault="00CB63D7" w:rsidP="00165B46">
      <w:pPr>
        <w:jc w:val="center"/>
        <w:rPr>
          <w:rFonts w:ascii="Garamond" w:hAnsi="Garamond" w:cs="Times New Roman"/>
          <w:b/>
          <w:bCs/>
          <w:sz w:val="24"/>
          <w:szCs w:val="24"/>
          <w:lang w:val="en-GB"/>
        </w:rPr>
      </w:pPr>
      <w:r w:rsidRPr="00E4494E">
        <w:rPr>
          <w:rFonts w:ascii="Garamond" w:hAnsi="Garamond" w:cs="Times New Roman"/>
          <w:b/>
          <w:bCs/>
          <w:sz w:val="24"/>
          <w:szCs w:val="24"/>
          <w:lang w:val="en-GB"/>
        </w:rPr>
        <w:t>Abstract</w:t>
      </w:r>
    </w:p>
    <w:p w14:paraId="2956DB17" w14:textId="77591C16" w:rsidR="00CB63D7" w:rsidRPr="0022344E" w:rsidRDefault="00CB63D7" w:rsidP="00CB63D7">
      <w:pPr>
        <w:jc w:val="both"/>
        <w:rPr>
          <w:rFonts w:ascii="Garamond" w:hAnsi="Garamond" w:cs="Times New Roman"/>
          <w:sz w:val="24"/>
          <w:szCs w:val="24"/>
          <w:lang w:val="en-GB"/>
        </w:rPr>
      </w:pPr>
      <w:r w:rsidRPr="0022344E">
        <w:rPr>
          <w:rFonts w:ascii="Garamond" w:hAnsi="Garamond" w:cs="Times New Roman"/>
          <w:sz w:val="24"/>
          <w:szCs w:val="24"/>
          <w:lang w:val="en-GB"/>
        </w:rPr>
        <w:t>Does national team performance boo</w:t>
      </w:r>
      <w:r w:rsidR="0022344E" w:rsidRPr="0022344E">
        <w:rPr>
          <w:rFonts w:ascii="Garamond" w:hAnsi="Garamond" w:cs="Times New Roman"/>
          <w:sz w:val="24"/>
          <w:szCs w:val="24"/>
          <w:lang w:val="en-GB"/>
        </w:rPr>
        <w:t>s</w:t>
      </w:r>
      <w:r w:rsidRPr="0022344E">
        <w:rPr>
          <w:rFonts w:ascii="Garamond" w:hAnsi="Garamond" w:cs="Times New Roman"/>
          <w:sz w:val="24"/>
          <w:szCs w:val="24"/>
          <w:lang w:val="en-GB"/>
        </w:rPr>
        <w:t xml:space="preserve">t </w:t>
      </w:r>
      <w:r w:rsidR="00AC0BAE">
        <w:rPr>
          <w:rFonts w:ascii="Garamond" w:hAnsi="Garamond" w:cs="Times New Roman"/>
          <w:sz w:val="24"/>
          <w:szCs w:val="24"/>
          <w:lang w:val="en-GB"/>
        </w:rPr>
        <w:t>birth rates</w:t>
      </w:r>
      <w:r w:rsidR="0022344E" w:rsidRPr="0022344E">
        <w:rPr>
          <w:rFonts w:ascii="Garamond" w:hAnsi="Garamond" w:cs="Times New Roman"/>
          <w:sz w:val="24"/>
          <w:szCs w:val="24"/>
          <w:lang w:val="en-GB"/>
        </w:rPr>
        <w:t xml:space="preserve">? We compiled a unique dataset combining country-level </w:t>
      </w:r>
      <w:r w:rsidR="003C18C0">
        <w:rPr>
          <w:rFonts w:ascii="Garamond" w:hAnsi="Garamond" w:cs="Times New Roman"/>
          <w:sz w:val="24"/>
          <w:szCs w:val="24"/>
          <w:lang w:val="en-GB"/>
        </w:rPr>
        <w:t xml:space="preserve">monthly </w:t>
      </w:r>
      <w:r w:rsidR="0022344E" w:rsidRPr="0022344E">
        <w:rPr>
          <w:rFonts w:ascii="Garamond" w:hAnsi="Garamond" w:cs="Times New Roman"/>
          <w:sz w:val="24"/>
          <w:szCs w:val="24"/>
          <w:lang w:val="en-GB"/>
        </w:rPr>
        <w:t xml:space="preserve">birth rates for </w:t>
      </w:r>
      <w:r w:rsidR="00BD5916">
        <w:rPr>
          <w:rFonts w:ascii="Garamond" w:hAnsi="Garamond" w:cs="Times New Roman"/>
          <w:sz w:val="24"/>
          <w:szCs w:val="24"/>
          <w:lang w:val="en-GB"/>
        </w:rPr>
        <w:t>5</w:t>
      </w:r>
      <w:r w:rsidR="00221022">
        <w:rPr>
          <w:rFonts w:ascii="Garamond" w:hAnsi="Garamond" w:cs="Times New Roman"/>
          <w:sz w:val="24"/>
          <w:szCs w:val="24"/>
          <w:lang w:val="en-GB"/>
        </w:rPr>
        <w:t>0</w:t>
      </w:r>
      <w:r w:rsidR="0022344E" w:rsidRPr="0022344E">
        <w:rPr>
          <w:rFonts w:ascii="Garamond" w:hAnsi="Garamond" w:cs="Times New Roman"/>
          <w:sz w:val="24"/>
          <w:szCs w:val="24"/>
          <w:lang w:val="en-GB"/>
        </w:rPr>
        <w:t xml:space="preserve"> European countries</w:t>
      </w:r>
      <w:r w:rsidR="003C18C0">
        <w:rPr>
          <w:rFonts w:ascii="Garamond" w:hAnsi="Garamond" w:cs="Times New Roman"/>
          <w:sz w:val="24"/>
          <w:szCs w:val="24"/>
          <w:lang w:val="en-GB"/>
        </w:rPr>
        <w:t>, along 56 years,</w:t>
      </w:r>
      <w:r w:rsidR="0022344E" w:rsidRPr="0022344E">
        <w:rPr>
          <w:rFonts w:ascii="Garamond" w:hAnsi="Garamond" w:cs="Times New Roman"/>
          <w:sz w:val="24"/>
          <w:szCs w:val="24"/>
          <w:lang w:val="en-GB"/>
        </w:rPr>
        <w:t xml:space="preserve"> </w:t>
      </w:r>
      <w:r w:rsidR="00221022">
        <w:rPr>
          <w:rFonts w:ascii="Garamond" w:hAnsi="Garamond" w:cs="Times New Roman"/>
          <w:sz w:val="24"/>
          <w:szCs w:val="24"/>
          <w:lang w:val="en-GB"/>
        </w:rPr>
        <w:t>with</w:t>
      </w:r>
      <w:r w:rsidR="0022344E" w:rsidRPr="0022344E">
        <w:rPr>
          <w:rFonts w:ascii="Garamond" w:hAnsi="Garamond" w:cs="Times New Roman"/>
          <w:sz w:val="24"/>
          <w:szCs w:val="24"/>
          <w:lang w:val="en-GB"/>
        </w:rPr>
        <w:t xml:space="preserve"> measures of national </w:t>
      </w:r>
      <w:r w:rsidR="00B911E5" w:rsidRPr="0022344E">
        <w:rPr>
          <w:rFonts w:ascii="Garamond" w:hAnsi="Garamond" w:cs="Times New Roman"/>
          <w:sz w:val="24"/>
          <w:szCs w:val="24"/>
          <w:lang w:val="en-GB"/>
        </w:rPr>
        <w:t>team</w:t>
      </w:r>
      <w:r w:rsidR="00B911E5">
        <w:rPr>
          <w:rFonts w:ascii="Garamond" w:hAnsi="Garamond" w:cs="Times New Roman"/>
          <w:sz w:val="24"/>
          <w:szCs w:val="24"/>
          <w:lang w:val="en-GB"/>
        </w:rPr>
        <w:t>s’</w:t>
      </w:r>
      <w:r w:rsidR="0022344E" w:rsidRPr="0022344E">
        <w:rPr>
          <w:rFonts w:ascii="Garamond" w:hAnsi="Garamond" w:cs="Times New Roman"/>
          <w:sz w:val="24"/>
          <w:szCs w:val="24"/>
          <w:lang w:val="en-GB"/>
        </w:rPr>
        <w:t xml:space="preserve"> performance in </w:t>
      </w:r>
      <w:r w:rsidR="003C18C0">
        <w:rPr>
          <w:rFonts w:ascii="Garamond" w:hAnsi="Garamond" w:cs="Times New Roman"/>
          <w:sz w:val="24"/>
          <w:szCs w:val="24"/>
          <w:lang w:val="en-GB"/>
        </w:rPr>
        <w:t xml:space="preserve">27 </w:t>
      </w:r>
      <w:r w:rsidR="00F1213C">
        <w:rPr>
          <w:rFonts w:ascii="Garamond" w:hAnsi="Garamond" w:cs="Times New Roman"/>
          <w:sz w:val="24"/>
          <w:szCs w:val="24"/>
          <w:lang w:val="en-GB"/>
        </w:rPr>
        <w:t>international</w:t>
      </w:r>
      <w:r w:rsidR="005949EF">
        <w:rPr>
          <w:rFonts w:ascii="Garamond" w:hAnsi="Garamond" w:cs="Times New Roman"/>
          <w:sz w:val="24"/>
          <w:szCs w:val="24"/>
          <w:lang w:val="en-GB"/>
        </w:rPr>
        <w:t xml:space="preserve"> </w:t>
      </w:r>
      <w:r w:rsidR="00B07D71">
        <w:rPr>
          <w:rFonts w:ascii="Garamond" w:hAnsi="Garamond" w:cs="Times New Roman"/>
          <w:sz w:val="24"/>
          <w:szCs w:val="24"/>
          <w:lang w:val="en-GB"/>
        </w:rPr>
        <w:t>football</w:t>
      </w:r>
      <w:r w:rsidR="0022344E" w:rsidRPr="0022344E">
        <w:rPr>
          <w:rFonts w:ascii="Garamond" w:hAnsi="Garamond" w:cs="Times New Roman"/>
          <w:sz w:val="24"/>
          <w:szCs w:val="24"/>
          <w:lang w:val="en-GB"/>
        </w:rPr>
        <w:t xml:space="preserve"> events. We</w:t>
      </w:r>
      <w:r w:rsidR="0022344E">
        <w:rPr>
          <w:rFonts w:ascii="Garamond" w:hAnsi="Garamond" w:cs="Times New Roman"/>
          <w:sz w:val="24"/>
          <w:szCs w:val="24"/>
          <w:lang w:val="en-GB"/>
        </w:rPr>
        <w:t xml:space="preserve"> find that</w:t>
      </w:r>
      <w:r w:rsidR="00B911E5">
        <w:rPr>
          <w:rFonts w:ascii="Garamond" w:hAnsi="Garamond" w:cs="Times New Roman"/>
          <w:sz w:val="24"/>
          <w:szCs w:val="24"/>
          <w:lang w:val="en-GB"/>
        </w:rPr>
        <w:t xml:space="preserve"> an increase in </w:t>
      </w:r>
      <w:bookmarkStart w:id="0" w:name="_Hlk66698092"/>
      <w:r w:rsidR="00B911E5">
        <w:rPr>
          <w:rFonts w:ascii="Garamond" w:hAnsi="Garamond" w:cs="Times New Roman"/>
          <w:sz w:val="24"/>
          <w:szCs w:val="24"/>
          <w:lang w:val="en-GB"/>
        </w:rPr>
        <w:t>national team</w:t>
      </w:r>
      <w:r w:rsidR="001B613E">
        <w:rPr>
          <w:rFonts w:ascii="Garamond" w:hAnsi="Garamond" w:cs="Times New Roman"/>
          <w:sz w:val="24"/>
          <w:szCs w:val="24"/>
          <w:lang w:val="en-GB"/>
        </w:rPr>
        <w:t>s</w:t>
      </w:r>
      <w:r w:rsidR="004E32D9">
        <w:rPr>
          <w:rFonts w:ascii="Garamond" w:hAnsi="Garamond" w:cs="Times New Roman"/>
          <w:sz w:val="24"/>
          <w:szCs w:val="24"/>
          <w:lang w:val="en-GB"/>
        </w:rPr>
        <w:t>’</w:t>
      </w:r>
      <w:r w:rsidR="00B911E5">
        <w:rPr>
          <w:rFonts w:ascii="Garamond" w:hAnsi="Garamond" w:cs="Times New Roman"/>
          <w:sz w:val="24"/>
          <w:szCs w:val="24"/>
          <w:lang w:val="en-GB"/>
        </w:rPr>
        <w:t xml:space="preserve"> performance in international cups is associated with a drop in </w:t>
      </w:r>
      <w:r w:rsidR="00AC0BAE">
        <w:rPr>
          <w:rFonts w:ascii="Garamond" w:hAnsi="Garamond" w:cs="Times New Roman"/>
          <w:sz w:val="24"/>
          <w:szCs w:val="24"/>
          <w:lang w:val="en-GB"/>
        </w:rPr>
        <w:t>birth</w:t>
      </w:r>
      <w:r w:rsidR="00B911E5">
        <w:rPr>
          <w:rFonts w:ascii="Garamond" w:hAnsi="Garamond" w:cs="Times New Roman"/>
          <w:sz w:val="24"/>
          <w:szCs w:val="24"/>
          <w:lang w:val="en-GB"/>
        </w:rPr>
        <w:t xml:space="preserve"> rates </w:t>
      </w:r>
      <w:r w:rsidR="00FF3887">
        <w:rPr>
          <w:rFonts w:ascii="Garamond" w:hAnsi="Garamond" w:cs="Times New Roman"/>
          <w:sz w:val="24"/>
          <w:szCs w:val="24"/>
          <w:lang w:val="en-GB"/>
        </w:rPr>
        <w:t>nine</w:t>
      </w:r>
      <w:r w:rsidR="00B911E5">
        <w:rPr>
          <w:rFonts w:ascii="Garamond" w:hAnsi="Garamond" w:cs="Times New Roman"/>
          <w:sz w:val="24"/>
          <w:szCs w:val="24"/>
          <w:lang w:val="en-GB"/>
        </w:rPr>
        <w:t xml:space="preserve"> months after the event</w:t>
      </w:r>
      <w:bookmarkEnd w:id="0"/>
      <w:r w:rsidR="00B911E5">
        <w:rPr>
          <w:rFonts w:ascii="Garamond" w:hAnsi="Garamond" w:cs="Times New Roman"/>
          <w:sz w:val="24"/>
          <w:szCs w:val="24"/>
          <w:lang w:val="en-GB"/>
        </w:rPr>
        <w:t>.</w:t>
      </w:r>
      <w:r w:rsidR="0022344E">
        <w:rPr>
          <w:rFonts w:ascii="Garamond" w:hAnsi="Garamond" w:cs="Times New Roman"/>
          <w:sz w:val="24"/>
          <w:szCs w:val="24"/>
          <w:lang w:val="en-GB"/>
        </w:rPr>
        <w:t xml:space="preserve"> We hypothesize that these results might be explained by individuals</w:t>
      </w:r>
      <w:r w:rsidR="00CA512E">
        <w:rPr>
          <w:rFonts w:ascii="Garamond" w:hAnsi="Garamond" w:cs="Times New Roman"/>
          <w:sz w:val="24"/>
          <w:szCs w:val="24"/>
          <w:lang w:val="en-GB"/>
        </w:rPr>
        <w:t>’</w:t>
      </w:r>
      <w:r w:rsidR="0022344E">
        <w:rPr>
          <w:rFonts w:ascii="Garamond" w:hAnsi="Garamond" w:cs="Times New Roman"/>
          <w:sz w:val="24"/>
          <w:szCs w:val="24"/>
          <w:lang w:val="en-GB"/>
        </w:rPr>
        <w:t xml:space="preserve"> time allocation choices. </w:t>
      </w:r>
      <w:r w:rsidR="0022344E" w:rsidRPr="0022344E">
        <w:rPr>
          <w:rFonts w:ascii="Garamond" w:hAnsi="Garamond" w:cs="Times New Roman"/>
          <w:sz w:val="24"/>
          <w:szCs w:val="24"/>
          <w:lang w:val="en-GB"/>
        </w:rPr>
        <w:t xml:space="preserve"> </w:t>
      </w:r>
    </w:p>
    <w:p w14:paraId="5C174872" w14:textId="77777777" w:rsidR="00CB63D7" w:rsidRDefault="00CB63D7" w:rsidP="00165B46">
      <w:pPr>
        <w:jc w:val="center"/>
        <w:rPr>
          <w:rFonts w:ascii="Times New Roman" w:hAnsi="Times New Roman" w:cs="Times New Roman"/>
          <w:lang w:val="en-GB"/>
        </w:rPr>
      </w:pPr>
    </w:p>
    <w:p w14:paraId="64C1E6C0" w14:textId="1E23748D" w:rsidR="00165B46" w:rsidRDefault="00165B46" w:rsidP="00165B46">
      <w:pPr>
        <w:jc w:val="center"/>
        <w:rPr>
          <w:rFonts w:ascii="Times New Roman" w:hAnsi="Times New Roman" w:cs="Times New Roman"/>
          <w:lang w:val="en-GB"/>
        </w:rPr>
      </w:pPr>
    </w:p>
    <w:p w14:paraId="6F30222F" w14:textId="120A1409" w:rsidR="00680B64" w:rsidRPr="009614B1" w:rsidRDefault="00680B64" w:rsidP="00680B64">
      <w:pPr>
        <w:rPr>
          <w:rFonts w:ascii="Garamond" w:hAnsi="Garamond" w:cs="Times New Roman"/>
          <w:b/>
          <w:sz w:val="24"/>
          <w:szCs w:val="24"/>
          <w:lang w:val="fr-FR"/>
        </w:rPr>
      </w:pPr>
      <w:r w:rsidRPr="009614B1">
        <w:rPr>
          <w:rFonts w:ascii="Garamond" w:hAnsi="Garamond" w:cs="Times New Roman"/>
          <w:b/>
          <w:sz w:val="24"/>
          <w:szCs w:val="24"/>
          <w:lang w:val="fr-FR"/>
        </w:rPr>
        <w:t xml:space="preserve">JEL </w:t>
      </w:r>
      <w:r w:rsidR="000B3974" w:rsidRPr="009614B1">
        <w:rPr>
          <w:rFonts w:ascii="Garamond" w:hAnsi="Garamond" w:cs="Times New Roman"/>
          <w:b/>
          <w:sz w:val="24"/>
          <w:szCs w:val="24"/>
          <w:lang w:val="fr-FR"/>
        </w:rPr>
        <w:t>Codes:</w:t>
      </w:r>
      <w:r w:rsidRPr="009614B1">
        <w:rPr>
          <w:rFonts w:ascii="Garamond" w:hAnsi="Garamond" w:cs="Times New Roman"/>
          <w:sz w:val="24"/>
          <w:szCs w:val="24"/>
          <w:lang w:val="fr-FR"/>
        </w:rPr>
        <w:t xml:space="preserve"> </w:t>
      </w:r>
      <w:r w:rsidR="005B6210" w:rsidRPr="009614B1">
        <w:rPr>
          <w:rFonts w:ascii="Garamond" w:hAnsi="Garamond" w:cs="Times New Roman"/>
          <w:sz w:val="24"/>
          <w:szCs w:val="24"/>
          <w:lang w:val="fr-FR"/>
        </w:rPr>
        <w:t>I10, J10, J11, J13</w:t>
      </w:r>
    </w:p>
    <w:p w14:paraId="249C59F7" w14:textId="06C751E0" w:rsidR="00680B64" w:rsidRPr="005B6210" w:rsidRDefault="00680B64" w:rsidP="00680B64">
      <w:pPr>
        <w:rPr>
          <w:rFonts w:ascii="Garamond" w:hAnsi="Garamond" w:cs="Times New Roman"/>
          <w:bCs/>
          <w:sz w:val="24"/>
          <w:szCs w:val="24"/>
          <w:lang w:val="en-GB"/>
        </w:rPr>
      </w:pPr>
      <w:r w:rsidRPr="00680B64">
        <w:rPr>
          <w:rFonts w:ascii="Garamond" w:hAnsi="Garamond" w:cs="Times New Roman"/>
          <w:b/>
          <w:sz w:val="24"/>
          <w:szCs w:val="24"/>
          <w:lang w:val="en-GB"/>
        </w:rPr>
        <w:t>Keywords</w:t>
      </w:r>
      <w:r w:rsidRPr="00DE5901">
        <w:rPr>
          <w:rFonts w:ascii="Garamond" w:hAnsi="Garamond" w:cs="Times New Roman"/>
          <w:b/>
          <w:sz w:val="24"/>
          <w:szCs w:val="24"/>
          <w:lang w:val="en-GB"/>
        </w:rPr>
        <w:t>:</w:t>
      </w:r>
      <w:r w:rsidR="005B6210">
        <w:rPr>
          <w:rFonts w:ascii="Garamond" w:hAnsi="Garamond" w:cs="Times New Roman"/>
          <w:b/>
          <w:sz w:val="24"/>
          <w:szCs w:val="24"/>
          <w:lang w:val="en-GB"/>
        </w:rPr>
        <w:t xml:space="preserve"> </w:t>
      </w:r>
      <w:r w:rsidR="005B6210" w:rsidRPr="005B6210">
        <w:rPr>
          <w:rFonts w:ascii="Garamond" w:hAnsi="Garamond" w:cs="Times New Roman"/>
          <w:bCs/>
          <w:sz w:val="24"/>
          <w:szCs w:val="24"/>
          <w:lang w:val="en-GB"/>
        </w:rPr>
        <w:t>football,</w:t>
      </w:r>
      <w:r w:rsidR="005B6210">
        <w:rPr>
          <w:rFonts w:ascii="Garamond" w:hAnsi="Garamond" w:cs="Times New Roman"/>
          <w:bCs/>
          <w:sz w:val="24"/>
          <w:szCs w:val="24"/>
          <w:lang w:val="en-GB"/>
        </w:rPr>
        <w:t xml:space="preserve"> sporting events,</w:t>
      </w:r>
      <w:r w:rsidR="005B6210" w:rsidRPr="005B6210">
        <w:rPr>
          <w:rFonts w:ascii="Garamond" w:hAnsi="Garamond" w:cs="Times New Roman"/>
          <w:bCs/>
          <w:sz w:val="24"/>
          <w:szCs w:val="24"/>
          <w:lang w:val="en-GB"/>
        </w:rPr>
        <w:t xml:space="preserve"> time allocation, </w:t>
      </w:r>
      <w:r w:rsidR="005B6210">
        <w:rPr>
          <w:rFonts w:ascii="Garamond" w:hAnsi="Garamond" w:cs="Times New Roman"/>
          <w:bCs/>
          <w:sz w:val="24"/>
          <w:szCs w:val="24"/>
          <w:lang w:val="en-GB"/>
        </w:rPr>
        <w:t>birth rates, fertility</w:t>
      </w:r>
    </w:p>
    <w:p w14:paraId="1DCB9796" w14:textId="77777777" w:rsidR="006D31A4" w:rsidRDefault="006D31A4" w:rsidP="0048226F">
      <w:pPr>
        <w:jc w:val="center"/>
        <w:rPr>
          <w:rFonts w:ascii="Times New Roman" w:hAnsi="Times New Roman" w:cs="Times New Roman"/>
        </w:rPr>
      </w:pPr>
    </w:p>
    <w:p w14:paraId="3F14A935" w14:textId="03D3B5DE" w:rsidR="006D31A4" w:rsidRDefault="006D31A4" w:rsidP="006D31A4">
      <w:pPr>
        <w:rPr>
          <w:rFonts w:ascii="Garamond" w:hAnsi="Garamond" w:cs="Times New Roman"/>
          <w:b/>
          <w:sz w:val="24"/>
          <w:szCs w:val="24"/>
          <w:lang w:val="en-GB"/>
        </w:rPr>
      </w:pPr>
    </w:p>
    <w:p w14:paraId="6BF4B91F" w14:textId="266ED24C" w:rsidR="0048226F" w:rsidRDefault="0048226F" w:rsidP="006D31A4">
      <w:pPr>
        <w:rPr>
          <w:rFonts w:ascii="Garamond" w:hAnsi="Garamond" w:cs="Times New Roman"/>
          <w:b/>
          <w:sz w:val="24"/>
          <w:szCs w:val="24"/>
          <w:lang w:val="en-GB"/>
        </w:rPr>
      </w:pPr>
    </w:p>
    <w:p w14:paraId="4804CB1C" w14:textId="77777777" w:rsidR="0048226F" w:rsidRDefault="0048226F" w:rsidP="006D31A4">
      <w:pPr>
        <w:rPr>
          <w:rFonts w:ascii="Garamond" w:hAnsi="Garamond" w:cs="Times New Roman"/>
          <w:b/>
          <w:sz w:val="24"/>
          <w:szCs w:val="24"/>
          <w:lang w:val="en-GB"/>
        </w:rPr>
      </w:pPr>
    </w:p>
    <w:p w14:paraId="34B60D71" w14:textId="56B3D8BE" w:rsidR="00F17328" w:rsidRDefault="008F15ED" w:rsidP="00B52C77">
      <w:pPr>
        <w:rPr>
          <w:rFonts w:ascii="Times New Roman" w:hAnsi="Times New Roman" w:cs="Times New Roman"/>
          <w:lang w:val="en-GB"/>
        </w:rPr>
      </w:pPr>
      <w:r w:rsidRPr="00102AAF">
        <w:rPr>
          <w:rFonts w:ascii="Times New Roman" w:hAnsi="Times New Roman" w:cs="Times New Roman"/>
          <w:noProof/>
        </w:rPr>
        <mc:AlternateContent>
          <mc:Choice Requires="wps">
            <w:drawing>
              <wp:anchor distT="45720" distB="45720" distL="114300" distR="114300" simplePos="0" relativeHeight="251656192" behindDoc="0" locked="0" layoutInCell="1" allowOverlap="1" wp14:anchorId="3AED5D0A" wp14:editId="6F21D8B9">
                <wp:simplePos x="0" y="0"/>
                <wp:positionH relativeFrom="column">
                  <wp:posOffset>0</wp:posOffset>
                </wp:positionH>
                <wp:positionV relativeFrom="paragraph">
                  <wp:posOffset>399415</wp:posOffset>
                </wp:positionV>
                <wp:extent cx="6065520" cy="1079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079500"/>
                        </a:xfrm>
                        <a:custGeom>
                          <a:avLst/>
                          <a:gdLst>
                            <a:gd name="connsiteX0" fmla="*/ 0 w 6065520"/>
                            <a:gd name="connsiteY0" fmla="*/ 0 h 570230"/>
                            <a:gd name="connsiteX1" fmla="*/ 6065520 w 6065520"/>
                            <a:gd name="connsiteY1" fmla="*/ 0 h 570230"/>
                            <a:gd name="connsiteX2" fmla="*/ 6065520 w 6065520"/>
                            <a:gd name="connsiteY2" fmla="*/ 570230 h 570230"/>
                            <a:gd name="connsiteX3" fmla="*/ 0 w 6065520"/>
                            <a:gd name="connsiteY3" fmla="*/ 570230 h 570230"/>
                            <a:gd name="connsiteX4" fmla="*/ 0 w 6065520"/>
                            <a:gd name="connsiteY4" fmla="*/ 0 h 570230"/>
                            <a:gd name="connsiteX0" fmla="*/ 0 w 6065520"/>
                            <a:gd name="connsiteY0" fmla="*/ 0 h 570230"/>
                            <a:gd name="connsiteX1" fmla="*/ 6065520 w 6065520"/>
                            <a:gd name="connsiteY1" fmla="*/ 0 h 570230"/>
                            <a:gd name="connsiteX2" fmla="*/ 6065520 w 6065520"/>
                            <a:gd name="connsiteY2" fmla="*/ 570230 h 570230"/>
                            <a:gd name="connsiteX3" fmla="*/ 0 w 6065520"/>
                            <a:gd name="connsiteY3" fmla="*/ 570230 h 570230"/>
                            <a:gd name="connsiteX4" fmla="*/ 0 w 6065520"/>
                            <a:gd name="connsiteY4" fmla="*/ 0 h 5702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5520" h="570230">
                              <a:moveTo>
                                <a:pt x="0" y="0"/>
                              </a:moveTo>
                              <a:cubicBezTo>
                                <a:pt x="2021840" y="0"/>
                                <a:pt x="20320" y="7620"/>
                                <a:pt x="6065520" y="0"/>
                              </a:cubicBezTo>
                              <a:lnTo>
                                <a:pt x="6065520" y="570230"/>
                              </a:lnTo>
                              <a:lnTo>
                                <a:pt x="0" y="570230"/>
                              </a:lnTo>
                              <a:lnTo>
                                <a:pt x="0" y="0"/>
                              </a:lnTo>
                              <a:close/>
                            </a:path>
                          </a:pathLst>
                        </a:custGeom>
                        <a:solidFill>
                          <a:srgbClr val="FFFFFF"/>
                        </a:solidFill>
                        <a:ln w="9525">
                          <a:noFill/>
                          <a:miter lim="800000"/>
                          <a:headEnd/>
                          <a:tailEnd/>
                        </a:ln>
                      </wps:spPr>
                      <wps:txbx>
                        <w:txbxContent>
                          <w:p w14:paraId="64D9D31E" w14:textId="624E5BBF" w:rsidR="00BC57EA" w:rsidRPr="00102AAF" w:rsidRDefault="00BC57EA" w:rsidP="00102AAF">
                            <w:pPr>
                              <w:rPr>
                                <w:rFonts w:ascii="Garamond" w:hAnsi="Garamond"/>
                              </w:rPr>
                            </w:pPr>
                            <w:r w:rsidRPr="00102AAF">
                              <w:rPr>
                                <w:rFonts w:ascii="Garamond" w:hAnsi="Garamond"/>
                              </w:rPr>
                              <w:t>Luca Fumarco: Department of Economics</w:t>
                            </w:r>
                            <w:r>
                              <w:rPr>
                                <w:rFonts w:ascii="Garamond" w:hAnsi="Garamond"/>
                              </w:rPr>
                              <w:t xml:space="preserve">, </w:t>
                            </w:r>
                            <w:bookmarkStart w:id="1" w:name="_GoBack"/>
                            <w:r w:rsidRPr="00102AAF">
                              <w:rPr>
                                <w:rFonts w:ascii="Garamond" w:hAnsi="Garamond"/>
                              </w:rPr>
                              <w:t>Tulane University</w:t>
                            </w:r>
                            <w:bookmarkEnd w:id="1"/>
                            <w:r w:rsidRPr="00102AAF">
                              <w:rPr>
                                <w:rFonts w:ascii="Garamond" w:hAnsi="Garamond"/>
                              </w:rPr>
                              <w:t xml:space="preserve">, United States; </w:t>
                            </w:r>
                            <w:hyperlink r:id="rId9" w:history="1">
                              <w:r w:rsidRPr="00102AAF">
                                <w:rPr>
                                  <w:rStyle w:val="Collegamentoipertestuale"/>
                                  <w:rFonts w:ascii="Garamond" w:hAnsi="Garamond"/>
                                </w:rPr>
                                <w:t>lfumarco@tulane.edu</w:t>
                              </w:r>
                            </w:hyperlink>
                            <w:r w:rsidRPr="00102AAF">
                              <w:rPr>
                                <w:rFonts w:ascii="Garamond" w:hAnsi="Garamond"/>
                              </w:rPr>
                              <w:t xml:space="preserve"> </w:t>
                            </w:r>
                            <w:r>
                              <w:rPr>
                                <w:rFonts w:ascii="Garamond" w:hAnsi="Garamond"/>
                              </w:rPr>
                              <w:t xml:space="preserve">Francesco Principe: </w:t>
                            </w:r>
                            <w:r w:rsidRPr="00102AAF">
                              <w:rPr>
                                <w:rFonts w:ascii="Garamond" w:hAnsi="Garamond"/>
                              </w:rPr>
                              <w:t>Erasmus School of Economics, Tinbergen Institute and ECASE (Erasmus Center for Applied</w:t>
                            </w:r>
                            <w:r>
                              <w:rPr>
                                <w:rFonts w:ascii="Garamond" w:hAnsi="Garamond"/>
                              </w:rPr>
                              <w:t xml:space="preserve"> </w:t>
                            </w:r>
                            <w:r w:rsidRPr="00102AAF">
                              <w:rPr>
                                <w:rFonts w:ascii="Garamond" w:hAnsi="Garamond"/>
                              </w:rPr>
                              <w:t xml:space="preserve">Sports Economics), the Netherlands; </w:t>
                            </w:r>
                            <w:hyperlink r:id="rId10" w:history="1">
                              <w:r w:rsidRPr="000831F1">
                                <w:rPr>
                                  <w:rStyle w:val="Collegamentoipertestuale"/>
                                  <w:rFonts w:ascii="Garamond" w:hAnsi="Garamond"/>
                                </w:rPr>
                                <w:t>principe@ese.eur.nl</w:t>
                              </w:r>
                            </w:hyperlink>
                            <w:r>
                              <w:rPr>
                                <w:rFonts w:ascii="Garamond" w:hAnsi="Garamon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margin-left:0;margin-top:31.45pt;width:477.6pt;height: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065520,570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ZcWwMAALoKAAAOAAAAZHJzL2Uyb0RvYy54bWzsVslu2zAQvRfoPxA8Fmgky3acGJGDLE1R&#10;IF2ApEB7pCjKEkqRKklbSr6+Q1Ky6eRgJ+ihh/ogc5l5s3GWs/Ou5mjNlK6kSPHoKMaICSrzSixT&#10;/P3+5v0JRtoQkRMuBUvxA9P4fPH2zVnbzFkiS8lzphCACD1vmxSXxjTzKNK0ZDXRR7JhAi4LqWpi&#10;YKuWUa5IC+g1j5I4Po5aqfJGScq0htNrf4kXDr8oGDVfi0Izg3iKQTfjvsp9M/uNFmdkvlSkKSva&#10;q0FeoUVNKgFCN1DXxBC0UtUzqLqiSmpZmCMq60gWRUWZswGsGcVPrLkrScOcLeAc3WzcpP8eLP2y&#10;/qZQlac4Gc0wEqSGIN2zzqBL2aHE+qdt9BzI7hogNB0cQ5ydrbq5lfSXRkJelUQs2YVSsi0ZyUG/&#10;keWMAlaPoy1I1n6WOYghKyMdUFeo2joP3IEAHeL0sImNVYXC4XF8PJ0mcEXhbhTPTqexi15E5gM7&#10;XWnzkUkHRda32vjg5rByocl786gUQleG/QC0ouYQ73cRilGLBhk93xPyn7vkJZrO4mQ8PKFn4KMA&#10;vAfeLyJkitE+EclrRIRM3oK9csaBnAP8FJIfKGHyMgm75PvctBu3/2Hui96zFxvG7R8PM2T9cshr&#10;Ug6pTjvR5zqsEJQkW0Vs6jdS28ISJj5UkWELiW2LFZkDl6Xewww5GjL7SncoM2RfyOwK7MGSIUAh&#10;8/hFakPOhMyTkNlr0PtOQdO07ZK7dmkwgnapMIJ2mfmX0xBjXe4cC0vUBtW5THFfFu11LdfsXjpC&#10;86Syg8jtLV1lFb1kjyFtEiejkwnkLmjdF9nGgSTx2PYBOJ4dw8IVa38z1O8Ni7VrB5qLUERIvy3m&#10;wDSQDf8e3gs9mHB4VQMI5VIz/9CsB92L27jSabptX1ryKr+pOLe+02qZXXGF1gSicuN+ffB2yLiw&#10;kTidJlP35oW0/M47NTQ7hXhVp/gktj/vNNuqP4jckRhScb925ve927Zr37hNl3VAaBt6JvMH6OJK&#10;+mEKhj9YlFI9YtTCIJVi/XtFFMOIfxIwCZyOJjaKxm0m05mNnQpvsvCGCApQKYZn55dXBnY+i4W8&#10;gImhqGxfd6OF16TfwIDkXNoPc3YCC/eOajtyLv4AAAD//wMAUEsDBBQABgAIAAAAIQBxTTNz3gAA&#10;AAcBAAAPAAAAZHJzL2Rvd25yZXYueG1sTI/BTsMwEETvSPyDtUjcqNNAqzZkU5VKlSqBkNryAW68&#10;xBH2OordJvD1mFM57sxo5m25Gp0VF+pD6xlhOslAENdet9wgfBy3DwsQISrWynomhG8KsKpub0pV&#10;aD/wni6H2IhUwqFQCCbGrpAy1IacChPfESfv0/dOxXT2jdS9GlK5szLPsrl0quW0YFRHG0P11+Hs&#10;EMJ2P13ssmH9s9m9myPbl7en1xHx/m5cP4OINMZrGP7wEzpUienkz6yDsAjpkYgwz5cgkruczXIQ&#10;J4T8MSmyKuV//uoXAAD//wMAUEsBAi0AFAAGAAgAAAAhALaDOJL+AAAA4QEAABMAAAAAAAAAAAAA&#10;AAAAAAAAAFtDb250ZW50X1R5cGVzXS54bWxQSwECLQAUAAYACAAAACEAOP0h/9YAAACUAQAACwAA&#10;AAAAAAAAAAAAAAAvAQAAX3JlbHMvLnJlbHNQSwECLQAUAAYACAAAACEAxaUWXFsDAAC6CgAADgAA&#10;AAAAAAAAAAAAAAAuAgAAZHJzL2Uyb0RvYy54bWxQSwECLQAUAAYACAAAACEAcU0zc94AAAAHAQAA&#10;DwAAAAAAAAAAAAAAAAC1BQAAZHJzL2Rvd25yZXYueG1sUEsFBgAAAAAEAAQA8wAAAMAGAAAAAA==&#10;" adj="-11796480,,5400" path="m,c2021840,,20320,7620,6065520,r,570230l,570230,,xe" stroked="f">
                <v:stroke joinstyle="miter"/>
                <v:formulas/>
                <v:path o:connecttype="custom" o:connectlocs="0,0;6065520,0;6065520,1079500;0,1079500;0,0" o:connectangles="0,0,0,0,0" textboxrect="0,0,6065520,570230"/>
                <v:textbox>
                  <w:txbxContent>
                    <w:p w14:paraId="64D9D31E" w14:textId="624E5BBF" w:rsidR="00BC57EA" w:rsidRPr="00102AAF" w:rsidRDefault="00BC57EA" w:rsidP="00102AAF">
                      <w:pPr>
                        <w:rPr>
                          <w:rFonts w:ascii="Garamond" w:hAnsi="Garamond"/>
                        </w:rPr>
                      </w:pPr>
                      <w:r w:rsidRPr="00102AAF">
                        <w:rPr>
                          <w:rFonts w:ascii="Garamond" w:hAnsi="Garamond"/>
                        </w:rPr>
                        <w:t>Luca Fumarco: Department of Economics</w:t>
                      </w:r>
                      <w:r>
                        <w:rPr>
                          <w:rFonts w:ascii="Garamond" w:hAnsi="Garamond"/>
                        </w:rPr>
                        <w:t xml:space="preserve">, </w:t>
                      </w:r>
                      <w:r w:rsidRPr="00102AAF">
                        <w:rPr>
                          <w:rFonts w:ascii="Garamond" w:hAnsi="Garamond"/>
                        </w:rPr>
                        <w:t xml:space="preserve">Tulane University, United States; </w:t>
                      </w:r>
                      <w:hyperlink r:id="rId11" w:history="1">
                        <w:r w:rsidRPr="00102AAF">
                          <w:rPr>
                            <w:rStyle w:val="Collegamentoipertestuale"/>
                            <w:rFonts w:ascii="Garamond" w:hAnsi="Garamond"/>
                          </w:rPr>
                          <w:t>lfumarco@tulane.edu</w:t>
                        </w:r>
                      </w:hyperlink>
                      <w:r w:rsidRPr="00102AAF">
                        <w:rPr>
                          <w:rFonts w:ascii="Garamond" w:hAnsi="Garamond"/>
                        </w:rPr>
                        <w:t xml:space="preserve"> </w:t>
                      </w:r>
                      <w:r>
                        <w:rPr>
                          <w:rFonts w:ascii="Garamond" w:hAnsi="Garamond"/>
                        </w:rPr>
                        <w:t xml:space="preserve">Francesco Principe: </w:t>
                      </w:r>
                      <w:r w:rsidRPr="00102AAF">
                        <w:rPr>
                          <w:rFonts w:ascii="Garamond" w:hAnsi="Garamond"/>
                        </w:rPr>
                        <w:t>Erasmus School of Economics, Tinbergen Institute and ECASE (Erasmus Center for Applied</w:t>
                      </w:r>
                      <w:r>
                        <w:rPr>
                          <w:rFonts w:ascii="Garamond" w:hAnsi="Garamond"/>
                        </w:rPr>
                        <w:t xml:space="preserve"> </w:t>
                      </w:r>
                      <w:r w:rsidRPr="00102AAF">
                        <w:rPr>
                          <w:rFonts w:ascii="Garamond" w:hAnsi="Garamond"/>
                        </w:rPr>
                        <w:t xml:space="preserve">Sports Economics), the Netherlands; </w:t>
                      </w:r>
                      <w:hyperlink r:id="rId12" w:history="1">
                        <w:r w:rsidRPr="000831F1">
                          <w:rPr>
                            <w:rStyle w:val="Collegamentoipertestuale"/>
                            <w:rFonts w:ascii="Garamond" w:hAnsi="Garamond"/>
                          </w:rPr>
                          <w:t>principe@ese.eur.nl</w:t>
                        </w:r>
                      </w:hyperlink>
                      <w:r>
                        <w:rPr>
                          <w:rFonts w:ascii="Garamond" w:hAnsi="Garamond"/>
                        </w:rPr>
                        <w:t xml:space="preserve"> </w:t>
                      </w:r>
                    </w:p>
                  </w:txbxContent>
                </v:textbox>
                <w10:wrap type="square"/>
              </v:shape>
            </w:pict>
          </mc:Fallback>
        </mc:AlternateContent>
      </w:r>
      <w:r w:rsidR="00102AAF">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7CC4A35" wp14:editId="07D68A36">
                <wp:simplePos x="0" y="0"/>
                <wp:positionH relativeFrom="column">
                  <wp:posOffset>0</wp:posOffset>
                </wp:positionH>
                <wp:positionV relativeFrom="paragraph">
                  <wp:posOffset>331470</wp:posOffset>
                </wp:positionV>
                <wp:extent cx="5951220" cy="22860"/>
                <wp:effectExtent l="0" t="0" r="30480" b="34290"/>
                <wp:wrapNone/>
                <wp:docPr id="1" name="Straight Connector 1"/>
                <wp:cNvGraphicFramePr/>
                <a:graphic xmlns:a="http://schemas.openxmlformats.org/drawingml/2006/main">
                  <a:graphicData uri="http://schemas.microsoft.com/office/word/2010/wordprocessingShape">
                    <wps:wsp>
                      <wps:cNvCnPr/>
                      <wps:spPr>
                        <a:xfrm flipV="1">
                          <a:off x="0" y="0"/>
                          <a:ext cx="59512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E5B96"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1pt" to="468.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qvwwEAAMUDAAAOAAAAZHJzL2Uyb0RvYy54bWysU01v2zAMvQ/ofxB0X+wYaNEZcXpIsV2K&#10;LVi33lWZioXpC5QWO/9+lJx4Q7sBw7CLYEp8j3yP9OZusoYdAaP2ruPrVc0ZOOl77Q4d//rl/dtb&#10;zmISrhfGO+j4CSK/21692YyhhcYP3vSAjEhcbMfQ8SGl0FZVlANYEVc+gKNH5dGKRCEeqh7FSOzW&#10;VE1d31Sjxz6glxAj3d7Pj3xb+JUCmT4pFSEx03HqLZUTy/mcz2q7Ee0BRRi0PLch/qELK7SjogvV&#10;vUiCfUf9ispqiT56lVbS28orpSUUDaRmXb9Q8ziIAEULmRPDYlP8f7Ty43GPTPc0O86csDSix4RC&#10;H4bEdt45MtAjW2efxhBbSt+5PZ6jGPaYRU8KLVNGh6dMk29IGJuKy6fFZZgSk3R5/e563TQ0DElv&#10;TXN7U6ZQzTQZHDCmD+Atyx8dN9plE0Qrjg8xUWlKvaRQkNuaGylf6WQgJxv3GRQJo4JzS2WlYGeQ&#10;HQUtQ/+tiCKukpkhShuzgOpS8o+gc26GQVmzvwUu2aWid2kBWu08/q5qmi6tqjn/onrWmmU/+/5U&#10;xlLsoF0pLp33Oi/jr3GB//z7tj8AAAD//wMAUEsDBBQABgAIAAAAIQBdk5AS2QAAAAYBAAAPAAAA&#10;ZHJzL2Rvd25yZXYueG1sTI9BT8MwDIXvSPyHyEjcWEJRt1GaTmMS4szGZTe3MW1F45Qm28q/x5zg&#10;5udnvfe53Mx+UGeaYh/Ywv3CgCJuguu5tfB+eLlbg4oJ2eEQmCx8U4RNdX1VYuHChd/ovE+tkhCO&#10;BVroUhoLrWPTkce4CCOxeB9h8phETq12E14k3A86M2apPfYsDR2OtOuo+dyfvIXDqzdznfod8dfK&#10;bI/P+ZKPubW3N/P2CVSiOf0dwy++oEMlTHU4sYtqsCCPJAt5loES9/FhJUMti3wNuir1f/zqBwAA&#10;//8DAFBLAQItABQABgAIAAAAIQC2gziS/gAAAOEBAAATAAAAAAAAAAAAAAAAAAAAAABbQ29udGVu&#10;dF9UeXBlc10ueG1sUEsBAi0AFAAGAAgAAAAhADj9If/WAAAAlAEAAAsAAAAAAAAAAAAAAAAALwEA&#10;AF9yZWxzLy5yZWxzUEsBAi0AFAAGAAgAAAAhAFedmq/DAQAAxQMAAA4AAAAAAAAAAAAAAAAALgIA&#10;AGRycy9lMm9Eb2MueG1sUEsBAi0AFAAGAAgAAAAhAF2TkBLZAAAABgEAAA8AAAAAAAAAAAAAAAAA&#10;HQQAAGRycy9kb3ducmV2LnhtbFBLBQYAAAAABAAEAPMAAAAjBQAAAAA=&#10;" strokecolor="black [3200]" strokeweight=".5pt">
                <v:stroke joinstyle="miter"/>
              </v:line>
            </w:pict>
          </mc:Fallback>
        </mc:AlternateContent>
      </w:r>
    </w:p>
    <w:p w14:paraId="086877AC" w14:textId="5DF8E662" w:rsidR="00165B46" w:rsidRPr="006F4A10" w:rsidRDefault="00165B46" w:rsidP="00165B46">
      <w:pPr>
        <w:pStyle w:val="Titolo1"/>
        <w:rPr>
          <w:rFonts w:ascii="Garamond" w:hAnsi="Garamond" w:cs="Times New Roman"/>
          <w:lang w:val="en-GB"/>
        </w:rPr>
      </w:pPr>
      <w:r w:rsidRPr="006F4A10">
        <w:rPr>
          <w:rFonts w:ascii="Garamond" w:hAnsi="Garamond" w:cs="Times New Roman"/>
          <w:lang w:val="en-GB"/>
        </w:rPr>
        <w:lastRenderedPageBreak/>
        <w:t>1 Introduction</w:t>
      </w:r>
    </w:p>
    <w:p w14:paraId="31489CB0" w14:textId="0D0E893B" w:rsidR="00A443BE" w:rsidRDefault="00A15EBA" w:rsidP="00A24D9B">
      <w:pPr>
        <w:spacing w:line="360" w:lineRule="auto"/>
        <w:jc w:val="both"/>
        <w:rPr>
          <w:rFonts w:ascii="Garamond" w:hAnsi="Garamond" w:cs="Times New Roman"/>
          <w:sz w:val="24"/>
          <w:szCs w:val="24"/>
        </w:rPr>
      </w:pPr>
      <w:r w:rsidRPr="00A15EBA">
        <w:rPr>
          <w:rFonts w:ascii="Garamond" w:hAnsi="Garamond" w:cs="Times New Roman"/>
          <w:sz w:val="24"/>
          <w:szCs w:val="24"/>
        </w:rPr>
        <w:t>Anecdotic</w:t>
      </w:r>
      <w:r w:rsidR="00370BB6" w:rsidRPr="00CB63D7">
        <w:rPr>
          <w:rFonts w:ascii="Garamond" w:hAnsi="Garamond" w:cs="Times New Roman"/>
          <w:sz w:val="24"/>
          <w:szCs w:val="24"/>
          <w:lang w:val="en-GB"/>
        </w:rPr>
        <w:t xml:space="preserve"> evidence suggests that </w:t>
      </w:r>
      <w:bookmarkStart w:id="2" w:name="_Hlk66702295"/>
      <w:r w:rsidR="00F72621">
        <w:rPr>
          <w:rFonts w:ascii="Garamond" w:hAnsi="Garamond" w:cs="Times New Roman"/>
          <w:sz w:val="24"/>
          <w:szCs w:val="24"/>
          <w:lang w:val="en-GB"/>
        </w:rPr>
        <w:t xml:space="preserve">a </w:t>
      </w:r>
      <w:r w:rsidR="00221022">
        <w:rPr>
          <w:rFonts w:ascii="Garamond" w:hAnsi="Garamond" w:cs="Times New Roman"/>
          <w:sz w:val="24"/>
          <w:szCs w:val="24"/>
          <w:lang w:val="en-GB"/>
        </w:rPr>
        <w:t xml:space="preserve">great </w:t>
      </w:r>
      <w:r w:rsidR="00370BB6" w:rsidRPr="00CB63D7">
        <w:rPr>
          <w:rFonts w:ascii="Garamond" w:hAnsi="Garamond" w:cs="Times New Roman"/>
          <w:sz w:val="24"/>
          <w:szCs w:val="24"/>
          <w:lang w:val="en-GB"/>
        </w:rPr>
        <w:t>performance</w:t>
      </w:r>
      <w:r w:rsidR="00CB63D7">
        <w:rPr>
          <w:rFonts w:ascii="Garamond" w:hAnsi="Garamond" w:cs="Times New Roman"/>
          <w:sz w:val="24"/>
          <w:szCs w:val="24"/>
          <w:lang w:val="en-GB"/>
        </w:rPr>
        <w:t xml:space="preserve"> in major sports </w:t>
      </w:r>
      <w:r w:rsidR="00F227FF">
        <w:rPr>
          <w:rFonts w:ascii="Garamond" w:hAnsi="Garamond" w:cs="Times New Roman"/>
          <w:sz w:val="24"/>
          <w:szCs w:val="24"/>
          <w:lang w:val="en-GB"/>
        </w:rPr>
        <w:t>competition</w:t>
      </w:r>
      <w:r w:rsidR="00BA1EC6">
        <w:rPr>
          <w:rFonts w:ascii="Garamond" w:hAnsi="Garamond" w:cs="Times New Roman"/>
          <w:sz w:val="24"/>
          <w:szCs w:val="24"/>
          <w:lang w:val="en-GB"/>
        </w:rPr>
        <w:t>s</w:t>
      </w:r>
      <w:r w:rsidR="00370BB6" w:rsidRPr="00CB63D7">
        <w:rPr>
          <w:rFonts w:ascii="Garamond" w:hAnsi="Garamond" w:cs="Times New Roman"/>
          <w:sz w:val="24"/>
          <w:szCs w:val="24"/>
          <w:lang w:val="en-GB"/>
        </w:rPr>
        <w:t xml:space="preserve"> </w:t>
      </w:r>
      <w:bookmarkEnd w:id="2"/>
      <w:r w:rsidR="00370BB6" w:rsidRPr="00CB63D7">
        <w:rPr>
          <w:rFonts w:ascii="Garamond" w:hAnsi="Garamond" w:cs="Times New Roman"/>
          <w:sz w:val="24"/>
          <w:szCs w:val="24"/>
          <w:lang w:val="en-GB"/>
        </w:rPr>
        <w:t>result</w:t>
      </w:r>
      <w:r w:rsidR="00F72621">
        <w:rPr>
          <w:rFonts w:ascii="Garamond" w:hAnsi="Garamond" w:cs="Times New Roman"/>
          <w:sz w:val="24"/>
          <w:szCs w:val="24"/>
          <w:lang w:val="en-GB"/>
        </w:rPr>
        <w:t>s</w:t>
      </w:r>
      <w:r w:rsidR="00370BB6" w:rsidRPr="00CB63D7">
        <w:rPr>
          <w:rFonts w:ascii="Garamond" w:hAnsi="Garamond" w:cs="Times New Roman"/>
          <w:sz w:val="24"/>
          <w:szCs w:val="24"/>
          <w:lang w:val="en-GB"/>
        </w:rPr>
        <w:t xml:space="preserve"> in </w:t>
      </w:r>
      <w:r w:rsidR="008F15ED" w:rsidRPr="00CB63D7">
        <w:rPr>
          <w:rFonts w:ascii="Garamond" w:hAnsi="Garamond" w:cs="Times New Roman"/>
          <w:sz w:val="24"/>
          <w:szCs w:val="24"/>
          <w:lang w:val="en-GB"/>
        </w:rPr>
        <w:t>births</w:t>
      </w:r>
      <w:r w:rsidR="00AE11C0" w:rsidRPr="00CB63D7">
        <w:rPr>
          <w:rFonts w:ascii="Garamond" w:hAnsi="Garamond" w:cs="Times New Roman"/>
          <w:sz w:val="24"/>
          <w:szCs w:val="24"/>
          <w:lang w:val="en-GB"/>
        </w:rPr>
        <w:t xml:space="preserve"> </w:t>
      </w:r>
      <w:r w:rsidR="00A443BE" w:rsidRPr="00CB63D7">
        <w:rPr>
          <w:rFonts w:ascii="Garamond" w:hAnsi="Garamond" w:cs="Times New Roman"/>
          <w:sz w:val="24"/>
          <w:szCs w:val="24"/>
          <w:lang w:val="en-GB"/>
        </w:rPr>
        <w:t>increase</w:t>
      </w:r>
      <w:r w:rsidR="00221022">
        <w:rPr>
          <w:rFonts w:ascii="Garamond" w:hAnsi="Garamond" w:cs="Times New Roman"/>
          <w:sz w:val="24"/>
          <w:szCs w:val="24"/>
          <w:lang w:val="en-GB"/>
        </w:rPr>
        <w:t xml:space="preserve"> among </w:t>
      </w:r>
      <w:r w:rsidR="00EE3582">
        <w:rPr>
          <w:rFonts w:ascii="Garamond" w:hAnsi="Garamond" w:cs="Times New Roman"/>
          <w:sz w:val="24"/>
          <w:szCs w:val="24"/>
          <w:lang w:val="en-GB"/>
        </w:rPr>
        <w:t>fans</w:t>
      </w:r>
      <w:r w:rsidR="00BA1EC6">
        <w:rPr>
          <w:rFonts w:ascii="Garamond" w:hAnsi="Garamond" w:cs="Times New Roman"/>
          <w:sz w:val="24"/>
          <w:szCs w:val="24"/>
          <w:lang w:val="en-GB"/>
        </w:rPr>
        <w:t xml:space="preserve">. </w:t>
      </w:r>
      <w:r w:rsidR="00EE3582">
        <w:rPr>
          <w:rFonts w:ascii="Garamond" w:hAnsi="Garamond" w:cs="Times New Roman"/>
          <w:sz w:val="24"/>
          <w:szCs w:val="24"/>
          <w:lang w:val="en-GB"/>
        </w:rPr>
        <w:t>I</w:t>
      </w:r>
      <w:r w:rsidR="00221022">
        <w:rPr>
          <w:rFonts w:ascii="Garamond" w:hAnsi="Garamond" w:cs="Times New Roman"/>
          <w:sz w:val="24"/>
          <w:szCs w:val="24"/>
          <w:lang w:val="en-GB"/>
        </w:rPr>
        <w:t xml:space="preserve">nternational press reported various cases, namely </w:t>
      </w:r>
      <w:r w:rsidR="00A443BE" w:rsidRPr="00CB63D7">
        <w:rPr>
          <w:rFonts w:ascii="Garamond" w:hAnsi="Garamond" w:cs="Times New Roman"/>
          <w:sz w:val="24"/>
          <w:szCs w:val="24"/>
          <w:lang w:val="en-GB"/>
        </w:rPr>
        <w:t xml:space="preserve">a baby boom in Iceland </w:t>
      </w:r>
      <w:r w:rsidR="004952AF">
        <w:rPr>
          <w:rFonts w:ascii="Garamond" w:hAnsi="Garamond" w:cs="Times New Roman"/>
          <w:sz w:val="24"/>
          <w:szCs w:val="24"/>
          <w:lang w:val="en-GB"/>
        </w:rPr>
        <w:t>nine</w:t>
      </w:r>
      <w:r w:rsidR="00A443BE" w:rsidRPr="00CB63D7">
        <w:rPr>
          <w:rFonts w:ascii="Garamond" w:hAnsi="Garamond" w:cs="Times New Roman"/>
          <w:sz w:val="24"/>
          <w:szCs w:val="24"/>
          <w:lang w:val="en-GB"/>
        </w:rPr>
        <w:t xml:space="preserve"> months after</w:t>
      </w:r>
      <w:r w:rsidR="00702B2D">
        <w:rPr>
          <w:rFonts w:ascii="Garamond" w:hAnsi="Garamond" w:cs="Times New Roman"/>
          <w:sz w:val="24"/>
          <w:szCs w:val="24"/>
          <w:lang w:val="en-GB"/>
        </w:rPr>
        <w:t xml:space="preserve"> the</w:t>
      </w:r>
      <w:r w:rsidR="00221022">
        <w:rPr>
          <w:rFonts w:ascii="Garamond" w:hAnsi="Garamond" w:cs="Times New Roman"/>
          <w:sz w:val="24"/>
          <w:szCs w:val="24"/>
          <w:lang w:val="en-GB"/>
        </w:rPr>
        <w:t xml:space="preserve"> </w:t>
      </w:r>
      <w:r w:rsidR="00A443BE" w:rsidRPr="00CB63D7">
        <w:rPr>
          <w:rFonts w:ascii="Garamond" w:hAnsi="Garamond" w:cs="Times New Roman"/>
          <w:sz w:val="24"/>
          <w:szCs w:val="24"/>
          <w:lang w:val="en-GB"/>
        </w:rPr>
        <w:t>Euro 2016 win against England</w:t>
      </w:r>
      <w:r w:rsidR="00221022">
        <w:rPr>
          <w:rFonts w:ascii="Garamond" w:hAnsi="Garamond" w:cs="Times New Roman"/>
          <w:sz w:val="24"/>
          <w:szCs w:val="24"/>
          <w:lang w:val="en-GB"/>
        </w:rPr>
        <w:t xml:space="preserve">, </w:t>
      </w:r>
      <w:r w:rsidR="00F72621">
        <w:rPr>
          <w:rFonts w:ascii="Garamond" w:hAnsi="Garamond" w:cs="Times New Roman"/>
          <w:sz w:val="24"/>
          <w:szCs w:val="24"/>
          <w:lang w:val="en-GB"/>
        </w:rPr>
        <w:t>an increase in births in</w:t>
      </w:r>
      <w:r w:rsidR="004952AF">
        <w:rPr>
          <w:rFonts w:ascii="Garamond" w:hAnsi="Garamond" w:cs="Times New Roman"/>
          <w:sz w:val="24"/>
          <w:szCs w:val="24"/>
          <w:lang w:val="en-GB"/>
        </w:rPr>
        <w:t xml:space="preserve"> Barcelona </w:t>
      </w:r>
      <w:r w:rsidR="004952AF" w:rsidRPr="004952AF">
        <w:rPr>
          <w:rFonts w:ascii="Garamond" w:hAnsi="Garamond" w:cs="Times New Roman"/>
          <w:sz w:val="24"/>
          <w:szCs w:val="24"/>
        </w:rPr>
        <w:t>after </w:t>
      </w:r>
      <w:r w:rsidR="004952AF">
        <w:rPr>
          <w:rFonts w:ascii="Garamond" w:hAnsi="Garamond" w:cs="Times New Roman"/>
          <w:sz w:val="24"/>
          <w:szCs w:val="24"/>
        </w:rPr>
        <w:t>Iniesta’s</w:t>
      </w:r>
      <w:r w:rsidR="004952AF" w:rsidRPr="004952AF">
        <w:rPr>
          <w:rFonts w:ascii="Garamond" w:hAnsi="Garamond" w:cs="Times New Roman"/>
          <w:sz w:val="24"/>
          <w:szCs w:val="24"/>
        </w:rPr>
        <w:t> last-minute goal in the 2009 Champions League semi-final</w:t>
      </w:r>
      <w:r w:rsidR="004952AF">
        <w:rPr>
          <w:rFonts w:ascii="Garamond" w:hAnsi="Garamond" w:cs="Times New Roman"/>
          <w:sz w:val="24"/>
          <w:szCs w:val="24"/>
          <w:lang w:val="en-GB"/>
        </w:rPr>
        <w:t>.</w:t>
      </w:r>
      <w:r w:rsidR="00044F49">
        <w:rPr>
          <w:rFonts w:ascii="Garamond" w:hAnsi="Garamond" w:cs="Times New Roman"/>
          <w:sz w:val="24"/>
          <w:szCs w:val="24"/>
          <w:lang w:val="en-GB"/>
        </w:rPr>
        <w:t xml:space="preserve"> In the US, this phenomenon is often </w:t>
      </w:r>
      <w:r w:rsidR="006748A7">
        <w:rPr>
          <w:rFonts w:ascii="Garamond" w:hAnsi="Garamond" w:cs="Times New Roman"/>
          <w:sz w:val="24"/>
          <w:szCs w:val="24"/>
          <w:lang w:val="en-GB"/>
        </w:rPr>
        <w:t>referred to</w:t>
      </w:r>
      <w:r w:rsidR="00044F49">
        <w:rPr>
          <w:rFonts w:ascii="Garamond" w:hAnsi="Garamond" w:cs="Times New Roman"/>
          <w:sz w:val="24"/>
          <w:szCs w:val="24"/>
          <w:lang w:val="en-GB"/>
        </w:rPr>
        <w:t xml:space="preserve"> as “</w:t>
      </w:r>
      <w:r w:rsidR="00044F49" w:rsidRPr="00044F49">
        <w:rPr>
          <w:rFonts w:ascii="Garamond" w:hAnsi="Garamond" w:cs="Times New Roman"/>
          <w:sz w:val="24"/>
          <w:szCs w:val="24"/>
        </w:rPr>
        <w:t xml:space="preserve">Super Bowl </w:t>
      </w:r>
      <w:r w:rsidR="00044F49">
        <w:rPr>
          <w:rFonts w:ascii="Garamond" w:hAnsi="Garamond" w:cs="Times New Roman"/>
          <w:sz w:val="24"/>
          <w:szCs w:val="24"/>
        </w:rPr>
        <w:t>b</w:t>
      </w:r>
      <w:r w:rsidR="00044F49" w:rsidRPr="00044F49">
        <w:rPr>
          <w:rFonts w:ascii="Garamond" w:hAnsi="Garamond" w:cs="Times New Roman"/>
          <w:sz w:val="24"/>
          <w:szCs w:val="24"/>
        </w:rPr>
        <w:t>abies</w:t>
      </w:r>
      <w:r w:rsidR="00221022">
        <w:rPr>
          <w:rFonts w:ascii="Garamond" w:hAnsi="Garamond" w:cs="Times New Roman"/>
          <w:sz w:val="24"/>
          <w:szCs w:val="24"/>
        </w:rPr>
        <w:t>”</w:t>
      </w:r>
      <w:r w:rsidR="00044F49">
        <w:rPr>
          <w:rFonts w:ascii="Garamond" w:hAnsi="Garamond" w:cs="Times New Roman"/>
          <w:sz w:val="24"/>
          <w:szCs w:val="24"/>
          <w:lang w:val="en-GB"/>
        </w:rPr>
        <w:t xml:space="preserve">: </w:t>
      </w:r>
      <w:r w:rsidR="00221022">
        <w:rPr>
          <w:rFonts w:ascii="Garamond" w:hAnsi="Garamond" w:cs="Times New Roman"/>
          <w:sz w:val="24"/>
          <w:szCs w:val="24"/>
          <w:lang w:val="en-GB"/>
        </w:rPr>
        <w:t>an increase in births</w:t>
      </w:r>
      <w:r w:rsidR="00044F49" w:rsidRPr="00044F49">
        <w:rPr>
          <w:rFonts w:ascii="Garamond" w:hAnsi="Garamond" w:cs="Times New Roman"/>
          <w:sz w:val="24"/>
          <w:szCs w:val="24"/>
        </w:rPr>
        <w:t xml:space="preserve"> </w:t>
      </w:r>
      <w:r w:rsidR="00221022">
        <w:rPr>
          <w:rFonts w:ascii="Garamond" w:hAnsi="Garamond" w:cs="Times New Roman"/>
          <w:sz w:val="24"/>
          <w:szCs w:val="24"/>
        </w:rPr>
        <w:t xml:space="preserve">among </w:t>
      </w:r>
      <w:r w:rsidR="00EE3582">
        <w:rPr>
          <w:rFonts w:ascii="Garamond" w:hAnsi="Garamond" w:cs="Times New Roman"/>
          <w:sz w:val="24"/>
          <w:szCs w:val="24"/>
        </w:rPr>
        <w:t>fans</w:t>
      </w:r>
      <w:r w:rsidR="00221022">
        <w:rPr>
          <w:rFonts w:ascii="Garamond" w:hAnsi="Garamond" w:cs="Times New Roman"/>
          <w:sz w:val="24"/>
          <w:szCs w:val="24"/>
        </w:rPr>
        <w:t xml:space="preserve"> of the </w:t>
      </w:r>
      <w:r w:rsidR="00044F49">
        <w:rPr>
          <w:rFonts w:ascii="Garamond" w:hAnsi="Garamond" w:cs="Times New Roman"/>
          <w:sz w:val="24"/>
          <w:szCs w:val="24"/>
        </w:rPr>
        <w:t>NFL</w:t>
      </w:r>
      <w:r w:rsidR="00044F49" w:rsidRPr="00044F49">
        <w:rPr>
          <w:rFonts w:ascii="Garamond" w:hAnsi="Garamond" w:cs="Times New Roman"/>
          <w:sz w:val="24"/>
          <w:szCs w:val="24"/>
        </w:rPr>
        <w:t xml:space="preserve"> Super Bow</w:t>
      </w:r>
      <w:r w:rsidR="00044F49">
        <w:rPr>
          <w:rFonts w:ascii="Garamond" w:hAnsi="Garamond" w:cs="Times New Roman"/>
          <w:sz w:val="24"/>
          <w:szCs w:val="24"/>
        </w:rPr>
        <w:t>l</w:t>
      </w:r>
      <w:r w:rsidR="00221022">
        <w:rPr>
          <w:rFonts w:ascii="Garamond" w:hAnsi="Garamond" w:cs="Times New Roman"/>
          <w:sz w:val="24"/>
          <w:szCs w:val="24"/>
        </w:rPr>
        <w:t xml:space="preserve"> winning team</w:t>
      </w:r>
      <w:r w:rsidR="00044F49">
        <w:rPr>
          <w:rFonts w:ascii="Garamond" w:hAnsi="Garamond" w:cs="Times New Roman"/>
          <w:sz w:val="24"/>
          <w:szCs w:val="24"/>
        </w:rPr>
        <w:t>.</w:t>
      </w:r>
    </w:p>
    <w:p w14:paraId="7532D01E" w14:textId="58528FA7" w:rsidR="00751306" w:rsidRPr="004952AF" w:rsidRDefault="00751306" w:rsidP="00A24D9B">
      <w:pPr>
        <w:spacing w:line="360" w:lineRule="auto"/>
        <w:jc w:val="both"/>
        <w:rPr>
          <w:rFonts w:ascii="Garamond" w:hAnsi="Garamond" w:cs="Times New Roman"/>
          <w:sz w:val="24"/>
          <w:szCs w:val="24"/>
          <w:lang w:val="en-GB"/>
        </w:rPr>
      </w:pPr>
      <w:r>
        <w:rPr>
          <w:rFonts w:ascii="Garamond" w:hAnsi="Garamond" w:cs="Times New Roman"/>
          <w:sz w:val="24"/>
          <w:szCs w:val="24"/>
        </w:rPr>
        <w:t>Indeed, major sporting events, such as FIFA World Cup, play an important role in reviving national pride and are by far the most watched events on television. For example, the latest World Cup</w:t>
      </w:r>
      <w:r w:rsidR="00676911">
        <w:rPr>
          <w:rFonts w:ascii="Garamond" w:hAnsi="Garamond" w:cs="Times New Roman"/>
          <w:sz w:val="24"/>
          <w:szCs w:val="24"/>
        </w:rPr>
        <w:t>,</w:t>
      </w:r>
      <w:r>
        <w:rPr>
          <w:rFonts w:ascii="Garamond" w:hAnsi="Garamond" w:cs="Times New Roman"/>
          <w:sz w:val="24"/>
          <w:szCs w:val="24"/>
        </w:rPr>
        <w:t xml:space="preserve"> hosted by Russia in 2018</w:t>
      </w:r>
      <w:r w:rsidR="00676911">
        <w:rPr>
          <w:rFonts w:ascii="Garamond" w:hAnsi="Garamond" w:cs="Times New Roman"/>
          <w:sz w:val="24"/>
          <w:szCs w:val="24"/>
        </w:rPr>
        <w:t>,</w:t>
      </w:r>
      <w:r>
        <w:rPr>
          <w:rFonts w:ascii="Garamond" w:hAnsi="Garamond" w:cs="Times New Roman"/>
          <w:sz w:val="24"/>
          <w:szCs w:val="24"/>
        </w:rPr>
        <w:t xml:space="preserve"> attracted a total of 3.</w:t>
      </w:r>
      <w:r w:rsidR="0007184C">
        <w:rPr>
          <w:rFonts w:ascii="Garamond" w:hAnsi="Garamond" w:cs="Times New Roman"/>
          <w:sz w:val="24"/>
          <w:szCs w:val="24"/>
        </w:rPr>
        <w:t>6</w:t>
      </w:r>
      <w:r>
        <w:rPr>
          <w:rFonts w:ascii="Garamond" w:hAnsi="Garamond" w:cs="Times New Roman"/>
          <w:sz w:val="24"/>
          <w:szCs w:val="24"/>
        </w:rPr>
        <w:t xml:space="preserve"> billion watchers worldwide. In Europe, </w:t>
      </w:r>
      <w:r w:rsidRPr="00751306">
        <w:rPr>
          <w:rFonts w:ascii="Garamond" w:hAnsi="Garamond" w:cs="Times New Roman"/>
          <w:sz w:val="24"/>
          <w:szCs w:val="24"/>
        </w:rPr>
        <w:t>86.1%</w:t>
      </w:r>
      <w:r>
        <w:rPr>
          <w:rFonts w:ascii="Garamond" w:hAnsi="Garamond" w:cs="Times New Roman"/>
          <w:sz w:val="24"/>
          <w:szCs w:val="24"/>
        </w:rPr>
        <w:t xml:space="preserve"> of the population watched at least one minute of the competition (FIFA, 2018). As shown by a recent literature</w:t>
      </w:r>
      <w:r w:rsidR="00676911">
        <w:rPr>
          <w:rFonts w:ascii="Garamond" w:hAnsi="Garamond" w:cs="Times New Roman"/>
          <w:sz w:val="24"/>
          <w:szCs w:val="24"/>
        </w:rPr>
        <w:t>,</w:t>
      </w:r>
      <w:r>
        <w:rPr>
          <w:rFonts w:ascii="Garamond" w:hAnsi="Garamond" w:cs="Times New Roman"/>
          <w:sz w:val="24"/>
          <w:szCs w:val="24"/>
        </w:rPr>
        <w:t xml:space="preserve"> </w:t>
      </w:r>
      <w:r w:rsidR="00676911">
        <w:rPr>
          <w:rFonts w:ascii="Garamond" w:hAnsi="Garamond" w:cs="Times New Roman"/>
          <w:sz w:val="24"/>
          <w:szCs w:val="24"/>
        </w:rPr>
        <w:t>the qualification and participation of</w:t>
      </w:r>
      <w:r w:rsidR="00676911" w:rsidRPr="00676911">
        <w:rPr>
          <w:rFonts w:ascii="Garamond" w:hAnsi="Garamond" w:cs="Times New Roman"/>
          <w:sz w:val="24"/>
          <w:szCs w:val="24"/>
        </w:rPr>
        <w:t xml:space="preserve"> the national team in the tournament represents the most relevant predictor of audience size, followed by match quality and scheduling</w:t>
      </w:r>
      <w:r w:rsidR="00676911">
        <w:rPr>
          <w:rFonts w:ascii="Garamond" w:hAnsi="Garamond" w:cs="Times New Roman"/>
          <w:sz w:val="24"/>
          <w:szCs w:val="24"/>
        </w:rPr>
        <w:t xml:space="preserve">-related </w:t>
      </w:r>
      <w:r w:rsidR="00676911" w:rsidRPr="00676911">
        <w:rPr>
          <w:rFonts w:ascii="Garamond" w:hAnsi="Garamond" w:cs="Times New Roman"/>
          <w:sz w:val="24"/>
          <w:szCs w:val="24"/>
        </w:rPr>
        <w:t>variables</w:t>
      </w:r>
      <w:r w:rsidR="00676911">
        <w:rPr>
          <w:rFonts w:ascii="Garamond" w:hAnsi="Garamond" w:cs="Times New Roman"/>
          <w:sz w:val="24"/>
          <w:szCs w:val="24"/>
        </w:rPr>
        <w:t xml:space="preserve"> (</w:t>
      </w:r>
      <w:r w:rsidR="00676911" w:rsidRPr="00676911">
        <w:rPr>
          <w:rFonts w:ascii="Garamond" w:hAnsi="Garamond" w:cs="Times New Roman"/>
          <w:sz w:val="24"/>
          <w:szCs w:val="24"/>
        </w:rPr>
        <w:t>Uribe</w:t>
      </w:r>
      <w:r w:rsidR="00676911">
        <w:rPr>
          <w:rFonts w:ascii="Garamond" w:hAnsi="Garamond" w:cs="Times New Roman"/>
          <w:sz w:val="24"/>
          <w:szCs w:val="24"/>
        </w:rPr>
        <w:t xml:space="preserve"> </w:t>
      </w:r>
      <w:r w:rsidR="00676911" w:rsidRPr="00676911">
        <w:rPr>
          <w:rFonts w:ascii="Garamond" w:hAnsi="Garamond" w:cs="Times New Roman"/>
          <w:i/>
          <w:iCs/>
          <w:sz w:val="24"/>
          <w:szCs w:val="24"/>
        </w:rPr>
        <w:t>et al.</w:t>
      </w:r>
      <w:r w:rsidR="00676911">
        <w:rPr>
          <w:rFonts w:ascii="Garamond" w:hAnsi="Garamond" w:cs="Times New Roman"/>
          <w:sz w:val="24"/>
          <w:szCs w:val="24"/>
        </w:rPr>
        <w:t xml:space="preserve"> 2021)</w:t>
      </w:r>
      <w:r w:rsidR="00ED1868">
        <w:rPr>
          <w:rFonts w:ascii="Garamond" w:hAnsi="Garamond" w:cs="Times New Roman"/>
          <w:sz w:val="24"/>
          <w:szCs w:val="24"/>
        </w:rPr>
        <w:t>.</w:t>
      </w:r>
    </w:p>
    <w:p w14:paraId="6A8511AD" w14:textId="0D1BC19E" w:rsidR="00CB63D7" w:rsidRPr="00633862" w:rsidRDefault="00CB63D7" w:rsidP="00A24D9B">
      <w:pPr>
        <w:spacing w:line="360" w:lineRule="auto"/>
        <w:jc w:val="both"/>
        <w:rPr>
          <w:rFonts w:ascii="Garamond" w:hAnsi="Garamond" w:cs="Times New Roman"/>
          <w:sz w:val="24"/>
          <w:szCs w:val="24"/>
          <w:lang w:val="en-GB"/>
        </w:rPr>
      </w:pPr>
      <w:r>
        <w:rPr>
          <w:rFonts w:ascii="Garamond" w:hAnsi="Garamond" w:cs="Times New Roman"/>
          <w:sz w:val="24"/>
          <w:szCs w:val="24"/>
          <w:lang w:val="en-GB"/>
        </w:rPr>
        <w:t xml:space="preserve">A growing body of literature has investigated the main </w:t>
      </w:r>
      <w:bookmarkStart w:id="3" w:name="_Hlk66699278"/>
      <w:r>
        <w:rPr>
          <w:rFonts w:ascii="Garamond" w:hAnsi="Garamond" w:cs="Times New Roman"/>
          <w:sz w:val="24"/>
          <w:szCs w:val="24"/>
          <w:lang w:val="en-GB"/>
        </w:rPr>
        <w:t xml:space="preserve">determinants of </w:t>
      </w:r>
      <w:r w:rsidR="00AC0BAE">
        <w:rPr>
          <w:rFonts w:ascii="Garamond" w:hAnsi="Garamond" w:cs="Times New Roman"/>
          <w:sz w:val="24"/>
          <w:szCs w:val="24"/>
          <w:lang w:val="en-GB"/>
        </w:rPr>
        <w:t>birth rates and fertility</w:t>
      </w:r>
      <w:bookmarkEnd w:id="3"/>
      <w:r w:rsidR="00AC0BAE">
        <w:rPr>
          <w:rFonts w:ascii="Garamond" w:hAnsi="Garamond" w:cs="Times New Roman"/>
          <w:sz w:val="24"/>
          <w:szCs w:val="24"/>
          <w:lang w:val="en-GB"/>
        </w:rPr>
        <w:t xml:space="preserve">, </w:t>
      </w:r>
      <w:r w:rsidR="00BA1EC6">
        <w:rPr>
          <w:rFonts w:ascii="Garamond" w:hAnsi="Garamond" w:cs="Times New Roman"/>
          <w:sz w:val="24"/>
          <w:szCs w:val="24"/>
          <w:lang w:val="en-GB"/>
        </w:rPr>
        <w:t xml:space="preserve">focusing on </w:t>
      </w:r>
      <w:r w:rsidR="007704ED">
        <w:rPr>
          <w:rFonts w:ascii="Garamond" w:hAnsi="Garamond" w:cs="Times New Roman"/>
          <w:sz w:val="24"/>
          <w:szCs w:val="24"/>
          <w:lang w:val="en-GB"/>
        </w:rPr>
        <w:t>socio</w:t>
      </w:r>
      <w:r w:rsidR="00AB6F83">
        <w:rPr>
          <w:rFonts w:ascii="Garamond" w:hAnsi="Garamond" w:cs="Times New Roman"/>
          <w:sz w:val="24"/>
          <w:szCs w:val="24"/>
          <w:lang w:val="en-GB"/>
        </w:rPr>
        <w:t>economic conditions (</w:t>
      </w:r>
      <w:r w:rsidR="007704ED" w:rsidRPr="007704ED">
        <w:rPr>
          <w:rFonts w:ascii="Garamond" w:hAnsi="Garamond" w:cs="Times New Roman"/>
          <w:sz w:val="24"/>
          <w:szCs w:val="24"/>
        </w:rPr>
        <w:t>Kearney</w:t>
      </w:r>
      <w:r w:rsidR="007704ED">
        <w:rPr>
          <w:rFonts w:ascii="Garamond" w:hAnsi="Garamond" w:cs="Times New Roman"/>
          <w:sz w:val="24"/>
          <w:szCs w:val="24"/>
        </w:rPr>
        <w:t xml:space="preserve"> and</w:t>
      </w:r>
      <w:r w:rsidR="007704ED" w:rsidRPr="007704ED">
        <w:rPr>
          <w:rFonts w:ascii="Garamond" w:hAnsi="Garamond" w:cs="Times New Roman"/>
          <w:sz w:val="24"/>
          <w:szCs w:val="24"/>
        </w:rPr>
        <w:t xml:space="preserve"> Wilson </w:t>
      </w:r>
      <w:r w:rsidR="007704ED">
        <w:rPr>
          <w:rFonts w:ascii="Garamond" w:hAnsi="Garamond" w:cs="Times New Roman"/>
          <w:sz w:val="24"/>
          <w:szCs w:val="24"/>
        </w:rPr>
        <w:t xml:space="preserve">2018; </w:t>
      </w:r>
      <w:r w:rsidR="00830009" w:rsidRPr="00830009">
        <w:rPr>
          <w:rFonts w:ascii="Garamond" w:hAnsi="Garamond" w:cs="Times New Roman"/>
          <w:sz w:val="24"/>
          <w:szCs w:val="24"/>
        </w:rPr>
        <w:t>Schaller</w:t>
      </w:r>
      <w:r w:rsidR="00830009">
        <w:rPr>
          <w:rFonts w:ascii="Garamond" w:hAnsi="Garamond" w:cs="Times New Roman"/>
          <w:sz w:val="24"/>
          <w:szCs w:val="24"/>
        </w:rPr>
        <w:t xml:space="preserve"> </w:t>
      </w:r>
      <w:bookmarkStart w:id="4" w:name="_Hlk71205233"/>
      <w:r w:rsidR="00830009" w:rsidRPr="00830009">
        <w:rPr>
          <w:rFonts w:ascii="Garamond" w:hAnsi="Garamond" w:cs="Times New Roman"/>
          <w:i/>
          <w:iCs/>
          <w:sz w:val="24"/>
          <w:szCs w:val="24"/>
        </w:rPr>
        <w:t>et al.</w:t>
      </w:r>
      <w:r w:rsidR="00830009">
        <w:rPr>
          <w:rFonts w:ascii="Garamond" w:hAnsi="Garamond" w:cs="Times New Roman"/>
          <w:sz w:val="24"/>
          <w:szCs w:val="24"/>
        </w:rPr>
        <w:t xml:space="preserve"> </w:t>
      </w:r>
      <w:bookmarkEnd w:id="4"/>
      <w:r w:rsidR="00830009">
        <w:rPr>
          <w:rFonts w:ascii="Garamond" w:hAnsi="Garamond" w:cs="Times New Roman"/>
          <w:sz w:val="24"/>
          <w:szCs w:val="24"/>
        </w:rPr>
        <w:t>2020</w:t>
      </w:r>
      <w:r w:rsidR="00AB6F83">
        <w:rPr>
          <w:rFonts w:ascii="Garamond" w:hAnsi="Garamond" w:cs="Times New Roman"/>
          <w:sz w:val="24"/>
          <w:szCs w:val="24"/>
          <w:lang w:val="en-GB"/>
        </w:rPr>
        <w:t xml:space="preserve">), </w:t>
      </w:r>
      <w:r w:rsidR="00AB6F83" w:rsidRPr="00184A43">
        <w:rPr>
          <w:rFonts w:ascii="Garamond" w:hAnsi="Garamond" w:cs="Times New Roman"/>
          <w:sz w:val="24"/>
          <w:szCs w:val="24"/>
          <w:lang w:val="en-GB"/>
        </w:rPr>
        <w:t>religion</w:t>
      </w:r>
      <w:r w:rsidR="00797A99" w:rsidRPr="00184A43">
        <w:rPr>
          <w:rFonts w:ascii="Garamond" w:hAnsi="Garamond" w:cs="Times New Roman"/>
          <w:sz w:val="24"/>
          <w:szCs w:val="24"/>
          <w:lang w:val="en-GB"/>
        </w:rPr>
        <w:t xml:space="preserve"> (</w:t>
      </w:r>
      <w:r w:rsidR="00184A43" w:rsidRPr="00184A43">
        <w:rPr>
          <w:rFonts w:ascii="Garamond" w:hAnsi="Garamond" w:cs="Times New Roman"/>
          <w:sz w:val="24"/>
          <w:szCs w:val="24"/>
        </w:rPr>
        <w:t xml:space="preserve">Anderson and </w:t>
      </w:r>
      <w:proofErr w:type="spellStart"/>
      <w:r w:rsidR="00184A43" w:rsidRPr="00184A43">
        <w:rPr>
          <w:rFonts w:ascii="Garamond" w:hAnsi="Garamond" w:cs="Times New Roman"/>
          <w:sz w:val="24"/>
          <w:szCs w:val="24"/>
        </w:rPr>
        <w:t>Coale</w:t>
      </w:r>
      <w:proofErr w:type="spellEnd"/>
      <w:r w:rsidR="00184A43" w:rsidRPr="00184A43">
        <w:rPr>
          <w:rFonts w:ascii="Garamond" w:hAnsi="Garamond" w:cs="Times New Roman"/>
          <w:sz w:val="24"/>
          <w:szCs w:val="24"/>
        </w:rPr>
        <w:t xml:space="preserve"> 2017; </w:t>
      </w:r>
      <w:proofErr w:type="spellStart"/>
      <w:r w:rsidR="00184A43" w:rsidRPr="00184A43">
        <w:rPr>
          <w:rFonts w:ascii="Garamond" w:hAnsi="Garamond" w:cs="Times New Roman"/>
          <w:sz w:val="24"/>
          <w:szCs w:val="24"/>
        </w:rPr>
        <w:t>Basedau</w:t>
      </w:r>
      <w:proofErr w:type="spellEnd"/>
      <w:r w:rsidR="00184A43" w:rsidRPr="00184A43">
        <w:rPr>
          <w:rFonts w:ascii="Garamond" w:hAnsi="Garamond" w:cs="Times New Roman"/>
          <w:i/>
          <w:iCs/>
          <w:sz w:val="24"/>
          <w:szCs w:val="24"/>
        </w:rPr>
        <w:t xml:space="preserve"> et al.</w:t>
      </w:r>
      <w:r w:rsidR="00184A43" w:rsidRPr="00184A43">
        <w:rPr>
          <w:rFonts w:ascii="Garamond" w:hAnsi="Garamond" w:cs="Times New Roman"/>
          <w:sz w:val="24"/>
          <w:szCs w:val="24"/>
        </w:rPr>
        <w:t xml:space="preserve"> 2018</w:t>
      </w:r>
      <w:r w:rsidR="00797A99" w:rsidRPr="00184A43">
        <w:rPr>
          <w:rFonts w:ascii="Garamond" w:hAnsi="Garamond" w:cs="Times New Roman"/>
          <w:sz w:val="24"/>
          <w:szCs w:val="24"/>
          <w:lang w:val="en-GB"/>
        </w:rPr>
        <w:t>)</w:t>
      </w:r>
      <w:r w:rsidR="00AB6F83" w:rsidRPr="00184A43">
        <w:rPr>
          <w:rFonts w:ascii="Garamond" w:hAnsi="Garamond" w:cs="Times New Roman"/>
          <w:sz w:val="24"/>
          <w:szCs w:val="24"/>
          <w:lang w:val="en-GB"/>
        </w:rPr>
        <w:t>,</w:t>
      </w:r>
      <w:r w:rsidR="00AB6F83">
        <w:rPr>
          <w:rFonts w:ascii="Garamond" w:hAnsi="Garamond" w:cs="Times New Roman"/>
          <w:sz w:val="24"/>
          <w:szCs w:val="24"/>
          <w:lang w:val="en-GB"/>
        </w:rPr>
        <w:t xml:space="preserve"> natural disasters</w:t>
      </w:r>
      <w:r w:rsidR="009A29AD">
        <w:rPr>
          <w:rFonts w:ascii="Garamond" w:hAnsi="Garamond" w:cs="Times New Roman"/>
          <w:sz w:val="24"/>
          <w:szCs w:val="24"/>
          <w:lang w:val="en-GB"/>
        </w:rPr>
        <w:t xml:space="preserve"> (</w:t>
      </w:r>
      <w:r w:rsidR="009A29AD" w:rsidRPr="009A29AD">
        <w:rPr>
          <w:rFonts w:ascii="Garamond" w:hAnsi="Garamond" w:cs="Times New Roman"/>
          <w:sz w:val="24"/>
          <w:szCs w:val="24"/>
        </w:rPr>
        <w:t xml:space="preserve">Nandi </w:t>
      </w:r>
      <w:r w:rsidR="009A29AD" w:rsidRPr="009A29AD">
        <w:rPr>
          <w:rFonts w:ascii="Garamond" w:hAnsi="Garamond" w:cs="Times New Roman"/>
          <w:i/>
          <w:iCs/>
          <w:sz w:val="24"/>
          <w:szCs w:val="24"/>
        </w:rPr>
        <w:t>et al</w:t>
      </w:r>
      <w:r w:rsidR="009A29AD">
        <w:rPr>
          <w:rFonts w:ascii="Garamond" w:hAnsi="Garamond" w:cs="Times New Roman"/>
          <w:sz w:val="24"/>
          <w:szCs w:val="24"/>
        </w:rPr>
        <w:t>. 2018)</w:t>
      </w:r>
      <w:r w:rsidR="00AB6F83">
        <w:rPr>
          <w:rFonts w:ascii="Garamond" w:hAnsi="Garamond" w:cs="Times New Roman"/>
          <w:sz w:val="24"/>
          <w:szCs w:val="24"/>
          <w:lang w:val="en-GB"/>
        </w:rPr>
        <w:t xml:space="preserve">, </w:t>
      </w:r>
      <w:r w:rsidR="00AB6F83">
        <w:rPr>
          <w:rFonts w:ascii="Garamond" w:hAnsi="Garamond" w:cs="Times New Roman"/>
          <w:sz w:val="24"/>
          <w:szCs w:val="24"/>
        </w:rPr>
        <w:t>p</w:t>
      </w:r>
      <w:r w:rsidR="00AB6F83" w:rsidRPr="00AB6F83">
        <w:rPr>
          <w:rFonts w:ascii="Garamond" w:hAnsi="Garamond" w:cs="Times New Roman"/>
          <w:sz w:val="24"/>
          <w:szCs w:val="24"/>
        </w:rPr>
        <w:t>ower</w:t>
      </w:r>
      <w:r w:rsidR="00AB6F83">
        <w:rPr>
          <w:rFonts w:ascii="Garamond" w:hAnsi="Garamond" w:cs="Times New Roman"/>
          <w:sz w:val="24"/>
          <w:szCs w:val="24"/>
        </w:rPr>
        <w:t xml:space="preserve"> </w:t>
      </w:r>
      <w:r w:rsidR="00AB6F83" w:rsidRPr="00AB6F83">
        <w:rPr>
          <w:rFonts w:ascii="Garamond" w:hAnsi="Garamond" w:cs="Times New Roman"/>
          <w:sz w:val="24"/>
          <w:szCs w:val="24"/>
        </w:rPr>
        <w:t>outages</w:t>
      </w:r>
      <w:r w:rsidR="00830009">
        <w:rPr>
          <w:rFonts w:ascii="Garamond" w:hAnsi="Garamond" w:cs="Times New Roman"/>
          <w:sz w:val="24"/>
          <w:szCs w:val="24"/>
        </w:rPr>
        <w:t xml:space="preserve"> (</w:t>
      </w:r>
      <w:proofErr w:type="spellStart"/>
      <w:r w:rsidR="00830009">
        <w:rPr>
          <w:rFonts w:ascii="Garamond" w:hAnsi="Garamond" w:cs="Times New Roman"/>
          <w:sz w:val="24"/>
          <w:szCs w:val="24"/>
        </w:rPr>
        <w:t>Burlando</w:t>
      </w:r>
      <w:proofErr w:type="spellEnd"/>
      <w:r w:rsidR="00830009">
        <w:rPr>
          <w:rFonts w:ascii="Garamond" w:hAnsi="Garamond" w:cs="Times New Roman"/>
          <w:sz w:val="24"/>
          <w:szCs w:val="24"/>
        </w:rPr>
        <w:t xml:space="preserve"> </w:t>
      </w:r>
      <w:r w:rsidR="009A29AD">
        <w:rPr>
          <w:rFonts w:ascii="Garamond" w:hAnsi="Garamond" w:cs="Times New Roman"/>
          <w:sz w:val="24"/>
          <w:szCs w:val="24"/>
        </w:rPr>
        <w:t xml:space="preserve">2014; </w:t>
      </w:r>
      <w:proofErr w:type="spellStart"/>
      <w:r w:rsidR="009A29AD">
        <w:rPr>
          <w:rFonts w:ascii="Garamond" w:hAnsi="Garamond" w:cs="Times New Roman"/>
          <w:sz w:val="24"/>
          <w:szCs w:val="24"/>
        </w:rPr>
        <w:t>Fetzer</w:t>
      </w:r>
      <w:proofErr w:type="spellEnd"/>
      <w:r w:rsidR="009A29AD">
        <w:rPr>
          <w:rFonts w:ascii="Garamond" w:hAnsi="Garamond" w:cs="Times New Roman"/>
          <w:sz w:val="24"/>
          <w:szCs w:val="24"/>
        </w:rPr>
        <w:t xml:space="preserve"> </w:t>
      </w:r>
      <w:r w:rsidR="009A29AD" w:rsidRPr="00830009">
        <w:rPr>
          <w:rFonts w:ascii="Garamond" w:hAnsi="Garamond" w:cs="Times New Roman"/>
          <w:i/>
          <w:iCs/>
          <w:sz w:val="24"/>
          <w:szCs w:val="24"/>
        </w:rPr>
        <w:t>et al.</w:t>
      </w:r>
      <w:r w:rsidR="009A29AD">
        <w:rPr>
          <w:rFonts w:ascii="Garamond" w:hAnsi="Garamond" w:cs="Times New Roman"/>
          <w:i/>
          <w:iCs/>
          <w:sz w:val="24"/>
          <w:szCs w:val="24"/>
        </w:rPr>
        <w:t xml:space="preserve"> </w:t>
      </w:r>
      <w:r w:rsidR="009A29AD" w:rsidRPr="009A29AD">
        <w:rPr>
          <w:rFonts w:ascii="Garamond" w:hAnsi="Garamond" w:cs="Times New Roman"/>
          <w:sz w:val="24"/>
          <w:szCs w:val="24"/>
        </w:rPr>
        <w:t>2018</w:t>
      </w:r>
      <w:r w:rsidR="00830009">
        <w:rPr>
          <w:rFonts w:ascii="Garamond" w:hAnsi="Garamond" w:cs="Times New Roman"/>
          <w:sz w:val="24"/>
          <w:szCs w:val="24"/>
        </w:rPr>
        <w:t>)</w:t>
      </w:r>
      <w:r w:rsidR="00C25724">
        <w:rPr>
          <w:rFonts w:ascii="Garamond" w:hAnsi="Garamond" w:cs="Times New Roman"/>
          <w:sz w:val="24"/>
          <w:szCs w:val="24"/>
        </w:rPr>
        <w:t>,</w:t>
      </w:r>
      <w:r w:rsidR="00AB6F83">
        <w:rPr>
          <w:rFonts w:ascii="Garamond" w:hAnsi="Garamond" w:cs="Times New Roman"/>
          <w:sz w:val="24"/>
          <w:szCs w:val="24"/>
          <w:lang w:val="en-GB"/>
        </w:rPr>
        <w:t xml:space="preserve"> </w:t>
      </w:r>
      <w:r w:rsidR="00B436C9">
        <w:rPr>
          <w:rFonts w:ascii="Garamond" w:hAnsi="Garamond" w:cs="Times New Roman"/>
          <w:sz w:val="24"/>
          <w:szCs w:val="24"/>
          <w:lang w:val="en-GB"/>
        </w:rPr>
        <w:t>mass media</w:t>
      </w:r>
      <w:r w:rsidR="00A31CD3">
        <w:rPr>
          <w:rFonts w:ascii="Garamond" w:hAnsi="Garamond" w:cs="Times New Roman"/>
          <w:sz w:val="24"/>
          <w:szCs w:val="24"/>
          <w:lang w:val="en-GB"/>
        </w:rPr>
        <w:t xml:space="preserve"> exposure</w:t>
      </w:r>
      <w:r w:rsidR="00797A99">
        <w:rPr>
          <w:rFonts w:ascii="Garamond" w:hAnsi="Garamond" w:cs="Times New Roman"/>
          <w:sz w:val="24"/>
          <w:szCs w:val="24"/>
          <w:lang w:val="en-GB"/>
        </w:rPr>
        <w:t xml:space="preserve"> </w:t>
      </w:r>
      <w:r w:rsidR="00B436C9">
        <w:rPr>
          <w:rFonts w:ascii="Garamond" w:hAnsi="Garamond" w:cs="Times New Roman"/>
          <w:sz w:val="24"/>
          <w:szCs w:val="24"/>
          <w:lang w:val="en-GB"/>
        </w:rPr>
        <w:t>(</w:t>
      </w:r>
      <w:proofErr w:type="spellStart"/>
      <w:r w:rsidR="00B436C9">
        <w:rPr>
          <w:rFonts w:ascii="Garamond" w:hAnsi="Garamond" w:cs="Times New Roman"/>
          <w:sz w:val="24"/>
          <w:szCs w:val="24"/>
          <w:lang w:val="en-GB"/>
        </w:rPr>
        <w:t>Billari</w:t>
      </w:r>
      <w:proofErr w:type="spellEnd"/>
      <w:r w:rsidR="00B436C9">
        <w:rPr>
          <w:rFonts w:ascii="Garamond" w:hAnsi="Garamond" w:cs="Times New Roman"/>
          <w:sz w:val="24"/>
          <w:szCs w:val="24"/>
          <w:lang w:val="en-GB"/>
        </w:rPr>
        <w:t xml:space="preserve"> </w:t>
      </w:r>
      <w:r w:rsidR="00B436C9" w:rsidRPr="009A29AD">
        <w:rPr>
          <w:rFonts w:ascii="Garamond" w:hAnsi="Garamond" w:cs="Times New Roman"/>
          <w:i/>
          <w:iCs/>
          <w:sz w:val="24"/>
          <w:szCs w:val="24"/>
        </w:rPr>
        <w:t>et al</w:t>
      </w:r>
      <w:r w:rsidR="00B436C9">
        <w:rPr>
          <w:rFonts w:ascii="Garamond" w:hAnsi="Garamond" w:cs="Times New Roman"/>
          <w:sz w:val="24"/>
          <w:szCs w:val="24"/>
        </w:rPr>
        <w:t xml:space="preserve">. </w:t>
      </w:r>
      <w:r w:rsidR="00B436C9">
        <w:rPr>
          <w:rFonts w:ascii="Garamond" w:hAnsi="Garamond" w:cs="Times New Roman"/>
          <w:sz w:val="24"/>
          <w:szCs w:val="24"/>
          <w:lang w:val="en-GB"/>
        </w:rPr>
        <w:t>2019</w:t>
      </w:r>
      <w:r w:rsidR="004A343B">
        <w:rPr>
          <w:rFonts w:ascii="Garamond" w:hAnsi="Garamond" w:cs="Times New Roman"/>
          <w:sz w:val="24"/>
          <w:szCs w:val="24"/>
          <w:lang w:val="en-GB"/>
        </w:rPr>
        <w:t xml:space="preserve">; La Ferrara </w:t>
      </w:r>
      <w:r w:rsidR="004A343B" w:rsidRPr="004A343B">
        <w:rPr>
          <w:rFonts w:ascii="Garamond" w:hAnsi="Garamond" w:cs="Times New Roman"/>
          <w:i/>
          <w:iCs/>
          <w:sz w:val="24"/>
          <w:szCs w:val="24"/>
          <w:lang w:val="en-GB"/>
        </w:rPr>
        <w:t>et al.</w:t>
      </w:r>
      <w:r w:rsidR="004A343B">
        <w:rPr>
          <w:rFonts w:ascii="Garamond" w:hAnsi="Garamond" w:cs="Times New Roman"/>
          <w:sz w:val="24"/>
          <w:szCs w:val="24"/>
          <w:lang w:val="en-GB"/>
        </w:rPr>
        <w:t xml:space="preserve"> 2012</w:t>
      </w:r>
      <w:r w:rsidR="00B436C9">
        <w:rPr>
          <w:rFonts w:ascii="Garamond" w:hAnsi="Garamond" w:cs="Times New Roman"/>
          <w:sz w:val="24"/>
          <w:szCs w:val="24"/>
          <w:lang w:val="en-GB"/>
        </w:rPr>
        <w:t>)</w:t>
      </w:r>
      <w:r w:rsidR="00C25724">
        <w:rPr>
          <w:rFonts w:ascii="Garamond" w:hAnsi="Garamond" w:cs="Times New Roman"/>
          <w:sz w:val="24"/>
          <w:szCs w:val="24"/>
          <w:lang w:val="en-GB"/>
        </w:rPr>
        <w:t>, and weather (</w:t>
      </w:r>
      <w:proofErr w:type="spellStart"/>
      <w:r w:rsidR="00C25724">
        <w:rPr>
          <w:rFonts w:ascii="Garamond" w:hAnsi="Garamond" w:cs="Times New Roman"/>
          <w:sz w:val="24"/>
          <w:szCs w:val="24"/>
          <w:lang w:val="en-GB"/>
        </w:rPr>
        <w:t>Barreca</w:t>
      </w:r>
      <w:proofErr w:type="spellEnd"/>
      <w:r w:rsidR="00C25724">
        <w:rPr>
          <w:rFonts w:ascii="Garamond" w:hAnsi="Garamond" w:cs="Times New Roman"/>
          <w:sz w:val="24"/>
          <w:szCs w:val="24"/>
          <w:lang w:val="en-GB"/>
        </w:rPr>
        <w:t xml:space="preserve"> </w:t>
      </w:r>
      <w:r w:rsidR="00C25724" w:rsidRPr="0001109E">
        <w:rPr>
          <w:rFonts w:ascii="Garamond" w:hAnsi="Garamond" w:cs="Times New Roman"/>
          <w:i/>
          <w:sz w:val="24"/>
          <w:szCs w:val="24"/>
          <w:lang w:val="en-GB"/>
        </w:rPr>
        <w:t>et al.</w:t>
      </w:r>
      <w:r w:rsidR="00C25724">
        <w:rPr>
          <w:rFonts w:ascii="Garamond" w:hAnsi="Garamond" w:cs="Times New Roman"/>
          <w:sz w:val="24"/>
          <w:szCs w:val="24"/>
          <w:lang w:val="en-GB"/>
        </w:rPr>
        <w:t xml:space="preserve"> 2018)</w:t>
      </w:r>
      <w:r w:rsidR="00830009">
        <w:rPr>
          <w:rFonts w:ascii="Garamond" w:hAnsi="Garamond" w:cs="Times New Roman"/>
          <w:sz w:val="24"/>
          <w:szCs w:val="24"/>
          <w:lang w:val="en-GB"/>
        </w:rPr>
        <w:t xml:space="preserve">. </w:t>
      </w:r>
      <w:r w:rsidR="005B0B18">
        <w:rPr>
          <w:rFonts w:ascii="Garamond" w:hAnsi="Garamond" w:cs="Times New Roman"/>
          <w:sz w:val="24"/>
          <w:szCs w:val="24"/>
          <w:lang w:val="en-GB"/>
        </w:rPr>
        <w:t>While t</w:t>
      </w:r>
      <w:r w:rsidR="00830009">
        <w:rPr>
          <w:rFonts w:ascii="Garamond" w:hAnsi="Garamond" w:cs="Times New Roman"/>
          <w:sz w:val="24"/>
          <w:szCs w:val="24"/>
          <w:lang w:val="en-GB"/>
        </w:rPr>
        <w:t xml:space="preserve">he idea that euphoria generated by sports success </w:t>
      </w:r>
      <w:r w:rsidR="004952AF" w:rsidRPr="004952AF">
        <w:rPr>
          <w:rFonts w:ascii="Garamond" w:hAnsi="Garamond" w:cs="Times New Roman"/>
          <w:sz w:val="24"/>
          <w:szCs w:val="24"/>
        </w:rPr>
        <w:t xml:space="preserve">can </w:t>
      </w:r>
      <w:r w:rsidR="004952AF">
        <w:rPr>
          <w:rFonts w:ascii="Garamond" w:hAnsi="Garamond" w:cs="Times New Roman"/>
          <w:sz w:val="24"/>
          <w:szCs w:val="24"/>
        </w:rPr>
        <w:t>nurture</w:t>
      </w:r>
      <w:r w:rsidR="004952AF" w:rsidRPr="004952AF">
        <w:rPr>
          <w:rFonts w:ascii="Garamond" w:hAnsi="Garamond" w:cs="Times New Roman"/>
          <w:sz w:val="24"/>
          <w:szCs w:val="24"/>
        </w:rPr>
        <w:t xml:space="preserve"> hedonic sensations</w:t>
      </w:r>
      <w:r w:rsidR="004952AF">
        <w:rPr>
          <w:rFonts w:ascii="Garamond" w:hAnsi="Garamond" w:cs="Times New Roman"/>
          <w:sz w:val="24"/>
          <w:szCs w:val="24"/>
        </w:rPr>
        <w:t xml:space="preserve"> and then </w:t>
      </w:r>
      <w:r w:rsidR="00830009">
        <w:rPr>
          <w:rFonts w:ascii="Garamond" w:hAnsi="Garamond" w:cs="Times New Roman"/>
          <w:sz w:val="24"/>
          <w:szCs w:val="24"/>
          <w:lang w:val="en-GB"/>
        </w:rPr>
        <w:t>increase human conception has been widely suggested in society and mass media</w:t>
      </w:r>
      <w:r w:rsidR="000C1BD3">
        <w:rPr>
          <w:rFonts w:ascii="Garamond" w:hAnsi="Garamond" w:cs="Times New Roman"/>
          <w:sz w:val="24"/>
          <w:szCs w:val="24"/>
          <w:lang w:val="en-GB"/>
        </w:rPr>
        <w:t>,</w:t>
      </w:r>
      <w:r w:rsidR="00830009">
        <w:rPr>
          <w:rFonts w:ascii="Garamond" w:hAnsi="Garamond" w:cs="Times New Roman"/>
          <w:sz w:val="24"/>
          <w:szCs w:val="24"/>
          <w:lang w:val="en-GB"/>
        </w:rPr>
        <w:t xml:space="preserve"> </w:t>
      </w:r>
      <w:r w:rsidR="005B0B18">
        <w:rPr>
          <w:rFonts w:ascii="Garamond" w:hAnsi="Garamond" w:cs="Times New Roman"/>
          <w:sz w:val="24"/>
          <w:szCs w:val="24"/>
          <w:lang w:val="en-GB"/>
        </w:rPr>
        <w:t>i</w:t>
      </w:r>
      <w:r w:rsidR="00830009">
        <w:rPr>
          <w:rFonts w:ascii="Garamond" w:hAnsi="Garamond" w:cs="Times New Roman"/>
          <w:sz w:val="24"/>
          <w:szCs w:val="24"/>
          <w:lang w:val="en-GB"/>
        </w:rPr>
        <w:t xml:space="preserve">t </w:t>
      </w:r>
      <w:r w:rsidR="000C1BD3">
        <w:rPr>
          <w:rFonts w:ascii="Garamond" w:hAnsi="Garamond" w:cs="Times New Roman"/>
          <w:sz w:val="24"/>
          <w:szCs w:val="24"/>
          <w:lang w:val="en-GB"/>
        </w:rPr>
        <w:t xml:space="preserve">has </w:t>
      </w:r>
      <w:r w:rsidR="00830009">
        <w:rPr>
          <w:rFonts w:ascii="Garamond" w:hAnsi="Garamond" w:cs="Times New Roman"/>
          <w:sz w:val="24"/>
          <w:szCs w:val="24"/>
          <w:lang w:val="en-GB"/>
        </w:rPr>
        <w:t>not receive</w:t>
      </w:r>
      <w:r w:rsidR="000C1BD3">
        <w:rPr>
          <w:rFonts w:ascii="Garamond" w:hAnsi="Garamond" w:cs="Times New Roman"/>
          <w:sz w:val="24"/>
          <w:szCs w:val="24"/>
          <w:lang w:val="en-GB"/>
        </w:rPr>
        <w:t>d</w:t>
      </w:r>
      <w:r w:rsidR="00830009">
        <w:rPr>
          <w:rFonts w:ascii="Garamond" w:hAnsi="Garamond" w:cs="Times New Roman"/>
          <w:sz w:val="24"/>
          <w:szCs w:val="24"/>
          <w:lang w:val="en-GB"/>
        </w:rPr>
        <w:t xml:space="preserve"> </w:t>
      </w:r>
      <w:r w:rsidR="00F72621">
        <w:rPr>
          <w:rFonts w:ascii="Garamond" w:hAnsi="Garamond" w:cs="Times New Roman"/>
          <w:sz w:val="24"/>
          <w:szCs w:val="24"/>
          <w:lang w:val="en-GB"/>
        </w:rPr>
        <w:t xml:space="preserve">much </w:t>
      </w:r>
      <w:r w:rsidR="00830009">
        <w:rPr>
          <w:rFonts w:ascii="Garamond" w:hAnsi="Garamond" w:cs="Times New Roman"/>
          <w:sz w:val="24"/>
          <w:szCs w:val="24"/>
          <w:lang w:val="en-GB"/>
        </w:rPr>
        <w:t xml:space="preserve">empirical attention. </w:t>
      </w:r>
      <w:r w:rsidR="00A443BE" w:rsidRPr="00CB63D7">
        <w:rPr>
          <w:rFonts w:ascii="Garamond" w:hAnsi="Garamond" w:cs="Times New Roman"/>
          <w:sz w:val="24"/>
          <w:szCs w:val="24"/>
          <w:lang w:val="en-GB"/>
        </w:rPr>
        <w:t>We</w:t>
      </w:r>
      <w:r w:rsidR="00830009">
        <w:rPr>
          <w:rFonts w:ascii="Garamond" w:hAnsi="Garamond" w:cs="Times New Roman"/>
          <w:sz w:val="24"/>
          <w:szCs w:val="24"/>
          <w:lang w:val="en-GB"/>
        </w:rPr>
        <w:t xml:space="preserve"> fill thi</w:t>
      </w:r>
      <w:r w:rsidR="005B0B18">
        <w:rPr>
          <w:rFonts w:ascii="Garamond" w:hAnsi="Garamond" w:cs="Times New Roman"/>
          <w:sz w:val="24"/>
          <w:szCs w:val="24"/>
          <w:lang w:val="en-GB"/>
        </w:rPr>
        <w:t>s</w:t>
      </w:r>
      <w:r w:rsidR="00830009">
        <w:rPr>
          <w:rFonts w:ascii="Garamond" w:hAnsi="Garamond" w:cs="Times New Roman"/>
          <w:sz w:val="24"/>
          <w:szCs w:val="24"/>
          <w:lang w:val="en-GB"/>
        </w:rPr>
        <w:t xml:space="preserve"> gap </w:t>
      </w:r>
      <w:r w:rsidR="00E06128">
        <w:rPr>
          <w:rFonts w:ascii="Garamond" w:hAnsi="Garamond" w:cs="Times New Roman"/>
          <w:sz w:val="24"/>
          <w:szCs w:val="24"/>
          <w:lang w:val="en-GB"/>
        </w:rPr>
        <w:t xml:space="preserve">in the literature </w:t>
      </w:r>
      <w:r w:rsidR="00830009">
        <w:rPr>
          <w:rFonts w:ascii="Garamond" w:hAnsi="Garamond" w:cs="Times New Roman"/>
          <w:sz w:val="24"/>
          <w:szCs w:val="24"/>
          <w:lang w:val="en-GB"/>
        </w:rPr>
        <w:t xml:space="preserve">and </w:t>
      </w:r>
      <w:r w:rsidR="00A443BE" w:rsidRPr="00CB63D7">
        <w:rPr>
          <w:rFonts w:ascii="Garamond" w:hAnsi="Garamond" w:cs="Times New Roman"/>
          <w:sz w:val="24"/>
          <w:szCs w:val="24"/>
          <w:lang w:val="en-GB"/>
        </w:rPr>
        <w:t>provid</w:t>
      </w:r>
      <w:r w:rsidR="00E06128">
        <w:rPr>
          <w:rFonts w:ascii="Garamond" w:hAnsi="Garamond" w:cs="Times New Roman"/>
          <w:sz w:val="24"/>
          <w:szCs w:val="24"/>
          <w:lang w:val="en-GB"/>
        </w:rPr>
        <w:t>e</w:t>
      </w:r>
      <w:r w:rsidR="00A443BE" w:rsidRPr="00CB63D7">
        <w:rPr>
          <w:rFonts w:ascii="Garamond" w:hAnsi="Garamond" w:cs="Times New Roman"/>
          <w:sz w:val="24"/>
          <w:szCs w:val="24"/>
          <w:lang w:val="en-GB"/>
        </w:rPr>
        <w:t xml:space="preserve"> the first</w:t>
      </w:r>
      <w:r w:rsidR="00830009">
        <w:rPr>
          <w:rFonts w:ascii="Garamond" w:hAnsi="Garamond" w:cs="Times New Roman"/>
          <w:sz w:val="24"/>
          <w:szCs w:val="24"/>
          <w:lang w:val="en-GB"/>
        </w:rPr>
        <w:t xml:space="preserve"> empirical</w:t>
      </w:r>
      <w:r w:rsidR="00A443BE" w:rsidRPr="00CB63D7">
        <w:rPr>
          <w:rFonts w:ascii="Garamond" w:hAnsi="Garamond" w:cs="Times New Roman"/>
          <w:sz w:val="24"/>
          <w:szCs w:val="24"/>
          <w:lang w:val="en-GB"/>
        </w:rPr>
        <w:t xml:space="preserve"> evidence on the relationship between national sports success and </w:t>
      </w:r>
      <w:r w:rsidR="00830009">
        <w:rPr>
          <w:rFonts w:ascii="Garamond" w:hAnsi="Garamond" w:cs="Times New Roman"/>
          <w:sz w:val="24"/>
          <w:szCs w:val="24"/>
          <w:lang w:val="en-GB"/>
        </w:rPr>
        <w:t>birth</w:t>
      </w:r>
      <w:r w:rsidR="00170BA1">
        <w:rPr>
          <w:rFonts w:ascii="Garamond" w:hAnsi="Garamond" w:cs="Times New Roman"/>
          <w:sz w:val="24"/>
          <w:szCs w:val="24"/>
          <w:lang w:val="en-GB"/>
        </w:rPr>
        <w:t xml:space="preserve"> rates</w:t>
      </w:r>
      <w:r w:rsidR="00830009">
        <w:rPr>
          <w:rFonts w:ascii="Garamond" w:hAnsi="Garamond" w:cs="Times New Roman"/>
          <w:sz w:val="24"/>
          <w:szCs w:val="24"/>
          <w:lang w:val="en-GB"/>
        </w:rPr>
        <w:t xml:space="preserve">. </w:t>
      </w:r>
      <w:r w:rsidR="00A443BE" w:rsidRPr="00CB63D7">
        <w:rPr>
          <w:rFonts w:ascii="Garamond" w:hAnsi="Garamond" w:cs="Times New Roman"/>
          <w:sz w:val="24"/>
          <w:szCs w:val="24"/>
          <w:lang w:val="en-GB"/>
        </w:rPr>
        <w:t xml:space="preserve"> </w:t>
      </w:r>
      <w:r w:rsidRPr="00CB63D7">
        <w:rPr>
          <w:rFonts w:ascii="Garamond" w:hAnsi="Garamond" w:cs="Times New Roman"/>
          <w:sz w:val="24"/>
          <w:szCs w:val="24"/>
          <w:lang w:val="en-GB"/>
        </w:rPr>
        <w:t xml:space="preserve">  </w:t>
      </w:r>
    </w:p>
    <w:p w14:paraId="6D659218" w14:textId="09B033CD" w:rsidR="00A443BE" w:rsidRDefault="00EE3582">
      <w:pPr>
        <w:spacing w:line="360" w:lineRule="auto"/>
        <w:jc w:val="both"/>
        <w:rPr>
          <w:rFonts w:ascii="Garamond" w:hAnsi="Garamond" w:cs="Times New Roman"/>
          <w:sz w:val="24"/>
          <w:szCs w:val="24"/>
          <w:lang w:val="en-GB"/>
        </w:rPr>
      </w:pPr>
      <w:r w:rsidRPr="0022344E">
        <w:rPr>
          <w:rFonts w:ascii="Garamond" w:hAnsi="Garamond" w:cs="Times New Roman"/>
          <w:sz w:val="24"/>
          <w:szCs w:val="24"/>
          <w:lang w:val="en-GB"/>
        </w:rPr>
        <w:t xml:space="preserve">We compiled a unique dataset combining country-level </w:t>
      </w:r>
      <w:r>
        <w:rPr>
          <w:rFonts w:ascii="Garamond" w:hAnsi="Garamond" w:cs="Times New Roman"/>
          <w:sz w:val="24"/>
          <w:szCs w:val="24"/>
          <w:lang w:val="en-GB"/>
        </w:rPr>
        <w:t xml:space="preserve">monthly </w:t>
      </w:r>
      <w:r w:rsidRPr="0022344E">
        <w:rPr>
          <w:rFonts w:ascii="Garamond" w:hAnsi="Garamond" w:cs="Times New Roman"/>
          <w:sz w:val="24"/>
          <w:szCs w:val="24"/>
          <w:lang w:val="en-GB"/>
        </w:rPr>
        <w:t xml:space="preserve">births for </w:t>
      </w:r>
      <w:r>
        <w:rPr>
          <w:rFonts w:ascii="Garamond" w:hAnsi="Garamond" w:cs="Times New Roman"/>
          <w:sz w:val="24"/>
          <w:szCs w:val="24"/>
          <w:lang w:val="en-GB"/>
        </w:rPr>
        <w:t>50</w:t>
      </w:r>
      <w:r w:rsidRPr="0022344E">
        <w:rPr>
          <w:rFonts w:ascii="Garamond" w:hAnsi="Garamond" w:cs="Times New Roman"/>
          <w:sz w:val="24"/>
          <w:szCs w:val="24"/>
          <w:lang w:val="en-GB"/>
        </w:rPr>
        <w:t xml:space="preserve"> European countries</w:t>
      </w:r>
      <w:r>
        <w:rPr>
          <w:rFonts w:ascii="Garamond" w:hAnsi="Garamond" w:cs="Times New Roman"/>
          <w:sz w:val="24"/>
          <w:szCs w:val="24"/>
          <w:lang w:val="en-GB"/>
        </w:rPr>
        <w:t>, along 56 years,</w:t>
      </w:r>
      <w:r w:rsidRPr="0022344E">
        <w:rPr>
          <w:rFonts w:ascii="Garamond" w:hAnsi="Garamond" w:cs="Times New Roman"/>
          <w:sz w:val="24"/>
          <w:szCs w:val="24"/>
          <w:lang w:val="en-GB"/>
        </w:rPr>
        <w:t xml:space="preserve"> </w:t>
      </w:r>
      <w:r>
        <w:rPr>
          <w:rFonts w:ascii="Garamond" w:hAnsi="Garamond" w:cs="Times New Roman"/>
          <w:sz w:val="24"/>
          <w:szCs w:val="24"/>
          <w:lang w:val="en-GB"/>
        </w:rPr>
        <w:t>with</w:t>
      </w:r>
      <w:r w:rsidRPr="0022344E">
        <w:rPr>
          <w:rFonts w:ascii="Garamond" w:hAnsi="Garamond" w:cs="Times New Roman"/>
          <w:sz w:val="24"/>
          <w:szCs w:val="24"/>
          <w:lang w:val="en-GB"/>
        </w:rPr>
        <w:t xml:space="preserve"> measures of national team</w:t>
      </w:r>
      <w:r>
        <w:rPr>
          <w:rFonts w:ascii="Garamond" w:hAnsi="Garamond" w:cs="Times New Roman"/>
          <w:sz w:val="24"/>
          <w:szCs w:val="24"/>
          <w:lang w:val="en-GB"/>
        </w:rPr>
        <w:t>s’</w:t>
      </w:r>
      <w:r w:rsidRPr="0022344E">
        <w:rPr>
          <w:rFonts w:ascii="Garamond" w:hAnsi="Garamond" w:cs="Times New Roman"/>
          <w:sz w:val="24"/>
          <w:szCs w:val="24"/>
          <w:lang w:val="en-GB"/>
        </w:rPr>
        <w:t xml:space="preserve"> performance in </w:t>
      </w:r>
      <w:r>
        <w:rPr>
          <w:rFonts w:ascii="Garamond" w:hAnsi="Garamond" w:cs="Times New Roman"/>
          <w:sz w:val="24"/>
          <w:szCs w:val="24"/>
          <w:lang w:val="en-GB"/>
        </w:rPr>
        <w:t xml:space="preserve">27 </w:t>
      </w:r>
      <w:r w:rsidR="008E10C6">
        <w:rPr>
          <w:rFonts w:ascii="Garamond" w:hAnsi="Garamond" w:cs="Times New Roman"/>
          <w:sz w:val="24"/>
          <w:szCs w:val="24"/>
          <w:lang w:val="en-GB"/>
        </w:rPr>
        <w:t xml:space="preserve">major international </w:t>
      </w:r>
      <w:r w:rsidR="00B07D71">
        <w:rPr>
          <w:rFonts w:ascii="Garamond" w:hAnsi="Garamond" w:cs="Times New Roman"/>
          <w:sz w:val="24"/>
          <w:szCs w:val="24"/>
          <w:lang w:val="en-GB"/>
        </w:rPr>
        <w:t>football</w:t>
      </w:r>
      <w:r w:rsidR="005037CF">
        <w:rPr>
          <w:rFonts w:ascii="Garamond" w:hAnsi="Garamond" w:cs="Times New Roman"/>
          <w:sz w:val="24"/>
          <w:szCs w:val="24"/>
          <w:lang w:val="en-GB"/>
        </w:rPr>
        <w:t xml:space="preserve"> </w:t>
      </w:r>
      <w:r w:rsidR="008E10C6">
        <w:rPr>
          <w:rFonts w:ascii="Garamond" w:hAnsi="Garamond" w:cs="Times New Roman"/>
          <w:sz w:val="24"/>
          <w:szCs w:val="24"/>
          <w:lang w:val="en-GB"/>
        </w:rPr>
        <w:t xml:space="preserve">events </w:t>
      </w:r>
      <w:r w:rsidR="008E10C6" w:rsidRPr="008E10C6">
        <w:rPr>
          <w:rFonts w:ascii="Garamond" w:hAnsi="Garamond" w:cs="Times New Roman"/>
          <w:sz w:val="24"/>
          <w:szCs w:val="24"/>
          <w:lang w:val="en-GB"/>
        </w:rPr>
        <w:t>(</w:t>
      </w:r>
      <w:r w:rsidR="001B6C94">
        <w:rPr>
          <w:rFonts w:ascii="Garamond" w:hAnsi="Garamond" w:cs="Times New Roman"/>
          <w:sz w:val="24"/>
          <w:szCs w:val="24"/>
          <w:lang w:val="en-GB"/>
        </w:rPr>
        <w:t>i.e., FIFA</w:t>
      </w:r>
      <w:r w:rsidR="008E10C6" w:rsidRPr="008E10C6">
        <w:rPr>
          <w:rFonts w:ascii="Garamond" w:hAnsi="Garamond" w:cs="Times New Roman"/>
          <w:sz w:val="24"/>
          <w:szCs w:val="24"/>
          <w:lang w:val="en-GB"/>
        </w:rPr>
        <w:t xml:space="preserve"> Wold Cup and </w:t>
      </w:r>
      <w:r w:rsidR="001B6C94">
        <w:rPr>
          <w:rFonts w:ascii="Garamond" w:hAnsi="Garamond" w:cs="Times New Roman"/>
          <w:sz w:val="24"/>
          <w:szCs w:val="24"/>
          <w:lang w:val="en-GB"/>
        </w:rPr>
        <w:t xml:space="preserve">UEFA </w:t>
      </w:r>
      <w:r w:rsidR="008E10C6" w:rsidRPr="008E10C6">
        <w:rPr>
          <w:rFonts w:ascii="Garamond" w:hAnsi="Garamond" w:cs="Times New Roman"/>
          <w:sz w:val="24"/>
          <w:szCs w:val="24"/>
          <w:lang w:val="en-GB"/>
        </w:rPr>
        <w:t xml:space="preserve">European </w:t>
      </w:r>
      <w:r w:rsidR="001B6C94">
        <w:rPr>
          <w:rFonts w:ascii="Garamond" w:hAnsi="Garamond" w:cs="Times New Roman"/>
          <w:sz w:val="24"/>
          <w:szCs w:val="24"/>
          <w:lang w:val="en-GB"/>
        </w:rPr>
        <w:t>Football Championship</w:t>
      </w:r>
      <w:r w:rsidR="008E10C6" w:rsidRPr="008E10C6">
        <w:rPr>
          <w:rFonts w:ascii="Garamond" w:hAnsi="Garamond" w:cs="Times New Roman"/>
          <w:sz w:val="24"/>
          <w:szCs w:val="24"/>
          <w:lang w:val="en-GB"/>
        </w:rPr>
        <w:t>)</w:t>
      </w:r>
      <w:r w:rsidR="00676911">
        <w:rPr>
          <w:rFonts w:ascii="Garamond" w:hAnsi="Garamond" w:cs="Times New Roman"/>
          <w:sz w:val="24"/>
          <w:szCs w:val="24"/>
          <w:lang w:val="en-GB"/>
        </w:rPr>
        <w:t xml:space="preserve">. </w:t>
      </w:r>
      <w:r w:rsidR="00676911" w:rsidRPr="00676911">
        <w:rPr>
          <w:rFonts w:ascii="Garamond" w:hAnsi="Garamond" w:cs="Times New Roman"/>
          <w:sz w:val="24"/>
          <w:szCs w:val="24"/>
          <w:lang w:val="en-GB"/>
        </w:rPr>
        <w:t>Our empirical results contradict the</w:t>
      </w:r>
      <w:r w:rsidR="00676911">
        <w:rPr>
          <w:rFonts w:ascii="Garamond" w:hAnsi="Garamond" w:cs="Times New Roman"/>
          <w:sz w:val="24"/>
          <w:szCs w:val="24"/>
          <w:lang w:val="en-GB"/>
        </w:rPr>
        <w:t xml:space="preserve"> </w:t>
      </w:r>
      <w:proofErr w:type="spellStart"/>
      <w:r w:rsidR="00676911">
        <w:rPr>
          <w:rFonts w:ascii="Garamond" w:hAnsi="Garamond" w:cs="Times New Roman"/>
          <w:sz w:val="24"/>
          <w:szCs w:val="24"/>
          <w:lang w:val="en-GB"/>
        </w:rPr>
        <w:t>anecdotical</w:t>
      </w:r>
      <w:proofErr w:type="spellEnd"/>
      <w:r w:rsidR="00676911" w:rsidRPr="00676911">
        <w:rPr>
          <w:rFonts w:ascii="Garamond" w:hAnsi="Garamond" w:cs="Times New Roman"/>
          <w:sz w:val="24"/>
          <w:szCs w:val="24"/>
          <w:lang w:val="en-GB"/>
        </w:rPr>
        <w:t xml:space="preserve"> evidence. </w:t>
      </w:r>
      <w:r w:rsidR="008E10C6">
        <w:rPr>
          <w:rFonts w:ascii="Garamond" w:hAnsi="Garamond" w:cs="Times New Roman"/>
          <w:sz w:val="24"/>
          <w:szCs w:val="24"/>
          <w:lang w:val="en-GB"/>
        </w:rPr>
        <w:t xml:space="preserve"> </w:t>
      </w:r>
      <w:r w:rsidR="00676911">
        <w:rPr>
          <w:rFonts w:ascii="Garamond" w:hAnsi="Garamond" w:cs="Times New Roman"/>
          <w:sz w:val="24"/>
          <w:szCs w:val="24"/>
          <w:lang w:val="en-GB"/>
        </w:rPr>
        <w:t>W</w:t>
      </w:r>
      <w:r w:rsidR="00A443BE" w:rsidRPr="00CB63D7">
        <w:rPr>
          <w:rFonts w:ascii="Garamond" w:hAnsi="Garamond" w:cs="Times New Roman"/>
          <w:sz w:val="24"/>
          <w:szCs w:val="24"/>
          <w:lang w:val="en-GB"/>
        </w:rPr>
        <w:t>e find that an increase in national team</w:t>
      </w:r>
      <w:r>
        <w:rPr>
          <w:rFonts w:ascii="Garamond" w:hAnsi="Garamond" w:cs="Times New Roman"/>
          <w:sz w:val="24"/>
          <w:szCs w:val="24"/>
          <w:lang w:val="en-GB"/>
        </w:rPr>
        <w:t>s’</w:t>
      </w:r>
      <w:r w:rsidR="00A443BE" w:rsidRPr="00CB63D7">
        <w:rPr>
          <w:rFonts w:ascii="Garamond" w:hAnsi="Garamond" w:cs="Times New Roman"/>
          <w:sz w:val="24"/>
          <w:szCs w:val="24"/>
          <w:lang w:val="en-GB"/>
        </w:rPr>
        <w:t xml:space="preserve"> performance is associated with a </w:t>
      </w:r>
      <w:r w:rsidR="00A443BE" w:rsidRPr="00AC1065">
        <w:rPr>
          <w:rFonts w:ascii="Garamond" w:hAnsi="Garamond" w:cs="Times New Roman"/>
          <w:i/>
          <w:sz w:val="24"/>
          <w:szCs w:val="24"/>
          <w:lang w:val="en-GB"/>
        </w:rPr>
        <w:t>reduction</w:t>
      </w:r>
      <w:r w:rsidR="00A443BE" w:rsidRPr="00CB63D7">
        <w:rPr>
          <w:rFonts w:ascii="Garamond" w:hAnsi="Garamond" w:cs="Times New Roman"/>
          <w:sz w:val="24"/>
          <w:szCs w:val="24"/>
          <w:lang w:val="en-GB"/>
        </w:rPr>
        <w:t xml:space="preserve"> in births </w:t>
      </w:r>
      <w:r w:rsidR="00702B2D">
        <w:rPr>
          <w:rFonts w:ascii="Garamond" w:hAnsi="Garamond" w:cs="Times New Roman"/>
          <w:sz w:val="24"/>
          <w:szCs w:val="24"/>
          <w:lang w:val="en-GB"/>
        </w:rPr>
        <w:t>nine</w:t>
      </w:r>
      <w:r w:rsidR="00A443BE" w:rsidRPr="00CB63D7">
        <w:rPr>
          <w:rFonts w:ascii="Garamond" w:hAnsi="Garamond" w:cs="Times New Roman"/>
          <w:sz w:val="24"/>
          <w:szCs w:val="24"/>
          <w:lang w:val="en-GB"/>
        </w:rPr>
        <w:t xml:space="preserve"> months after the event</w:t>
      </w:r>
      <w:r w:rsidR="00CB63D7" w:rsidRPr="00CB63D7">
        <w:rPr>
          <w:rFonts w:ascii="Garamond" w:hAnsi="Garamond" w:cs="Times New Roman"/>
          <w:sz w:val="24"/>
          <w:szCs w:val="24"/>
          <w:lang w:val="en-GB"/>
        </w:rPr>
        <w:t xml:space="preserve">. </w:t>
      </w:r>
    </w:p>
    <w:p w14:paraId="5C0F33CC" w14:textId="36C90CB3" w:rsidR="0001109E" w:rsidRPr="00D96ED2" w:rsidRDefault="00227BEE" w:rsidP="00D96ED2">
      <w:pPr>
        <w:spacing w:line="360" w:lineRule="auto"/>
        <w:jc w:val="both"/>
        <w:rPr>
          <w:rFonts w:ascii="Garamond" w:hAnsi="Garamond" w:cs="Times New Roman"/>
          <w:sz w:val="24"/>
          <w:szCs w:val="24"/>
          <w:lang w:val="en-GB"/>
        </w:rPr>
      </w:pPr>
      <w:r w:rsidRPr="00227BEE">
        <w:rPr>
          <w:rFonts w:ascii="Garamond" w:hAnsi="Garamond" w:cs="Times New Roman"/>
          <w:sz w:val="24"/>
          <w:szCs w:val="24"/>
          <w:lang w:val="en-GB"/>
        </w:rPr>
        <w:lastRenderedPageBreak/>
        <w:t xml:space="preserve">The remainder of this paper is organized as follows. Section 2 </w:t>
      </w:r>
      <w:r w:rsidR="00E06128">
        <w:rPr>
          <w:rFonts w:ascii="Garamond" w:hAnsi="Garamond" w:cs="Times New Roman"/>
          <w:sz w:val="24"/>
          <w:szCs w:val="24"/>
          <w:lang w:val="en-GB"/>
        </w:rPr>
        <w:t>describes</w:t>
      </w:r>
      <w:r>
        <w:rPr>
          <w:rFonts w:ascii="Garamond" w:hAnsi="Garamond" w:cs="Times New Roman"/>
          <w:sz w:val="24"/>
          <w:szCs w:val="24"/>
          <w:lang w:val="en-GB"/>
        </w:rPr>
        <w:t xml:space="preserve"> the data</w:t>
      </w:r>
      <w:r w:rsidR="007D5ED3">
        <w:rPr>
          <w:rFonts w:ascii="Garamond" w:hAnsi="Garamond" w:cs="Times New Roman"/>
          <w:sz w:val="24"/>
          <w:szCs w:val="24"/>
          <w:lang w:val="en-GB"/>
        </w:rPr>
        <w:t>.</w:t>
      </w:r>
      <w:r>
        <w:rPr>
          <w:rFonts w:ascii="Garamond" w:hAnsi="Garamond" w:cs="Times New Roman"/>
          <w:sz w:val="24"/>
          <w:szCs w:val="24"/>
          <w:lang w:val="en-GB"/>
        </w:rPr>
        <w:t xml:space="preserve"> </w:t>
      </w:r>
      <w:bookmarkStart w:id="5" w:name="_Hlk71549227"/>
      <w:r w:rsidRPr="00227BEE">
        <w:rPr>
          <w:rFonts w:ascii="Garamond" w:hAnsi="Garamond" w:cs="Times New Roman"/>
          <w:sz w:val="24"/>
          <w:szCs w:val="24"/>
          <w:lang w:val="en-GB"/>
        </w:rPr>
        <w:t xml:space="preserve">Section 3 </w:t>
      </w:r>
      <w:bookmarkEnd w:id="5"/>
      <w:r w:rsidRPr="00227BEE">
        <w:rPr>
          <w:rFonts w:ascii="Garamond" w:hAnsi="Garamond" w:cs="Times New Roman"/>
          <w:sz w:val="24"/>
          <w:szCs w:val="24"/>
          <w:lang w:val="en-GB"/>
        </w:rPr>
        <w:t>presents</w:t>
      </w:r>
      <w:r w:rsidR="007D5ED3">
        <w:rPr>
          <w:rFonts w:ascii="Garamond" w:hAnsi="Garamond" w:cs="Times New Roman"/>
          <w:sz w:val="24"/>
          <w:szCs w:val="24"/>
          <w:lang w:val="en-GB"/>
        </w:rPr>
        <w:t xml:space="preserve"> the</w:t>
      </w:r>
      <w:r w:rsidRPr="00227BEE">
        <w:rPr>
          <w:rFonts w:ascii="Garamond" w:hAnsi="Garamond" w:cs="Times New Roman"/>
          <w:sz w:val="24"/>
          <w:szCs w:val="24"/>
          <w:lang w:val="en-GB"/>
        </w:rPr>
        <w:t xml:space="preserve"> </w:t>
      </w:r>
      <w:r w:rsidR="00E06128">
        <w:rPr>
          <w:rFonts w:ascii="Garamond" w:hAnsi="Garamond" w:cs="Times New Roman"/>
          <w:sz w:val="24"/>
          <w:szCs w:val="24"/>
          <w:lang w:val="en-GB"/>
        </w:rPr>
        <w:t xml:space="preserve">main </w:t>
      </w:r>
      <w:r w:rsidR="007D5ED3">
        <w:rPr>
          <w:rFonts w:ascii="Garamond" w:hAnsi="Garamond" w:cs="Times New Roman"/>
          <w:sz w:val="24"/>
          <w:szCs w:val="24"/>
          <w:lang w:val="en-GB"/>
        </w:rPr>
        <w:t>empirical analys</w:t>
      </w:r>
      <w:r w:rsidR="00E06128">
        <w:rPr>
          <w:rFonts w:ascii="Garamond" w:hAnsi="Garamond" w:cs="Times New Roman"/>
          <w:sz w:val="24"/>
          <w:szCs w:val="24"/>
          <w:lang w:val="en-GB"/>
        </w:rPr>
        <w:t>e</w:t>
      </w:r>
      <w:r w:rsidR="007D5ED3">
        <w:rPr>
          <w:rFonts w:ascii="Garamond" w:hAnsi="Garamond" w:cs="Times New Roman"/>
          <w:sz w:val="24"/>
          <w:szCs w:val="24"/>
          <w:lang w:val="en-GB"/>
        </w:rPr>
        <w:t>s</w:t>
      </w:r>
      <w:r w:rsidR="00E06128">
        <w:rPr>
          <w:rFonts w:ascii="Garamond" w:hAnsi="Garamond" w:cs="Times New Roman"/>
          <w:sz w:val="24"/>
          <w:szCs w:val="24"/>
          <w:lang w:val="en-GB"/>
        </w:rPr>
        <w:t>, while Section 4 presents</w:t>
      </w:r>
      <w:r w:rsidR="00E06128">
        <w:rPr>
          <w:rFonts w:ascii="Garamond" w:hAnsi="Garamond" w:cs="Times New Roman"/>
          <w:sz w:val="24"/>
          <w:szCs w:val="24"/>
        </w:rPr>
        <w:t xml:space="preserve"> </w:t>
      </w:r>
      <w:r w:rsidR="007D5ED3" w:rsidRPr="007D5ED3">
        <w:rPr>
          <w:rFonts w:ascii="Garamond" w:hAnsi="Garamond" w:cs="Times New Roman"/>
          <w:sz w:val="24"/>
          <w:szCs w:val="24"/>
        </w:rPr>
        <w:t>some robustness checks</w:t>
      </w:r>
      <w:r w:rsidR="007D5ED3">
        <w:rPr>
          <w:rFonts w:ascii="Garamond" w:hAnsi="Garamond" w:cs="Times New Roman"/>
          <w:sz w:val="24"/>
          <w:szCs w:val="24"/>
        </w:rPr>
        <w:t xml:space="preserve">. </w:t>
      </w:r>
      <w:r w:rsidR="00307C71">
        <w:rPr>
          <w:rFonts w:ascii="Garamond" w:hAnsi="Garamond" w:cs="Times New Roman"/>
          <w:sz w:val="24"/>
          <w:szCs w:val="24"/>
          <w:lang w:val="en-GB"/>
        </w:rPr>
        <w:t>S</w:t>
      </w:r>
      <w:r w:rsidR="007D5ED3">
        <w:rPr>
          <w:rFonts w:ascii="Garamond" w:hAnsi="Garamond" w:cs="Times New Roman"/>
          <w:sz w:val="24"/>
          <w:szCs w:val="24"/>
          <w:lang w:val="en-GB"/>
        </w:rPr>
        <w:t>ection</w:t>
      </w:r>
      <w:r w:rsidRPr="00227BEE">
        <w:rPr>
          <w:rFonts w:ascii="Garamond" w:hAnsi="Garamond" w:cs="Times New Roman"/>
          <w:sz w:val="24"/>
          <w:szCs w:val="24"/>
          <w:lang w:val="en-GB"/>
        </w:rPr>
        <w:t xml:space="preserve"> </w:t>
      </w:r>
      <w:r w:rsidR="00307C71">
        <w:rPr>
          <w:rFonts w:ascii="Garamond" w:hAnsi="Garamond" w:cs="Times New Roman"/>
          <w:sz w:val="24"/>
          <w:szCs w:val="24"/>
          <w:lang w:val="en-GB"/>
        </w:rPr>
        <w:t xml:space="preserve">5 </w:t>
      </w:r>
      <w:r w:rsidRPr="00227BEE">
        <w:rPr>
          <w:rFonts w:ascii="Garamond" w:hAnsi="Garamond" w:cs="Times New Roman"/>
          <w:sz w:val="24"/>
          <w:szCs w:val="24"/>
          <w:lang w:val="en-GB"/>
        </w:rPr>
        <w:t xml:space="preserve">discusses </w:t>
      </w:r>
      <w:r>
        <w:rPr>
          <w:rFonts w:ascii="Garamond" w:hAnsi="Garamond" w:cs="Times New Roman"/>
          <w:sz w:val="24"/>
          <w:szCs w:val="24"/>
          <w:lang w:val="en-GB"/>
        </w:rPr>
        <w:t xml:space="preserve">and </w:t>
      </w:r>
      <w:r w:rsidRPr="00227BEE">
        <w:rPr>
          <w:rFonts w:ascii="Garamond" w:hAnsi="Garamond" w:cs="Times New Roman"/>
          <w:sz w:val="24"/>
          <w:szCs w:val="24"/>
          <w:lang w:val="en-GB"/>
        </w:rPr>
        <w:t>concludes.</w:t>
      </w:r>
    </w:p>
    <w:p w14:paraId="34490E3B" w14:textId="1577A798" w:rsidR="00165B46" w:rsidRPr="006F4A10" w:rsidRDefault="00165B46" w:rsidP="00165B46">
      <w:pPr>
        <w:pStyle w:val="Titolo1"/>
        <w:rPr>
          <w:rFonts w:ascii="Garamond" w:hAnsi="Garamond" w:cs="Times New Roman"/>
          <w:lang w:val="en-GB"/>
        </w:rPr>
      </w:pPr>
      <w:r w:rsidRPr="006F4A10">
        <w:rPr>
          <w:rFonts w:ascii="Garamond" w:hAnsi="Garamond" w:cs="Times New Roman"/>
          <w:lang w:val="en-GB"/>
        </w:rPr>
        <w:t xml:space="preserve">2 Data </w:t>
      </w:r>
    </w:p>
    <w:p w14:paraId="24141883" w14:textId="0E83486C" w:rsidR="009F0861" w:rsidRDefault="006F4A10" w:rsidP="00A24D9B">
      <w:pPr>
        <w:spacing w:line="360" w:lineRule="auto"/>
        <w:jc w:val="both"/>
        <w:rPr>
          <w:rFonts w:ascii="Garamond" w:hAnsi="Garamond" w:cs="Times New Roman"/>
          <w:sz w:val="24"/>
          <w:szCs w:val="24"/>
        </w:rPr>
      </w:pPr>
      <w:r w:rsidRPr="006F4A10">
        <w:rPr>
          <w:rFonts w:ascii="Garamond" w:hAnsi="Garamond" w:cs="Times New Roman"/>
          <w:sz w:val="24"/>
          <w:szCs w:val="24"/>
          <w:lang w:val="en-GB"/>
        </w:rPr>
        <w:t xml:space="preserve">We </w:t>
      </w:r>
      <w:bookmarkStart w:id="6" w:name="_Hlk66703767"/>
      <w:r w:rsidR="00EE3582">
        <w:rPr>
          <w:rFonts w:ascii="Garamond" w:hAnsi="Garamond" w:cs="Times New Roman"/>
          <w:sz w:val="24"/>
          <w:szCs w:val="24"/>
          <w:lang w:val="en-GB"/>
        </w:rPr>
        <w:t xml:space="preserve">combined </w:t>
      </w:r>
      <w:r>
        <w:rPr>
          <w:rFonts w:ascii="Garamond" w:hAnsi="Garamond" w:cs="Times New Roman"/>
          <w:sz w:val="24"/>
          <w:szCs w:val="24"/>
          <w:lang w:val="en-GB"/>
        </w:rPr>
        <w:t>data</w:t>
      </w:r>
      <w:r w:rsidR="00EE3582">
        <w:rPr>
          <w:rFonts w:ascii="Garamond" w:hAnsi="Garamond" w:cs="Times New Roman"/>
          <w:sz w:val="24"/>
          <w:szCs w:val="24"/>
          <w:lang w:val="en-GB"/>
        </w:rPr>
        <w:t xml:space="preserve"> from </w:t>
      </w:r>
      <w:r w:rsidR="00EE3582" w:rsidRPr="00A24D9B">
        <w:rPr>
          <w:rFonts w:ascii="Garamond" w:hAnsi="Garamond" w:cs="Times New Roman"/>
          <w:sz w:val="24"/>
          <w:szCs w:val="24"/>
        </w:rPr>
        <w:t xml:space="preserve">Eurostat </w:t>
      </w:r>
      <w:r w:rsidR="00CB63D7">
        <w:rPr>
          <w:rFonts w:ascii="Garamond" w:hAnsi="Garamond" w:cs="Times New Roman"/>
          <w:sz w:val="24"/>
          <w:szCs w:val="24"/>
          <w:lang w:val="en-GB"/>
        </w:rPr>
        <w:t xml:space="preserve">on </w:t>
      </w:r>
      <w:r w:rsidR="006C4B39">
        <w:rPr>
          <w:rFonts w:ascii="Garamond" w:hAnsi="Garamond" w:cs="Times New Roman"/>
          <w:sz w:val="24"/>
          <w:szCs w:val="24"/>
          <w:lang w:val="en-GB"/>
        </w:rPr>
        <w:t>c</w:t>
      </w:r>
      <w:r w:rsidR="00CB63D7">
        <w:rPr>
          <w:rFonts w:ascii="Garamond" w:hAnsi="Garamond" w:cs="Times New Roman"/>
          <w:sz w:val="24"/>
          <w:szCs w:val="24"/>
          <w:lang w:val="en-GB"/>
        </w:rPr>
        <w:t xml:space="preserve">ountry-level </w:t>
      </w:r>
      <w:r w:rsidR="00EE3582">
        <w:rPr>
          <w:rFonts w:ascii="Garamond" w:hAnsi="Garamond" w:cs="Times New Roman"/>
          <w:sz w:val="24"/>
          <w:szCs w:val="24"/>
          <w:lang w:val="en-GB"/>
        </w:rPr>
        <w:t xml:space="preserve">monthly </w:t>
      </w:r>
      <w:r w:rsidR="00CB63D7">
        <w:rPr>
          <w:rFonts w:ascii="Garamond" w:hAnsi="Garamond" w:cs="Times New Roman"/>
          <w:sz w:val="24"/>
          <w:szCs w:val="24"/>
          <w:lang w:val="en-GB"/>
        </w:rPr>
        <w:t xml:space="preserve">births for </w:t>
      </w:r>
      <w:r w:rsidR="00E56ED3">
        <w:rPr>
          <w:rFonts w:ascii="Garamond" w:hAnsi="Garamond" w:cs="Times New Roman"/>
          <w:sz w:val="24"/>
          <w:szCs w:val="24"/>
          <w:lang w:val="en-GB"/>
        </w:rPr>
        <w:t>5</w:t>
      </w:r>
      <w:r w:rsidR="00F72621">
        <w:rPr>
          <w:rFonts w:ascii="Garamond" w:hAnsi="Garamond" w:cs="Times New Roman"/>
          <w:sz w:val="24"/>
          <w:szCs w:val="24"/>
          <w:lang w:val="en-GB"/>
        </w:rPr>
        <w:t>0</w:t>
      </w:r>
      <w:r w:rsidR="00CB63D7">
        <w:rPr>
          <w:rFonts w:ascii="Garamond" w:hAnsi="Garamond" w:cs="Times New Roman"/>
          <w:sz w:val="24"/>
          <w:szCs w:val="24"/>
          <w:lang w:val="en-GB"/>
        </w:rPr>
        <w:t xml:space="preserve"> European </w:t>
      </w:r>
      <w:bookmarkEnd w:id="6"/>
      <w:r w:rsidR="00CB63D7">
        <w:rPr>
          <w:rFonts w:ascii="Garamond" w:hAnsi="Garamond" w:cs="Times New Roman"/>
          <w:sz w:val="24"/>
          <w:szCs w:val="24"/>
          <w:lang w:val="en-GB"/>
        </w:rPr>
        <w:t>countries</w:t>
      </w:r>
      <w:r w:rsidR="00EE3582">
        <w:rPr>
          <w:rFonts w:ascii="Garamond" w:hAnsi="Garamond" w:cs="Times New Roman"/>
          <w:sz w:val="24"/>
          <w:szCs w:val="24"/>
          <w:lang w:val="en-GB"/>
        </w:rPr>
        <w:t xml:space="preserve">, from </w:t>
      </w:r>
      <w:r w:rsidR="00A24D9B" w:rsidRPr="00A24D9B">
        <w:rPr>
          <w:rFonts w:ascii="Garamond" w:hAnsi="Garamond" w:cs="Times New Roman"/>
          <w:sz w:val="24"/>
          <w:szCs w:val="24"/>
        </w:rPr>
        <w:t>1960 to 2016</w:t>
      </w:r>
      <w:r w:rsidR="00EE3582">
        <w:rPr>
          <w:rFonts w:ascii="Garamond" w:hAnsi="Garamond" w:cs="Times New Roman"/>
          <w:sz w:val="24"/>
          <w:szCs w:val="24"/>
        </w:rPr>
        <w:t xml:space="preserve">, with </w:t>
      </w:r>
      <w:r w:rsidR="00A24D9B">
        <w:rPr>
          <w:rFonts w:ascii="Garamond" w:hAnsi="Garamond" w:cs="Times New Roman"/>
          <w:sz w:val="24"/>
          <w:szCs w:val="24"/>
        </w:rPr>
        <w:t>national team</w:t>
      </w:r>
      <w:r w:rsidR="001B613E">
        <w:rPr>
          <w:rFonts w:ascii="Garamond" w:hAnsi="Garamond" w:cs="Times New Roman"/>
          <w:sz w:val="24"/>
          <w:szCs w:val="24"/>
        </w:rPr>
        <w:t>’s</w:t>
      </w:r>
      <w:r w:rsidR="00A24D9B">
        <w:rPr>
          <w:rFonts w:ascii="Garamond" w:hAnsi="Garamond" w:cs="Times New Roman"/>
          <w:sz w:val="24"/>
          <w:szCs w:val="24"/>
        </w:rPr>
        <w:t xml:space="preserve"> </w:t>
      </w:r>
      <w:r w:rsidR="00A24D9B" w:rsidRPr="00A24D9B">
        <w:rPr>
          <w:rFonts w:ascii="Garamond" w:hAnsi="Garamond" w:cs="Times New Roman"/>
          <w:sz w:val="24"/>
          <w:szCs w:val="24"/>
        </w:rPr>
        <w:t>performance</w:t>
      </w:r>
      <w:r w:rsidR="00E06128">
        <w:rPr>
          <w:rFonts w:ascii="Garamond" w:hAnsi="Garamond" w:cs="Times New Roman"/>
          <w:sz w:val="24"/>
          <w:szCs w:val="24"/>
        </w:rPr>
        <w:t xml:space="preserve">, as measured by the </w:t>
      </w:r>
      <w:r w:rsidR="00A24D9B" w:rsidRPr="00A24D9B">
        <w:rPr>
          <w:rFonts w:ascii="Garamond" w:hAnsi="Garamond" w:cs="Times New Roman"/>
          <w:sz w:val="24"/>
          <w:szCs w:val="24"/>
        </w:rPr>
        <w:t>ELO rating system</w:t>
      </w:r>
      <w:r w:rsidR="00E06128">
        <w:rPr>
          <w:rFonts w:ascii="Garamond" w:hAnsi="Garamond" w:cs="Times New Roman"/>
          <w:sz w:val="24"/>
          <w:szCs w:val="24"/>
        </w:rPr>
        <w:t xml:space="preserve">, which is </w:t>
      </w:r>
      <w:r w:rsidR="00A24D9B" w:rsidRPr="00A24D9B">
        <w:rPr>
          <w:rFonts w:ascii="Garamond" w:hAnsi="Garamond" w:cs="Times New Roman"/>
          <w:sz w:val="24"/>
          <w:szCs w:val="24"/>
        </w:rPr>
        <w:t xml:space="preserve">used by FIFA to </w:t>
      </w:r>
      <w:r w:rsidR="001F3165">
        <w:rPr>
          <w:rFonts w:ascii="Garamond" w:hAnsi="Garamond" w:cs="Times New Roman"/>
          <w:sz w:val="24"/>
          <w:szCs w:val="24"/>
        </w:rPr>
        <w:t>compile</w:t>
      </w:r>
      <w:r w:rsidR="00A24D9B" w:rsidRPr="00A24D9B">
        <w:rPr>
          <w:rFonts w:ascii="Garamond" w:hAnsi="Garamond" w:cs="Times New Roman"/>
          <w:sz w:val="24"/>
          <w:szCs w:val="24"/>
        </w:rPr>
        <w:t xml:space="preserve"> the world national teams rank</w:t>
      </w:r>
      <w:r w:rsidR="00461C26">
        <w:rPr>
          <w:rFonts w:ascii="Garamond" w:hAnsi="Garamond" w:cs="Times New Roman"/>
          <w:sz w:val="24"/>
          <w:szCs w:val="24"/>
        </w:rPr>
        <w:t xml:space="preserve">. </w:t>
      </w:r>
    </w:p>
    <w:p w14:paraId="4D65FD8C" w14:textId="2FBC385E" w:rsidR="009F0861" w:rsidRDefault="009F0861" w:rsidP="00A24D9B">
      <w:pPr>
        <w:spacing w:line="360" w:lineRule="auto"/>
        <w:jc w:val="both"/>
        <w:rPr>
          <w:rFonts w:ascii="Garamond" w:hAnsi="Garamond" w:cs="Times New Roman"/>
          <w:sz w:val="24"/>
          <w:szCs w:val="24"/>
        </w:rPr>
      </w:pPr>
      <w:r>
        <w:rPr>
          <w:rFonts w:ascii="Garamond" w:hAnsi="Garamond" w:cs="Times New Roman"/>
          <w:sz w:val="24"/>
          <w:szCs w:val="24"/>
        </w:rPr>
        <w:t xml:space="preserve">The </w:t>
      </w:r>
      <w:r w:rsidR="00461C26">
        <w:rPr>
          <w:rFonts w:ascii="Garamond" w:hAnsi="Garamond" w:cs="Times New Roman"/>
          <w:sz w:val="24"/>
          <w:szCs w:val="24"/>
        </w:rPr>
        <w:t xml:space="preserve">ELO </w:t>
      </w:r>
      <w:r>
        <w:rPr>
          <w:rFonts w:ascii="Garamond" w:hAnsi="Garamond" w:cs="Times New Roman"/>
          <w:sz w:val="24"/>
          <w:szCs w:val="24"/>
        </w:rPr>
        <w:t>system accounts for two aspects of performance. First, it</w:t>
      </w:r>
      <w:r w:rsidR="00461C26">
        <w:rPr>
          <w:rFonts w:ascii="Garamond" w:hAnsi="Garamond" w:cs="Times New Roman"/>
          <w:sz w:val="24"/>
          <w:szCs w:val="24"/>
        </w:rPr>
        <w:t xml:space="preserve"> depend</w:t>
      </w:r>
      <w:r>
        <w:rPr>
          <w:rFonts w:ascii="Garamond" w:hAnsi="Garamond" w:cs="Times New Roman"/>
          <w:sz w:val="24"/>
          <w:szCs w:val="24"/>
        </w:rPr>
        <w:t>s</w:t>
      </w:r>
      <w:r w:rsidR="00461C26">
        <w:rPr>
          <w:rFonts w:ascii="Garamond" w:hAnsi="Garamond" w:cs="Times New Roman"/>
          <w:sz w:val="24"/>
          <w:szCs w:val="24"/>
        </w:rPr>
        <w:t xml:space="preserve"> on individual match results and </w:t>
      </w:r>
      <w:r>
        <w:rPr>
          <w:rFonts w:ascii="Garamond" w:hAnsi="Garamond" w:cs="Times New Roman"/>
          <w:sz w:val="24"/>
          <w:szCs w:val="24"/>
        </w:rPr>
        <w:t xml:space="preserve">importance. Second, it cumulates through the competition, so it </w:t>
      </w:r>
      <w:r w:rsidR="00461C26">
        <w:rPr>
          <w:rFonts w:ascii="Garamond" w:hAnsi="Garamond" w:cs="Times New Roman"/>
          <w:sz w:val="24"/>
          <w:szCs w:val="24"/>
        </w:rPr>
        <w:t xml:space="preserve">accounts for the </w:t>
      </w:r>
      <w:r>
        <w:rPr>
          <w:rFonts w:ascii="Garamond" w:hAnsi="Garamond" w:cs="Times New Roman"/>
          <w:sz w:val="24"/>
          <w:szCs w:val="24"/>
        </w:rPr>
        <w:t xml:space="preserve">permanence in the competitions and for the </w:t>
      </w:r>
      <w:r w:rsidR="00461C26">
        <w:rPr>
          <w:rFonts w:ascii="Garamond" w:hAnsi="Garamond" w:cs="Times New Roman"/>
          <w:sz w:val="24"/>
          <w:szCs w:val="24"/>
        </w:rPr>
        <w:t xml:space="preserve">different number of games </w:t>
      </w:r>
      <w:r w:rsidR="002D706C">
        <w:rPr>
          <w:rFonts w:ascii="Garamond" w:hAnsi="Garamond" w:cs="Times New Roman"/>
          <w:sz w:val="24"/>
          <w:szCs w:val="24"/>
        </w:rPr>
        <w:t>per</w:t>
      </w:r>
      <w:r w:rsidR="00461C26">
        <w:rPr>
          <w:rFonts w:ascii="Garamond" w:hAnsi="Garamond" w:cs="Times New Roman"/>
          <w:sz w:val="24"/>
          <w:szCs w:val="24"/>
        </w:rPr>
        <w:t xml:space="preserve"> competition</w:t>
      </w:r>
      <w:r w:rsidR="002D706C">
        <w:rPr>
          <w:rFonts w:ascii="Garamond" w:hAnsi="Garamond" w:cs="Times New Roman"/>
          <w:sz w:val="24"/>
          <w:szCs w:val="24"/>
        </w:rPr>
        <w:t xml:space="preserve"> over time</w:t>
      </w:r>
      <w:r w:rsidR="00EE3582">
        <w:rPr>
          <w:rFonts w:ascii="Garamond" w:hAnsi="Garamond" w:cs="Times New Roman"/>
          <w:sz w:val="24"/>
          <w:szCs w:val="24"/>
        </w:rPr>
        <w:t>.</w:t>
      </w:r>
      <w:r w:rsidR="00A24D9B" w:rsidRPr="00A24D9B">
        <w:rPr>
          <w:rFonts w:ascii="Garamond" w:hAnsi="Garamond" w:cs="Times New Roman"/>
          <w:sz w:val="24"/>
          <w:szCs w:val="24"/>
        </w:rPr>
        <w:t xml:space="preserve"> </w:t>
      </w:r>
      <w:r>
        <w:rPr>
          <w:rFonts w:ascii="Garamond" w:hAnsi="Garamond" w:cs="Times New Roman"/>
          <w:sz w:val="24"/>
          <w:szCs w:val="24"/>
        </w:rPr>
        <w:t xml:space="preserve">Both aspects are important for the results interpretation. More </w:t>
      </w:r>
      <w:r w:rsidRPr="00A24D9B">
        <w:rPr>
          <w:rFonts w:ascii="Garamond" w:hAnsi="Garamond" w:cs="Times New Roman"/>
          <w:sz w:val="24"/>
          <w:szCs w:val="24"/>
        </w:rPr>
        <w:t xml:space="preserve">details </w:t>
      </w:r>
      <w:r>
        <w:rPr>
          <w:rFonts w:ascii="Garamond" w:hAnsi="Garamond" w:cs="Times New Roman"/>
          <w:sz w:val="24"/>
          <w:szCs w:val="24"/>
        </w:rPr>
        <w:t>are</w:t>
      </w:r>
      <w:r w:rsidR="00661D1E">
        <w:rPr>
          <w:rFonts w:ascii="Garamond" w:hAnsi="Garamond" w:cs="Times New Roman"/>
          <w:sz w:val="24"/>
          <w:szCs w:val="24"/>
        </w:rPr>
        <w:t xml:space="preserve"> provided</w:t>
      </w:r>
      <w:r>
        <w:rPr>
          <w:rFonts w:ascii="Garamond" w:hAnsi="Garamond" w:cs="Times New Roman"/>
          <w:sz w:val="24"/>
          <w:szCs w:val="24"/>
        </w:rPr>
        <w:t xml:space="preserve"> </w:t>
      </w:r>
      <w:r w:rsidRPr="00A24D9B">
        <w:rPr>
          <w:rFonts w:ascii="Garamond" w:hAnsi="Garamond" w:cs="Times New Roman"/>
          <w:sz w:val="24"/>
          <w:szCs w:val="24"/>
        </w:rPr>
        <w:t>in Appendix A</w:t>
      </w:r>
      <w:r>
        <w:rPr>
          <w:rFonts w:ascii="Garamond" w:hAnsi="Garamond" w:cs="Times New Roman"/>
          <w:sz w:val="24"/>
          <w:szCs w:val="24"/>
        </w:rPr>
        <w:t>.</w:t>
      </w:r>
    </w:p>
    <w:p w14:paraId="1C3D68F7" w14:textId="3162702D" w:rsidR="00DC4E35" w:rsidRDefault="00EE3582" w:rsidP="00A24D9B">
      <w:pPr>
        <w:spacing w:line="360" w:lineRule="auto"/>
        <w:jc w:val="both"/>
        <w:rPr>
          <w:rFonts w:ascii="Garamond" w:hAnsi="Garamond" w:cs="Times New Roman"/>
          <w:sz w:val="24"/>
          <w:szCs w:val="24"/>
        </w:rPr>
      </w:pPr>
      <w:r>
        <w:rPr>
          <w:rFonts w:ascii="Garamond" w:hAnsi="Garamond" w:cs="Times New Roman"/>
          <w:sz w:val="24"/>
          <w:szCs w:val="24"/>
        </w:rPr>
        <w:t>I</w:t>
      </w:r>
      <w:r w:rsidR="00A24D9B" w:rsidRPr="00A24D9B">
        <w:rPr>
          <w:rFonts w:ascii="Garamond" w:hAnsi="Garamond" w:cs="Times New Roman"/>
          <w:sz w:val="24"/>
          <w:szCs w:val="24"/>
        </w:rPr>
        <w:t xml:space="preserve">nformation on </w:t>
      </w:r>
      <w:r>
        <w:rPr>
          <w:rFonts w:ascii="Garamond" w:hAnsi="Garamond" w:cs="Times New Roman"/>
          <w:sz w:val="24"/>
          <w:szCs w:val="24"/>
        </w:rPr>
        <w:t xml:space="preserve">national teams’ performance </w:t>
      </w:r>
      <w:r w:rsidR="00A24D9B" w:rsidRPr="00A24D9B">
        <w:rPr>
          <w:rFonts w:ascii="Garamond" w:hAnsi="Garamond" w:cs="Times New Roman"/>
          <w:sz w:val="24"/>
          <w:szCs w:val="24"/>
        </w:rPr>
        <w:t>is obtained from Wikipedia</w:t>
      </w:r>
      <w:r>
        <w:rPr>
          <w:rFonts w:ascii="Garamond" w:hAnsi="Garamond" w:cs="Times New Roman"/>
          <w:sz w:val="24"/>
          <w:szCs w:val="24"/>
        </w:rPr>
        <w:t xml:space="preserve"> and covers </w:t>
      </w:r>
      <w:r w:rsidR="00A24D9B" w:rsidRPr="00A24D9B">
        <w:rPr>
          <w:rFonts w:ascii="Garamond" w:hAnsi="Garamond" w:cs="Times New Roman"/>
          <w:sz w:val="24"/>
          <w:szCs w:val="24"/>
        </w:rPr>
        <w:t>13 European Championships and 14 World Cups. About half</w:t>
      </w:r>
      <w:r w:rsidR="006670BB">
        <w:rPr>
          <w:rFonts w:ascii="Garamond" w:hAnsi="Garamond" w:cs="Times New Roman"/>
          <w:sz w:val="24"/>
          <w:szCs w:val="24"/>
        </w:rPr>
        <w:t xml:space="preserve"> of the</w:t>
      </w:r>
      <w:r w:rsidR="00A24D9B" w:rsidRPr="00A24D9B">
        <w:rPr>
          <w:rFonts w:ascii="Garamond" w:hAnsi="Garamond" w:cs="Times New Roman"/>
          <w:sz w:val="24"/>
          <w:szCs w:val="24"/>
        </w:rPr>
        <w:t xml:space="preserve"> competitions take</w:t>
      </w:r>
      <w:r w:rsidR="006670BB">
        <w:rPr>
          <w:rFonts w:ascii="Garamond" w:hAnsi="Garamond" w:cs="Times New Roman"/>
          <w:sz w:val="24"/>
          <w:szCs w:val="24"/>
        </w:rPr>
        <w:t>s</w:t>
      </w:r>
      <w:r w:rsidR="00A24D9B" w:rsidRPr="00A24D9B">
        <w:rPr>
          <w:rFonts w:ascii="Garamond" w:hAnsi="Garamond" w:cs="Times New Roman"/>
          <w:sz w:val="24"/>
          <w:szCs w:val="24"/>
        </w:rPr>
        <w:t xml:space="preserve"> place between June and July, half in June, </w:t>
      </w:r>
      <w:r w:rsidR="00F72621">
        <w:rPr>
          <w:rFonts w:ascii="Garamond" w:hAnsi="Garamond" w:cs="Times New Roman"/>
          <w:sz w:val="24"/>
          <w:szCs w:val="24"/>
        </w:rPr>
        <w:t>and two</w:t>
      </w:r>
      <w:r w:rsidR="00A24D9B" w:rsidRPr="00A24D9B">
        <w:rPr>
          <w:rFonts w:ascii="Garamond" w:hAnsi="Garamond" w:cs="Times New Roman"/>
          <w:sz w:val="24"/>
          <w:szCs w:val="24"/>
        </w:rPr>
        <w:t xml:space="preserve"> in July.</w:t>
      </w:r>
      <w:r w:rsidR="001B613E">
        <w:rPr>
          <w:rFonts w:ascii="Garamond" w:hAnsi="Garamond" w:cs="Times New Roman"/>
          <w:sz w:val="24"/>
          <w:szCs w:val="24"/>
        </w:rPr>
        <w:t xml:space="preserve"> Table 1 reports the main descriptive statistics.</w:t>
      </w:r>
    </w:p>
    <w:tbl>
      <w:tblPr>
        <w:tblW w:w="8217" w:type="dxa"/>
        <w:jc w:val="center"/>
        <w:tblLayout w:type="fixed"/>
        <w:tblCellMar>
          <w:left w:w="75" w:type="dxa"/>
          <w:right w:w="75" w:type="dxa"/>
        </w:tblCellMar>
        <w:tblLook w:val="04A0" w:firstRow="1" w:lastRow="0" w:firstColumn="1" w:lastColumn="0" w:noHBand="0" w:noVBand="1"/>
      </w:tblPr>
      <w:tblGrid>
        <w:gridCol w:w="2832"/>
        <w:gridCol w:w="1077"/>
        <w:gridCol w:w="1077"/>
        <w:gridCol w:w="1077"/>
        <w:gridCol w:w="1077"/>
        <w:gridCol w:w="753"/>
        <w:gridCol w:w="324"/>
      </w:tblGrid>
      <w:tr w:rsidR="005C4D61" w:rsidRPr="005C4D61" w14:paraId="2AB0D0DE" w14:textId="77777777" w:rsidTr="00BF2395">
        <w:trPr>
          <w:gridAfter w:val="1"/>
          <w:wAfter w:w="324" w:type="dxa"/>
          <w:trHeight w:val="176"/>
          <w:jc w:val="center"/>
        </w:trPr>
        <w:tc>
          <w:tcPr>
            <w:tcW w:w="7893" w:type="dxa"/>
            <w:gridSpan w:val="6"/>
            <w:tcBorders>
              <w:left w:val="nil"/>
              <w:bottom w:val="single" w:sz="6" w:space="0" w:color="auto"/>
              <w:right w:val="nil"/>
            </w:tcBorders>
          </w:tcPr>
          <w:p w14:paraId="55835716" w14:textId="4DD45D9A"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b/>
                <w:sz w:val="24"/>
                <w:szCs w:val="24"/>
                <w:lang w:eastAsia="sv-SE"/>
              </w:rPr>
              <w:t xml:space="preserve">Table </w:t>
            </w:r>
            <w:r w:rsidR="00565E66" w:rsidRPr="00565E66">
              <w:rPr>
                <w:rFonts w:ascii="Garamond" w:eastAsia="Times New Roman" w:hAnsi="Garamond" w:cs="Times New Roman"/>
                <w:b/>
                <w:sz w:val="24"/>
                <w:szCs w:val="24"/>
                <w:lang w:eastAsia="sv-SE"/>
              </w:rPr>
              <w:t>1</w:t>
            </w:r>
            <w:r w:rsidRPr="005C4D61">
              <w:rPr>
                <w:rFonts w:ascii="Garamond" w:eastAsia="Times New Roman" w:hAnsi="Garamond" w:cs="Times New Roman"/>
                <w:b/>
                <w:sz w:val="24"/>
                <w:szCs w:val="24"/>
                <w:lang w:eastAsia="sv-SE"/>
              </w:rPr>
              <w:t>.</w:t>
            </w:r>
            <w:r w:rsidRPr="005C4D61">
              <w:rPr>
                <w:rFonts w:ascii="Garamond" w:eastAsia="Times New Roman" w:hAnsi="Garamond" w:cs="Times New Roman"/>
                <w:sz w:val="24"/>
                <w:szCs w:val="24"/>
                <w:lang w:eastAsia="sv-SE"/>
              </w:rPr>
              <w:t xml:space="preserve"> Descriptive statistics</w:t>
            </w:r>
            <w:r w:rsidR="00EE3582">
              <w:rPr>
                <w:rFonts w:ascii="Garamond" w:eastAsia="Times New Roman" w:hAnsi="Garamond" w:cs="Times New Roman"/>
                <w:sz w:val="24"/>
                <w:szCs w:val="24"/>
                <w:lang w:eastAsia="sv-SE"/>
              </w:rPr>
              <w:t>.</w:t>
            </w:r>
          </w:p>
        </w:tc>
      </w:tr>
      <w:tr w:rsidR="005C4D61" w:rsidRPr="005C4D61" w14:paraId="1AD2B151" w14:textId="77777777" w:rsidTr="005C4D61">
        <w:trPr>
          <w:trHeight w:val="176"/>
          <w:jc w:val="center"/>
        </w:trPr>
        <w:tc>
          <w:tcPr>
            <w:tcW w:w="2832" w:type="dxa"/>
            <w:tcBorders>
              <w:top w:val="double" w:sz="4" w:space="0" w:color="auto"/>
              <w:left w:val="nil"/>
              <w:bottom w:val="single" w:sz="6" w:space="0" w:color="auto"/>
              <w:right w:val="nil"/>
            </w:tcBorders>
            <w:hideMark/>
          </w:tcPr>
          <w:p w14:paraId="5C49A160"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lang w:eastAsia="sv-SE"/>
              </w:rPr>
              <w:t>Variables</w:t>
            </w:r>
          </w:p>
        </w:tc>
        <w:tc>
          <w:tcPr>
            <w:tcW w:w="1077" w:type="dxa"/>
            <w:tcBorders>
              <w:top w:val="double" w:sz="4" w:space="0" w:color="auto"/>
              <w:left w:val="nil"/>
              <w:bottom w:val="single" w:sz="6" w:space="0" w:color="auto"/>
              <w:right w:val="nil"/>
            </w:tcBorders>
            <w:hideMark/>
          </w:tcPr>
          <w:p w14:paraId="0FC0B9B8"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lang w:eastAsia="sv-SE"/>
              </w:rPr>
              <w:t>N</w:t>
            </w:r>
          </w:p>
        </w:tc>
        <w:tc>
          <w:tcPr>
            <w:tcW w:w="1077" w:type="dxa"/>
            <w:tcBorders>
              <w:top w:val="double" w:sz="4" w:space="0" w:color="auto"/>
              <w:left w:val="nil"/>
              <w:bottom w:val="single" w:sz="6" w:space="0" w:color="auto"/>
              <w:right w:val="nil"/>
            </w:tcBorders>
            <w:hideMark/>
          </w:tcPr>
          <w:p w14:paraId="6FA17326"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lang w:eastAsia="sv-SE"/>
              </w:rPr>
              <w:t>Mean</w:t>
            </w:r>
          </w:p>
        </w:tc>
        <w:tc>
          <w:tcPr>
            <w:tcW w:w="1077" w:type="dxa"/>
            <w:tcBorders>
              <w:top w:val="double" w:sz="4" w:space="0" w:color="auto"/>
              <w:left w:val="nil"/>
              <w:bottom w:val="single" w:sz="6" w:space="0" w:color="auto"/>
              <w:right w:val="nil"/>
            </w:tcBorders>
            <w:hideMark/>
          </w:tcPr>
          <w:p w14:paraId="1FCB788F"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lang w:eastAsia="sv-SE"/>
              </w:rPr>
              <w:t xml:space="preserve">SD </w:t>
            </w:r>
          </w:p>
        </w:tc>
        <w:tc>
          <w:tcPr>
            <w:tcW w:w="1077" w:type="dxa"/>
            <w:tcBorders>
              <w:top w:val="double" w:sz="4" w:space="0" w:color="auto"/>
              <w:left w:val="nil"/>
              <w:bottom w:val="single" w:sz="6" w:space="0" w:color="auto"/>
              <w:right w:val="nil"/>
            </w:tcBorders>
            <w:shd w:val="clear" w:color="auto" w:fill="FFFFFF"/>
          </w:tcPr>
          <w:p w14:paraId="5BDCD43F"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lang w:eastAsia="sv-SE"/>
              </w:rPr>
              <w:t>Min</w:t>
            </w:r>
          </w:p>
        </w:tc>
        <w:tc>
          <w:tcPr>
            <w:tcW w:w="1077" w:type="dxa"/>
            <w:gridSpan w:val="2"/>
            <w:tcBorders>
              <w:top w:val="double" w:sz="4" w:space="0" w:color="auto"/>
              <w:left w:val="nil"/>
              <w:bottom w:val="single" w:sz="6" w:space="0" w:color="auto"/>
              <w:right w:val="nil"/>
            </w:tcBorders>
            <w:shd w:val="clear" w:color="auto" w:fill="FFFFFF"/>
          </w:tcPr>
          <w:p w14:paraId="41C76DF9"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lang w:eastAsia="sv-SE"/>
              </w:rPr>
              <w:t>Max</w:t>
            </w:r>
          </w:p>
        </w:tc>
      </w:tr>
      <w:tr w:rsidR="005C4D61" w:rsidRPr="005C4D61" w14:paraId="7912F2FC" w14:textId="77777777" w:rsidTr="005C4D61">
        <w:trPr>
          <w:trHeight w:val="176"/>
          <w:jc w:val="center"/>
        </w:trPr>
        <w:tc>
          <w:tcPr>
            <w:tcW w:w="2832" w:type="dxa"/>
            <w:tcBorders>
              <w:top w:val="single" w:sz="6" w:space="0" w:color="auto"/>
            </w:tcBorders>
          </w:tcPr>
          <w:p w14:paraId="1FE92B52"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lang w:eastAsia="sv-SE"/>
              </w:rPr>
              <w:t>Monthly births</w:t>
            </w:r>
          </w:p>
        </w:tc>
        <w:tc>
          <w:tcPr>
            <w:tcW w:w="1077" w:type="dxa"/>
            <w:tcBorders>
              <w:top w:val="single" w:sz="6" w:space="0" w:color="auto"/>
            </w:tcBorders>
          </w:tcPr>
          <w:p w14:paraId="4F2FB9C9"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17,658</w:t>
            </w:r>
          </w:p>
        </w:tc>
        <w:tc>
          <w:tcPr>
            <w:tcW w:w="1077" w:type="dxa"/>
            <w:tcBorders>
              <w:top w:val="single" w:sz="6" w:space="0" w:color="auto"/>
            </w:tcBorders>
          </w:tcPr>
          <w:p w14:paraId="74F73B6B"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15,548.17</w:t>
            </w:r>
          </w:p>
        </w:tc>
        <w:tc>
          <w:tcPr>
            <w:tcW w:w="1077" w:type="dxa"/>
            <w:tcBorders>
              <w:top w:val="single" w:sz="6" w:space="0" w:color="auto"/>
            </w:tcBorders>
          </w:tcPr>
          <w:p w14:paraId="4BAF6B2F"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22,689.18</w:t>
            </w:r>
          </w:p>
        </w:tc>
        <w:tc>
          <w:tcPr>
            <w:tcW w:w="1077" w:type="dxa"/>
            <w:tcBorders>
              <w:top w:val="single" w:sz="6" w:space="0" w:color="auto"/>
            </w:tcBorders>
            <w:shd w:val="clear" w:color="auto" w:fill="FFFFFF"/>
          </w:tcPr>
          <w:p w14:paraId="23AFD8E5"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5</w:t>
            </w:r>
          </w:p>
        </w:tc>
        <w:tc>
          <w:tcPr>
            <w:tcW w:w="1077" w:type="dxa"/>
            <w:gridSpan w:val="2"/>
            <w:tcBorders>
              <w:top w:val="single" w:sz="6" w:space="0" w:color="auto"/>
            </w:tcBorders>
            <w:shd w:val="clear" w:color="auto" w:fill="FFFFFF"/>
          </w:tcPr>
          <w:p w14:paraId="2C209578"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174,839</w:t>
            </w:r>
          </w:p>
        </w:tc>
      </w:tr>
      <w:tr w:rsidR="005C4D61" w:rsidRPr="005C4D61" w14:paraId="2439930D" w14:textId="77777777" w:rsidTr="005C4D61">
        <w:trPr>
          <w:trHeight w:val="176"/>
          <w:jc w:val="center"/>
        </w:trPr>
        <w:tc>
          <w:tcPr>
            <w:tcW w:w="2832" w:type="dxa"/>
            <w:hideMark/>
          </w:tcPr>
          <w:p w14:paraId="670097F1" w14:textId="04DE6321"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lang w:eastAsia="sv-SE"/>
              </w:rPr>
              <w:t>Performance</w:t>
            </w:r>
            <w:r w:rsidR="00B30233">
              <w:rPr>
                <w:rFonts w:ascii="Garamond" w:eastAsia="Times New Roman" w:hAnsi="Garamond" w:cs="Times New Roman"/>
                <w:sz w:val="24"/>
                <w:szCs w:val="24"/>
                <w:lang w:eastAsia="sv-SE"/>
              </w:rPr>
              <w:t>, ELO</w:t>
            </w:r>
          </w:p>
        </w:tc>
        <w:tc>
          <w:tcPr>
            <w:tcW w:w="1077" w:type="dxa"/>
            <w:hideMark/>
          </w:tcPr>
          <w:p w14:paraId="1CD1F60F"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rPr>
              <w:t>17,658</w:t>
            </w:r>
          </w:p>
        </w:tc>
        <w:tc>
          <w:tcPr>
            <w:tcW w:w="1077" w:type="dxa"/>
            <w:hideMark/>
          </w:tcPr>
          <w:p w14:paraId="3DD95A71" w14:textId="4FB40E25"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rPr>
              <w:t>1</w:t>
            </w:r>
            <w:r w:rsidR="00FE1422">
              <w:rPr>
                <w:rFonts w:ascii="Garamond" w:eastAsia="Times New Roman" w:hAnsi="Garamond" w:cs="Times New Roman"/>
                <w:sz w:val="24"/>
                <w:szCs w:val="24"/>
              </w:rPr>
              <w:t>.628</w:t>
            </w:r>
          </w:p>
        </w:tc>
        <w:tc>
          <w:tcPr>
            <w:tcW w:w="1077" w:type="dxa"/>
            <w:hideMark/>
          </w:tcPr>
          <w:p w14:paraId="566F7558" w14:textId="7EBF1D92" w:rsidR="005C4D61" w:rsidRPr="005C4D61" w:rsidRDefault="00FE1422">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Pr>
                <w:rFonts w:ascii="Garamond" w:eastAsia="Times New Roman" w:hAnsi="Garamond" w:cs="Times New Roman"/>
                <w:sz w:val="24"/>
                <w:szCs w:val="24"/>
              </w:rPr>
              <w:t>18</w:t>
            </w:r>
            <w:r w:rsidR="005C4D61" w:rsidRPr="005C4D61">
              <w:rPr>
                <w:rFonts w:ascii="Garamond" w:eastAsia="Times New Roman" w:hAnsi="Garamond" w:cs="Times New Roman"/>
                <w:sz w:val="24"/>
                <w:szCs w:val="24"/>
              </w:rPr>
              <w:t>.</w:t>
            </w:r>
            <w:r>
              <w:rPr>
                <w:rFonts w:ascii="Garamond" w:eastAsia="Times New Roman" w:hAnsi="Garamond" w:cs="Times New Roman"/>
                <w:sz w:val="24"/>
                <w:szCs w:val="24"/>
              </w:rPr>
              <w:t>074</w:t>
            </w:r>
          </w:p>
        </w:tc>
        <w:tc>
          <w:tcPr>
            <w:tcW w:w="1077" w:type="dxa"/>
            <w:shd w:val="clear" w:color="auto" w:fill="FFFFFF"/>
          </w:tcPr>
          <w:p w14:paraId="0CF59813" w14:textId="369B4BFE" w:rsidR="005C4D61" w:rsidRPr="005C4D61" w:rsidRDefault="00FE1422"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Pr>
                <w:rFonts w:ascii="Garamond" w:eastAsia="Times New Roman" w:hAnsi="Garamond" w:cs="Times New Roman"/>
                <w:sz w:val="24"/>
                <w:szCs w:val="24"/>
              </w:rPr>
              <w:t>0</w:t>
            </w:r>
          </w:p>
        </w:tc>
        <w:tc>
          <w:tcPr>
            <w:tcW w:w="1077" w:type="dxa"/>
            <w:gridSpan w:val="2"/>
            <w:shd w:val="clear" w:color="auto" w:fill="FFFFFF"/>
          </w:tcPr>
          <w:p w14:paraId="44D7C1FB"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425</w:t>
            </w:r>
          </w:p>
        </w:tc>
      </w:tr>
      <w:tr w:rsidR="005C4D61" w:rsidRPr="005C4D61" w14:paraId="3780D4C2" w14:textId="77777777" w:rsidTr="005C4D61">
        <w:trPr>
          <w:trHeight w:val="176"/>
          <w:jc w:val="center"/>
        </w:trPr>
        <w:tc>
          <w:tcPr>
            <w:tcW w:w="2832" w:type="dxa"/>
          </w:tcPr>
          <w:p w14:paraId="3E8440E7"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lang w:eastAsia="sv-SE"/>
              </w:rPr>
              <w:t>Organizer</w:t>
            </w:r>
          </w:p>
        </w:tc>
        <w:tc>
          <w:tcPr>
            <w:tcW w:w="1077" w:type="dxa"/>
          </w:tcPr>
          <w:p w14:paraId="72BAA94B"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17,658</w:t>
            </w:r>
          </w:p>
        </w:tc>
        <w:tc>
          <w:tcPr>
            <w:tcW w:w="1077" w:type="dxa"/>
          </w:tcPr>
          <w:p w14:paraId="7DFD981B"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0.001</w:t>
            </w:r>
          </w:p>
        </w:tc>
        <w:tc>
          <w:tcPr>
            <w:tcW w:w="1077" w:type="dxa"/>
          </w:tcPr>
          <w:p w14:paraId="04C13960"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p>
        </w:tc>
        <w:tc>
          <w:tcPr>
            <w:tcW w:w="1077" w:type="dxa"/>
            <w:shd w:val="clear" w:color="auto" w:fill="FFFFFF"/>
          </w:tcPr>
          <w:p w14:paraId="03C2CB34"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0</w:t>
            </w:r>
          </w:p>
        </w:tc>
        <w:tc>
          <w:tcPr>
            <w:tcW w:w="1077" w:type="dxa"/>
            <w:gridSpan w:val="2"/>
            <w:shd w:val="clear" w:color="auto" w:fill="FFFFFF"/>
          </w:tcPr>
          <w:p w14:paraId="62FA4DA0"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1</w:t>
            </w:r>
          </w:p>
        </w:tc>
      </w:tr>
      <w:tr w:rsidR="005C4D61" w:rsidRPr="005C4D61" w14:paraId="2F9F76AC" w14:textId="77777777" w:rsidTr="005C4D61">
        <w:trPr>
          <w:trHeight w:val="176"/>
          <w:jc w:val="center"/>
        </w:trPr>
        <w:tc>
          <w:tcPr>
            <w:tcW w:w="2832" w:type="dxa"/>
          </w:tcPr>
          <w:p w14:paraId="646EE3F3"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lang w:eastAsia="sv-SE"/>
              </w:rPr>
            </w:pPr>
            <w:r w:rsidRPr="005C4D61">
              <w:rPr>
                <w:rFonts w:ascii="Garamond" w:eastAsia="Times New Roman" w:hAnsi="Garamond" w:cs="Times New Roman"/>
                <w:sz w:val="24"/>
                <w:szCs w:val="24"/>
                <w:lang w:eastAsia="sv-SE"/>
              </w:rPr>
              <w:t>Year</w:t>
            </w:r>
          </w:p>
        </w:tc>
        <w:tc>
          <w:tcPr>
            <w:tcW w:w="1077" w:type="dxa"/>
          </w:tcPr>
          <w:p w14:paraId="0D2BDA71"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17,658</w:t>
            </w:r>
          </w:p>
        </w:tc>
        <w:tc>
          <w:tcPr>
            <w:tcW w:w="1077" w:type="dxa"/>
          </w:tcPr>
          <w:p w14:paraId="6667C983"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p>
        </w:tc>
        <w:tc>
          <w:tcPr>
            <w:tcW w:w="1077" w:type="dxa"/>
          </w:tcPr>
          <w:p w14:paraId="36AA83BA"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p>
        </w:tc>
        <w:tc>
          <w:tcPr>
            <w:tcW w:w="1077" w:type="dxa"/>
            <w:shd w:val="clear" w:color="auto" w:fill="FFFFFF"/>
          </w:tcPr>
          <w:p w14:paraId="468C47F1"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1960</w:t>
            </w:r>
          </w:p>
        </w:tc>
        <w:tc>
          <w:tcPr>
            <w:tcW w:w="1077" w:type="dxa"/>
            <w:gridSpan w:val="2"/>
            <w:shd w:val="clear" w:color="auto" w:fill="FFFFFF"/>
          </w:tcPr>
          <w:p w14:paraId="0EB0CC6F" w14:textId="77777777" w:rsidR="005C4D61" w:rsidRPr="005C4D61" w:rsidRDefault="005C4D61" w:rsidP="005C4D61">
            <w:pPr>
              <w:widowControl w:val="0"/>
              <w:autoSpaceDE w:val="0"/>
              <w:autoSpaceDN w:val="0"/>
              <w:adjustRightInd w:val="0"/>
              <w:spacing w:after="0" w:line="240" w:lineRule="auto"/>
              <w:contextualSpacing/>
              <w:jc w:val="both"/>
              <w:rPr>
                <w:rFonts w:ascii="Garamond" w:eastAsia="Times New Roman" w:hAnsi="Garamond" w:cs="Times New Roman"/>
                <w:sz w:val="24"/>
                <w:szCs w:val="24"/>
              </w:rPr>
            </w:pPr>
            <w:r w:rsidRPr="005C4D61">
              <w:rPr>
                <w:rFonts w:ascii="Garamond" w:eastAsia="Times New Roman" w:hAnsi="Garamond" w:cs="Times New Roman"/>
                <w:sz w:val="24"/>
                <w:szCs w:val="24"/>
              </w:rPr>
              <w:t>2016</w:t>
            </w:r>
          </w:p>
        </w:tc>
      </w:tr>
      <w:tr w:rsidR="005C4D61" w:rsidRPr="005C4D61" w14:paraId="59DD22B9" w14:textId="77777777" w:rsidTr="00BF2395">
        <w:trPr>
          <w:gridAfter w:val="1"/>
          <w:wAfter w:w="324" w:type="dxa"/>
          <w:trHeight w:val="176"/>
          <w:jc w:val="center"/>
        </w:trPr>
        <w:tc>
          <w:tcPr>
            <w:tcW w:w="7893" w:type="dxa"/>
            <w:gridSpan w:val="6"/>
            <w:tcBorders>
              <w:top w:val="single" w:sz="4" w:space="0" w:color="auto"/>
            </w:tcBorders>
          </w:tcPr>
          <w:p w14:paraId="13986EBE" w14:textId="4E68BAD1" w:rsidR="005C4D61" w:rsidRPr="00AB17C3" w:rsidRDefault="005C4D61">
            <w:pPr>
              <w:widowControl w:val="0"/>
              <w:autoSpaceDE w:val="0"/>
              <w:autoSpaceDN w:val="0"/>
              <w:adjustRightInd w:val="0"/>
              <w:spacing w:after="0" w:line="240" w:lineRule="auto"/>
              <w:contextualSpacing/>
              <w:jc w:val="both"/>
              <w:rPr>
                <w:rFonts w:ascii="Garamond" w:eastAsia="Times New Roman" w:hAnsi="Garamond" w:cs="Times New Roman"/>
                <w:sz w:val="20"/>
                <w:szCs w:val="20"/>
                <w:lang w:eastAsia="sv-SE"/>
              </w:rPr>
            </w:pPr>
            <w:r w:rsidRPr="00AB17C3">
              <w:rPr>
                <w:rFonts w:ascii="Garamond" w:eastAsia="Times New Roman" w:hAnsi="Garamond" w:cs="Times New Roman"/>
                <w:i/>
                <w:sz w:val="20"/>
                <w:szCs w:val="20"/>
                <w:lang w:eastAsia="sv-SE"/>
              </w:rPr>
              <w:t>Note:</w:t>
            </w:r>
            <w:r w:rsidRPr="00AB17C3">
              <w:rPr>
                <w:rFonts w:ascii="Garamond" w:eastAsia="Times New Roman" w:hAnsi="Garamond" w:cs="Times New Roman"/>
                <w:sz w:val="20"/>
                <w:szCs w:val="20"/>
                <w:lang w:eastAsia="sv-SE"/>
              </w:rPr>
              <w:t xml:space="preserve"> </w:t>
            </w:r>
            <w:r w:rsidR="00B30233" w:rsidRPr="00AB17C3">
              <w:rPr>
                <w:rFonts w:ascii="Garamond" w:eastAsia="Times New Roman" w:hAnsi="Garamond" w:cs="Times New Roman"/>
                <w:sz w:val="20"/>
                <w:szCs w:val="20"/>
                <w:lang w:eastAsia="sv-SE"/>
              </w:rPr>
              <w:t>ELO is the rating system used by FIFA.</w:t>
            </w:r>
          </w:p>
        </w:tc>
      </w:tr>
    </w:tbl>
    <w:p w14:paraId="13933988" w14:textId="77777777" w:rsidR="00FF3887" w:rsidRPr="00A24D9B" w:rsidRDefault="00FF3887" w:rsidP="00A24D9B">
      <w:pPr>
        <w:spacing w:line="360" w:lineRule="auto"/>
        <w:jc w:val="both"/>
        <w:rPr>
          <w:rFonts w:ascii="Garamond" w:hAnsi="Garamond" w:cs="Times New Roman"/>
          <w:sz w:val="24"/>
          <w:szCs w:val="24"/>
        </w:rPr>
      </w:pPr>
    </w:p>
    <w:p w14:paraId="7E432E56" w14:textId="57C1899C" w:rsidR="0001109E" w:rsidRPr="0001109E" w:rsidRDefault="001B613E" w:rsidP="001D1328">
      <w:pPr>
        <w:spacing w:line="360" w:lineRule="auto"/>
        <w:jc w:val="both"/>
        <w:rPr>
          <w:rFonts w:ascii="Garamond" w:hAnsi="Garamond"/>
          <w:sz w:val="24"/>
          <w:szCs w:val="24"/>
        </w:rPr>
      </w:pPr>
      <w:r>
        <w:rPr>
          <w:rFonts w:ascii="Garamond" w:hAnsi="Garamond"/>
          <w:sz w:val="24"/>
          <w:szCs w:val="24"/>
        </w:rPr>
        <w:t xml:space="preserve">The ELO score </w:t>
      </w:r>
      <w:r w:rsidR="00FF3887">
        <w:rPr>
          <w:rFonts w:ascii="Garamond" w:hAnsi="Garamond"/>
          <w:sz w:val="24"/>
          <w:szCs w:val="24"/>
          <w:lang w:val="en-GB"/>
        </w:rPr>
        <w:t xml:space="preserve">ranges </w:t>
      </w:r>
      <w:r w:rsidR="00FF3887">
        <w:rPr>
          <w:rFonts w:ascii="Garamond" w:hAnsi="Garamond"/>
          <w:sz w:val="24"/>
          <w:szCs w:val="24"/>
        </w:rPr>
        <w:t>between 0</w:t>
      </w:r>
      <w:r w:rsidR="00FF3887" w:rsidRPr="00296909">
        <w:rPr>
          <w:rFonts w:ascii="Garamond" w:hAnsi="Garamond"/>
          <w:sz w:val="24"/>
          <w:szCs w:val="24"/>
        </w:rPr>
        <w:t xml:space="preserve"> (</w:t>
      </w:r>
      <w:r w:rsidR="009F0861">
        <w:rPr>
          <w:rFonts w:ascii="Garamond" w:hAnsi="Garamond"/>
          <w:sz w:val="24"/>
          <w:szCs w:val="24"/>
        </w:rPr>
        <w:t xml:space="preserve">i.e., </w:t>
      </w:r>
      <w:r w:rsidR="00FF3887">
        <w:rPr>
          <w:rFonts w:ascii="Garamond" w:hAnsi="Garamond"/>
          <w:sz w:val="24"/>
          <w:szCs w:val="24"/>
        </w:rPr>
        <w:t xml:space="preserve">country </w:t>
      </w:r>
      <w:r w:rsidR="00FF3887" w:rsidRPr="005E0393">
        <w:rPr>
          <w:rFonts w:ascii="Garamond" w:hAnsi="Garamond"/>
          <w:i/>
          <w:sz w:val="24"/>
          <w:szCs w:val="24"/>
        </w:rPr>
        <w:t>c</w:t>
      </w:r>
      <w:r w:rsidR="00FF3887">
        <w:rPr>
          <w:rFonts w:ascii="Garamond" w:hAnsi="Garamond"/>
          <w:sz w:val="24"/>
          <w:szCs w:val="24"/>
        </w:rPr>
        <w:t xml:space="preserve"> did not participate</w:t>
      </w:r>
      <w:r w:rsidR="00FF3887" w:rsidRPr="00296909">
        <w:rPr>
          <w:rFonts w:ascii="Garamond" w:hAnsi="Garamond"/>
          <w:sz w:val="24"/>
          <w:szCs w:val="24"/>
        </w:rPr>
        <w:t xml:space="preserve">) </w:t>
      </w:r>
      <w:r w:rsidR="00FF3887">
        <w:rPr>
          <w:rFonts w:ascii="Garamond" w:hAnsi="Garamond"/>
          <w:sz w:val="24"/>
          <w:szCs w:val="24"/>
        </w:rPr>
        <w:t>and</w:t>
      </w:r>
      <w:r w:rsidR="00FF3887" w:rsidRPr="00296909">
        <w:rPr>
          <w:rFonts w:ascii="Garamond" w:hAnsi="Garamond"/>
          <w:sz w:val="24"/>
          <w:szCs w:val="24"/>
        </w:rPr>
        <w:t xml:space="preserve"> 425 (</w:t>
      </w:r>
      <w:r w:rsidR="009F0861">
        <w:rPr>
          <w:rFonts w:ascii="Garamond" w:hAnsi="Garamond"/>
          <w:sz w:val="24"/>
          <w:szCs w:val="24"/>
        </w:rPr>
        <w:t xml:space="preserve">i.e., </w:t>
      </w:r>
      <w:r w:rsidR="00FF3887" w:rsidRPr="00296909">
        <w:rPr>
          <w:rFonts w:ascii="Garamond" w:hAnsi="Garamond"/>
          <w:sz w:val="24"/>
          <w:szCs w:val="24"/>
        </w:rPr>
        <w:t xml:space="preserve">country </w:t>
      </w:r>
      <w:r w:rsidR="00FF3887" w:rsidRPr="00A839D8">
        <w:rPr>
          <w:rFonts w:ascii="Garamond" w:hAnsi="Garamond"/>
          <w:i/>
          <w:sz w:val="24"/>
          <w:szCs w:val="24"/>
        </w:rPr>
        <w:t>c</w:t>
      </w:r>
      <w:r w:rsidR="00FF3887" w:rsidRPr="00296909">
        <w:rPr>
          <w:rFonts w:ascii="Garamond" w:hAnsi="Garamond"/>
          <w:sz w:val="24"/>
          <w:szCs w:val="24"/>
        </w:rPr>
        <w:t xml:space="preserve"> wins the competition and most matches).</w:t>
      </w:r>
      <w:r w:rsidR="00FF3887">
        <w:rPr>
          <w:rFonts w:ascii="Garamond" w:hAnsi="Garamond"/>
          <w:sz w:val="24"/>
          <w:szCs w:val="24"/>
        </w:rPr>
        <w:t xml:space="preserve"> </w:t>
      </w:r>
      <w:r w:rsidR="00461C26">
        <w:rPr>
          <w:rFonts w:ascii="Garamond" w:hAnsi="Garamond"/>
          <w:sz w:val="24"/>
          <w:szCs w:val="24"/>
        </w:rPr>
        <w:t>Table B</w:t>
      </w:r>
      <w:r w:rsidR="006F3001">
        <w:rPr>
          <w:rFonts w:ascii="Garamond" w:hAnsi="Garamond"/>
          <w:sz w:val="24"/>
          <w:szCs w:val="24"/>
        </w:rPr>
        <w:t>.1</w:t>
      </w:r>
      <w:r w:rsidR="00461C26">
        <w:rPr>
          <w:rFonts w:ascii="Garamond" w:hAnsi="Garamond"/>
          <w:sz w:val="24"/>
          <w:szCs w:val="24"/>
        </w:rPr>
        <w:t xml:space="preserve"> in Appendix B shows the complete list of countries</w:t>
      </w:r>
      <w:r w:rsidR="00147E76">
        <w:rPr>
          <w:rFonts w:ascii="Garamond" w:hAnsi="Garamond"/>
          <w:sz w:val="24"/>
          <w:szCs w:val="24"/>
        </w:rPr>
        <w:t>,</w:t>
      </w:r>
      <w:r w:rsidR="00461C26">
        <w:rPr>
          <w:rFonts w:ascii="Garamond" w:hAnsi="Garamond"/>
          <w:sz w:val="24"/>
          <w:szCs w:val="24"/>
        </w:rPr>
        <w:t xml:space="preserve"> the</w:t>
      </w:r>
      <w:r w:rsidR="00147E76">
        <w:rPr>
          <w:rFonts w:ascii="Garamond" w:hAnsi="Garamond"/>
          <w:sz w:val="24"/>
          <w:szCs w:val="24"/>
        </w:rPr>
        <w:t>ir</w:t>
      </w:r>
      <w:r w:rsidR="00461C26">
        <w:rPr>
          <w:rFonts w:ascii="Garamond" w:hAnsi="Garamond"/>
          <w:sz w:val="24"/>
          <w:szCs w:val="24"/>
        </w:rPr>
        <w:t xml:space="preserve"> first </w:t>
      </w:r>
      <w:r w:rsidR="00147E76">
        <w:rPr>
          <w:rFonts w:ascii="Garamond" w:hAnsi="Garamond"/>
          <w:sz w:val="24"/>
          <w:szCs w:val="24"/>
        </w:rPr>
        <w:t xml:space="preserve">and last </w:t>
      </w:r>
      <w:r w:rsidR="00461C26">
        <w:rPr>
          <w:rFonts w:ascii="Garamond" w:hAnsi="Garamond"/>
          <w:sz w:val="24"/>
          <w:szCs w:val="24"/>
        </w:rPr>
        <w:t xml:space="preserve">year </w:t>
      </w:r>
      <w:r w:rsidR="00147E76">
        <w:rPr>
          <w:rFonts w:ascii="Garamond" w:hAnsi="Garamond"/>
          <w:sz w:val="24"/>
          <w:szCs w:val="24"/>
        </w:rPr>
        <w:t xml:space="preserve">in the </w:t>
      </w:r>
      <w:r w:rsidR="00461C26">
        <w:rPr>
          <w:rFonts w:ascii="Garamond" w:hAnsi="Garamond"/>
          <w:sz w:val="24"/>
          <w:szCs w:val="24"/>
        </w:rPr>
        <w:t>Eurostat</w:t>
      </w:r>
      <w:r w:rsidR="00147E76">
        <w:rPr>
          <w:rFonts w:ascii="Garamond" w:hAnsi="Garamond"/>
          <w:sz w:val="24"/>
          <w:szCs w:val="24"/>
        </w:rPr>
        <w:t xml:space="preserve"> database</w:t>
      </w:r>
      <w:r w:rsidR="00461C26">
        <w:rPr>
          <w:rFonts w:ascii="Garamond" w:hAnsi="Garamond"/>
          <w:sz w:val="24"/>
          <w:szCs w:val="24"/>
        </w:rPr>
        <w:t>.</w:t>
      </w:r>
    </w:p>
    <w:p w14:paraId="74EEE8D9" w14:textId="028DD91B" w:rsidR="00165B46" w:rsidRDefault="00165B46" w:rsidP="00165B46">
      <w:pPr>
        <w:pStyle w:val="Titolo1"/>
        <w:rPr>
          <w:rFonts w:ascii="Garamond" w:hAnsi="Garamond"/>
          <w:lang w:val="en-GB"/>
        </w:rPr>
      </w:pPr>
      <w:r w:rsidRPr="006F4A10">
        <w:rPr>
          <w:rFonts w:ascii="Garamond" w:hAnsi="Garamond"/>
          <w:lang w:val="en-GB"/>
        </w:rPr>
        <w:t xml:space="preserve">3 </w:t>
      </w:r>
      <w:r w:rsidR="004B4E1D">
        <w:rPr>
          <w:rFonts w:ascii="Garamond" w:hAnsi="Garamond"/>
          <w:lang w:val="en-GB"/>
        </w:rPr>
        <w:t>Empirical analysis</w:t>
      </w:r>
    </w:p>
    <w:p w14:paraId="6E34FA59" w14:textId="168779BB" w:rsidR="004B4E1D" w:rsidRPr="004C1FB5" w:rsidRDefault="00F72621" w:rsidP="00A24D9B">
      <w:pPr>
        <w:spacing w:line="360" w:lineRule="auto"/>
        <w:rPr>
          <w:rFonts w:ascii="Garamond" w:hAnsi="Garamond" w:cs="Times New Roman"/>
          <w:sz w:val="24"/>
          <w:szCs w:val="24"/>
          <w:lang w:val="en-GB"/>
        </w:rPr>
      </w:pPr>
      <w:r>
        <w:rPr>
          <w:rFonts w:ascii="Garamond" w:hAnsi="Garamond" w:cs="Times New Roman"/>
          <w:sz w:val="24"/>
          <w:szCs w:val="24"/>
          <w:lang w:val="en-GB"/>
        </w:rPr>
        <w:t>T</w:t>
      </w:r>
      <w:r w:rsidR="004B4E1D" w:rsidRPr="006F4A10">
        <w:rPr>
          <w:rFonts w:ascii="Garamond" w:hAnsi="Garamond" w:cs="Times New Roman"/>
          <w:sz w:val="24"/>
          <w:szCs w:val="24"/>
          <w:lang w:val="en-GB"/>
        </w:rPr>
        <w:t xml:space="preserve">o </w:t>
      </w:r>
      <w:r w:rsidR="004B4E1D">
        <w:rPr>
          <w:rFonts w:ascii="Garamond" w:hAnsi="Garamond" w:cs="Times New Roman"/>
          <w:sz w:val="24"/>
          <w:szCs w:val="24"/>
          <w:lang w:val="en-GB"/>
        </w:rPr>
        <w:t xml:space="preserve">investigate the relationship between national </w:t>
      </w:r>
      <w:r w:rsidR="00B07D71">
        <w:rPr>
          <w:rFonts w:ascii="Garamond" w:hAnsi="Garamond" w:cs="Times New Roman"/>
          <w:sz w:val="24"/>
          <w:szCs w:val="24"/>
          <w:lang w:val="en-GB"/>
        </w:rPr>
        <w:t>football</w:t>
      </w:r>
      <w:r w:rsidR="005037CF">
        <w:rPr>
          <w:rFonts w:ascii="Garamond" w:hAnsi="Garamond" w:cs="Times New Roman"/>
          <w:sz w:val="24"/>
          <w:szCs w:val="24"/>
          <w:lang w:val="en-GB"/>
        </w:rPr>
        <w:t xml:space="preserve"> </w:t>
      </w:r>
      <w:r w:rsidR="004B4E1D">
        <w:rPr>
          <w:rFonts w:ascii="Garamond" w:hAnsi="Garamond" w:cs="Times New Roman"/>
          <w:sz w:val="24"/>
          <w:szCs w:val="24"/>
          <w:lang w:val="en-GB"/>
        </w:rPr>
        <w:t>team</w:t>
      </w:r>
      <w:r w:rsidR="0012518C">
        <w:rPr>
          <w:rFonts w:ascii="Garamond" w:hAnsi="Garamond" w:cs="Times New Roman"/>
          <w:sz w:val="24"/>
          <w:szCs w:val="24"/>
          <w:lang w:val="en-GB"/>
        </w:rPr>
        <w:t>s’</w:t>
      </w:r>
      <w:r w:rsidR="004B4E1D">
        <w:rPr>
          <w:rFonts w:ascii="Garamond" w:hAnsi="Garamond" w:cs="Times New Roman"/>
          <w:sz w:val="24"/>
          <w:szCs w:val="24"/>
          <w:lang w:val="en-GB"/>
        </w:rPr>
        <w:t xml:space="preserve"> performance and birth rates, we estimate the following </w:t>
      </w:r>
      <w:r w:rsidR="00FB18FF">
        <w:rPr>
          <w:rFonts w:ascii="Garamond" w:hAnsi="Garamond" w:cs="Times New Roman"/>
          <w:sz w:val="24"/>
          <w:szCs w:val="24"/>
          <w:lang w:val="en-GB"/>
        </w:rPr>
        <w:t xml:space="preserve">equation by means of </w:t>
      </w:r>
      <w:r w:rsidR="00BD72A1">
        <w:rPr>
          <w:rFonts w:ascii="Garamond" w:hAnsi="Garamond" w:cs="Times New Roman"/>
          <w:sz w:val="24"/>
          <w:szCs w:val="24"/>
          <w:lang w:val="en-GB"/>
        </w:rPr>
        <w:t>FE</w:t>
      </w:r>
      <w:r w:rsidR="00436D96">
        <w:rPr>
          <w:rFonts w:ascii="Garamond" w:hAnsi="Garamond" w:cs="Times New Roman"/>
          <w:sz w:val="24"/>
          <w:szCs w:val="24"/>
          <w:lang w:val="en-GB"/>
        </w:rPr>
        <w:t xml:space="preserve"> estimator</w:t>
      </w:r>
      <w:r w:rsidR="004B4E1D">
        <w:rPr>
          <w:rFonts w:ascii="Garamond" w:hAnsi="Garamond" w:cs="Times New Roman"/>
          <w:sz w:val="24"/>
          <w:szCs w:val="24"/>
          <w:lang w:val="en-GB"/>
        </w:rPr>
        <w:t xml:space="preserve">: </w:t>
      </w:r>
    </w:p>
    <w:p w14:paraId="192175A1" w14:textId="77777777" w:rsidR="004C1FB5" w:rsidRDefault="004C1FB5" w:rsidP="004B4E1D">
      <w:pPr>
        <w:rPr>
          <w:rFonts w:ascii="Cambria Math" w:hAnsi="Cambria Math" w:cs="Cambria Math"/>
        </w:rPr>
      </w:pP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619"/>
      </w:tblGrid>
      <w:tr w:rsidR="004C1FB5" w14:paraId="561FEEAE" w14:textId="77777777" w:rsidTr="00AB17C3">
        <w:trPr>
          <w:trHeight w:val="333"/>
          <w:jc w:val="center"/>
        </w:trPr>
        <w:tc>
          <w:tcPr>
            <w:tcW w:w="8500" w:type="dxa"/>
          </w:tcPr>
          <w:p w14:paraId="0755DBC5" w14:textId="5006193A" w:rsidR="004C1FB5" w:rsidRPr="004C1FB5" w:rsidRDefault="00621358" w:rsidP="004C1FB5">
            <w:pPr>
              <w:rPr>
                <w:rFonts w:ascii="Cambria Math" w:eastAsiaTheme="minorEastAsia" w:hAnsi="Cambria Math" w:cs="Cambria Math"/>
                <w:sz w:val="24"/>
                <w:szCs w:val="24"/>
              </w:rPr>
            </w:pPr>
            <m:oMathPara>
              <m:oMathParaPr>
                <m:jc m:val="left"/>
              </m:oMathParaPr>
              <m:oMath>
                <m:sSub>
                  <m:sSubPr>
                    <m:ctrlPr>
                      <w:rPr>
                        <w:rFonts w:ascii="Cambria Math" w:hAnsi="Cambria Math" w:cs="Cambria Math"/>
                        <w:i/>
                        <w:sz w:val="24"/>
                        <w:szCs w:val="24"/>
                      </w:rPr>
                    </m:ctrlPr>
                  </m:sSubPr>
                  <m:e>
                    <m:r>
                      <w:rPr>
                        <w:rFonts w:ascii="Cambria Math" w:hAnsi="Cambria Math" w:cs="Cambria Math"/>
                        <w:sz w:val="24"/>
                        <w:szCs w:val="24"/>
                      </w:rPr>
                      <m:t>Ln_Births</m:t>
                    </m:r>
                  </m:e>
                  <m:sub>
                    <m:r>
                      <w:rPr>
                        <w:rFonts w:ascii="Cambria Math" w:hAnsi="Cambria Math" w:cs="Cambria Math"/>
                        <w:sz w:val="24"/>
                        <w:szCs w:val="24"/>
                      </w:rPr>
                      <m:t>ct+9</m:t>
                    </m:r>
                  </m:sub>
                </m:sSub>
                <m:r>
                  <w:rPr>
                    <w:rFonts w:ascii="Cambria Math" w:hAnsi="Cambria Math" w:cs="Cambria Math"/>
                    <w:sz w:val="24"/>
                    <w:szCs w:val="24"/>
                  </w:rPr>
                  <m:t xml:space="preserve">= </m:t>
                </m:r>
                <m:sSub>
                  <m:sSubPr>
                    <m:ctrlPr>
                      <w:rPr>
                        <w:rFonts w:ascii="Cambria Math" w:hAnsi="Cambria Math" w:cs="Cambria Math"/>
                        <w:i/>
                        <w:sz w:val="24"/>
                        <w:szCs w:val="24"/>
                      </w:rPr>
                    </m:ctrlPr>
                  </m:sSubPr>
                  <m:e>
                    <m:r>
                      <w:rPr>
                        <w:rFonts w:ascii="Cambria Math" w:hAnsi="Cambria Math" w:cs="Cambria Math"/>
                        <w:sz w:val="24"/>
                        <w:szCs w:val="24"/>
                      </w:rPr>
                      <m:t>β</m:t>
                    </m:r>
                  </m:e>
                  <m:sub>
                    <m:r>
                      <w:rPr>
                        <w:rFonts w:ascii="Cambria Math" w:hAnsi="Cambria Math" w:cs="Cambria Math"/>
                        <w:sz w:val="24"/>
                        <w:szCs w:val="24"/>
                      </w:rPr>
                      <m:t>0</m:t>
                    </m:r>
                  </m:sub>
                </m:sSub>
                <m:r>
                  <w:rPr>
                    <w:rFonts w:ascii="Cambria Math" w:hAnsi="Cambria Math" w:cs="Cambria Math"/>
                    <w:sz w:val="24"/>
                    <w:szCs w:val="24"/>
                  </w:rPr>
                  <m:t xml:space="preserve">+ </m:t>
                </m:r>
                <m:sSub>
                  <m:sSubPr>
                    <m:ctrlPr>
                      <w:rPr>
                        <w:rFonts w:ascii="Cambria Math" w:hAnsi="Cambria Math" w:cs="Cambria Math"/>
                        <w:i/>
                        <w:sz w:val="24"/>
                        <w:szCs w:val="24"/>
                      </w:rPr>
                    </m:ctrlPr>
                  </m:sSubPr>
                  <m:e>
                    <m:r>
                      <w:rPr>
                        <w:rFonts w:ascii="Cambria Math" w:hAnsi="Cambria Math" w:cs="Cambria Math"/>
                        <w:sz w:val="24"/>
                        <w:szCs w:val="24"/>
                      </w:rPr>
                      <m:t>β</m:t>
                    </m:r>
                  </m:e>
                  <m:sub>
                    <m:r>
                      <w:rPr>
                        <w:rFonts w:ascii="Cambria Math" w:hAnsi="Cambria Math" w:cs="Cambria Math"/>
                        <w:sz w:val="24"/>
                        <w:szCs w:val="24"/>
                      </w:rPr>
                      <m:t>1</m:t>
                    </m:r>
                  </m:sub>
                </m:sSub>
                <m:sSub>
                  <m:sSubPr>
                    <m:ctrlPr>
                      <w:rPr>
                        <w:rFonts w:ascii="Cambria Math" w:hAnsi="Cambria Math" w:cs="Cambria Math"/>
                        <w:i/>
                        <w:sz w:val="24"/>
                        <w:szCs w:val="24"/>
                      </w:rPr>
                    </m:ctrlPr>
                  </m:sSubPr>
                  <m:e>
                    <m:r>
                      <w:rPr>
                        <w:rFonts w:ascii="Cambria Math" w:hAnsi="Cambria Math" w:cs="Cambria Math"/>
                        <w:sz w:val="24"/>
                        <w:szCs w:val="24"/>
                      </w:rPr>
                      <m:t>Std_ELO</m:t>
                    </m:r>
                  </m:e>
                  <m:sub>
                    <m:r>
                      <w:rPr>
                        <w:rFonts w:ascii="Cambria Math" w:hAnsi="Cambria Math" w:cs="Cambria Math"/>
                        <w:sz w:val="24"/>
                        <w:szCs w:val="24"/>
                      </w:rPr>
                      <m:t>ct</m:t>
                    </m:r>
                  </m:sub>
                </m:sSub>
                <m:r>
                  <w:rPr>
                    <w:rFonts w:ascii="Cambria Math" w:hAnsi="Cambria Math" w:cs="Cambria Math"/>
                    <w:sz w:val="24"/>
                    <w:szCs w:val="24"/>
                  </w:rPr>
                  <m:t xml:space="preserve"> + </m:t>
                </m:r>
                <m:sSub>
                  <m:sSubPr>
                    <m:ctrlPr>
                      <w:rPr>
                        <w:rFonts w:ascii="Cambria Math" w:hAnsi="Cambria Math" w:cs="Cambria Math"/>
                        <w:i/>
                        <w:sz w:val="24"/>
                        <w:szCs w:val="24"/>
                      </w:rPr>
                    </m:ctrlPr>
                  </m:sSubPr>
                  <m:e>
                    <m:r>
                      <w:rPr>
                        <w:rFonts w:ascii="Cambria Math" w:hAnsi="Cambria Math" w:cs="Cambria Math"/>
                        <w:sz w:val="24"/>
                        <w:szCs w:val="24"/>
                      </w:rPr>
                      <m:t>β</m:t>
                    </m:r>
                  </m:e>
                  <m:sub>
                    <m:r>
                      <w:rPr>
                        <w:rFonts w:ascii="Cambria Math" w:hAnsi="Cambria Math" w:cs="Cambria Math"/>
                        <w:sz w:val="24"/>
                        <w:szCs w:val="24"/>
                      </w:rPr>
                      <m:t>2</m:t>
                    </m:r>
                  </m:sub>
                </m:sSub>
                <m:sSub>
                  <m:sSubPr>
                    <m:ctrlPr>
                      <w:rPr>
                        <w:rFonts w:ascii="Cambria Math" w:hAnsi="Cambria Math" w:cs="Cambria Math"/>
                        <w:i/>
                        <w:sz w:val="24"/>
                        <w:szCs w:val="24"/>
                      </w:rPr>
                    </m:ctrlPr>
                  </m:sSubPr>
                  <m:e>
                    <m:r>
                      <w:rPr>
                        <w:rFonts w:ascii="Cambria Math" w:hAnsi="Cambria Math" w:cs="Cambria Math"/>
                        <w:sz w:val="24"/>
                        <w:szCs w:val="24"/>
                      </w:rPr>
                      <m:t>Organizer</m:t>
                    </m:r>
                  </m:e>
                  <m:sub>
                    <m:r>
                      <w:rPr>
                        <w:rFonts w:ascii="Cambria Math" w:hAnsi="Cambria Math" w:cs="Cambria Math"/>
                        <w:sz w:val="24"/>
                        <w:szCs w:val="24"/>
                      </w:rPr>
                      <m:t>ct</m:t>
                    </m:r>
                  </m:sub>
                </m:sSub>
                <m:r>
                  <w:rPr>
                    <w:rFonts w:ascii="Cambria Math" w:hAnsi="Cambria Math" w:cs="Cambria Math"/>
                    <w:sz w:val="24"/>
                    <w:szCs w:val="24"/>
                  </w:rPr>
                  <m:t xml:space="preserve">+ </m:t>
                </m:r>
                <m:sSub>
                  <m:sSubPr>
                    <m:ctrlPr>
                      <w:rPr>
                        <w:rFonts w:ascii="Cambria Math" w:hAnsi="Cambria Math" w:cs="Cambria Math"/>
                        <w:bCs/>
                        <w:i/>
                        <w:sz w:val="24"/>
                        <w:szCs w:val="24"/>
                      </w:rPr>
                    </m:ctrlPr>
                  </m:sSubPr>
                  <m:e>
                    <m:r>
                      <w:rPr>
                        <w:rFonts w:ascii="Cambria Math" w:hAnsi="Cambria Math" w:cs="Cambria Math"/>
                        <w:sz w:val="24"/>
                        <w:szCs w:val="24"/>
                      </w:rPr>
                      <m:t>γ</m:t>
                    </m:r>
                  </m:e>
                  <m:sub>
                    <m:r>
                      <w:rPr>
                        <w:rFonts w:ascii="Cambria Math" w:hAnsi="Cambria Math" w:cs="Cambria Math"/>
                        <w:sz w:val="24"/>
                        <w:szCs w:val="24"/>
                      </w:rPr>
                      <m:t>t</m:t>
                    </m:r>
                  </m:sub>
                </m:sSub>
                <m:r>
                  <w:rPr>
                    <w:rFonts w:ascii="Cambria Math" w:hAnsi="Cambria Math" w:cs="Cambria Math"/>
                    <w:sz w:val="24"/>
                    <w:szCs w:val="24"/>
                  </w:rPr>
                  <m:t>+</m:t>
                </m:r>
                <m:sSub>
                  <m:sSubPr>
                    <m:ctrlPr>
                      <w:rPr>
                        <w:rFonts w:ascii="Cambria Math" w:hAnsi="Cambria Math" w:cs="Cambria Math"/>
                        <w:i/>
                        <w:sz w:val="24"/>
                        <w:szCs w:val="24"/>
                      </w:rPr>
                    </m:ctrlPr>
                  </m:sSubPr>
                  <m:e>
                    <m:r>
                      <w:rPr>
                        <w:rFonts w:ascii="Cambria Math" w:hAnsi="Cambria Math" w:cs="Cambria Math"/>
                        <w:sz w:val="24"/>
                        <w:szCs w:val="24"/>
                      </w:rPr>
                      <m:t xml:space="preserve"> μ</m:t>
                    </m:r>
                  </m:e>
                  <m:sub>
                    <m:r>
                      <w:rPr>
                        <w:rFonts w:ascii="Cambria Math" w:hAnsi="Cambria Math" w:cs="Cambria Math"/>
                        <w:sz w:val="24"/>
                        <w:szCs w:val="24"/>
                      </w:rPr>
                      <m:t>ct</m:t>
                    </m:r>
                  </m:sub>
                </m:sSub>
              </m:oMath>
            </m:oMathPara>
          </w:p>
          <w:p w14:paraId="3F5B5CA1" w14:textId="77777777" w:rsidR="004C1FB5" w:rsidRDefault="004C1FB5" w:rsidP="004B4E1D">
            <w:pPr>
              <w:rPr>
                <w:rFonts w:ascii="Garamond" w:eastAsiaTheme="minorEastAsia" w:hAnsi="Garamond" w:cs="Times New Roman"/>
                <w:sz w:val="24"/>
                <w:szCs w:val="24"/>
                <w:lang w:val="en-GB"/>
              </w:rPr>
            </w:pPr>
          </w:p>
        </w:tc>
        <w:tc>
          <w:tcPr>
            <w:tcW w:w="619" w:type="dxa"/>
          </w:tcPr>
          <w:p w14:paraId="48AAA8F1" w14:textId="6FF21149" w:rsidR="004C1FB5" w:rsidRDefault="00AB17C3" w:rsidP="00AB17C3">
            <w:pPr>
              <w:rPr>
                <w:rFonts w:ascii="Garamond" w:eastAsiaTheme="minorEastAsia" w:hAnsi="Garamond" w:cs="Times New Roman"/>
                <w:sz w:val="24"/>
                <w:szCs w:val="24"/>
                <w:lang w:val="en-GB"/>
              </w:rPr>
            </w:pPr>
            <w:r>
              <w:rPr>
                <w:rFonts w:ascii="Garamond" w:eastAsiaTheme="minorEastAsia" w:hAnsi="Garamond" w:cs="Times New Roman"/>
                <w:sz w:val="24"/>
                <w:szCs w:val="24"/>
                <w:lang w:val="en-GB"/>
              </w:rPr>
              <w:t>(1)</w:t>
            </w:r>
          </w:p>
        </w:tc>
      </w:tr>
    </w:tbl>
    <w:p w14:paraId="0433FD74" w14:textId="77777777" w:rsidR="004B4E1D" w:rsidRPr="006F4A10" w:rsidRDefault="004B4E1D" w:rsidP="004B4E1D">
      <w:pPr>
        <w:rPr>
          <w:rFonts w:ascii="Garamond" w:eastAsiaTheme="minorEastAsia" w:hAnsi="Garamond" w:cs="Times New Roman"/>
          <w:sz w:val="24"/>
          <w:szCs w:val="24"/>
          <w:lang w:val="en-GB"/>
        </w:rPr>
      </w:pPr>
    </w:p>
    <w:p w14:paraId="280E5800" w14:textId="70C4437E" w:rsidR="004B4E1D" w:rsidRPr="00E41352" w:rsidRDefault="004B4E1D" w:rsidP="00E41352">
      <w:pPr>
        <w:spacing w:line="360" w:lineRule="auto"/>
        <w:jc w:val="both"/>
        <w:rPr>
          <w:rFonts w:ascii="Garamond" w:eastAsiaTheme="minorEastAsia" w:hAnsi="Garamond" w:cs="Times New Roman"/>
          <w:sz w:val="24"/>
          <w:szCs w:val="24"/>
          <w:lang w:val="en-GB"/>
        </w:rPr>
      </w:pPr>
      <w:r>
        <w:rPr>
          <w:rFonts w:ascii="Garamond" w:hAnsi="Garamond" w:cs="Times New Roman"/>
          <w:sz w:val="24"/>
          <w:szCs w:val="24"/>
          <w:lang w:val="en-GB"/>
        </w:rPr>
        <w:lastRenderedPageBreak/>
        <w:t xml:space="preserve">Where </w:t>
      </w:r>
      <m:oMath>
        <m:sSub>
          <m:sSubPr>
            <m:ctrlPr>
              <w:rPr>
                <w:rFonts w:ascii="Cambria Math" w:hAnsi="Cambria Math" w:cs="Cambria Math"/>
                <w:i/>
                <w:sz w:val="24"/>
                <w:szCs w:val="24"/>
              </w:rPr>
            </m:ctrlPr>
          </m:sSubPr>
          <m:e>
            <m:r>
              <w:rPr>
                <w:rFonts w:ascii="Cambria Math" w:hAnsi="Cambria Math" w:cs="Cambria Math"/>
                <w:sz w:val="24"/>
                <w:szCs w:val="24"/>
              </w:rPr>
              <m:t>Ln_Births</m:t>
            </m:r>
          </m:e>
          <m:sub>
            <m:r>
              <w:rPr>
                <w:rFonts w:ascii="Cambria Math" w:hAnsi="Cambria Math" w:cs="Cambria Math"/>
                <w:sz w:val="24"/>
                <w:szCs w:val="24"/>
              </w:rPr>
              <m:t>ct+9</m:t>
            </m:r>
          </m:sub>
        </m:sSub>
      </m:oMath>
      <w:r>
        <w:rPr>
          <w:rFonts w:ascii="Garamond" w:eastAsiaTheme="minorEastAsia" w:hAnsi="Garamond" w:cs="Times New Roman"/>
          <w:sz w:val="24"/>
          <w:szCs w:val="24"/>
          <w:lang w:val="en-GB"/>
        </w:rPr>
        <w:t xml:space="preserve"> </w:t>
      </w:r>
      <w:r w:rsidR="005B206C">
        <w:rPr>
          <w:rFonts w:ascii="Garamond" w:eastAsiaTheme="minorEastAsia" w:hAnsi="Garamond" w:cs="Times New Roman"/>
          <w:sz w:val="24"/>
          <w:szCs w:val="24"/>
          <w:lang w:val="en-GB"/>
        </w:rPr>
        <w:t>is the natural logarithm of</w:t>
      </w:r>
      <w:r>
        <w:rPr>
          <w:rFonts w:ascii="Garamond" w:eastAsiaTheme="minorEastAsia" w:hAnsi="Garamond" w:cs="Times New Roman"/>
          <w:sz w:val="24"/>
          <w:szCs w:val="24"/>
          <w:lang w:val="en-GB"/>
        </w:rPr>
        <w:t xml:space="preserve"> monthly births in country </w:t>
      </w:r>
      <w:r w:rsidRPr="00130B4C">
        <w:rPr>
          <w:rFonts w:ascii="Garamond" w:eastAsiaTheme="minorEastAsia" w:hAnsi="Garamond" w:cs="Times New Roman"/>
          <w:i/>
          <w:iCs/>
          <w:sz w:val="24"/>
          <w:szCs w:val="24"/>
          <w:lang w:val="en-GB"/>
        </w:rPr>
        <w:t>c</w:t>
      </w:r>
      <w:r>
        <w:rPr>
          <w:rFonts w:ascii="Garamond" w:eastAsiaTheme="minorEastAsia" w:hAnsi="Garamond" w:cs="Times New Roman"/>
          <w:sz w:val="24"/>
          <w:szCs w:val="24"/>
          <w:lang w:val="en-GB"/>
        </w:rPr>
        <w:t xml:space="preserve"> </w:t>
      </w:r>
      <w:r w:rsidR="00B17B8A">
        <w:rPr>
          <w:rFonts w:ascii="Garamond" w:eastAsiaTheme="minorEastAsia" w:hAnsi="Garamond" w:cs="Times New Roman"/>
          <w:sz w:val="24"/>
          <w:szCs w:val="24"/>
          <w:lang w:val="en-GB"/>
        </w:rPr>
        <w:t xml:space="preserve">and month </w:t>
      </w:r>
      <w:r w:rsidRPr="00130B4C">
        <w:rPr>
          <w:rFonts w:ascii="Garamond" w:eastAsiaTheme="minorEastAsia" w:hAnsi="Garamond" w:cs="Times New Roman"/>
          <w:i/>
          <w:iCs/>
          <w:sz w:val="24"/>
          <w:szCs w:val="24"/>
          <w:lang w:val="en-GB"/>
        </w:rPr>
        <w:t>t</w:t>
      </w:r>
      <w:r w:rsidR="00B17B8A">
        <w:rPr>
          <w:rFonts w:ascii="Garamond" w:eastAsiaTheme="minorEastAsia" w:hAnsi="Garamond" w:cs="Times New Roman"/>
          <w:i/>
          <w:iCs/>
          <w:sz w:val="24"/>
          <w:szCs w:val="24"/>
          <w:lang w:val="en-GB"/>
        </w:rPr>
        <w:t xml:space="preserve">+9, </w:t>
      </w:r>
      <m:oMath>
        <m:sSub>
          <m:sSubPr>
            <m:ctrlPr>
              <w:rPr>
                <w:rFonts w:ascii="Cambria Math" w:hAnsi="Cambria Math" w:cs="Cambria Math"/>
                <w:i/>
                <w:sz w:val="24"/>
                <w:szCs w:val="24"/>
              </w:rPr>
            </m:ctrlPr>
          </m:sSubPr>
          <m:e>
            <m:r>
              <w:rPr>
                <w:rFonts w:ascii="Cambria Math" w:hAnsi="Cambria Math" w:cs="Cambria Math"/>
                <w:sz w:val="24"/>
                <w:szCs w:val="24"/>
              </w:rPr>
              <m:t>Std_ELO</m:t>
            </m:r>
          </m:e>
          <m:sub>
            <m:r>
              <w:rPr>
                <w:rFonts w:ascii="Cambria Math" w:hAnsi="Cambria Math" w:cs="Cambria Math"/>
                <w:sz w:val="24"/>
                <w:szCs w:val="24"/>
              </w:rPr>
              <m:t>ct</m:t>
            </m:r>
          </m:sub>
        </m:sSub>
      </m:oMath>
      <w:r w:rsidR="00E41352">
        <w:rPr>
          <w:rFonts w:ascii="Garamond" w:eastAsiaTheme="minorEastAsia" w:hAnsi="Garamond" w:cs="Times New Roman"/>
          <w:sz w:val="24"/>
          <w:szCs w:val="24"/>
        </w:rPr>
        <w:t xml:space="preserve"> is </w:t>
      </w:r>
      <w:r w:rsidR="00D35892">
        <w:rPr>
          <w:rFonts w:ascii="Garamond" w:eastAsiaTheme="minorEastAsia" w:hAnsi="Garamond" w:cs="Times New Roman"/>
          <w:sz w:val="24"/>
          <w:szCs w:val="24"/>
        </w:rPr>
        <w:t>the standardized</w:t>
      </w:r>
      <w:r w:rsidR="004B3B1F">
        <w:rPr>
          <w:rFonts w:ascii="Garamond" w:eastAsiaTheme="minorEastAsia" w:hAnsi="Garamond" w:cs="Times New Roman"/>
          <w:sz w:val="24"/>
          <w:szCs w:val="24"/>
        </w:rPr>
        <w:t xml:space="preserve"> measure of</w:t>
      </w:r>
      <w:r w:rsidR="00D20E50">
        <w:rPr>
          <w:rFonts w:ascii="Garamond" w:eastAsiaTheme="minorEastAsia" w:hAnsi="Garamond" w:cs="Times New Roman"/>
          <w:sz w:val="24"/>
          <w:szCs w:val="24"/>
        </w:rPr>
        <w:t xml:space="preserve"> </w:t>
      </w:r>
      <w:r w:rsidR="00E41352" w:rsidRPr="00E41352">
        <w:rPr>
          <w:rFonts w:ascii="Garamond" w:eastAsiaTheme="minorEastAsia" w:hAnsi="Garamond" w:cs="Times New Roman"/>
          <w:sz w:val="24"/>
          <w:szCs w:val="24"/>
        </w:rPr>
        <w:t>national team’s performance</w:t>
      </w:r>
      <w:r w:rsidR="00E41352">
        <w:rPr>
          <w:rFonts w:ascii="Garamond" w:eastAsiaTheme="minorEastAsia" w:hAnsi="Garamond" w:cs="Times New Roman"/>
          <w:sz w:val="24"/>
          <w:szCs w:val="24"/>
        </w:rPr>
        <w:t xml:space="preserve">, </w:t>
      </w:r>
      <m:oMath>
        <m:sSub>
          <m:sSubPr>
            <m:ctrlPr>
              <w:rPr>
                <w:rFonts w:ascii="Cambria Math" w:hAnsi="Cambria Math" w:cs="Cambria Math"/>
                <w:i/>
                <w:sz w:val="24"/>
                <w:szCs w:val="24"/>
              </w:rPr>
            </m:ctrlPr>
          </m:sSubPr>
          <m:e>
            <m:r>
              <w:rPr>
                <w:rFonts w:ascii="Cambria Math" w:hAnsi="Cambria Math" w:cs="Cambria Math"/>
                <w:sz w:val="24"/>
                <w:szCs w:val="24"/>
              </w:rPr>
              <m:t>Organizer</m:t>
            </m:r>
          </m:e>
          <m:sub>
            <m:r>
              <w:rPr>
                <w:rFonts w:ascii="Cambria Math" w:hAnsi="Cambria Math" w:cs="Cambria Math"/>
                <w:sz w:val="24"/>
                <w:szCs w:val="24"/>
              </w:rPr>
              <m:t>ct</m:t>
            </m:r>
          </m:sub>
        </m:sSub>
      </m:oMath>
      <w:r w:rsidR="00E41352">
        <w:rPr>
          <w:rFonts w:ascii="Garamond" w:eastAsiaTheme="minorEastAsia" w:hAnsi="Garamond" w:cs="Times New Roman"/>
          <w:sz w:val="24"/>
          <w:szCs w:val="24"/>
        </w:rPr>
        <w:t xml:space="preserve"> is a dummy taking value 1 if country </w:t>
      </w:r>
      <w:r w:rsidR="00E41352" w:rsidRPr="00E41352">
        <w:rPr>
          <w:rFonts w:ascii="Garamond" w:eastAsiaTheme="minorEastAsia" w:hAnsi="Garamond" w:cs="Times New Roman"/>
          <w:i/>
          <w:iCs/>
          <w:sz w:val="24"/>
          <w:szCs w:val="24"/>
        </w:rPr>
        <w:t>c</w:t>
      </w:r>
      <w:r w:rsidR="00E41352">
        <w:rPr>
          <w:rFonts w:ascii="Garamond" w:eastAsiaTheme="minorEastAsia" w:hAnsi="Garamond" w:cs="Times New Roman"/>
          <w:sz w:val="24"/>
          <w:szCs w:val="24"/>
        </w:rPr>
        <w:t xml:space="preserve"> hosted the competition</w:t>
      </w:r>
      <w:r w:rsidR="00D35892">
        <w:rPr>
          <w:rFonts w:ascii="Garamond" w:eastAsiaTheme="minorEastAsia" w:hAnsi="Garamond" w:cs="Times New Roman"/>
          <w:sz w:val="24"/>
          <w:szCs w:val="24"/>
        </w:rPr>
        <w:t xml:space="preserve"> in </w:t>
      </w:r>
      <w:r w:rsidR="00D35892" w:rsidRPr="00E41352">
        <w:rPr>
          <w:rFonts w:ascii="Garamond" w:eastAsiaTheme="minorEastAsia" w:hAnsi="Garamond" w:cs="Times New Roman"/>
          <w:i/>
          <w:iCs/>
          <w:sz w:val="24"/>
          <w:szCs w:val="24"/>
        </w:rPr>
        <w:t>t</w:t>
      </w:r>
      <w:r w:rsidR="00E41352">
        <w:rPr>
          <w:rFonts w:ascii="Garamond" w:eastAsiaTheme="minorEastAsia" w:hAnsi="Garamond" w:cs="Times New Roman"/>
          <w:sz w:val="24"/>
          <w:szCs w:val="24"/>
        </w:rPr>
        <w:t>.</w:t>
      </w:r>
      <w:r>
        <w:rPr>
          <w:rFonts w:ascii="Garamond" w:eastAsiaTheme="minorEastAsia" w:hAnsi="Garamond" w:cs="Times New Roman"/>
          <w:sz w:val="24"/>
          <w:szCs w:val="24"/>
          <w:lang w:val="en-GB"/>
        </w:rPr>
        <w:t xml:space="preserve"> </w:t>
      </w:r>
      <m:oMath>
        <m:sSub>
          <m:sSubPr>
            <m:ctrlPr>
              <w:rPr>
                <w:rFonts w:ascii="Cambria Math" w:hAnsi="Cambria Math" w:cs="Times New Roman"/>
                <w:bCs/>
                <w:i/>
                <w:sz w:val="24"/>
                <w:szCs w:val="24"/>
                <w:lang w:val="en-GB"/>
              </w:rPr>
            </m:ctrlPr>
          </m:sSubPr>
          <m:e>
            <m:r>
              <w:rPr>
                <w:rFonts w:ascii="Cambria Math" w:hAnsi="Cambria Math" w:cs="Times New Roman"/>
                <w:sz w:val="24"/>
                <w:szCs w:val="24"/>
                <w:lang w:val="en-GB"/>
              </w:rPr>
              <m:t>γ</m:t>
            </m:r>
          </m:e>
          <m:sub>
            <m:r>
              <w:rPr>
                <w:rFonts w:ascii="Cambria Math" w:hAnsi="Cambria Math" w:cs="Times New Roman"/>
                <w:sz w:val="24"/>
                <w:szCs w:val="24"/>
                <w:lang w:val="en-GB"/>
              </w:rPr>
              <m:t>t</m:t>
            </m:r>
          </m:sub>
        </m:sSub>
      </m:oMath>
      <w:r>
        <w:rPr>
          <w:rFonts w:ascii="Garamond" w:eastAsiaTheme="minorEastAsia" w:hAnsi="Garamond" w:cs="Times New Roman"/>
          <w:sz w:val="24"/>
          <w:szCs w:val="24"/>
          <w:lang w:val="en-GB"/>
        </w:rPr>
        <w:t xml:space="preserve"> </w:t>
      </w:r>
      <w:r w:rsidR="006F3001">
        <w:rPr>
          <w:rFonts w:ascii="Garamond" w:eastAsiaTheme="minorEastAsia" w:hAnsi="Garamond" w:cs="Times New Roman"/>
          <w:sz w:val="24"/>
          <w:szCs w:val="24"/>
          <w:lang w:val="en-GB"/>
        </w:rPr>
        <w:t xml:space="preserve">is a vector for </w:t>
      </w:r>
      <w:r>
        <w:rPr>
          <w:rFonts w:ascii="Garamond" w:eastAsiaTheme="minorEastAsia" w:hAnsi="Garamond" w:cs="Times New Roman"/>
          <w:sz w:val="24"/>
          <w:szCs w:val="24"/>
          <w:lang w:val="en-GB"/>
        </w:rPr>
        <w:t>time fixed</w:t>
      </w:r>
      <w:r w:rsidR="00E12D90">
        <w:rPr>
          <w:rFonts w:ascii="Garamond" w:eastAsiaTheme="minorEastAsia" w:hAnsi="Garamond" w:cs="Times New Roman"/>
          <w:sz w:val="24"/>
          <w:szCs w:val="24"/>
          <w:lang w:val="en-GB"/>
        </w:rPr>
        <w:t>-</w:t>
      </w:r>
      <w:r>
        <w:rPr>
          <w:rFonts w:ascii="Garamond" w:eastAsiaTheme="minorEastAsia" w:hAnsi="Garamond" w:cs="Times New Roman"/>
          <w:sz w:val="24"/>
          <w:szCs w:val="24"/>
          <w:lang w:val="en-GB"/>
        </w:rPr>
        <w:t>effects</w:t>
      </w:r>
      <w:r w:rsidR="00FB18FF">
        <w:rPr>
          <w:rFonts w:ascii="Garamond" w:eastAsiaTheme="minorEastAsia" w:hAnsi="Garamond" w:cs="Times New Roman"/>
          <w:sz w:val="24"/>
          <w:szCs w:val="24"/>
          <w:lang w:val="en-GB"/>
        </w:rPr>
        <w:t xml:space="preserve">, </w:t>
      </w:r>
      <w:r w:rsidR="00FB18FF" w:rsidRPr="00FB18FF">
        <w:rPr>
          <w:rFonts w:ascii="Garamond" w:eastAsiaTheme="minorEastAsia" w:hAnsi="Garamond" w:cs="Times New Roman"/>
          <w:sz w:val="24"/>
          <w:szCs w:val="24"/>
          <w:lang w:val="en-GB"/>
        </w:rPr>
        <w:t>while country fixed</w:t>
      </w:r>
      <w:r w:rsidR="00E12D90">
        <w:rPr>
          <w:rFonts w:ascii="Garamond" w:eastAsiaTheme="minorEastAsia" w:hAnsi="Garamond" w:cs="Times New Roman"/>
          <w:sz w:val="24"/>
          <w:szCs w:val="24"/>
          <w:lang w:val="en-GB"/>
        </w:rPr>
        <w:t>-</w:t>
      </w:r>
      <w:r w:rsidR="00FB18FF" w:rsidRPr="00FB18FF">
        <w:rPr>
          <w:rFonts w:ascii="Garamond" w:eastAsiaTheme="minorEastAsia" w:hAnsi="Garamond" w:cs="Times New Roman"/>
          <w:sz w:val="24"/>
          <w:szCs w:val="24"/>
          <w:lang w:val="en-GB"/>
        </w:rPr>
        <w:t>effects are eliminated by the within transformation</w:t>
      </w:r>
      <w:r>
        <w:rPr>
          <w:rFonts w:ascii="Garamond" w:eastAsiaTheme="minorEastAsia" w:hAnsi="Garamond" w:cs="Times New Roman"/>
          <w:sz w:val="24"/>
          <w:szCs w:val="24"/>
          <w:lang w:val="en-GB"/>
        </w:rPr>
        <w:t xml:space="preserve">. </w:t>
      </w:r>
      <w:r w:rsidR="0012518C">
        <w:rPr>
          <w:rFonts w:ascii="Garamond" w:eastAsiaTheme="minorEastAsia" w:hAnsi="Garamond" w:cs="Times New Roman"/>
          <w:sz w:val="24"/>
          <w:szCs w:val="24"/>
          <w:lang w:val="en-GB"/>
        </w:rPr>
        <w:t>S</w:t>
      </w:r>
      <w:r>
        <w:rPr>
          <w:rFonts w:ascii="Garamond" w:eastAsiaTheme="minorEastAsia" w:hAnsi="Garamond" w:cs="Times New Roman"/>
          <w:sz w:val="24"/>
          <w:szCs w:val="24"/>
          <w:lang w:val="en-GB"/>
        </w:rPr>
        <w:t xml:space="preserve">tandard errors </w:t>
      </w:r>
      <w:r w:rsidR="0012518C">
        <w:rPr>
          <w:rFonts w:ascii="Garamond" w:eastAsiaTheme="minorEastAsia" w:hAnsi="Garamond" w:cs="Times New Roman"/>
          <w:sz w:val="24"/>
          <w:szCs w:val="24"/>
          <w:lang w:val="en-GB"/>
        </w:rPr>
        <w:t xml:space="preserve">are clustered </w:t>
      </w:r>
      <w:r>
        <w:rPr>
          <w:rFonts w:ascii="Garamond" w:eastAsiaTheme="minorEastAsia" w:hAnsi="Garamond" w:cs="Times New Roman"/>
          <w:sz w:val="24"/>
          <w:szCs w:val="24"/>
          <w:lang w:val="en-GB"/>
        </w:rPr>
        <w:t xml:space="preserve">at the level of the country. </w:t>
      </w:r>
    </w:p>
    <w:p w14:paraId="789D67F2" w14:textId="345E3D66" w:rsidR="00165B46" w:rsidRPr="005B206C" w:rsidRDefault="00B17B8A" w:rsidP="00A24D9B">
      <w:pPr>
        <w:spacing w:line="360" w:lineRule="auto"/>
        <w:jc w:val="both"/>
        <w:rPr>
          <w:rFonts w:ascii="Garamond" w:hAnsi="Garamond"/>
          <w:sz w:val="24"/>
          <w:szCs w:val="24"/>
        </w:rPr>
      </w:pPr>
      <w:r w:rsidRPr="005B206C">
        <w:rPr>
          <w:rFonts w:ascii="Garamond" w:hAnsi="Garamond"/>
          <w:sz w:val="24"/>
          <w:szCs w:val="24"/>
          <w:lang w:val="en-GB"/>
        </w:rPr>
        <w:t>R</w:t>
      </w:r>
      <w:r w:rsidR="006E5597" w:rsidRPr="005B206C">
        <w:rPr>
          <w:rFonts w:ascii="Garamond" w:hAnsi="Garamond"/>
          <w:sz w:val="24"/>
          <w:szCs w:val="24"/>
          <w:lang w:val="en-GB"/>
        </w:rPr>
        <w:t>esults from estimating Eq</w:t>
      </w:r>
      <w:r w:rsidR="004C326A" w:rsidRPr="005B206C">
        <w:rPr>
          <w:rFonts w:ascii="Garamond" w:hAnsi="Garamond"/>
          <w:sz w:val="24"/>
          <w:szCs w:val="24"/>
          <w:lang w:val="en-GB"/>
        </w:rPr>
        <w:t>uation</w:t>
      </w:r>
      <w:r w:rsidR="006E5597" w:rsidRPr="005B206C">
        <w:rPr>
          <w:rFonts w:ascii="Garamond" w:hAnsi="Garamond"/>
          <w:sz w:val="24"/>
          <w:szCs w:val="24"/>
          <w:lang w:val="en-GB"/>
        </w:rPr>
        <w:t xml:space="preserve"> (1) are presented in Table </w:t>
      </w:r>
      <w:r w:rsidR="00565E66" w:rsidRPr="005B206C">
        <w:rPr>
          <w:rFonts w:ascii="Garamond" w:hAnsi="Garamond"/>
          <w:sz w:val="24"/>
          <w:szCs w:val="24"/>
          <w:lang w:val="en-GB"/>
        </w:rPr>
        <w:t>2</w:t>
      </w:r>
      <w:r w:rsidR="00026659">
        <w:rPr>
          <w:rFonts w:ascii="Garamond" w:hAnsi="Garamond"/>
          <w:sz w:val="24"/>
          <w:szCs w:val="24"/>
          <w:lang w:val="en-GB"/>
        </w:rPr>
        <w:t xml:space="preserve"> and look very robust</w:t>
      </w:r>
      <w:r w:rsidR="006E5597" w:rsidRPr="005B206C">
        <w:rPr>
          <w:rFonts w:ascii="Garamond" w:hAnsi="Garamond"/>
          <w:sz w:val="24"/>
          <w:szCs w:val="24"/>
          <w:lang w:val="en-GB"/>
        </w:rPr>
        <w:t xml:space="preserve">. </w:t>
      </w:r>
      <w:r w:rsidR="0039632E">
        <w:rPr>
          <w:rFonts w:ascii="Garamond" w:hAnsi="Garamond"/>
          <w:sz w:val="24"/>
          <w:szCs w:val="24"/>
          <w:lang w:val="en-GB"/>
        </w:rPr>
        <w:t xml:space="preserve">Across all the specifications, we see that, on </w:t>
      </w:r>
      <w:r w:rsidR="00303008">
        <w:rPr>
          <w:rFonts w:ascii="Garamond" w:hAnsi="Garamond"/>
          <w:sz w:val="24"/>
          <w:szCs w:val="24"/>
          <w:lang w:val="en-GB"/>
        </w:rPr>
        <w:t>a</w:t>
      </w:r>
      <w:r w:rsidR="0039632E">
        <w:rPr>
          <w:rFonts w:ascii="Garamond" w:hAnsi="Garamond"/>
          <w:sz w:val="24"/>
          <w:szCs w:val="24"/>
          <w:lang w:val="en-GB"/>
        </w:rPr>
        <w:t xml:space="preserve">verage, </w:t>
      </w:r>
      <w:r w:rsidR="00A374BE">
        <w:rPr>
          <w:rFonts w:ascii="Garamond" w:hAnsi="Garamond"/>
          <w:sz w:val="24"/>
          <w:szCs w:val="24"/>
          <w:lang w:val="en-GB"/>
        </w:rPr>
        <w:t>a</w:t>
      </w:r>
      <w:r w:rsidR="006E5597" w:rsidRPr="005B206C">
        <w:rPr>
          <w:rFonts w:ascii="Garamond" w:hAnsi="Garamond"/>
          <w:sz w:val="24"/>
          <w:szCs w:val="24"/>
        </w:rPr>
        <w:t xml:space="preserve">n increase in performance by one standard deviation is associated with a reduction </w:t>
      </w:r>
      <w:r w:rsidR="005B206C" w:rsidRPr="001D1328">
        <w:rPr>
          <w:rFonts w:ascii="Garamond" w:hAnsi="Garamond"/>
          <w:sz w:val="24"/>
          <w:szCs w:val="24"/>
        </w:rPr>
        <w:t xml:space="preserve">in monthly births </w:t>
      </w:r>
      <w:r w:rsidR="006E5597" w:rsidRPr="005B206C">
        <w:rPr>
          <w:rFonts w:ascii="Garamond" w:hAnsi="Garamond"/>
          <w:sz w:val="24"/>
          <w:szCs w:val="24"/>
        </w:rPr>
        <w:t xml:space="preserve">by </w:t>
      </w:r>
      <w:r w:rsidR="005B206C" w:rsidRPr="001D1328">
        <w:rPr>
          <w:rFonts w:ascii="Garamond" w:hAnsi="Garamond"/>
          <w:sz w:val="24"/>
          <w:szCs w:val="24"/>
        </w:rPr>
        <w:t>0.3%</w:t>
      </w:r>
      <w:r w:rsidR="006E5597" w:rsidRPr="005B206C">
        <w:rPr>
          <w:rFonts w:ascii="Garamond" w:hAnsi="Garamond"/>
          <w:sz w:val="24"/>
          <w:szCs w:val="24"/>
        </w:rPr>
        <w:t xml:space="preserve"> </w:t>
      </w:r>
      <w:r w:rsidR="00716F17" w:rsidRPr="005B206C">
        <w:rPr>
          <w:rFonts w:ascii="Garamond" w:hAnsi="Garamond"/>
          <w:sz w:val="24"/>
          <w:szCs w:val="24"/>
        </w:rPr>
        <w:t>nine</w:t>
      </w:r>
      <w:r w:rsidR="006E5597" w:rsidRPr="005B206C">
        <w:rPr>
          <w:rFonts w:ascii="Garamond" w:hAnsi="Garamond"/>
          <w:sz w:val="24"/>
          <w:szCs w:val="24"/>
        </w:rPr>
        <w:t xml:space="preserve"> months after the event. </w:t>
      </w:r>
      <w:r w:rsidR="00296909" w:rsidRPr="005B206C">
        <w:rPr>
          <w:rFonts w:ascii="Garamond" w:hAnsi="Garamond"/>
          <w:sz w:val="24"/>
          <w:szCs w:val="24"/>
        </w:rPr>
        <w:t xml:space="preserve">Thus, these results challenge the </w:t>
      </w:r>
      <w:r w:rsidR="006E38BB" w:rsidRPr="005B206C">
        <w:rPr>
          <w:rFonts w:ascii="Garamond" w:hAnsi="Garamond"/>
          <w:sz w:val="24"/>
          <w:szCs w:val="24"/>
        </w:rPr>
        <w:t>anecdotic</w:t>
      </w:r>
      <w:r w:rsidR="00296909" w:rsidRPr="005B206C">
        <w:rPr>
          <w:rFonts w:ascii="Garamond" w:hAnsi="Garamond"/>
          <w:sz w:val="24"/>
          <w:szCs w:val="24"/>
        </w:rPr>
        <w:t xml:space="preserve"> narrative often provided by mass media. On the contrary, they </w:t>
      </w:r>
      <w:r w:rsidR="00B8390A" w:rsidRPr="005B206C">
        <w:rPr>
          <w:rFonts w:ascii="Garamond" w:hAnsi="Garamond"/>
          <w:sz w:val="24"/>
          <w:szCs w:val="24"/>
        </w:rPr>
        <w:t xml:space="preserve">provide strong evidence that </w:t>
      </w:r>
      <w:r w:rsidR="00B8390A" w:rsidRPr="005B206C">
        <w:rPr>
          <w:rFonts w:ascii="Garamond" w:hAnsi="Garamond"/>
          <w:sz w:val="24"/>
          <w:szCs w:val="24"/>
          <w:lang w:val="en-GB"/>
        </w:rPr>
        <w:t>national team</w:t>
      </w:r>
      <w:r w:rsidR="0012518C" w:rsidRPr="005B206C">
        <w:rPr>
          <w:rFonts w:ascii="Garamond" w:hAnsi="Garamond"/>
          <w:sz w:val="24"/>
          <w:szCs w:val="24"/>
          <w:lang w:val="en-GB"/>
        </w:rPr>
        <w:t>s’</w:t>
      </w:r>
      <w:r w:rsidR="00B8390A" w:rsidRPr="005B206C">
        <w:rPr>
          <w:rFonts w:ascii="Garamond" w:hAnsi="Garamond"/>
          <w:sz w:val="24"/>
          <w:szCs w:val="24"/>
          <w:lang w:val="en-GB"/>
        </w:rPr>
        <w:t xml:space="preserve"> performance in </w:t>
      </w:r>
      <w:r w:rsidR="00CF52E0" w:rsidRPr="005B206C">
        <w:rPr>
          <w:rFonts w:ascii="Garamond" w:hAnsi="Garamond"/>
          <w:sz w:val="24"/>
          <w:szCs w:val="24"/>
          <w:lang w:val="en-GB"/>
        </w:rPr>
        <w:t>major sports competitions</w:t>
      </w:r>
      <w:r w:rsidR="00B8390A" w:rsidRPr="005B206C">
        <w:rPr>
          <w:rFonts w:ascii="Garamond" w:hAnsi="Garamond"/>
          <w:sz w:val="24"/>
          <w:szCs w:val="24"/>
          <w:lang w:val="en-GB"/>
        </w:rPr>
        <w:t xml:space="preserve"> is associated with a drop in birth</w:t>
      </w:r>
      <w:r w:rsidR="00FE1422" w:rsidRPr="005B206C">
        <w:rPr>
          <w:rFonts w:ascii="Garamond" w:hAnsi="Garamond"/>
          <w:sz w:val="24"/>
          <w:szCs w:val="24"/>
          <w:lang w:val="en-GB"/>
        </w:rPr>
        <w:t>s</w:t>
      </w:r>
      <w:r w:rsidR="00B8390A" w:rsidRPr="005B206C">
        <w:rPr>
          <w:rFonts w:ascii="Garamond" w:hAnsi="Garamond"/>
          <w:sz w:val="24"/>
          <w:szCs w:val="24"/>
          <w:lang w:val="en-GB"/>
        </w:rPr>
        <w:t xml:space="preserve">. </w:t>
      </w:r>
    </w:p>
    <w:p w14:paraId="4F53D394" w14:textId="1E663904" w:rsidR="006F3001" w:rsidRPr="00AB17C3" w:rsidRDefault="0012518C" w:rsidP="00AB17C3">
      <w:pPr>
        <w:spacing w:line="360" w:lineRule="auto"/>
        <w:jc w:val="both"/>
        <w:rPr>
          <w:rFonts w:ascii="Garamond" w:hAnsi="Garamond"/>
          <w:sz w:val="24"/>
          <w:szCs w:val="24"/>
        </w:rPr>
      </w:pPr>
      <w:r w:rsidRPr="005B206C">
        <w:rPr>
          <w:rFonts w:ascii="Garamond" w:hAnsi="Garamond"/>
          <w:sz w:val="24"/>
          <w:szCs w:val="24"/>
          <w:lang w:val="en-GB"/>
        </w:rPr>
        <w:t>A</w:t>
      </w:r>
      <w:r w:rsidR="00296909" w:rsidRPr="005B206C">
        <w:rPr>
          <w:rFonts w:ascii="Garamond" w:hAnsi="Garamond"/>
          <w:sz w:val="24"/>
          <w:szCs w:val="24"/>
          <w:lang w:val="en-GB"/>
        </w:rPr>
        <w:t xml:space="preserve"> back-of-the-envelope calculation of </w:t>
      </w:r>
      <w:r w:rsidR="00296909" w:rsidRPr="00592786">
        <w:rPr>
          <w:rFonts w:ascii="Garamond" w:hAnsi="Garamond"/>
          <w:sz w:val="24"/>
          <w:szCs w:val="24"/>
          <w:lang w:val="en-GB"/>
        </w:rPr>
        <w:t>the number of missed births</w:t>
      </w:r>
      <w:r w:rsidRPr="00592786">
        <w:rPr>
          <w:rFonts w:ascii="Garamond" w:hAnsi="Garamond"/>
          <w:sz w:val="24"/>
          <w:szCs w:val="24"/>
          <w:lang w:val="en-GB"/>
        </w:rPr>
        <w:t xml:space="preserve"> unveils the economic significance of our results</w:t>
      </w:r>
      <w:r w:rsidR="00296909" w:rsidRPr="00592786">
        <w:rPr>
          <w:rFonts w:ascii="Garamond" w:hAnsi="Garamond"/>
          <w:sz w:val="24"/>
          <w:szCs w:val="24"/>
          <w:lang w:val="en-GB"/>
        </w:rPr>
        <w:t xml:space="preserve">. </w:t>
      </w:r>
      <w:r w:rsidR="00592786">
        <w:rPr>
          <w:rFonts w:ascii="Garamond" w:hAnsi="Garamond"/>
          <w:sz w:val="24"/>
          <w:szCs w:val="24"/>
          <w:lang w:val="en-GB"/>
        </w:rPr>
        <w:t>Let us consider</w:t>
      </w:r>
      <w:r w:rsidR="00592786" w:rsidRPr="00592786">
        <w:rPr>
          <w:rFonts w:ascii="Garamond" w:hAnsi="Garamond"/>
          <w:sz w:val="24"/>
          <w:szCs w:val="24"/>
          <w:lang w:val="en-GB"/>
        </w:rPr>
        <w:t xml:space="preserve"> </w:t>
      </w:r>
      <w:r w:rsidR="00001573">
        <w:rPr>
          <w:rFonts w:ascii="Garamond" w:hAnsi="Garamond"/>
          <w:sz w:val="24"/>
          <w:szCs w:val="24"/>
          <w:lang w:val="en-GB"/>
        </w:rPr>
        <w:t>a basic case</w:t>
      </w:r>
      <w:r w:rsidR="00592786" w:rsidRPr="00592786">
        <w:rPr>
          <w:rFonts w:ascii="Garamond" w:hAnsi="Garamond"/>
          <w:sz w:val="24"/>
          <w:szCs w:val="24"/>
          <w:lang w:val="en-GB"/>
        </w:rPr>
        <w:t xml:space="preserve">, </w:t>
      </w:r>
      <w:r w:rsidR="00296909" w:rsidRPr="00592786">
        <w:rPr>
          <w:rFonts w:ascii="Garamond" w:hAnsi="Garamond"/>
          <w:sz w:val="24"/>
          <w:szCs w:val="24"/>
        </w:rPr>
        <w:t xml:space="preserve">a </w:t>
      </w:r>
      <w:r w:rsidR="0016493A">
        <w:rPr>
          <w:rFonts w:ascii="Garamond" w:hAnsi="Garamond"/>
          <w:sz w:val="24"/>
          <w:szCs w:val="24"/>
        </w:rPr>
        <w:t xml:space="preserve">participating </w:t>
      </w:r>
      <w:r w:rsidR="00296909" w:rsidRPr="00592786">
        <w:rPr>
          <w:rFonts w:ascii="Garamond" w:hAnsi="Garamond"/>
          <w:sz w:val="24"/>
          <w:szCs w:val="24"/>
        </w:rPr>
        <w:t xml:space="preserve">country </w:t>
      </w:r>
      <w:r w:rsidR="00592786" w:rsidRPr="001D1328">
        <w:rPr>
          <w:rFonts w:ascii="Garamond" w:hAnsi="Garamond"/>
          <w:sz w:val="24"/>
          <w:szCs w:val="24"/>
        </w:rPr>
        <w:t xml:space="preserve">that </w:t>
      </w:r>
      <w:r w:rsidR="00001573">
        <w:rPr>
          <w:rFonts w:ascii="Garamond" w:hAnsi="Garamond"/>
          <w:sz w:val="24"/>
          <w:szCs w:val="24"/>
        </w:rPr>
        <w:t xml:space="preserve">obtains </w:t>
      </w:r>
      <w:r w:rsidR="00001573" w:rsidRPr="00001573">
        <w:rPr>
          <w:rFonts w:ascii="Garamond" w:hAnsi="Garamond"/>
          <w:sz w:val="24"/>
          <w:szCs w:val="24"/>
        </w:rPr>
        <w:t>127.74</w:t>
      </w:r>
      <w:r w:rsidR="00001573">
        <w:rPr>
          <w:rFonts w:ascii="Garamond" w:hAnsi="Garamond"/>
          <w:sz w:val="24"/>
          <w:szCs w:val="24"/>
        </w:rPr>
        <w:t xml:space="preserve"> points (i.e., the average score of a </w:t>
      </w:r>
      <w:r w:rsidR="0016493A">
        <w:rPr>
          <w:rFonts w:ascii="Garamond" w:hAnsi="Garamond"/>
          <w:sz w:val="24"/>
          <w:szCs w:val="24"/>
        </w:rPr>
        <w:t xml:space="preserve">participating </w:t>
      </w:r>
      <w:r w:rsidR="00001573">
        <w:rPr>
          <w:rFonts w:ascii="Garamond" w:hAnsi="Garamond"/>
          <w:sz w:val="24"/>
          <w:szCs w:val="24"/>
        </w:rPr>
        <w:t>country)</w:t>
      </w:r>
      <w:r w:rsidR="00592786" w:rsidRPr="001D1328">
        <w:rPr>
          <w:rFonts w:ascii="Garamond" w:hAnsi="Garamond"/>
          <w:sz w:val="24"/>
          <w:szCs w:val="24"/>
        </w:rPr>
        <w:t>; in this case</w:t>
      </w:r>
      <w:r w:rsidR="00296909" w:rsidRPr="00592786">
        <w:rPr>
          <w:rFonts w:ascii="Garamond" w:hAnsi="Garamond"/>
          <w:sz w:val="24"/>
          <w:szCs w:val="24"/>
        </w:rPr>
        <w:t xml:space="preserve">, we </w:t>
      </w:r>
      <w:r w:rsidR="00592786" w:rsidRPr="001D1328">
        <w:rPr>
          <w:rFonts w:ascii="Garamond" w:hAnsi="Garamond"/>
          <w:sz w:val="24"/>
          <w:szCs w:val="24"/>
        </w:rPr>
        <w:t xml:space="preserve">could </w:t>
      </w:r>
      <w:r w:rsidR="006F3001">
        <w:rPr>
          <w:rFonts w:ascii="Garamond" w:hAnsi="Garamond"/>
          <w:sz w:val="24"/>
          <w:szCs w:val="24"/>
        </w:rPr>
        <w:t>expect</w:t>
      </w:r>
      <w:r w:rsidR="00592786" w:rsidRPr="001D1328">
        <w:rPr>
          <w:rFonts w:ascii="Garamond" w:hAnsi="Garamond"/>
          <w:sz w:val="24"/>
          <w:szCs w:val="24"/>
        </w:rPr>
        <w:t xml:space="preserve"> a drop in monthly births by </w:t>
      </w:r>
      <w:r w:rsidR="00001573">
        <w:rPr>
          <w:rFonts w:ascii="Garamond" w:hAnsi="Garamond"/>
          <w:sz w:val="24"/>
          <w:szCs w:val="24"/>
        </w:rPr>
        <w:t>2.13</w:t>
      </w:r>
      <w:r w:rsidR="00592786" w:rsidRPr="001D1328">
        <w:rPr>
          <w:rFonts w:ascii="Garamond" w:hAnsi="Garamond"/>
          <w:sz w:val="24"/>
          <w:szCs w:val="24"/>
        </w:rPr>
        <w:t>%</w:t>
      </w:r>
      <w:r w:rsidR="00296909" w:rsidRPr="00592786">
        <w:rPr>
          <w:rFonts w:ascii="Garamond" w:hAnsi="Garamond"/>
          <w:sz w:val="24"/>
          <w:szCs w:val="24"/>
        </w:rPr>
        <w:t xml:space="preserve"> ([</w:t>
      </w:r>
      <w:r w:rsidR="00001573">
        <w:rPr>
          <w:rFonts w:ascii="Garamond" w:hAnsi="Garamond"/>
          <w:sz w:val="24"/>
          <w:szCs w:val="24"/>
        </w:rPr>
        <w:t>127.74</w:t>
      </w:r>
      <w:r w:rsidR="00296909" w:rsidRPr="00592786">
        <w:rPr>
          <w:rFonts w:ascii="Garamond" w:hAnsi="Garamond"/>
          <w:sz w:val="24"/>
          <w:szCs w:val="24"/>
        </w:rPr>
        <w:t>/</w:t>
      </w:r>
      <w:r w:rsidR="008A7DF5" w:rsidRPr="00592786">
        <w:rPr>
          <w:rFonts w:ascii="Garamond" w:hAnsi="Garamond"/>
          <w:sz w:val="24"/>
          <w:szCs w:val="24"/>
        </w:rPr>
        <w:t>18] *</w:t>
      </w:r>
      <w:r w:rsidR="005B206C" w:rsidRPr="001D1328">
        <w:rPr>
          <w:rFonts w:ascii="Garamond" w:hAnsi="Garamond"/>
          <w:sz w:val="24"/>
          <w:szCs w:val="24"/>
        </w:rPr>
        <w:t>0.3</w:t>
      </w:r>
      <w:r w:rsidR="00296909" w:rsidRPr="00592786">
        <w:rPr>
          <w:rFonts w:ascii="Garamond" w:hAnsi="Garamond"/>
          <w:sz w:val="24"/>
          <w:szCs w:val="24"/>
        </w:rPr>
        <w:t xml:space="preserve">) </w:t>
      </w:r>
      <w:r w:rsidR="00716F17" w:rsidRPr="00592786">
        <w:rPr>
          <w:rFonts w:ascii="Garamond" w:hAnsi="Garamond"/>
          <w:sz w:val="24"/>
          <w:szCs w:val="24"/>
        </w:rPr>
        <w:t>nine</w:t>
      </w:r>
      <w:r w:rsidR="00296909" w:rsidRPr="00592786">
        <w:rPr>
          <w:rFonts w:ascii="Garamond" w:hAnsi="Garamond"/>
          <w:sz w:val="24"/>
          <w:szCs w:val="24"/>
        </w:rPr>
        <w:t xml:space="preserve"> months after the competition.</w:t>
      </w:r>
      <w:r w:rsidR="00001573">
        <w:rPr>
          <w:rFonts w:ascii="Garamond" w:hAnsi="Garamond"/>
          <w:sz w:val="24"/>
          <w:szCs w:val="24"/>
        </w:rPr>
        <w:t xml:space="preserve"> </w:t>
      </w:r>
      <w:r w:rsidR="0039632E">
        <w:rPr>
          <w:rFonts w:ascii="Garamond" w:hAnsi="Garamond"/>
          <w:sz w:val="24"/>
          <w:szCs w:val="24"/>
        </w:rPr>
        <w:t xml:space="preserve">More concretely, consider </w:t>
      </w:r>
      <w:r w:rsidR="00001573">
        <w:rPr>
          <w:rFonts w:ascii="Garamond" w:hAnsi="Garamond"/>
          <w:sz w:val="24"/>
          <w:szCs w:val="24"/>
        </w:rPr>
        <w:t>Italy</w:t>
      </w:r>
      <w:r w:rsidR="0039632E">
        <w:rPr>
          <w:rFonts w:ascii="Garamond" w:hAnsi="Garamond"/>
          <w:sz w:val="24"/>
          <w:szCs w:val="24"/>
        </w:rPr>
        <w:t xml:space="preserve"> and France</w:t>
      </w:r>
      <w:r w:rsidR="00A374BE">
        <w:rPr>
          <w:rFonts w:ascii="Garamond" w:hAnsi="Garamond"/>
          <w:sz w:val="24"/>
          <w:szCs w:val="24"/>
        </w:rPr>
        <w:t>, with</w:t>
      </w:r>
      <w:r w:rsidR="00001573">
        <w:rPr>
          <w:rFonts w:ascii="Garamond" w:hAnsi="Garamond"/>
          <w:sz w:val="24"/>
          <w:szCs w:val="24"/>
        </w:rPr>
        <w:t xml:space="preserve"> </w:t>
      </w:r>
      <w:r w:rsidR="00001573" w:rsidRPr="00296909">
        <w:rPr>
          <w:rFonts w:ascii="Garamond" w:hAnsi="Garamond"/>
          <w:sz w:val="24"/>
          <w:szCs w:val="24"/>
        </w:rPr>
        <w:t>average monthly births</w:t>
      </w:r>
      <w:r w:rsidR="00001573">
        <w:rPr>
          <w:rFonts w:ascii="Garamond" w:hAnsi="Garamond"/>
          <w:sz w:val="24"/>
          <w:szCs w:val="24"/>
        </w:rPr>
        <w:t xml:space="preserve"> equal to </w:t>
      </w:r>
      <w:r w:rsidR="00001573" w:rsidRPr="00296909">
        <w:rPr>
          <w:rFonts w:ascii="Garamond" w:hAnsi="Garamond"/>
          <w:sz w:val="24"/>
          <w:szCs w:val="24"/>
        </w:rPr>
        <w:t>52k</w:t>
      </w:r>
      <w:r w:rsidR="0039632E">
        <w:rPr>
          <w:rFonts w:ascii="Garamond" w:hAnsi="Garamond"/>
          <w:sz w:val="24"/>
          <w:szCs w:val="24"/>
        </w:rPr>
        <w:t xml:space="preserve"> and 66.5k respectively</w:t>
      </w:r>
      <w:r w:rsidR="00001573">
        <w:rPr>
          <w:rFonts w:ascii="Garamond" w:hAnsi="Garamond"/>
          <w:sz w:val="24"/>
          <w:szCs w:val="24"/>
        </w:rPr>
        <w:t>, this result corresponds to 1.1</w:t>
      </w:r>
      <w:r w:rsidR="00001573" w:rsidRPr="00296909">
        <w:rPr>
          <w:rFonts w:ascii="Garamond" w:hAnsi="Garamond"/>
          <w:sz w:val="24"/>
          <w:szCs w:val="24"/>
        </w:rPr>
        <w:t xml:space="preserve">k </w:t>
      </w:r>
      <w:r w:rsidR="0039632E">
        <w:rPr>
          <w:rFonts w:ascii="Garamond" w:hAnsi="Garamond"/>
          <w:sz w:val="24"/>
          <w:szCs w:val="24"/>
        </w:rPr>
        <w:t xml:space="preserve">and </w:t>
      </w:r>
      <w:r w:rsidR="00F83DDC">
        <w:rPr>
          <w:rFonts w:ascii="Garamond" w:hAnsi="Garamond"/>
          <w:sz w:val="24"/>
          <w:szCs w:val="24"/>
        </w:rPr>
        <w:t xml:space="preserve">1.4k </w:t>
      </w:r>
      <w:r w:rsidR="00001573">
        <w:rPr>
          <w:rFonts w:ascii="Garamond" w:hAnsi="Garamond"/>
          <w:sz w:val="24"/>
          <w:szCs w:val="24"/>
        </w:rPr>
        <w:t xml:space="preserve">fewer </w:t>
      </w:r>
      <w:r w:rsidR="0039632E">
        <w:rPr>
          <w:rFonts w:ascii="Garamond" w:hAnsi="Garamond"/>
          <w:sz w:val="24"/>
          <w:szCs w:val="24"/>
        </w:rPr>
        <w:t xml:space="preserve">monthly </w:t>
      </w:r>
      <w:r w:rsidR="00001573" w:rsidRPr="00296909">
        <w:rPr>
          <w:rFonts w:ascii="Garamond" w:hAnsi="Garamond"/>
          <w:sz w:val="24"/>
          <w:szCs w:val="24"/>
        </w:rPr>
        <w:t>births</w:t>
      </w:r>
      <w:r w:rsidR="003D46E9">
        <w:rPr>
          <w:rFonts w:ascii="Garamond" w:hAnsi="Garamond"/>
          <w:sz w:val="24"/>
          <w:szCs w:val="24"/>
        </w:rPr>
        <w:t>, respectively</w:t>
      </w:r>
      <w:r w:rsidR="0016493A">
        <w:rPr>
          <w:rFonts w:ascii="Garamond" w:hAnsi="Garamond"/>
          <w:sz w:val="24"/>
          <w:szCs w:val="24"/>
        </w:rPr>
        <w:t>.</w:t>
      </w:r>
    </w:p>
    <w:tbl>
      <w:tblPr>
        <w:tblW w:w="9195" w:type="dxa"/>
        <w:jc w:val="center"/>
        <w:tblLayout w:type="fixed"/>
        <w:tblCellMar>
          <w:left w:w="75" w:type="dxa"/>
          <w:right w:w="75" w:type="dxa"/>
        </w:tblCellMar>
        <w:tblLook w:val="0000" w:firstRow="0" w:lastRow="0" w:firstColumn="0" w:lastColumn="0" w:noHBand="0" w:noVBand="0"/>
      </w:tblPr>
      <w:tblGrid>
        <w:gridCol w:w="1870"/>
        <w:gridCol w:w="907"/>
        <w:gridCol w:w="906"/>
        <w:gridCol w:w="907"/>
        <w:gridCol w:w="907"/>
        <w:gridCol w:w="907"/>
        <w:gridCol w:w="907"/>
        <w:gridCol w:w="907"/>
        <w:gridCol w:w="800"/>
        <w:gridCol w:w="51"/>
        <w:gridCol w:w="126"/>
      </w:tblGrid>
      <w:tr w:rsidR="00026659" w:rsidRPr="00D35892" w14:paraId="3C52C665" w14:textId="11BB812B" w:rsidTr="00C93678">
        <w:trPr>
          <w:gridAfter w:val="2"/>
          <w:wAfter w:w="177" w:type="dxa"/>
          <w:jc w:val="center"/>
        </w:trPr>
        <w:tc>
          <w:tcPr>
            <w:tcW w:w="9018" w:type="dxa"/>
            <w:gridSpan w:val="9"/>
            <w:tcBorders>
              <w:left w:val="nil"/>
              <w:bottom w:val="double" w:sz="4" w:space="0" w:color="auto"/>
              <w:right w:val="nil"/>
            </w:tcBorders>
          </w:tcPr>
          <w:p w14:paraId="0B0A5BF0" w14:textId="35E6189D" w:rsidR="00026659" w:rsidRPr="00AB17C3" w:rsidRDefault="00026659">
            <w:pPr>
              <w:widowControl w:val="0"/>
              <w:autoSpaceDE w:val="0"/>
              <w:autoSpaceDN w:val="0"/>
              <w:adjustRightInd w:val="0"/>
              <w:spacing w:before="240" w:after="0" w:line="240" w:lineRule="auto"/>
              <w:contextualSpacing/>
              <w:rPr>
                <w:rFonts w:ascii="Garamond" w:eastAsia="Times New Roman" w:hAnsi="Garamond" w:cs="Times New Roman"/>
                <w:b/>
                <w:sz w:val="24"/>
                <w:szCs w:val="24"/>
              </w:rPr>
            </w:pPr>
            <w:r w:rsidRPr="00AB17C3">
              <w:rPr>
                <w:rFonts w:ascii="Garamond" w:eastAsia="Times New Roman" w:hAnsi="Garamond" w:cs="Times New Roman"/>
                <w:b/>
                <w:sz w:val="24"/>
                <w:szCs w:val="24"/>
              </w:rPr>
              <w:t xml:space="preserve">Table 2. </w:t>
            </w:r>
            <w:r w:rsidRPr="00AB17C3">
              <w:rPr>
                <w:rFonts w:ascii="Garamond" w:eastAsia="Times New Roman" w:hAnsi="Garamond" w:cs="Times New Roman"/>
                <w:sz w:val="24"/>
                <w:szCs w:val="24"/>
              </w:rPr>
              <w:t xml:space="preserve">Effect of performance on the </w:t>
            </w:r>
            <w:r>
              <w:rPr>
                <w:rFonts w:ascii="Garamond" w:eastAsia="Times New Roman" w:hAnsi="Garamond" w:cs="Times New Roman"/>
                <w:sz w:val="24"/>
                <w:szCs w:val="24"/>
              </w:rPr>
              <w:t xml:space="preserve">natural logarithm of </w:t>
            </w:r>
            <w:r w:rsidRPr="00AB17C3">
              <w:rPr>
                <w:rFonts w:ascii="Garamond" w:eastAsia="Times New Roman" w:hAnsi="Garamond" w:cs="Times New Roman"/>
                <w:sz w:val="24"/>
                <w:szCs w:val="24"/>
              </w:rPr>
              <w:t>number of births</w:t>
            </w:r>
            <w:r>
              <w:rPr>
                <w:rFonts w:ascii="Garamond" w:eastAsia="Times New Roman" w:hAnsi="Garamond" w:cs="Times New Roman"/>
                <w:sz w:val="24"/>
                <w:szCs w:val="24"/>
              </w:rPr>
              <w:t>,</w:t>
            </w:r>
            <w:r w:rsidRPr="00AB17C3">
              <w:rPr>
                <w:rFonts w:ascii="Garamond" w:eastAsia="Times New Roman" w:hAnsi="Garamond" w:cs="Times New Roman"/>
                <w:sz w:val="24"/>
                <w:szCs w:val="24"/>
              </w:rPr>
              <w:t xml:space="preserve"> 9 months after the </w:t>
            </w:r>
            <w:r>
              <w:rPr>
                <w:rFonts w:ascii="Garamond" w:eastAsia="Times New Roman" w:hAnsi="Garamond" w:cs="Times New Roman"/>
                <w:sz w:val="24"/>
                <w:szCs w:val="24"/>
              </w:rPr>
              <w:t xml:space="preserve">beginning of the </w:t>
            </w:r>
            <w:r w:rsidRPr="00AB17C3">
              <w:rPr>
                <w:rFonts w:ascii="Garamond" w:eastAsia="Times New Roman" w:hAnsi="Garamond" w:cs="Times New Roman"/>
                <w:sz w:val="24"/>
                <w:szCs w:val="24"/>
              </w:rPr>
              <w:t>tournament</w:t>
            </w:r>
            <w:r>
              <w:rPr>
                <w:rFonts w:ascii="Garamond" w:eastAsia="Times New Roman" w:hAnsi="Garamond" w:cs="Times New Roman"/>
                <w:sz w:val="24"/>
                <w:szCs w:val="24"/>
              </w:rPr>
              <w:t>;</w:t>
            </w:r>
            <w:r w:rsidRPr="00AB17C3">
              <w:rPr>
                <w:rFonts w:ascii="Garamond" w:eastAsia="Times New Roman" w:hAnsi="Garamond" w:cs="Times New Roman"/>
                <w:sz w:val="24"/>
                <w:szCs w:val="24"/>
              </w:rPr>
              <w:t xml:space="preserve"> fixed-effect parameter estimates.</w:t>
            </w:r>
          </w:p>
        </w:tc>
      </w:tr>
      <w:tr w:rsidR="00303008" w:rsidRPr="00D35892" w14:paraId="4D9D9B6D" w14:textId="2775ABBA" w:rsidTr="00C93678">
        <w:trPr>
          <w:jc w:val="center"/>
        </w:trPr>
        <w:tc>
          <w:tcPr>
            <w:tcW w:w="1870" w:type="dxa"/>
            <w:tcBorders>
              <w:top w:val="double" w:sz="4" w:space="0" w:color="auto"/>
              <w:left w:val="nil"/>
              <w:bottom w:val="nil"/>
              <w:right w:val="nil"/>
            </w:tcBorders>
          </w:tcPr>
          <w:p w14:paraId="4E91EB81" w14:textId="65B7796C" w:rsidR="00303008" w:rsidRPr="0020722A" w:rsidRDefault="00303008" w:rsidP="006E5597">
            <w:pPr>
              <w:widowControl w:val="0"/>
              <w:autoSpaceDE w:val="0"/>
              <w:autoSpaceDN w:val="0"/>
              <w:adjustRightInd w:val="0"/>
              <w:spacing w:before="240" w:after="0" w:line="240" w:lineRule="auto"/>
              <w:contextualSpacing/>
              <w:jc w:val="both"/>
              <w:rPr>
                <w:rFonts w:ascii="Garamond" w:eastAsia="Times New Roman" w:hAnsi="Garamond" w:cs="Times New Roman"/>
                <w:sz w:val="20"/>
                <w:szCs w:val="20"/>
              </w:rPr>
            </w:pPr>
            <w:r w:rsidRPr="00210A78">
              <w:rPr>
                <w:rFonts w:ascii="Garamond" w:eastAsia="Times New Roman" w:hAnsi="Garamond" w:cs="Times New Roman"/>
                <w:sz w:val="20"/>
                <w:szCs w:val="20"/>
              </w:rPr>
              <w:t>Variables</w:t>
            </w:r>
          </w:p>
        </w:tc>
        <w:tc>
          <w:tcPr>
            <w:tcW w:w="7325" w:type="dxa"/>
            <w:gridSpan w:val="10"/>
            <w:tcBorders>
              <w:top w:val="double" w:sz="4" w:space="0" w:color="auto"/>
              <w:left w:val="nil"/>
              <w:bottom w:val="nil"/>
              <w:right w:val="nil"/>
            </w:tcBorders>
          </w:tcPr>
          <w:p w14:paraId="5E87CE01" w14:textId="5CF37A7F" w:rsidR="00303008" w:rsidRDefault="00303008" w:rsidP="00026659">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roofErr w:type="spellStart"/>
            <w:r>
              <w:rPr>
                <w:rFonts w:ascii="Garamond" w:eastAsia="Times New Roman" w:hAnsi="Garamond" w:cs="Times New Roman"/>
                <w:sz w:val="20"/>
                <w:szCs w:val="20"/>
              </w:rPr>
              <w:t>Ln_</w:t>
            </w:r>
            <w:r w:rsidRPr="005E0393">
              <w:rPr>
                <w:rFonts w:ascii="Garamond" w:eastAsia="Times New Roman" w:hAnsi="Garamond" w:cs="Times New Roman"/>
                <w:sz w:val="20"/>
                <w:szCs w:val="20"/>
              </w:rPr>
              <w:t>Birth</w:t>
            </w:r>
            <w:r>
              <w:rPr>
                <w:rFonts w:ascii="Garamond" w:eastAsia="Times New Roman" w:hAnsi="Garamond" w:cs="Times New Roman"/>
                <w:sz w:val="20"/>
                <w:szCs w:val="20"/>
              </w:rPr>
              <w:t>s</w:t>
            </w:r>
            <w:proofErr w:type="spellEnd"/>
            <w:r w:rsidRPr="005E0393">
              <w:rPr>
                <w:rFonts w:ascii="Garamond" w:eastAsia="Times New Roman" w:hAnsi="Garamond" w:cs="Times New Roman"/>
                <w:sz w:val="20"/>
                <w:szCs w:val="20"/>
              </w:rPr>
              <w:t xml:space="preserve"> 9 months </w:t>
            </w:r>
            <w:r>
              <w:rPr>
                <w:rFonts w:ascii="Garamond" w:eastAsia="Times New Roman" w:hAnsi="Garamond" w:cs="Times New Roman"/>
                <w:sz w:val="20"/>
                <w:szCs w:val="20"/>
              </w:rPr>
              <w:t>after</w:t>
            </w:r>
            <w:r w:rsidR="00026659">
              <w:rPr>
                <w:rFonts w:ascii="Garamond" w:eastAsia="Times New Roman" w:hAnsi="Garamond" w:cs="Times New Roman"/>
                <w:sz w:val="20"/>
                <w:szCs w:val="20"/>
              </w:rPr>
              <w:t xml:space="preserve"> the tournament</w:t>
            </w:r>
          </w:p>
        </w:tc>
      </w:tr>
      <w:tr w:rsidR="00303008" w:rsidRPr="00D35892" w14:paraId="5F31999D" w14:textId="1AF6D289" w:rsidTr="00C93678">
        <w:trPr>
          <w:gridAfter w:val="1"/>
          <w:wAfter w:w="126" w:type="dxa"/>
          <w:jc w:val="center"/>
        </w:trPr>
        <w:tc>
          <w:tcPr>
            <w:tcW w:w="1870" w:type="dxa"/>
            <w:tcBorders>
              <w:top w:val="nil"/>
              <w:left w:val="nil"/>
              <w:bottom w:val="single" w:sz="6" w:space="0" w:color="auto"/>
              <w:right w:val="nil"/>
            </w:tcBorders>
          </w:tcPr>
          <w:p w14:paraId="32607AC4" w14:textId="776FE4AF" w:rsidR="00303008" w:rsidRPr="0020722A" w:rsidRDefault="00303008" w:rsidP="0020722A">
            <w:pPr>
              <w:widowControl w:val="0"/>
              <w:autoSpaceDE w:val="0"/>
              <w:autoSpaceDN w:val="0"/>
              <w:adjustRightInd w:val="0"/>
              <w:spacing w:before="240" w:after="0" w:line="240" w:lineRule="auto"/>
              <w:contextualSpacing/>
              <w:rPr>
                <w:rFonts w:ascii="Garamond" w:eastAsia="Times New Roman" w:hAnsi="Garamond" w:cs="Times New Roman"/>
                <w:sz w:val="20"/>
                <w:szCs w:val="20"/>
              </w:rPr>
            </w:pPr>
          </w:p>
        </w:tc>
        <w:tc>
          <w:tcPr>
            <w:tcW w:w="907" w:type="dxa"/>
            <w:tcBorders>
              <w:top w:val="nil"/>
              <w:left w:val="nil"/>
              <w:bottom w:val="single" w:sz="6" w:space="0" w:color="auto"/>
              <w:right w:val="nil"/>
            </w:tcBorders>
          </w:tcPr>
          <w:p w14:paraId="3A5286B2" w14:textId="77777777" w:rsidR="00303008" w:rsidRPr="0020722A"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0722A">
              <w:rPr>
                <w:rFonts w:ascii="Garamond" w:eastAsia="Times New Roman" w:hAnsi="Garamond" w:cs="Times New Roman"/>
                <w:sz w:val="20"/>
                <w:szCs w:val="20"/>
              </w:rPr>
              <w:t>(1)</w:t>
            </w:r>
          </w:p>
        </w:tc>
        <w:tc>
          <w:tcPr>
            <w:tcW w:w="906" w:type="dxa"/>
            <w:tcBorders>
              <w:top w:val="nil"/>
              <w:left w:val="nil"/>
              <w:bottom w:val="single" w:sz="6" w:space="0" w:color="auto"/>
              <w:right w:val="nil"/>
            </w:tcBorders>
          </w:tcPr>
          <w:p w14:paraId="0B063E2C" w14:textId="77777777" w:rsidR="00303008" w:rsidRPr="0020722A"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0722A">
              <w:rPr>
                <w:rFonts w:ascii="Garamond" w:eastAsia="Times New Roman" w:hAnsi="Garamond" w:cs="Times New Roman"/>
                <w:sz w:val="20"/>
                <w:szCs w:val="20"/>
              </w:rPr>
              <w:t>(2)</w:t>
            </w:r>
          </w:p>
        </w:tc>
        <w:tc>
          <w:tcPr>
            <w:tcW w:w="907" w:type="dxa"/>
            <w:tcBorders>
              <w:top w:val="nil"/>
              <w:left w:val="nil"/>
              <w:bottom w:val="single" w:sz="6" w:space="0" w:color="auto"/>
              <w:right w:val="nil"/>
            </w:tcBorders>
          </w:tcPr>
          <w:p w14:paraId="18D70D81" w14:textId="065F6002" w:rsidR="00303008" w:rsidRPr="00D35892"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(3)</w:t>
            </w:r>
          </w:p>
        </w:tc>
        <w:tc>
          <w:tcPr>
            <w:tcW w:w="907" w:type="dxa"/>
            <w:tcBorders>
              <w:top w:val="nil"/>
              <w:left w:val="nil"/>
              <w:bottom w:val="single" w:sz="6" w:space="0" w:color="auto"/>
              <w:right w:val="nil"/>
            </w:tcBorders>
          </w:tcPr>
          <w:p w14:paraId="62187446" w14:textId="13F2E06E" w:rsidR="00303008" w:rsidRPr="0020722A" w:rsidRDefault="00303008">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0722A">
              <w:rPr>
                <w:rFonts w:ascii="Garamond" w:eastAsia="Times New Roman" w:hAnsi="Garamond" w:cs="Times New Roman"/>
                <w:sz w:val="20"/>
                <w:szCs w:val="20"/>
              </w:rPr>
              <w:t>(</w:t>
            </w:r>
            <w:r>
              <w:rPr>
                <w:rFonts w:ascii="Garamond" w:eastAsia="Times New Roman" w:hAnsi="Garamond" w:cs="Times New Roman"/>
                <w:sz w:val="20"/>
                <w:szCs w:val="20"/>
              </w:rPr>
              <w:t>4</w:t>
            </w:r>
            <w:r w:rsidRPr="0020722A">
              <w:rPr>
                <w:rFonts w:ascii="Garamond" w:eastAsia="Times New Roman" w:hAnsi="Garamond" w:cs="Times New Roman"/>
                <w:sz w:val="20"/>
                <w:szCs w:val="20"/>
              </w:rPr>
              <w:t>)</w:t>
            </w:r>
          </w:p>
        </w:tc>
        <w:tc>
          <w:tcPr>
            <w:tcW w:w="907" w:type="dxa"/>
            <w:tcBorders>
              <w:top w:val="nil"/>
              <w:left w:val="nil"/>
              <w:bottom w:val="single" w:sz="6" w:space="0" w:color="auto"/>
              <w:right w:val="nil"/>
            </w:tcBorders>
          </w:tcPr>
          <w:p w14:paraId="0A807B90" w14:textId="095D1BAB" w:rsidR="00303008" w:rsidRPr="0020722A" w:rsidRDefault="00026659" w:rsidP="00834B00">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(5</w:t>
            </w:r>
            <w:r w:rsidR="00303008" w:rsidRPr="0020722A">
              <w:rPr>
                <w:rFonts w:ascii="Garamond" w:eastAsia="Times New Roman" w:hAnsi="Garamond" w:cs="Times New Roman"/>
                <w:sz w:val="20"/>
                <w:szCs w:val="20"/>
              </w:rPr>
              <w:t>)</w:t>
            </w:r>
          </w:p>
        </w:tc>
        <w:tc>
          <w:tcPr>
            <w:tcW w:w="907" w:type="dxa"/>
            <w:tcBorders>
              <w:top w:val="nil"/>
              <w:left w:val="nil"/>
              <w:bottom w:val="single" w:sz="6" w:space="0" w:color="auto"/>
              <w:right w:val="nil"/>
            </w:tcBorders>
          </w:tcPr>
          <w:p w14:paraId="09F780E7" w14:textId="659EAB6A" w:rsidR="00303008" w:rsidRPr="0020722A" w:rsidRDefault="00303008" w:rsidP="00834B00">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0722A">
              <w:rPr>
                <w:rFonts w:ascii="Garamond" w:eastAsia="Times New Roman" w:hAnsi="Garamond" w:cs="Times New Roman"/>
                <w:sz w:val="20"/>
                <w:szCs w:val="20"/>
              </w:rPr>
              <w:t>(</w:t>
            </w:r>
            <w:r w:rsidR="00026659">
              <w:rPr>
                <w:rFonts w:ascii="Garamond" w:eastAsia="Times New Roman" w:hAnsi="Garamond" w:cs="Times New Roman"/>
                <w:sz w:val="20"/>
                <w:szCs w:val="20"/>
              </w:rPr>
              <w:t>6</w:t>
            </w:r>
            <w:r w:rsidRPr="0020722A">
              <w:rPr>
                <w:rFonts w:ascii="Garamond" w:eastAsia="Times New Roman" w:hAnsi="Garamond" w:cs="Times New Roman"/>
                <w:sz w:val="20"/>
                <w:szCs w:val="20"/>
              </w:rPr>
              <w:t>)</w:t>
            </w:r>
          </w:p>
        </w:tc>
        <w:tc>
          <w:tcPr>
            <w:tcW w:w="907" w:type="dxa"/>
            <w:tcBorders>
              <w:top w:val="nil"/>
              <w:left w:val="nil"/>
              <w:bottom w:val="single" w:sz="6" w:space="0" w:color="auto"/>
              <w:right w:val="nil"/>
            </w:tcBorders>
          </w:tcPr>
          <w:p w14:paraId="7718DB0E" w14:textId="34ED9812" w:rsidR="00303008" w:rsidRPr="0020722A" w:rsidRDefault="00303008">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(7)</w:t>
            </w:r>
          </w:p>
        </w:tc>
        <w:tc>
          <w:tcPr>
            <w:tcW w:w="851" w:type="dxa"/>
            <w:gridSpan w:val="2"/>
            <w:tcBorders>
              <w:top w:val="nil"/>
              <w:left w:val="nil"/>
              <w:bottom w:val="single" w:sz="6" w:space="0" w:color="auto"/>
              <w:right w:val="nil"/>
            </w:tcBorders>
          </w:tcPr>
          <w:p w14:paraId="0F98B0AF" w14:textId="19EFA91B" w:rsidR="00303008" w:rsidRPr="0020722A" w:rsidRDefault="00303008" w:rsidP="00834B00">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0722A">
              <w:rPr>
                <w:rFonts w:ascii="Garamond" w:eastAsia="Times New Roman" w:hAnsi="Garamond" w:cs="Times New Roman"/>
                <w:sz w:val="20"/>
                <w:szCs w:val="20"/>
              </w:rPr>
              <w:t>(</w:t>
            </w:r>
            <w:r>
              <w:rPr>
                <w:rFonts w:ascii="Garamond" w:eastAsia="Times New Roman" w:hAnsi="Garamond" w:cs="Times New Roman"/>
                <w:sz w:val="20"/>
                <w:szCs w:val="20"/>
              </w:rPr>
              <w:t>8</w:t>
            </w:r>
            <w:r w:rsidRPr="0020722A">
              <w:rPr>
                <w:rFonts w:ascii="Garamond" w:eastAsia="Times New Roman" w:hAnsi="Garamond" w:cs="Times New Roman"/>
                <w:sz w:val="20"/>
                <w:szCs w:val="20"/>
              </w:rPr>
              <w:t>)</w:t>
            </w:r>
          </w:p>
        </w:tc>
      </w:tr>
      <w:tr w:rsidR="00303008" w:rsidRPr="00D35892" w14:paraId="5D5626EC" w14:textId="08F6849B" w:rsidTr="00C93678">
        <w:trPr>
          <w:gridAfter w:val="1"/>
          <w:wAfter w:w="126" w:type="dxa"/>
          <w:jc w:val="center"/>
        </w:trPr>
        <w:tc>
          <w:tcPr>
            <w:tcW w:w="1870" w:type="dxa"/>
            <w:tcBorders>
              <w:top w:val="nil"/>
              <w:left w:val="nil"/>
              <w:bottom w:val="nil"/>
              <w:right w:val="nil"/>
            </w:tcBorders>
          </w:tcPr>
          <w:p w14:paraId="0CDF035D" w14:textId="77777777" w:rsidR="00303008" w:rsidRPr="0020722A" w:rsidRDefault="00303008" w:rsidP="0020722A">
            <w:pPr>
              <w:widowControl w:val="0"/>
              <w:autoSpaceDE w:val="0"/>
              <w:autoSpaceDN w:val="0"/>
              <w:adjustRightInd w:val="0"/>
              <w:spacing w:before="240" w:after="0" w:line="240" w:lineRule="auto"/>
              <w:contextualSpacing/>
              <w:rPr>
                <w:rFonts w:ascii="Garamond" w:eastAsia="Times New Roman" w:hAnsi="Garamond" w:cs="Times New Roman"/>
                <w:sz w:val="20"/>
                <w:szCs w:val="20"/>
              </w:rPr>
            </w:pPr>
          </w:p>
        </w:tc>
        <w:tc>
          <w:tcPr>
            <w:tcW w:w="907" w:type="dxa"/>
            <w:tcBorders>
              <w:top w:val="nil"/>
              <w:left w:val="nil"/>
              <w:bottom w:val="nil"/>
              <w:right w:val="nil"/>
            </w:tcBorders>
          </w:tcPr>
          <w:p w14:paraId="6290CCC4" w14:textId="77777777"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6" w:type="dxa"/>
            <w:tcBorders>
              <w:top w:val="nil"/>
              <w:left w:val="nil"/>
              <w:bottom w:val="nil"/>
              <w:right w:val="nil"/>
            </w:tcBorders>
          </w:tcPr>
          <w:p w14:paraId="680C6E11"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2E50C46F"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6A7D2089" w14:textId="0D2DBA4D"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69828FF4"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7449D5CB" w14:textId="7E10E733"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4F9BC262"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851" w:type="dxa"/>
            <w:gridSpan w:val="2"/>
            <w:tcBorders>
              <w:top w:val="nil"/>
              <w:left w:val="nil"/>
              <w:bottom w:val="nil"/>
              <w:right w:val="nil"/>
            </w:tcBorders>
          </w:tcPr>
          <w:p w14:paraId="257D0A56"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r>
      <w:tr w:rsidR="00303008" w:rsidRPr="00D35892" w14:paraId="0D452FCE" w14:textId="7823BB89" w:rsidTr="00C93678">
        <w:trPr>
          <w:gridAfter w:val="1"/>
          <w:wAfter w:w="126" w:type="dxa"/>
          <w:jc w:val="center"/>
        </w:trPr>
        <w:tc>
          <w:tcPr>
            <w:tcW w:w="1870" w:type="dxa"/>
            <w:tcBorders>
              <w:top w:val="nil"/>
              <w:left w:val="nil"/>
              <w:bottom w:val="nil"/>
              <w:right w:val="nil"/>
            </w:tcBorders>
          </w:tcPr>
          <w:p w14:paraId="2A4DE54E" w14:textId="5BA3B706" w:rsidR="00303008" w:rsidRPr="0020722A" w:rsidRDefault="00303008" w:rsidP="0020722A">
            <w:pPr>
              <w:widowControl w:val="0"/>
              <w:autoSpaceDE w:val="0"/>
              <w:autoSpaceDN w:val="0"/>
              <w:adjustRightInd w:val="0"/>
              <w:spacing w:before="240" w:after="0" w:line="240" w:lineRule="auto"/>
              <w:contextualSpacing/>
              <w:rPr>
                <w:rFonts w:ascii="Garamond" w:eastAsia="Times New Roman" w:hAnsi="Garamond" w:cs="Times New Roman"/>
                <w:sz w:val="20"/>
                <w:szCs w:val="20"/>
              </w:rPr>
            </w:pPr>
            <w:proofErr w:type="spellStart"/>
            <w:r w:rsidRPr="005037CF">
              <w:rPr>
                <w:rFonts w:ascii="Garamond" w:eastAsia="Times New Roman" w:hAnsi="Garamond" w:cs="Times New Roman"/>
                <w:sz w:val="20"/>
                <w:szCs w:val="20"/>
              </w:rPr>
              <w:t>Std</w:t>
            </w:r>
            <w:r>
              <w:rPr>
                <w:rFonts w:ascii="Garamond" w:eastAsia="Times New Roman" w:hAnsi="Garamond" w:cs="Times New Roman"/>
                <w:sz w:val="20"/>
                <w:szCs w:val="20"/>
              </w:rPr>
              <w:t>_</w:t>
            </w:r>
            <w:r w:rsidRPr="005037CF">
              <w:rPr>
                <w:rFonts w:ascii="Garamond" w:eastAsia="Times New Roman" w:hAnsi="Garamond" w:cs="Times New Roman"/>
                <w:sz w:val="20"/>
                <w:szCs w:val="20"/>
              </w:rPr>
              <w:t>ELO</w:t>
            </w:r>
            <w:proofErr w:type="spellEnd"/>
          </w:p>
        </w:tc>
        <w:tc>
          <w:tcPr>
            <w:tcW w:w="907" w:type="dxa"/>
            <w:tcBorders>
              <w:top w:val="nil"/>
              <w:left w:val="nil"/>
              <w:bottom w:val="nil"/>
              <w:right w:val="nil"/>
            </w:tcBorders>
          </w:tcPr>
          <w:p w14:paraId="0962B243" w14:textId="03AF3BC6" w:rsidR="00303008" w:rsidRPr="0028017D"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026659">
              <w:rPr>
                <w:rFonts w:ascii="Garamond" w:hAnsi="Garamond" w:cs="Times New Roman"/>
                <w:sz w:val="20"/>
                <w:szCs w:val="20"/>
              </w:rPr>
              <w:t>-0.003</w:t>
            </w:r>
            <w:r w:rsidRPr="0028017D">
              <w:rPr>
                <w:rFonts w:ascii="Garamond" w:hAnsi="Garamond" w:cs="Times New Roman"/>
                <w:sz w:val="20"/>
                <w:szCs w:val="20"/>
              </w:rPr>
              <w:t>**</w:t>
            </w:r>
          </w:p>
        </w:tc>
        <w:tc>
          <w:tcPr>
            <w:tcW w:w="906" w:type="dxa"/>
            <w:tcBorders>
              <w:top w:val="nil"/>
              <w:left w:val="nil"/>
              <w:bottom w:val="nil"/>
              <w:right w:val="nil"/>
            </w:tcBorders>
          </w:tcPr>
          <w:p w14:paraId="2A5D6E69" w14:textId="1678439D" w:rsidR="00303008" w:rsidRPr="0028017D"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026659">
              <w:rPr>
                <w:rFonts w:ascii="Garamond" w:hAnsi="Garamond" w:cs="Times New Roman"/>
                <w:sz w:val="20"/>
                <w:szCs w:val="20"/>
              </w:rPr>
              <w:t>-0.003</w:t>
            </w:r>
            <w:r w:rsidRPr="0028017D">
              <w:rPr>
                <w:rFonts w:ascii="Garamond" w:hAnsi="Garamond" w:cs="Times New Roman"/>
                <w:sz w:val="20"/>
                <w:szCs w:val="20"/>
              </w:rPr>
              <w:t>**</w:t>
            </w:r>
          </w:p>
        </w:tc>
        <w:tc>
          <w:tcPr>
            <w:tcW w:w="907" w:type="dxa"/>
            <w:tcBorders>
              <w:top w:val="nil"/>
              <w:left w:val="nil"/>
              <w:bottom w:val="nil"/>
              <w:right w:val="nil"/>
            </w:tcBorders>
          </w:tcPr>
          <w:p w14:paraId="5D55D547" w14:textId="2F4324A6" w:rsidR="00303008" w:rsidRPr="0028017D" w:rsidRDefault="00303008"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28017D">
              <w:rPr>
                <w:rFonts w:ascii="Garamond" w:hAnsi="Garamond" w:cs="Times New Roman"/>
                <w:sz w:val="20"/>
                <w:szCs w:val="20"/>
              </w:rPr>
              <w:t>-0.00</w:t>
            </w:r>
            <w:r>
              <w:rPr>
                <w:rFonts w:ascii="Garamond" w:hAnsi="Garamond" w:cs="Times New Roman"/>
                <w:sz w:val="20"/>
                <w:szCs w:val="20"/>
              </w:rPr>
              <w:t>3</w:t>
            </w:r>
            <w:r w:rsidRPr="0028017D">
              <w:rPr>
                <w:rFonts w:ascii="Garamond" w:hAnsi="Garamond" w:cs="Times New Roman"/>
                <w:sz w:val="20"/>
                <w:szCs w:val="20"/>
              </w:rPr>
              <w:t>***</w:t>
            </w:r>
          </w:p>
        </w:tc>
        <w:tc>
          <w:tcPr>
            <w:tcW w:w="907" w:type="dxa"/>
            <w:tcBorders>
              <w:top w:val="nil"/>
              <w:left w:val="nil"/>
              <w:bottom w:val="nil"/>
              <w:right w:val="nil"/>
            </w:tcBorders>
          </w:tcPr>
          <w:p w14:paraId="229A1C87" w14:textId="09E4F2CC" w:rsidR="00303008" w:rsidRPr="0028017D" w:rsidRDefault="00303008" w:rsidP="00026659">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8017D">
              <w:rPr>
                <w:rFonts w:ascii="Garamond" w:hAnsi="Garamond" w:cs="Times New Roman"/>
                <w:sz w:val="20"/>
                <w:szCs w:val="20"/>
              </w:rPr>
              <w:t>-0.003**</w:t>
            </w:r>
          </w:p>
        </w:tc>
        <w:tc>
          <w:tcPr>
            <w:tcW w:w="907" w:type="dxa"/>
            <w:tcBorders>
              <w:top w:val="nil"/>
              <w:left w:val="nil"/>
              <w:bottom w:val="nil"/>
              <w:right w:val="nil"/>
            </w:tcBorders>
          </w:tcPr>
          <w:p w14:paraId="3FD2731D" w14:textId="5ADBA69B" w:rsidR="00303008" w:rsidRPr="00026659" w:rsidRDefault="00303008" w:rsidP="00834B00">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660FAD">
              <w:rPr>
                <w:rFonts w:ascii="Garamond" w:hAnsi="Garamond" w:cs="Times New Roman"/>
                <w:sz w:val="20"/>
                <w:szCs w:val="20"/>
              </w:rPr>
              <w:t>-0.00</w:t>
            </w:r>
            <w:r>
              <w:rPr>
                <w:rFonts w:ascii="Garamond" w:hAnsi="Garamond" w:cs="Times New Roman"/>
                <w:sz w:val="20"/>
                <w:szCs w:val="20"/>
              </w:rPr>
              <w:t>3</w:t>
            </w:r>
            <w:r w:rsidRPr="00660FAD">
              <w:rPr>
                <w:rFonts w:ascii="Garamond" w:hAnsi="Garamond" w:cs="Times New Roman"/>
                <w:sz w:val="20"/>
                <w:szCs w:val="20"/>
              </w:rPr>
              <w:t>*</w:t>
            </w:r>
          </w:p>
        </w:tc>
        <w:tc>
          <w:tcPr>
            <w:tcW w:w="907" w:type="dxa"/>
            <w:tcBorders>
              <w:top w:val="nil"/>
              <w:left w:val="nil"/>
              <w:bottom w:val="nil"/>
              <w:right w:val="nil"/>
            </w:tcBorders>
          </w:tcPr>
          <w:p w14:paraId="0DDE6777" w14:textId="50D96A5E" w:rsidR="00303008" w:rsidRPr="0028017D" w:rsidRDefault="00303008"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026659">
              <w:rPr>
                <w:rFonts w:ascii="Garamond" w:hAnsi="Garamond" w:cs="Times New Roman"/>
                <w:sz w:val="20"/>
                <w:szCs w:val="20"/>
              </w:rPr>
              <w:t>-0.00</w:t>
            </w:r>
            <w:r>
              <w:rPr>
                <w:rFonts w:ascii="Garamond" w:hAnsi="Garamond" w:cs="Times New Roman"/>
                <w:sz w:val="20"/>
                <w:szCs w:val="20"/>
              </w:rPr>
              <w:t>4</w:t>
            </w:r>
            <w:r w:rsidRPr="0028017D">
              <w:rPr>
                <w:rFonts w:ascii="Garamond" w:hAnsi="Garamond" w:cs="Times New Roman"/>
                <w:sz w:val="20"/>
                <w:szCs w:val="20"/>
              </w:rPr>
              <w:t>***</w:t>
            </w:r>
          </w:p>
        </w:tc>
        <w:tc>
          <w:tcPr>
            <w:tcW w:w="907" w:type="dxa"/>
            <w:tcBorders>
              <w:top w:val="nil"/>
              <w:left w:val="nil"/>
              <w:bottom w:val="nil"/>
              <w:right w:val="nil"/>
            </w:tcBorders>
          </w:tcPr>
          <w:p w14:paraId="2833FAE7" w14:textId="1A373DFD" w:rsidR="00303008" w:rsidRPr="0028017D" w:rsidRDefault="00303008"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660FAD">
              <w:rPr>
                <w:rFonts w:ascii="Garamond" w:hAnsi="Garamond" w:cs="Times New Roman"/>
                <w:sz w:val="20"/>
                <w:szCs w:val="20"/>
              </w:rPr>
              <w:t>-0.002*</w:t>
            </w:r>
          </w:p>
        </w:tc>
        <w:tc>
          <w:tcPr>
            <w:tcW w:w="851" w:type="dxa"/>
            <w:gridSpan w:val="2"/>
            <w:tcBorders>
              <w:top w:val="nil"/>
              <w:left w:val="nil"/>
              <w:bottom w:val="nil"/>
              <w:right w:val="nil"/>
            </w:tcBorders>
          </w:tcPr>
          <w:p w14:paraId="6D2D2C02" w14:textId="5451C9D5" w:rsidR="00303008" w:rsidRPr="0028017D" w:rsidRDefault="00303008"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660FAD">
              <w:rPr>
                <w:rFonts w:ascii="Garamond" w:hAnsi="Garamond" w:cs="Times New Roman"/>
                <w:sz w:val="20"/>
                <w:szCs w:val="20"/>
              </w:rPr>
              <w:t>-0.00</w:t>
            </w:r>
            <w:r>
              <w:rPr>
                <w:rFonts w:ascii="Garamond" w:hAnsi="Garamond" w:cs="Times New Roman"/>
                <w:sz w:val="20"/>
                <w:szCs w:val="20"/>
              </w:rPr>
              <w:t>3</w:t>
            </w:r>
            <w:r w:rsidRPr="00660FAD">
              <w:rPr>
                <w:rFonts w:ascii="Garamond" w:hAnsi="Garamond" w:cs="Times New Roman"/>
                <w:sz w:val="20"/>
                <w:szCs w:val="20"/>
              </w:rPr>
              <w:t>**</w:t>
            </w:r>
          </w:p>
        </w:tc>
      </w:tr>
      <w:tr w:rsidR="00303008" w:rsidRPr="00D35892" w14:paraId="158C0555" w14:textId="4C6379AD" w:rsidTr="00C93678">
        <w:trPr>
          <w:gridAfter w:val="1"/>
          <w:wAfter w:w="126" w:type="dxa"/>
          <w:jc w:val="center"/>
        </w:trPr>
        <w:tc>
          <w:tcPr>
            <w:tcW w:w="1870" w:type="dxa"/>
            <w:tcBorders>
              <w:top w:val="nil"/>
              <w:left w:val="nil"/>
              <w:bottom w:val="nil"/>
              <w:right w:val="nil"/>
            </w:tcBorders>
          </w:tcPr>
          <w:p w14:paraId="324798C3" w14:textId="0BB19F80" w:rsidR="00303008" w:rsidRPr="0020722A" w:rsidRDefault="00303008" w:rsidP="005037CF">
            <w:pPr>
              <w:widowControl w:val="0"/>
              <w:autoSpaceDE w:val="0"/>
              <w:autoSpaceDN w:val="0"/>
              <w:adjustRightInd w:val="0"/>
              <w:spacing w:before="240" w:after="0" w:line="240" w:lineRule="auto"/>
              <w:contextualSpacing/>
              <w:rPr>
                <w:rFonts w:ascii="Garamond" w:eastAsia="Times New Roman" w:hAnsi="Garamond" w:cs="Times New Roman"/>
                <w:sz w:val="20"/>
                <w:szCs w:val="20"/>
              </w:rPr>
            </w:pPr>
          </w:p>
        </w:tc>
        <w:tc>
          <w:tcPr>
            <w:tcW w:w="907" w:type="dxa"/>
            <w:tcBorders>
              <w:top w:val="nil"/>
              <w:left w:val="nil"/>
              <w:bottom w:val="nil"/>
              <w:right w:val="nil"/>
            </w:tcBorders>
          </w:tcPr>
          <w:p w14:paraId="7FBC4565" w14:textId="1EC69BEE" w:rsidR="00303008" w:rsidRPr="0028017D" w:rsidRDefault="00303008" w:rsidP="00026659">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8017D">
              <w:rPr>
                <w:rFonts w:ascii="Garamond" w:hAnsi="Garamond" w:cs="Times New Roman"/>
                <w:sz w:val="20"/>
                <w:szCs w:val="20"/>
              </w:rPr>
              <w:t>(0.001)</w:t>
            </w:r>
          </w:p>
        </w:tc>
        <w:tc>
          <w:tcPr>
            <w:tcW w:w="906" w:type="dxa"/>
            <w:tcBorders>
              <w:top w:val="nil"/>
              <w:left w:val="nil"/>
              <w:bottom w:val="nil"/>
              <w:right w:val="nil"/>
            </w:tcBorders>
          </w:tcPr>
          <w:p w14:paraId="74BF1FFF" w14:textId="4458AE49" w:rsidR="00303008" w:rsidRPr="00FB7964" w:rsidRDefault="00303008" w:rsidP="00026659">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8017D">
              <w:rPr>
                <w:rFonts w:ascii="Garamond" w:hAnsi="Garamond" w:cs="Times New Roman"/>
                <w:sz w:val="20"/>
                <w:szCs w:val="20"/>
              </w:rPr>
              <w:t>(0.001)</w:t>
            </w:r>
          </w:p>
        </w:tc>
        <w:tc>
          <w:tcPr>
            <w:tcW w:w="907" w:type="dxa"/>
            <w:tcBorders>
              <w:top w:val="nil"/>
              <w:left w:val="nil"/>
              <w:bottom w:val="nil"/>
              <w:right w:val="nil"/>
            </w:tcBorders>
          </w:tcPr>
          <w:p w14:paraId="059DC7F4" w14:textId="19230289" w:rsidR="00303008" w:rsidRPr="00FB7964" w:rsidRDefault="00303008"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28017D">
              <w:rPr>
                <w:rFonts w:ascii="Garamond" w:hAnsi="Garamond" w:cs="Times New Roman"/>
                <w:sz w:val="20"/>
                <w:szCs w:val="20"/>
              </w:rPr>
              <w:t>(0.00</w:t>
            </w:r>
            <w:r>
              <w:rPr>
                <w:rFonts w:ascii="Garamond" w:hAnsi="Garamond" w:cs="Times New Roman"/>
                <w:sz w:val="20"/>
                <w:szCs w:val="20"/>
              </w:rPr>
              <w:t>1</w:t>
            </w:r>
            <w:r w:rsidRPr="0028017D">
              <w:rPr>
                <w:rFonts w:ascii="Garamond" w:hAnsi="Garamond" w:cs="Times New Roman"/>
                <w:sz w:val="20"/>
                <w:szCs w:val="20"/>
              </w:rPr>
              <w:t>)</w:t>
            </w:r>
          </w:p>
        </w:tc>
        <w:tc>
          <w:tcPr>
            <w:tcW w:w="907" w:type="dxa"/>
            <w:tcBorders>
              <w:top w:val="nil"/>
              <w:left w:val="nil"/>
              <w:bottom w:val="nil"/>
              <w:right w:val="nil"/>
            </w:tcBorders>
          </w:tcPr>
          <w:p w14:paraId="0BB40E0F" w14:textId="7831BFEF" w:rsidR="00303008" w:rsidRPr="00FB7964" w:rsidRDefault="00303008" w:rsidP="00026659">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8017D">
              <w:rPr>
                <w:rFonts w:ascii="Garamond" w:hAnsi="Garamond" w:cs="Times New Roman"/>
                <w:sz w:val="20"/>
                <w:szCs w:val="20"/>
              </w:rPr>
              <w:t>(0.00</w:t>
            </w:r>
            <w:r>
              <w:rPr>
                <w:rFonts w:ascii="Garamond" w:hAnsi="Garamond" w:cs="Times New Roman"/>
                <w:sz w:val="20"/>
                <w:szCs w:val="20"/>
              </w:rPr>
              <w:t>1</w:t>
            </w:r>
            <w:r w:rsidRPr="0028017D">
              <w:rPr>
                <w:rFonts w:ascii="Garamond" w:hAnsi="Garamond" w:cs="Times New Roman"/>
                <w:sz w:val="20"/>
                <w:szCs w:val="20"/>
              </w:rPr>
              <w:t>)</w:t>
            </w:r>
          </w:p>
        </w:tc>
        <w:tc>
          <w:tcPr>
            <w:tcW w:w="907" w:type="dxa"/>
            <w:tcBorders>
              <w:top w:val="nil"/>
              <w:left w:val="nil"/>
              <w:bottom w:val="nil"/>
              <w:right w:val="nil"/>
            </w:tcBorders>
          </w:tcPr>
          <w:p w14:paraId="431B09E1" w14:textId="37937A80" w:rsidR="00303008" w:rsidRPr="00026659" w:rsidRDefault="00303008" w:rsidP="00834B00">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660FAD">
              <w:rPr>
                <w:rFonts w:ascii="Garamond" w:hAnsi="Garamond" w:cs="Times New Roman"/>
                <w:sz w:val="20"/>
                <w:szCs w:val="20"/>
              </w:rPr>
              <w:t>(0.001)</w:t>
            </w:r>
          </w:p>
        </w:tc>
        <w:tc>
          <w:tcPr>
            <w:tcW w:w="907" w:type="dxa"/>
            <w:tcBorders>
              <w:top w:val="nil"/>
              <w:left w:val="nil"/>
              <w:bottom w:val="nil"/>
              <w:right w:val="nil"/>
            </w:tcBorders>
          </w:tcPr>
          <w:p w14:paraId="1F3FBBD7" w14:textId="0796E6A5" w:rsidR="00303008" w:rsidRPr="00FB7964" w:rsidRDefault="00303008"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FB7964">
              <w:rPr>
                <w:rFonts w:ascii="Garamond" w:hAnsi="Garamond" w:cs="Times New Roman"/>
                <w:sz w:val="20"/>
                <w:szCs w:val="20"/>
              </w:rPr>
              <w:t>(0.00</w:t>
            </w:r>
            <w:r>
              <w:rPr>
                <w:rFonts w:ascii="Garamond" w:hAnsi="Garamond" w:cs="Times New Roman"/>
                <w:sz w:val="20"/>
                <w:szCs w:val="20"/>
              </w:rPr>
              <w:t>1</w:t>
            </w:r>
            <w:r w:rsidRPr="00FB7964">
              <w:rPr>
                <w:rFonts w:ascii="Garamond" w:hAnsi="Garamond" w:cs="Times New Roman"/>
                <w:sz w:val="20"/>
                <w:szCs w:val="20"/>
              </w:rPr>
              <w:t>)</w:t>
            </w:r>
          </w:p>
        </w:tc>
        <w:tc>
          <w:tcPr>
            <w:tcW w:w="907" w:type="dxa"/>
            <w:tcBorders>
              <w:top w:val="nil"/>
              <w:left w:val="nil"/>
              <w:bottom w:val="nil"/>
              <w:right w:val="nil"/>
            </w:tcBorders>
          </w:tcPr>
          <w:p w14:paraId="6B15E059" w14:textId="60B8CFB0" w:rsidR="00303008" w:rsidRPr="00FB7964" w:rsidRDefault="00303008"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660FAD">
              <w:rPr>
                <w:rFonts w:ascii="Garamond" w:hAnsi="Garamond" w:cs="Times New Roman"/>
                <w:sz w:val="20"/>
                <w:szCs w:val="20"/>
              </w:rPr>
              <w:t>(0.00</w:t>
            </w:r>
            <w:r>
              <w:rPr>
                <w:rFonts w:ascii="Garamond" w:hAnsi="Garamond" w:cs="Times New Roman"/>
                <w:sz w:val="20"/>
                <w:szCs w:val="20"/>
              </w:rPr>
              <w:t>1</w:t>
            </w:r>
            <w:r w:rsidRPr="00660FAD">
              <w:rPr>
                <w:rFonts w:ascii="Garamond" w:hAnsi="Garamond" w:cs="Times New Roman"/>
                <w:sz w:val="20"/>
                <w:szCs w:val="20"/>
              </w:rPr>
              <w:t>)</w:t>
            </w:r>
          </w:p>
        </w:tc>
        <w:tc>
          <w:tcPr>
            <w:tcW w:w="851" w:type="dxa"/>
            <w:gridSpan w:val="2"/>
            <w:tcBorders>
              <w:top w:val="nil"/>
              <w:left w:val="nil"/>
              <w:bottom w:val="nil"/>
              <w:right w:val="nil"/>
            </w:tcBorders>
          </w:tcPr>
          <w:p w14:paraId="414CADD8" w14:textId="2D046E94" w:rsidR="00303008" w:rsidRPr="0028017D" w:rsidRDefault="00303008"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660FAD">
              <w:rPr>
                <w:rFonts w:ascii="Garamond" w:hAnsi="Garamond" w:cs="Times New Roman"/>
                <w:sz w:val="20"/>
                <w:szCs w:val="20"/>
              </w:rPr>
              <w:t>(0.00</w:t>
            </w:r>
            <w:r>
              <w:rPr>
                <w:rFonts w:ascii="Garamond" w:hAnsi="Garamond" w:cs="Times New Roman"/>
                <w:sz w:val="20"/>
                <w:szCs w:val="20"/>
              </w:rPr>
              <w:t>1</w:t>
            </w:r>
            <w:r w:rsidRPr="00660FAD">
              <w:rPr>
                <w:rFonts w:ascii="Garamond" w:hAnsi="Garamond" w:cs="Times New Roman"/>
                <w:sz w:val="20"/>
                <w:szCs w:val="20"/>
              </w:rPr>
              <w:t>)</w:t>
            </w:r>
          </w:p>
        </w:tc>
      </w:tr>
      <w:tr w:rsidR="00FB7964" w:rsidRPr="00D35892" w14:paraId="39ED4D53" w14:textId="77777777" w:rsidTr="00C93678">
        <w:trPr>
          <w:gridAfter w:val="1"/>
          <w:wAfter w:w="126" w:type="dxa"/>
          <w:jc w:val="center"/>
        </w:trPr>
        <w:tc>
          <w:tcPr>
            <w:tcW w:w="1870" w:type="dxa"/>
            <w:tcBorders>
              <w:top w:val="nil"/>
              <w:left w:val="nil"/>
              <w:bottom w:val="nil"/>
              <w:right w:val="nil"/>
            </w:tcBorders>
          </w:tcPr>
          <w:p w14:paraId="205383BE" w14:textId="77777777" w:rsidR="00FB7964" w:rsidRPr="0020722A" w:rsidRDefault="00FB7964" w:rsidP="005037CF">
            <w:pPr>
              <w:widowControl w:val="0"/>
              <w:autoSpaceDE w:val="0"/>
              <w:autoSpaceDN w:val="0"/>
              <w:adjustRightInd w:val="0"/>
              <w:spacing w:before="240" w:after="0" w:line="240" w:lineRule="auto"/>
              <w:contextualSpacing/>
              <w:rPr>
                <w:rFonts w:ascii="Garamond" w:eastAsia="Times New Roman" w:hAnsi="Garamond" w:cs="Times New Roman"/>
                <w:sz w:val="20"/>
                <w:szCs w:val="20"/>
              </w:rPr>
            </w:pPr>
          </w:p>
        </w:tc>
        <w:tc>
          <w:tcPr>
            <w:tcW w:w="907" w:type="dxa"/>
            <w:tcBorders>
              <w:top w:val="nil"/>
              <w:left w:val="nil"/>
              <w:bottom w:val="nil"/>
              <w:right w:val="nil"/>
            </w:tcBorders>
          </w:tcPr>
          <w:p w14:paraId="3EF1CA65" w14:textId="77777777" w:rsidR="00FB7964" w:rsidRPr="00FB7964" w:rsidRDefault="00FB7964"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p>
        </w:tc>
        <w:tc>
          <w:tcPr>
            <w:tcW w:w="906" w:type="dxa"/>
            <w:tcBorders>
              <w:top w:val="nil"/>
              <w:left w:val="nil"/>
              <w:bottom w:val="nil"/>
              <w:right w:val="nil"/>
            </w:tcBorders>
          </w:tcPr>
          <w:p w14:paraId="5CEE4B46" w14:textId="77777777" w:rsidR="00FB7964" w:rsidRPr="00FB7964" w:rsidRDefault="00FB7964"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p>
        </w:tc>
        <w:tc>
          <w:tcPr>
            <w:tcW w:w="907" w:type="dxa"/>
            <w:tcBorders>
              <w:top w:val="nil"/>
              <w:left w:val="nil"/>
              <w:bottom w:val="nil"/>
              <w:right w:val="nil"/>
            </w:tcBorders>
          </w:tcPr>
          <w:p w14:paraId="3CCA9A51" w14:textId="77777777" w:rsidR="00FB7964" w:rsidRPr="00FB7964" w:rsidRDefault="00FB7964"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p>
        </w:tc>
        <w:tc>
          <w:tcPr>
            <w:tcW w:w="907" w:type="dxa"/>
            <w:tcBorders>
              <w:top w:val="nil"/>
              <w:left w:val="nil"/>
              <w:bottom w:val="nil"/>
              <w:right w:val="nil"/>
            </w:tcBorders>
          </w:tcPr>
          <w:p w14:paraId="438EDFC1" w14:textId="77777777" w:rsidR="00FB7964" w:rsidRPr="00FB7964" w:rsidRDefault="00FB7964"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p>
        </w:tc>
        <w:tc>
          <w:tcPr>
            <w:tcW w:w="907" w:type="dxa"/>
            <w:tcBorders>
              <w:top w:val="nil"/>
              <w:left w:val="nil"/>
              <w:bottom w:val="nil"/>
              <w:right w:val="nil"/>
            </w:tcBorders>
          </w:tcPr>
          <w:p w14:paraId="5B2AD025" w14:textId="77777777" w:rsidR="00FB7964" w:rsidRPr="00660FAD" w:rsidRDefault="00FB7964" w:rsidP="00834B00">
            <w:pPr>
              <w:widowControl w:val="0"/>
              <w:autoSpaceDE w:val="0"/>
              <w:autoSpaceDN w:val="0"/>
              <w:adjustRightInd w:val="0"/>
              <w:spacing w:before="240" w:after="0" w:line="240" w:lineRule="auto"/>
              <w:contextualSpacing/>
              <w:jc w:val="center"/>
              <w:rPr>
                <w:rFonts w:ascii="Garamond" w:hAnsi="Garamond" w:cs="Times New Roman"/>
                <w:sz w:val="20"/>
                <w:szCs w:val="20"/>
              </w:rPr>
            </w:pPr>
          </w:p>
        </w:tc>
        <w:tc>
          <w:tcPr>
            <w:tcW w:w="907" w:type="dxa"/>
            <w:tcBorders>
              <w:top w:val="nil"/>
              <w:left w:val="nil"/>
              <w:bottom w:val="nil"/>
              <w:right w:val="nil"/>
            </w:tcBorders>
          </w:tcPr>
          <w:p w14:paraId="147FFDE6" w14:textId="77777777" w:rsidR="00FB7964" w:rsidRPr="00FB7964" w:rsidRDefault="00FB7964"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p>
        </w:tc>
        <w:tc>
          <w:tcPr>
            <w:tcW w:w="907" w:type="dxa"/>
            <w:tcBorders>
              <w:top w:val="nil"/>
              <w:left w:val="nil"/>
              <w:bottom w:val="nil"/>
              <w:right w:val="nil"/>
            </w:tcBorders>
          </w:tcPr>
          <w:p w14:paraId="0D3C2DF6" w14:textId="77777777" w:rsidR="00FB7964" w:rsidRPr="00660FAD" w:rsidRDefault="00FB7964"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p>
        </w:tc>
        <w:tc>
          <w:tcPr>
            <w:tcW w:w="851" w:type="dxa"/>
            <w:gridSpan w:val="2"/>
            <w:tcBorders>
              <w:top w:val="nil"/>
              <w:left w:val="nil"/>
              <w:bottom w:val="nil"/>
              <w:right w:val="nil"/>
            </w:tcBorders>
          </w:tcPr>
          <w:p w14:paraId="58BBDBD5" w14:textId="77777777" w:rsidR="00FB7964" w:rsidRPr="00660FAD" w:rsidRDefault="00FB7964" w:rsidP="00026659">
            <w:pPr>
              <w:widowControl w:val="0"/>
              <w:autoSpaceDE w:val="0"/>
              <w:autoSpaceDN w:val="0"/>
              <w:adjustRightInd w:val="0"/>
              <w:spacing w:before="240" w:after="0" w:line="240" w:lineRule="auto"/>
              <w:contextualSpacing/>
              <w:jc w:val="center"/>
              <w:rPr>
                <w:rFonts w:ascii="Garamond" w:hAnsi="Garamond" w:cs="Times New Roman"/>
                <w:sz w:val="20"/>
                <w:szCs w:val="20"/>
              </w:rPr>
            </w:pPr>
          </w:p>
        </w:tc>
      </w:tr>
      <w:tr w:rsidR="00303008" w:rsidRPr="00D35892" w14:paraId="313017D6" w14:textId="2324E7FF" w:rsidTr="00C93678">
        <w:trPr>
          <w:gridAfter w:val="1"/>
          <w:wAfter w:w="126" w:type="dxa"/>
          <w:jc w:val="center"/>
        </w:trPr>
        <w:tc>
          <w:tcPr>
            <w:tcW w:w="1870" w:type="dxa"/>
            <w:tcBorders>
              <w:top w:val="nil"/>
              <w:left w:val="nil"/>
              <w:bottom w:val="nil"/>
              <w:right w:val="nil"/>
            </w:tcBorders>
          </w:tcPr>
          <w:p w14:paraId="37B543FA" w14:textId="77777777" w:rsidR="00303008" w:rsidRPr="0020722A" w:rsidRDefault="00303008" w:rsidP="0020722A">
            <w:pPr>
              <w:widowControl w:val="0"/>
              <w:autoSpaceDE w:val="0"/>
              <w:autoSpaceDN w:val="0"/>
              <w:adjustRightInd w:val="0"/>
              <w:spacing w:before="240" w:after="0" w:line="240" w:lineRule="auto"/>
              <w:contextualSpacing/>
              <w:rPr>
                <w:rFonts w:ascii="Garamond" w:eastAsia="Times New Roman" w:hAnsi="Garamond" w:cs="Times New Roman"/>
                <w:sz w:val="20"/>
                <w:szCs w:val="20"/>
              </w:rPr>
            </w:pPr>
            <w:r w:rsidRPr="0020722A">
              <w:rPr>
                <w:rFonts w:ascii="Garamond" w:eastAsia="Times New Roman" w:hAnsi="Garamond" w:cs="Times New Roman"/>
                <w:sz w:val="20"/>
                <w:szCs w:val="20"/>
              </w:rPr>
              <w:t>Organizer</w:t>
            </w:r>
          </w:p>
        </w:tc>
        <w:tc>
          <w:tcPr>
            <w:tcW w:w="907" w:type="dxa"/>
            <w:tcBorders>
              <w:top w:val="nil"/>
              <w:left w:val="nil"/>
              <w:bottom w:val="nil"/>
              <w:right w:val="nil"/>
            </w:tcBorders>
          </w:tcPr>
          <w:p w14:paraId="3FFDAD34" w14:textId="77777777"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6" w:type="dxa"/>
            <w:tcBorders>
              <w:top w:val="nil"/>
              <w:left w:val="nil"/>
              <w:bottom w:val="nil"/>
              <w:right w:val="nil"/>
            </w:tcBorders>
          </w:tcPr>
          <w:p w14:paraId="01EA8680"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834B00">
              <w:rPr>
                <w:rFonts w:ascii="Garamond" w:eastAsia="Times New Roman" w:hAnsi="Garamond" w:cs="Times New Roman"/>
                <w:sz w:val="20"/>
                <w:szCs w:val="20"/>
              </w:rPr>
              <w:t>X</w:t>
            </w:r>
          </w:p>
        </w:tc>
        <w:tc>
          <w:tcPr>
            <w:tcW w:w="907" w:type="dxa"/>
            <w:tcBorders>
              <w:top w:val="nil"/>
              <w:left w:val="nil"/>
              <w:bottom w:val="nil"/>
              <w:right w:val="nil"/>
            </w:tcBorders>
          </w:tcPr>
          <w:p w14:paraId="147E5381" w14:textId="475ABE1C"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834B00">
              <w:rPr>
                <w:rFonts w:ascii="Garamond" w:eastAsia="Times New Roman" w:hAnsi="Garamond" w:cs="Times New Roman"/>
                <w:sz w:val="20"/>
                <w:szCs w:val="20"/>
              </w:rPr>
              <w:t>X</w:t>
            </w:r>
          </w:p>
        </w:tc>
        <w:tc>
          <w:tcPr>
            <w:tcW w:w="907" w:type="dxa"/>
            <w:tcBorders>
              <w:top w:val="nil"/>
              <w:left w:val="nil"/>
              <w:bottom w:val="nil"/>
              <w:right w:val="nil"/>
            </w:tcBorders>
          </w:tcPr>
          <w:p w14:paraId="78FD86FA" w14:textId="3DE1B20C"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907" w:type="dxa"/>
            <w:tcBorders>
              <w:top w:val="nil"/>
              <w:left w:val="nil"/>
              <w:bottom w:val="nil"/>
              <w:right w:val="nil"/>
            </w:tcBorders>
          </w:tcPr>
          <w:p w14:paraId="408CC7C9" w14:textId="2FCF5372" w:rsidR="00303008"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907" w:type="dxa"/>
            <w:tcBorders>
              <w:top w:val="nil"/>
              <w:left w:val="nil"/>
              <w:bottom w:val="nil"/>
              <w:right w:val="nil"/>
            </w:tcBorders>
          </w:tcPr>
          <w:p w14:paraId="59E4E6A5" w14:textId="7F56D094"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907" w:type="dxa"/>
            <w:tcBorders>
              <w:top w:val="nil"/>
              <w:left w:val="nil"/>
              <w:bottom w:val="nil"/>
              <w:right w:val="nil"/>
            </w:tcBorders>
          </w:tcPr>
          <w:p w14:paraId="3D712CF2" w14:textId="1E12DCDD"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851" w:type="dxa"/>
            <w:gridSpan w:val="2"/>
            <w:tcBorders>
              <w:top w:val="nil"/>
              <w:left w:val="nil"/>
              <w:bottom w:val="nil"/>
              <w:right w:val="nil"/>
            </w:tcBorders>
          </w:tcPr>
          <w:p w14:paraId="39D6140F" w14:textId="54AFCD7F"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r>
      <w:tr w:rsidR="00303008" w:rsidRPr="00D35892" w14:paraId="1AEA3ECB" w14:textId="0F09D2B9" w:rsidTr="00C93678">
        <w:trPr>
          <w:gridAfter w:val="1"/>
          <w:wAfter w:w="126" w:type="dxa"/>
          <w:jc w:val="center"/>
        </w:trPr>
        <w:tc>
          <w:tcPr>
            <w:tcW w:w="1870" w:type="dxa"/>
            <w:tcBorders>
              <w:top w:val="nil"/>
              <w:left w:val="nil"/>
              <w:bottom w:val="nil"/>
              <w:right w:val="nil"/>
            </w:tcBorders>
          </w:tcPr>
          <w:p w14:paraId="1D0F3FB1" w14:textId="77777777" w:rsidR="00303008" w:rsidRPr="0020722A" w:rsidRDefault="00303008" w:rsidP="0020722A">
            <w:pPr>
              <w:widowControl w:val="0"/>
              <w:autoSpaceDE w:val="0"/>
              <w:autoSpaceDN w:val="0"/>
              <w:adjustRightInd w:val="0"/>
              <w:spacing w:before="240" w:after="0" w:line="240" w:lineRule="auto"/>
              <w:contextualSpacing/>
              <w:rPr>
                <w:rFonts w:ascii="Garamond" w:eastAsia="Times New Roman" w:hAnsi="Garamond" w:cs="Times New Roman"/>
                <w:sz w:val="20"/>
                <w:szCs w:val="20"/>
              </w:rPr>
            </w:pPr>
            <w:r w:rsidRPr="0020722A">
              <w:rPr>
                <w:rFonts w:ascii="Garamond" w:eastAsia="Times New Roman" w:hAnsi="Garamond" w:cs="Times New Roman"/>
                <w:sz w:val="20"/>
                <w:szCs w:val="20"/>
              </w:rPr>
              <w:t>Year FE</w:t>
            </w:r>
          </w:p>
        </w:tc>
        <w:tc>
          <w:tcPr>
            <w:tcW w:w="907" w:type="dxa"/>
            <w:tcBorders>
              <w:top w:val="nil"/>
              <w:left w:val="nil"/>
              <w:bottom w:val="nil"/>
              <w:right w:val="nil"/>
            </w:tcBorders>
          </w:tcPr>
          <w:p w14:paraId="6D0B1FB2" w14:textId="77777777"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6" w:type="dxa"/>
            <w:tcBorders>
              <w:top w:val="nil"/>
              <w:left w:val="nil"/>
              <w:bottom w:val="nil"/>
              <w:right w:val="nil"/>
            </w:tcBorders>
          </w:tcPr>
          <w:p w14:paraId="5ECBEAEB"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7D2C7C3E" w14:textId="7F3C183A"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834B00">
              <w:rPr>
                <w:rFonts w:ascii="Garamond" w:eastAsia="Times New Roman" w:hAnsi="Garamond" w:cs="Times New Roman"/>
                <w:sz w:val="20"/>
                <w:szCs w:val="20"/>
              </w:rPr>
              <w:t>X</w:t>
            </w:r>
          </w:p>
        </w:tc>
        <w:tc>
          <w:tcPr>
            <w:tcW w:w="907" w:type="dxa"/>
            <w:tcBorders>
              <w:top w:val="nil"/>
              <w:left w:val="nil"/>
              <w:bottom w:val="nil"/>
              <w:right w:val="nil"/>
            </w:tcBorders>
          </w:tcPr>
          <w:p w14:paraId="34221772" w14:textId="44CB9444"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907" w:type="dxa"/>
            <w:tcBorders>
              <w:top w:val="nil"/>
              <w:left w:val="nil"/>
              <w:bottom w:val="nil"/>
              <w:right w:val="nil"/>
            </w:tcBorders>
          </w:tcPr>
          <w:p w14:paraId="6EABBC02"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06E5B4F7" w14:textId="73D933F9"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355C0C39"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851" w:type="dxa"/>
            <w:gridSpan w:val="2"/>
            <w:tcBorders>
              <w:top w:val="nil"/>
              <w:left w:val="nil"/>
              <w:bottom w:val="nil"/>
              <w:right w:val="nil"/>
            </w:tcBorders>
          </w:tcPr>
          <w:p w14:paraId="274DABCB"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r>
      <w:tr w:rsidR="00303008" w:rsidRPr="00D35892" w14:paraId="4F22B5B8" w14:textId="2B4B8315" w:rsidTr="00C93678">
        <w:trPr>
          <w:gridAfter w:val="1"/>
          <w:wAfter w:w="126" w:type="dxa"/>
          <w:jc w:val="center"/>
        </w:trPr>
        <w:tc>
          <w:tcPr>
            <w:tcW w:w="1870" w:type="dxa"/>
            <w:tcBorders>
              <w:top w:val="nil"/>
              <w:left w:val="nil"/>
              <w:bottom w:val="nil"/>
              <w:right w:val="nil"/>
            </w:tcBorders>
          </w:tcPr>
          <w:p w14:paraId="60FE16F7" w14:textId="153D5EBB" w:rsidR="00303008" w:rsidRPr="00D35892" w:rsidRDefault="00303008" w:rsidP="00B17B8A">
            <w:pPr>
              <w:widowControl w:val="0"/>
              <w:autoSpaceDE w:val="0"/>
              <w:autoSpaceDN w:val="0"/>
              <w:adjustRightInd w:val="0"/>
              <w:spacing w:before="240" w:after="0" w:line="240" w:lineRule="auto"/>
              <w:contextualSpacing/>
              <w:rPr>
                <w:rFonts w:ascii="Garamond" w:eastAsia="Times New Roman" w:hAnsi="Garamond" w:cs="Times New Roman"/>
                <w:sz w:val="20"/>
                <w:szCs w:val="20"/>
              </w:rPr>
            </w:pPr>
            <w:r>
              <w:rPr>
                <w:rFonts w:ascii="Garamond" w:eastAsia="Times New Roman" w:hAnsi="Garamond" w:cs="Times New Roman"/>
                <w:sz w:val="20"/>
                <w:szCs w:val="20"/>
              </w:rPr>
              <w:t>Month FE</w:t>
            </w:r>
          </w:p>
        </w:tc>
        <w:tc>
          <w:tcPr>
            <w:tcW w:w="907" w:type="dxa"/>
            <w:tcBorders>
              <w:top w:val="nil"/>
              <w:left w:val="nil"/>
              <w:bottom w:val="nil"/>
              <w:right w:val="nil"/>
            </w:tcBorders>
          </w:tcPr>
          <w:p w14:paraId="0EC3E47D" w14:textId="77777777"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6" w:type="dxa"/>
            <w:tcBorders>
              <w:top w:val="nil"/>
              <w:left w:val="nil"/>
              <w:bottom w:val="nil"/>
              <w:right w:val="nil"/>
            </w:tcBorders>
          </w:tcPr>
          <w:p w14:paraId="0C215253"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7B966BE0" w14:textId="4EA5CE5C"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834B00">
              <w:rPr>
                <w:rFonts w:ascii="Garamond" w:eastAsia="Times New Roman" w:hAnsi="Garamond" w:cs="Times New Roman"/>
                <w:sz w:val="20"/>
                <w:szCs w:val="20"/>
              </w:rPr>
              <w:t>X</w:t>
            </w:r>
          </w:p>
        </w:tc>
        <w:tc>
          <w:tcPr>
            <w:tcW w:w="907" w:type="dxa"/>
            <w:tcBorders>
              <w:top w:val="nil"/>
              <w:left w:val="nil"/>
              <w:bottom w:val="nil"/>
              <w:right w:val="nil"/>
            </w:tcBorders>
          </w:tcPr>
          <w:p w14:paraId="54B56CFB"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5996C3BA"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0AF0962C" w14:textId="4D588FF0"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4ABDCBC8"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851" w:type="dxa"/>
            <w:gridSpan w:val="2"/>
            <w:tcBorders>
              <w:top w:val="nil"/>
              <w:left w:val="nil"/>
              <w:bottom w:val="nil"/>
              <w:right w:val="nil"/>
            </w:tcBorders>
          </w:tcPr>
          <w:p w14:paraId="6E3FA187"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r>
      <w:tr w:rsidR="00303008" w:rsidRPr="00D35892" w14:paraId="1F585003" w14:textId="77777777" w:rsidTr="00C93678">
        <w:trPr>
          <w:gridAfter w:val="1"/>
          <w:wAfter w:w="126" w:type="dxa"/>
          <w:jc w:val="center"/>
        </w:trPr>
        <w:tc>
          <w:tcPr>
            <w:tcW w:w="1870" w:type="dxa"/>
            <w:tcBorders>
              <w:top w:val="nil"/>
              <w:left w:val="nil"/>
              <w:bottom w:val="nil"/>
              <w:right w:val="nil"/>
            </w:tcBorders>
          </w:tcPr>
          <w:p w14:paraId="4B8E65EE" w14:textId="3CFCAED2" w:rsidR="00303008" w:rsidRPr="0020722A" w:rsidRDefault="00303008" w:rsidP="00026659">
            <w:pPr>
              <w:widowControl w:val="0"/>
              <w:autoSpaceDE w:val="0"/>
              <w:autoSpaceDN w:val="0"/>
              <w:adjustRightInd w:val="0"/>
              <w:spacing w:before="240" w:after="0" w:line="240" w:lineRule="auto"/>
              <w:contextualSpacing/>
              <w:rPr>
                <w:rFonts w:ascii="Garamond" w:eastAsia="Times New Roman" w:hAnsi="Garamond" w:cs="Times New Roman"/>
                <w:sz w:val="20"/>
                <w:szCs w:val="20"/>
              </w:rPr>
            </w:pPr>
            <w:r>
              <w:rPr>
                <w:rFonts w:ascii="Garamond" w:eastAsia="Times New Roman" w:hAnsi="Garamond" w:cs="Times New Roman"/>
                <w:sz w:val="20"/>
                <w:szCs w:val="20"/>
              </w:rPr>
              <w:t>Month</w:t>
            </w:r>
            <w:r w:rsidRPr="0020722A">
              <w:rPr>
                <w:rFonts w:ascii="Garamond" w:eastAsia="Times New Roman" w:hAnsi="Garamond" w:cs="Times New Roman"/>
                <w:sz w:val="20"/>
                <w:szCs w:val="20"/>
              </w:rPr>
              <w:t xml:space="preserve"> × </w:t>
            </w:r>
            <w:r>
              <w:rPr>
                <w:rFonts w:ascii="Garamond" w:eastAsia="Times New Roman" w:hAnsi="Garamond" w:cs="Times New Roman"/>
                <w:sz w:val="20"/>
                <w:szCs w:val="20"/>
              </w:rPr>
              <w:t>Country</w:t>
            </w:r>
            <w:r w:rsidRPr="0020722A">
              <w:rPr>
                <w:rFonts w:ascii="Garamond" w:eastAsia="Times New Roman" w:hAnsi="Garamond" w:cs="Times New Roman"/>
                <w:sz w:val="20"/>
                <w:szCs w:val="20"/>
              </w:rPr>
              <w:t xml:space="preserve"> FE</w:t>
            </w:r>
          </w:p>
        </w:tc>
        <w:tc>
          <w:tcPr>
            <w:tcW w:w="907" w:type="dxa"/>
            <w:tcBorders>
              <w:top w:val="nil"/>
              <w:left w:val="nil"/>
              <w:bottom w:val="nil"/>
              <w:right w:val="nil"/>
            </w:tcBorders>
          </w:tcPr>
          <w:p w14:paraId="30E936BA" w14:textId="77777777"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6" w:type="dxa"/>
            <w:tcBorders>
              <w:top w:val="nil"/>
              <w:left w:val="nil"/>
              <w:bottom w:val="nil"/>
              <w:right w:val="nil"/>
            </w:tcBorders>
          </w:tcPr>
          <w:p w14:paraId="7DE53A2F"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5DF61B41"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458061F5" w14:textId="5103D6B5" w:rsidR="00303008" w:rsidRPr="00026659" w:rsidDel="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907" w:type="dxa"/>
            <w:tcBorders>
              <w:top w:val="nil"/>
              <w:left w:val="nil"/>
              <w:bottom w:val="nil"/>
              <w:right w:val="nil"/>
            </w:tcBorders>
          </w:tcPr>
          <w:p w14:paraId="270CF9CF" w14:textId="3FC1192D" w:rsidR="00303008"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907" w:type="dxa"/>
            <w:tcBorders>
              <w:top w:val="nil"/>
              <w:left w:val="nil"/>
              <w:bottom w:val="nil"/>
              <w:right w:val="nil"/>
            </w:tcBorders>
          </w:tcPr>
          <w:p w14:paraId="693AC992" w14:textId="07DF92BC"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907" w:type="dxa"/>
            <w:tcBorders>
              <w:top w:val="nil"/>
              <w:left w:val="nil"/>
              <w:bottom w:val="nil"/>
              <w:right w:val="nil"/>
            </w:tcBorders>
          </w:tcPr>
          <w:p w14:paraId="0F53D084" w14:textId="46A03776"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851" w:type="dxa"/>
            <w:gridSpan w:val="2"/>
            <w:tcBorders>
              <w:top w:val="nil"/>
              <w:left w:val="nil"/>
              <w:bottom w:val="nil"/>
              <w:right w:val="nil"/>
            </w:tcBorders>
          </w:tcPr>
          <w:p w14:paraId="1D730FB4" w14:textId="776B585A"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r>
      <w:tr w:rsidR="00303008" w:rsidRPr="00D35892" w14:paraId="1DC348AD" w14:textId="0BC61132" w:rsidTr="00C93678">
        <w:trPr>
          <w:gridAfter w:val="1"/>
          <w:wAfter w:w="126" w:type="dxa"/>
          <w:jc w:val="center"/>
        </w:trPr>
        <w:tc>
          <w:tcPr>
            <w:tcW w:w="1870" w:type="dxa"/>
            <w:tcBorders>
              <w:top w:val="nil"/>
              <w:left w:val="nil"/>
              <w:bottom w:val="nil"/>
              <w:right w:val="nil"/>
            </w:tcBorders>
          </w:tcPr>
          <w:p w14:paraId="2A1DF850" w14:textId="7494C20A" w:rsidR="00303008" w:rsidRPr="0020722A" w:rsidRDefault="00303008" w:rsidP="0020722A">
            <w:pPr>
              <w:widowControl w:val="0"/>
              <w:autoSpaceDE w:val="0"/>
              <w:autoSpaceDN w:val="0"/>
              <w:adjustRightInd w:val="0"/>
              <w:spacing w:before="240" w:after="0" w:line="240" w:lineRule="auto"/>
              <w:contextualSpacing/>
              <w:rPr>
                <w:rFonts w:ascii="Garamond" w:eastAsia="Times New Roman" w:hAnsi="Garamond" w:cs="Times New Roman"/>
                <w:sz w:val="20"/>
                <w:szCs w:val="20"/>
              </w:rPr>
            </w:pPr>
            <w:r w:rsidRPr="0020722A">
              <w:rPr>
                <w:rFonts w:ascii="Garamond" w:eastAsia="Times New Roman" w:hAnsi="Garamond" w:cs="Times New Roman"/>
                <w:sz w:val="20"/>
                <w:szCs w:val="20"/>
              </w:rPr>
              <w:t xml:space="preserve">Year × Month </w:t>
            </w:r>
          </w:p>
        </w:tc>
        <w:tc>
          <w:tcPr>
            <w:tcW w:w="907" w:type="dxa"/>
            <w:tcBorders>
              <w:top w:val="nil"/>
              <w:left w:val="nil"/>
              <w:bottom w:val="nil"/>
              <w:right w:val="nil"/>
            </w:tcBorders>
          </w:tcPr>
          <w:p w14:paraId="5ACBD98C" w14:textId="77777777"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6" w:type="dxa"/>
            <w:tcBorders>
              <w:top w:val="nil"/>
              <w:left w:val="nil"/>
              <w:bottom w:val="nil"/>
              <w:right w:val="nil"/>
            </w:tcBorders>
          </w:tcPr>
          <w:p w14:paraId="5965AA72"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682DDC8A"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6541861F" w14:textId="6F24F75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7F25CBEF" w14:textId="77777777" w:rsidR="00303008"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488E5679" w14:textId="37D846ED"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907" w:type="dxa"/>
            <w:tcBorders>
              <w:top w:val="nil"/>
              <w:left w:val="nil"/>
              <w:bottom w:val="nil"/>
              <w:right w:val="nil"/>
            </w:tcBorders>
          </w:tcPr>
          <w:p w14:paraId="17983959"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851" w:type="dxa"/>
            <w:gridSpan w:val="2"/>
            <w:tcBorders>
              <w:top w:val="nil"/>
              <w:left w:val="nil"/>
              <w:bottom w:val="nil"/>
              <w:right w:val="nil"/>
            </w:tcBorders>
          </w:tcPr>
          <w:p w14:paraId="45DCD98F"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r>
      <w:tr w:rsidR="00303008" w:rsidRPr="00D35892" w14:paraId="541E9891" w14:textId="77777777" w:rsidTr="00C93678">
        <w:trPr>
          <w:gridAfter w:val="1"/>
          <w:wAfter w:w="126" w:type="dxa"/>
          <w:jc w:val="center"/>
        </w:trPr>
        <w:tc>
          <w:tcPr>
            <w:tcW w:w="1870" w:type="dxa"/>
            <w:tcBorders>
              <w:top w:val="nil"/>
              <w:left w:val="nil"/>
              <w:bottom w:val="nil"/>
              <w:right w:val="nil"/>
            </w:tcBorders>
          </w:tcPr>
          <w:p w14:paraId="6101BEAA" w14:textId="44282AB1" w:rsidR="00303008" w:rsidRPr="0020722A" w:rsidRDefault="00303008" w:rsidP="0020722A">
            <w:pPr>
              <w:widowControl w:val="0"/>
              <w:autoSpaceDE w:val="0"/>
              <w:autoSpaceDN w:val="0"/>
              <w:adjustRightInd w:val="0"/>
              <w:spacing w:before="240" w:after="0" w:line="240" w:lineRule="auto"/>
              <w:contextualSpacing/>
              <w:rPr>
                <w:rFonts w:ascii="Garamond" w:eastAsia="Times New Roman" w:hAnsi="Garamond" w:cs="Times New Roman"/>
                <w:sz w:val="20"/>
                <w:szCs w:val="20"/>
              </w:rPr>
            </w:pPr>
            <w:r w:rsidRPr="0020722A">
              <w:rPr>
                <w:rFonts w:ascii="Garamond" w:eastAsia="Times New Roman" w:hAnsi="Garamond" w:cs="Times New Roman"/>
                <w:sz w:val="20"/>
                <w:szCs w:val="20"/>
              </w:rPr>
              <w:t>Year × Month</w:t>
            </w:r>
            <w:r>
              <w:rPr>
                <w:rFonts w:ascii="Garamond" w:eastAsia="Times New Roman" w:hAnsi="Garamond" w:cs="Times New Roman"/>
                <w:sz w:val="20"/>
                <w:szCs w:val="20"/>
              </w:rPr>
              <w:t xml:space="preserve"> FE</w:t>
            </w:r>
          </w:p>
        </w:tc>
        <w:tc>
          <w:tcPr>
            <w:tcW w:w="907" w:type="dxa"/>
            <w:tcBorders>
              <w:top w:val="nil"/>
              <w:left w:val="nil"/>
              <w:bottom w:val="nil"/>
              <w:right w:val="nil"/>
            </w:tcBorders>
          </w:tcPr>
          <w:p w14:paraId="1AFC6A62" w14:textId="77777777"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6" w:type="dxa"/>
            <w:tcBorders>
              <w:top w:val="nil"/>
              <w:left w:val="nil"/>
              <w:bottom w:val="nil"/>
              <w:right w:val="nil"/>
            </w:tcBorders>
          </w:tcPr>
          <w:p w14:paraId="6089F749"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27E08283"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6AFBB101"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6A21DC75" w14:textId="6DEFA83D"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907" w:type="dxa"/>
            <w:tcBorders>
              <w:top w:val="nil"/>
              <w:left w:val="nil"/>
              <w:bottom w:val="nil"/>
              <w:right w:val="nil"/>
            </w:tcBorders>
          </w:tcPr>
          <w:p w14:paraId="54C27643" w14:textId="680D87DB"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433FCEC4" w14:textId="0B7C95C4"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851" w:type="dxa"/>
            <w:gridSpan w:val="2"/>
            <w:tcBorders>
              <w:top w:val="nil"/>
              <w:left w:val="nil"/>
              <w:bottom w:val="nil"/>
              <w:right w:val="nil"/>
            </w:tcBorders>
          </w:tcPr>
          <w:p w14:paraId="01EC1AA9" w14:textId="6C295F04"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r>
      <w:tr w:rsidR="00303008" w:rsidRPr="00D35892" w14:paraId="24F733AD" w14:textId="77777777" w:rsidTr="00C93678">
        <w:trPr>
          <w:gridAfter w:val="1"/>
          <w:wAfter w:w="126" w:type="dxa"/>
          <w:jc w:val="center"/>
        </w:trPr>
        <w:tc>
          <w:tcPr>
            <w:tcW w:w="1870" w:type="dxa"/>
            <w:tcBorders>
              <w:top w:val="nil"/>
              <w:left w:val="nil"/>
              <w:bottom w:val="nil"/>
              <w:right w:val="nil"/>
            </w:tcBorders>
          </w:tcPr>
          <w:p w14:paraId="770F2A75" w14:textId="5989697F" w:rsidR="00303008" w:rsidRPr="0020722A" w:rsidRDefault="00303008" w:rsidP="00026659">
            <w:pPr>
              <w:widowControl w:val="0"/>
              <w:autoSpaceDE w:val="0"/>
              <w:autoSpaceDN w:val="0"/>
              <w:adjustRightInd w:val="0"/>
              <w:spacing w:before="240" w:after="0" w:line="240" w:lineRule="auto"/>
              <w:contextualSpacing/>
              <w:rPr>
                <w:rFonts w:ascii="Garamond" w:eastAsia="Times New Roman" w:hAnsi="Garamond" w:cs="Times New Roman"/>
                <w:sz w:val="20"/>
                <w:szCs w:val="20"/>
              </w:rPr>
            </w:pPr>
            <w:r w:rsidRPr="0020722A">
              <w:rPr>
                <w:rFonts w:ascii="Garamond" w:eastAsia="Times New Roman" w:hAnsi="Garamond" w:cs="Times New Roman"/>
                <w:sz w:val="20"/>
                <w:szCs w:val="20"/>
              </w:rPr>
              <w:t>Year × Month</w:t>
            </w:r>
            <w:r>
              <w:rPr>
                <w:rFonts w:ascii="Garamond" w:eastAsia="Times New Roman" w:hAnsi="Garamond" w:cs="Times New Roman"/>
                <w:sz w:val="20"/>
                <w:szCs w:val="20"/>
              </w:rPr>
              <w:t xml:space="preserve"> </w:t>
            </w:r>
            <w:r w:rsidRPr="0020722A">
              <w:rPr>
                <w:rFonts w:ascii="Garamond" w:eastAsia="Times New Roman" w:hAnsi="Garamond" w:cs="Times New Roman"/>
                <w:sz w:val="20"/>
                <w:szCs w:val="20"/>
              </w:rPr>
              <w:t xml:space="preserve">× </w:t>
            </w:r>
            <w:r>
              <w:rPr>
                <w:rFonts w:ascii="Garamond" w:eastAsia="Times New Roman" w:hAnsi="Garamond" w:cs="Times New Roman"/>
                <w:sz w:val="20"/>
                <w:szCs w:val="20"/>
              </w:rPr>
              <w:t>Country</w:t>
            </w:r>
          </w:p>
        </w:tc>
        <w:tc>
          <w:tcPr>
            <w:tcW w:w="907" w:type="dxa"/>
            <w:tcBorders>
              <w:top w:val="nil"/>
              <w:left w:val="nil"/>
              <w:bottom w:val="nil"/>
              <w:right w:val="nil"/>
            </w:tcBorders>
          </w:tcPr>
          <w:p w14:paraId="1BDCCDDB" w14:textId="77777777"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6" w:type="dxa"/>
            <w:tcBorders>
              <w:top w:val="nil"/>
              <w:left w:val="nil"/>
              <w:bottom w:val="nil"/>
              <w:right w:val="nil"/>
            </w:tcBorders>
          </w:tcPr>
          <w:p w14:paraId="00D20E13"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15729545"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67D52B8B"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75CA316A"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77F450AB" w14:textId="30137708"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72C7981E" w14:textId="0A2F1311" w:rsidR="00303008"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c>
          <w:tcPr>
            <w:tcW w:w="851" w:type="dxa"/>
            <w:gridSpan w:val="2"/>
            <w:tcBorders>
              <w:top w:val="nil"/>
              <w:left w:val="nil"/>
              <w:bottom w:val="nil"/>
              <w:right w:val="nil"/>
            </w:tcBorders>
          </w:tcPr>
          <w:p w14:paraId="6E23BB98" w14:textId="4AFB3B55"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Pr>
                <w:rFonts w:ascii="Garamond" w:eastAsia="Times New Roman" w:hAnsi="Garamond" w:cs="Times New Roman"/>
                <w:sz w:val="20"/>
                <w:szCs w:val="20"/>
              </w:rPr>
              <w:t>X</w:t>
            </w:r>
          </w:p>
        </w:tc>
      </w:tr>
      <w:tr w:rsidR="00303008" w:rsidRPr="00D35892" w14:paraId="5B271A83" w14:textId="77777777" w:rsidTr="00C93678">
        <w:trPr>
          <w:gridAfter w:val="1"/>
          <w:wAfter w:w="126" w:type="dxa"/>
          <w:jc w:val="center"/>
        </w:trPr>
        <w:tc>
          <w:tcPr>
            <w:tcW w:w="1870" w:type="dxa"/>
            <w:tcBorders>
              <w:top w:val="nil"/>
              <w:left w:val="nil"/>
              <w:bottom w:val="nil"/>
              <w:right w:val="nil"/>
            </w:tcBorders>
          </w:tcPr>
          <w:p w14:paraId="2C934C3E" w14:textId="77777777" w:rsidR="00303008" w:rsidRPr="0020722A" w:rsidRDefault="00303008" w:rsidP="0020722A">
            <w:pPr>
              <w:widowControl w:val="0"/>
              <w:autoSpaceDE w:val="0"/>
              <w:autoSpaceDN w:val="0"/>
              <w:adjustRightInd w:val="0"/>
              <w:spacing w:before="240" w:after="0" w:line="240" w:lineRule="auto"/>
              <w:contextualSpacing/>
              <w:rPr>
                <w:rFonts w:ascii="Garamond" w:eastAsia="Times New Roman" w:hAnsi="Garamond" w:cs="Times New Roman"/>
                <w:sz w:val="20"/>
                <w:szCs w:val="20"/>
              </w:rPr>
            </w:pPr>
          </w:p>
        </w:tc>
        <w:tc>
          <w:tcPr>
            <w:tcW w:w="907" w:type="dxa"/>
            <w:tcBorders>
              <w:top w:val="nil"/>
              <w:left w:val="nil"/>
              <w:bottom w:val="nil"/>
              <w:right w:val="nil"/>
            </w:tcBorders>
          </w:tcPr>
          <w:p w14:paraId="29E0B13B" w14:textId="77777777"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6" w:type="dxa"/>
            <w:tcBorders>
              <w:top w:val="nil"/>
              <w:left w:val="nil"/>
              <w:bottom w:val="nil"/>
              <w:right w:val="nil"/>
            </w:tcBorders>
          </w:tcPr>
          <w:p w14:paraId="2BFBF296"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7B962946"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4ABA58E4"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0D28A16D"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69F10369" w14:textId="68D6A298"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907" w:type="dxa"/>
            <w:tcBorders>
              <w:top w:val="nil"/>
              <w:left w:val="nil"/>
              <w:bottom w:val="nil"/>
              <w:right w:val="nil"/>
            </w:tcBorders>
          </w:tcPr>
          <w:p w14:paraId="5E1CB227"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c>
          <w:tcPr>
            <w:tcW w:w="851" w:type="dxa"/>
            <w:gridSpan w:val="2"/>
            <w:tcBorders>
              <w:top w:val="nil"/>
              <w:left w:val="nil"/>
              <w:bottom w:val="nil"/>
              <w:right w:val="nil"/>
            </w:tcBorders>
          </w:tcPr>
          <w:p w14:paraId="0DEB684C" w14:textId="77777777"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p>
        </w:tc>
      </w:tr>
      <w:tr w:rsidR="00303008" w:rsidRPr="00D35892" w14:paraId="23667A3E" w14:textId="58A7DB5E" w:rsidTr="00C93678">
        <w:trPr>
          <w:gridAfter w:val="1"/>
          <w:wAfter w:w="126" w:type="dxa"/>
          <w:jc w:val="center"/>
        </w:trPr>
        <w:tc>
          <w:tcPr>
            <w:tcW w:w="1870" w:type="dxa"/>
            <w:tcBorders>
              <w:top w:val="nil"/>
              <w:left w:val="nil"/>
              <w:bottom w:val="nil"/>
              <w:right w:val="nil"/>
            </w:tcBorders>
          </w:tcPr>
          <w:p w14:paraId="67C7E086" w14:textId="77777777" w:rsidR="00303008" w:rsidRPr="0020722A" w:rsidRDefault="00303008" w:rsidP="0020722A">
            <w:pPr>
              <w:widowControl w:val="0"/>
              <w:autoSpaceDE w:val="0"/>
              <w:autoSpaceDN w:val="0"/>
              <w:adjustRightInd w:val="0"/>
              <w:spacing w:before="240" w:after="0" w:line="240" w:lineRule="auto"/>
              <w:contextualSpacing/>
              <w:rPr>
                <w:rFonts w:ascii="Garamond" w:eastAsia="Times New Roman" w:hAnsi="Garamond" w:cs="Times New Roman"/>
                <w:sz w:val="20"/>
                <w:szCs w:val="20"/>
              </w:rPr>
            </w:pPr>
            <w:r w:rsidRPr="0020722A">
              <w:rPr>
                <w:rFonts w:ascii="Garamond" w:eastAsia="Times New Roman" w:hAnsi="Garamond" w:cs="Times New Roman"/>
                <w:sz w:val="20"/>
                <w:szCs w:val="20"/>
              </w:rPr>
              <w:t>N</w:t>
            </w:r>
          </w:p>
        </w:tc>
        <w:tc>
          <w:tcPr>
            <w:tcW w:w="907" w:type="dxa"/>
            <w:tcBorders>
              <w:top w:val="nil"/>
              <w:left w:val="nil"/>
              <w:bottom w:val="nil"/>
              <w:right w:val="nil"/>
            </w:tcBorders>
          </w:tcPr>
          <w:p w14:paraId="79FD600C" w14:textId="56919ADC"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8017D">
              <w:rPr>
                <w:rFonts w:ascii="Garamond" w:hAnsi="Garamond" w:cs="Times New Roman"/>
                <w:sz w:val="20"/>
                <w:szCs w:val="20"/>
              </w:rPr>
              <w:t>17,010</w:t>
            </w:r>
          </w:p>
        </w:tc>
        <w:tc>
          <w:tcPr>
            <w:tcW w:w="906" w:type="dxa"/>
            <w:tcBorders>
              <w:top w:val="nil"/>
              <w:left w:val="nil"/>
              <w:bottom w:val="nil"/>
              <w:right w:val="nil"/>
            </w:tcBorders>
          </w:tcPr>
          <w:p w14:paraId="085AB7BB" w14:textId="2AEEC988"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FB7964">
              <w:rPr>
                <w:rFonts w:ascii="Garamond" w:hAnsi="Garamond" w:cs="Times New Roman"/>
                <w:sz w:val="20"/>
                <w:szCs w:val="20"/>
              </w:rPr>
              <w:t>17,010</w:t>
            </w:r>
          </w:p>
        </w:tc>
        <w:tc>
          <w:tcPr>
            <w:tcW w:w="907" w:type="dxa"/>
            <w:tcBorders>
              <w:top w:val="nil"/>
              <w:left w:val="nil"/>
              <w:bottom w:val="nil"/>
              <w:right w:val="nil"/>
            </w:tcBorders>
          </w:tcPr>
          <w:p w14:paraId="4121CC37" w14:textId="08CACD71" w:rsidR="00303008" w:rsidRPr="0028017D" w:rsidRDefault="00303008" w:rsidP="006E5597">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28017D">
              <w:rPr>
                <w:rFonts w:ascii="Garamond" w:hAnsi="Garamond" w:cs="Times New Roman"/>
                <w:sz w:val="20"/>
                <w:szCs w:val="20"/>
              </w:rPr>
              <w:t>17,010</w:t>
            </w:r>
          </w:p>
        </w:tc>
        <w:tc>
          <w:tcPr>
            <w:tcW w:w="907" w:type="dxa"/>
            <w:tcBorders>
              <w:top w:val="nil"/>
              <w:left w:val="nil"/>
              <w:bottom w:val="nil"/>
              <w:right w:val="nil"/>
            </w:tcBorders>
          </w:tcPr>
          <w:p w14:paraId="3CDDC8A0" w14:textId="31748606"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28017D">
              <w:rPr>
                <w:rFonts w:ascii="Garamond" w:hAnsi="Garamond" w:cs="Times New Roman"/>
                <w:sz w:val="20"/>
                <w:szCs w:val="20"/>
              </w:rPr>
              <w:t>17,010</w:t>
            </w:r>
          </w:p>
        </w:tc>
        <w:tc>
          <w:tcPr>
            <w:tcW w:w="907" w:type="dxa"/>
            <w:tcBorders>
              <w:top w:val="nil"/>
              <w:left w:val="nil"/>
              <w:bottom w:val="nil"/>
              <w:right w:val="nil"/>
            </w:tcBorders>
          </w:tcPr>
          <w:p w14:paraId="357C06AC" w14:textId="1E1624A6" w:rsidR="00303008" w:rsidRPr="00026659" w:rsidRDefault="00303008" w:rsidP="006E5597">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660FAD">
              <w:rPr>
                <w:rFonts w:ascii="Garamond" w:hAnsi="Garamond" w:cs="Times New Roman"/>
                <w:sz w:val="20"/>
                <w:szCs w:val="20"/>
              </w:rPr>
              <w:t>17,010</w:t>
            </w:r>
          </w:p>
        </w:tc>
        <w:tc>
          <w:tcPr>
            <w:tcW w:w="907" w:type="dxa"/>
            <w:tcBorders>
              <w:top w:val="nil"/>
              <w:left w:val="nil"/>
              <w:bottom w:val="nil"/>
              <w:right w:val="nil"/>
            </w:tcBorders>
          </w:tcPr>
          <w:p w14:paraId="3A978608" w14:textId="6AC57DE7" w:rsidR="00303008" w:rsidRPr="0028017D" w:rsidRDefault="00303008" w:rsidP="006E5597">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28017D">
              <w:rPr>
                <w:rFonts w:ascii="Garamond" w:hAnsi="Garamond" w:cs="Times New Roman"/>
                <w:sz w:val="20"/>
                <w:szCs w:val="20"/>
              </w:rPr>
              <w:t>17,010</w:t>
            </w:r>
          </w:p>
        </w:tc>
        <w:tc>
          <w:tcPr>
            <w:tcW w:w="907" w:type="dxa"/>
            <w:tcBorders>
              <w:top w:val="nil"/>
              <w:left w:val="nil"/>
              <w:bottom w:val="nil"/>
              <w:right w:val="nil"/>
            </w:tcBorders>
          </w:tcPr>
          <w:p w14:paraId="61FDB56C" w14:textId="232002A6" w:rsidR="00303008" w:rsidRPr="0028017D" w:rsidRDefault="00303008" w:rsidP="006E5597">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660FAD">
              <w:rPr>
                <w:rFonts w:ascii="Garamond" w:hAnsi="Garamond" w:cs="Times New Roman"/>
                <w:sz w:val="20"/>
                <w:szCs w:val="20"/>
              </w:rPr>
              <w:t>17,010</w:t>
            </w:r>
          </w:p>
        </w:tc>
        <w:tc>
          <w:tcPr>
            <w:tcW w:w="851" w:type="dxa"/>
            <w:gridSpan w:val="2"/>
            <w:tcBorders>
              <w:top w:val="nil"/>
              <w:left w:val="nil"/>
              <w:bottom w:val="nil"/>
              <w:right w:val="nil"/>
            </w:tcBorders>
          </w:tcPr>
          <w:p w14:paraId="5D25EC3D" w14:textId="1E125AD2" w:rsidR="00303008" w:rsidRPr="0028017D" w:rsidRDefault="00303008" w:rsidP="006E5597">
            <w:pPr>
              <w:widowControl w:val="0"/>
              <w:autoSpaceDE w:val="0"/>
              <w:autoSpaceDN w:val="0"/>
              <w:adjustRightInd w:val="0"/>
              <w:spacing w:before="240" w:after="0" w:line="240" w:lineRule="auto"/>
              <w:contextualSpacing/>
              <w:jc w:val="center"/>
              <w:rPr>
                <w:rFonts w:ascii="Garamond" w:hAnsi="Garamond" w:cs="Times New Roman"/>
                <w:sz w:val="20"/>
                <w:szCs w:val="20"/>
              </w:rPr>
            </w:pPr>
            <w:r w:rsidRPr="00660FAD">
              <w:rPr>
                <w:rFonts w:ascii="Garamond" w:hAnsi="Garamond" w:cs="Times New Roman"/>
                <w:sz w:val="20"/>
                <w:szCs w:val="20"/>
              </w:rPr>
              <w:t>17,010</w:t>
            </w:r>
          </w:p>
        </w:tc>
      </w:tr>
      <w:tr w:rsidR="00303008" w:rsidRPr="00D35892" w14:paraId="2DB10870" w14:textId="6F49DAEE" w:rsidTr="00C93678">
        <w:tblPrEx>
          <w:tblBorders>
            <w:bottom w:val="single" w:sz="6" w:space="0" w:color="auto"/>
          </w:tblBorders>
        </w:tblPrEx>
        <w:trPr>
          <w:gridAfter w:val="1"/>
          <w:wAfter w:w="126" w:type="dxa"/>
          <w:jc w:val="center"/>
        </w:trPr>
        <w:tc>
          <w:tcPr>
            <w:tcW w:w="1870" w:type="dxa"/>
            <w:tcBorders>
              <w:top w:val="nil"/>
              <w:left w:val="nil"/>
              <w:bottom w:val="single" w:sz="4" w:space="0" w:color="auto"/>
              <w:right w:val="nil"/>
            </w:tcBorders>
          </w:tcPr>
          <w:p w14:paraId="2D6C6761" w14:textId="77777777" w:rsidR="00303008" w:rsidRPr="0020722A" w:rsidRDefault="00303008" w:rsidP="0020722A">
            <w:pPr>
              <w:widowControl w:val="0"/>
              <w:autoSpaceDE w:val="0"/>
              <w:autoSpaceDN w:val="0"/>
              <w:adjustRightInd w:val="0"/>
              <w:spacing w:before="240" w:after="0" w:line="240" w:lineRule="auto"/>
              <w:contextualSpacing/>
              <w:rPr>
                <w:rFonts w:ascii="Garamond" w:eastAsia="Times New Roman" w:hAnsi="Garamond" w:cs="Times New Roman"/>
                <w:sz w:val="20"/>
                <w:szCs w:val="20"/>
              </w:rPr>
            </w:pPr>
            <w:r w:rsidRPr="0020722A">
              <w:rPr>
                <w:rFonts w:ascii="Garamond" w:eastAsia="Times New Roman" w:hAnsi="Garamond" w:cs="Times New Roman"/>
                <w:sz w:val="20"/>
                <w:szCs w:val="20"/>
              </w:rPr>
              <w:t>N countries</w:t>
            </w:r>
          </w:p>
        </w:tc>
        <w:tc>
          <w:tcPr>
            <w:tcW w:w="907" w:type="dxa"/>
            <w:tcBorders>
              <w:top w:val="nil"/>
              <w:left w:val="nil"/>
              <w:bottom w:val="single" w:sz="4" w:space="0" w:color="auto"/>
              <w:right w:val="nil"/>
            </w:tcBorders>
          </w:tcPr>
          <w:p w14:paraId="32C6B953" w14:textId="5E465D4F"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026659">
              <w:rPr>
                <w:rFonts w:ascii="Garamond" w:eastAsia="Times New Roman" w:hAnsi="Garamond" w:cs="Times New Roman"/>
                <w:sz w:val="20"/>
                <w:szCs w:val="20"/>
              </w:rPr>
              <w:t>50</w:t>
            </w:r>
          </w:p>
        </w:tc>
        <w:tc>
          <w:tcPr>
            <w:tcW w:w="906" w:type="dxa"/>
            <w:tcBorders>
              <w:top w:val="nil"/>
              <w:left w:val="nil"/>
              <w:bottom w:val="single" w:sz="4" w:space="0" w:color="auto"/>
              <w:right w:val="nil"/>
            </w:tcBorders>
          </w:tcPr>
          <w:p w14:paraId="0CC06AC4" w14:textId="4C768454"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834B00">
              <w:rPr>
                <w:rFonts w:ascii="Garamond" w:eastAsia="Times New Roman" w:hAnsi="Garamond" w:cs="Times New Roman"/>
                <w:sz w:val="20"/>
                <w:szCs w:val="20"/>
              </w:rPr>
              <w:t>50</w:t>
            </w:r>
          </w:p>
        </w:tc>
        <w:tc>
          <w:tcPr>
            <w:tcW w:w="907" w:type="dxa"/>
            <w:tcBorders>
              <w:top w:val="nil"/>
              <w:left w:val="nil"/>
              <w:bottom w:val="single" w:sz="4" w:space="0" w:color="auto"/>
              <w:right w:val="nil"/>
            </w:tcBorders>
          </w:tcPr>
          <w:p w14:paraId="60A696F7" w14:textId="67382E08"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834B00">
              <w:rPr>
                <w:rFonts w:ascii="Garamond" w:eastAsia="Times New Roman" w:hAnsi="Garamond" w:cs="Times New Roman"/>
                <w:sz w:val="20"/>
                <w:szCs w:val="20"/>
              </w:rPr>
              <w:t>50</w:t>
            </w:r>
          </w:p>
        </w:tc>
        <w:tc>
          <w:tcPr>
            <w:tcW w:w="907" w:type="dxa"/>
            <w:tcBorders>
              <w:top w:val="nil"/>
              <w:left w:val="nil"/>
              <w:bottom w:val="single" w:sz="4" w:space="0" w:color="auto"/>
              <w:right w:val="nil"/>
            </w:tcBorders>
          </w:tcPr>
          <w:p w14:paraId="12038FD1" w14:textId="631C8891"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834B00">
              <w:rPr>
                <w:rFonts w:ascii="Garamond" w:eastAsia="Times New Roman" w:hAnsi="Garamond" w:cs="Times New Roman"/>
                <w:sz w:val="20"/>
                <w:szCs w:val="20"/>
              </w:rPr>
              <w:t>50</w:t>
            </w:r>
          </w:p>
        </w:tc>
        <w:tc>
          <w:tcPr>
            <w:tcW w:w="907" w:type="dxa"/>
            <w:tcBorders>
              <w:top w:val="nil"/>
              <w:left w:val="nil"/>
              <w:bottom w:val="single" w:sz="4" w:space="0" w:color="auto"/>
              <w:right w:val="nil"/>
            </w:tcBorders>
          </w:tcPr>
          <w:p w14:paraId="3AF56BBE" w14:textId="5288AAC7"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660FAD">
              <w:rPr>
                <w:rFonts w:ascii="Garamond" w:eastAsia="Times New Roman" w:hAnsi="Garamond" w:cs="Times New Roman"/>
                <w:sz w:val="20"/>
                <w:szCs w:val="20"/>
              </w:rPr>
              <w:t>50</w:t>
            </w:r>
          </w:p>
        </w:tc>
        <w:tc>
          <w:tcPr>
            <w:tcW w:w="907" w:type="dxa"/>
            <w:tcBorders>
              <w:top w:val="nil"/>
              <w:left w:val="nil"/>
              <w:bottom w:val="single" w:sz="4" w:space="0" w:color="auto"/>
              <w:right w:val="nil"/>
            </w:tcBorders>
          </w:tcPr>
          <w:p w14:paraId="7F60E26E" w14:textId="7218C2C8" w:rsidR="00303008" w:rsidRPr="00834B00"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834B00">
              <w:rPr>
                <w:rFonts w:ascii="Garamond" w:eastAsia="Times New Roman" w:hAnsi="Garamond" w:cs="Times New Roman"/>
                <w:sz w:val="20"/>
                <w:szCs w:val="20"/>
              </w:rPr>
              <w:t>50</w:t>
            </w:r>
          </w:p>
        </w:tc>
        <w:tc>
          <w:tcPr>
            <w:tcW w:w="907" w:type="dxa"/>
            <w:tcBorders>
              <w:top w:val="nil"/>
              <w:left w:val="nil"/>
              <w:bottom w:val="single" w:sz="4" w:space="0" w:color="auto"/>
              <w:right w:val="nil"/>
            </w:tcBorders>
          </w:tcPr>
          <w:p w14:paraId="42DB8D79" w14:textId="4132ECD3"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660FAD">
              <w:rPr>
                <w:rFonts w:ascii="Garamond" w:eastAsia="Times New Roman" w:hAnsi="Garamond" w:cs="Times New Roman"/>
                <w:sz w:val="20"/>
                <w:szCs w:val="20"/>
              </w:rPr>
              <w:t>50</w:t>
            </w:r>
          </w:p>
        </w:tc>
        <w:tc>
          <w:tcPr>
            <w:tcW w:w="851" w:type="dxa"/>
            <w:gridSpan w:val="2"/>
            <w:tcBorders>
              <w:top w:val="nil"/>
              <w:left w:val="nil"/>
              <w:bottom w:val="single" w:sz="4" w:space="0" w:color="auto"/>
              <w:right w:val="nil"/>
            </w:tcBorders>
          </w:tcPr>
          <w:p w14:paraId="7BCF2A01" w14:textId="59B43FE1" w:rsidR="00303008" w:rsidRPr="00026659" w:rsidRDefault="00303008" w:rsidP="006E5597">
            <w:pPr>
              <w:widowControl w:val="0"/>
              <w:autoSpaceDE w:val="0"/>
              <w:autoSpaceDN w:val="0"/>
              <w:adjustRightInd w:val="0"/>
              <w:spacing w:before="240" w:after="0" w:line="240" w:lineRule="auto"/>
              <w:contextualSpacing/>
              <w:jc w:val="center"/>
              <w:rPr>
                <w:rFonts w:ascii="Garamond" w:eastAsia="Times New Roman" w:hAnsi="Garamond" w:cs="Times New Roman"/>
                <w:sz w:val="20"/>
                <w:szCs w:val="20"/>
              </w:rPr>
            </w:pPr>
            <w:r w:rsidRPr="00660FAD">
              <w:rPr>
                <w:rFonts w:ascii="Garamond" w:eastAsia="Times New Roman" w:hAnsi="Garamond" w:cs="Times New Roman"/>
                <w:sz w:val="20"/>
                <w:szCs w:val="20"/>
              </w:rPr>
              <w:t>50</w:t>
            </w:r>
          </w:p>
        </w:tc>
      </w:tr>
      <w:tr w:rsidR="00026659" w:rsidRPr="00D35892" w14:paraId="4F629914" w14:textId="5E180CF0" w:rsidTr="00C93678">
        <w:tblPrEx>
          <w:tblBorders>
            <w:bottom w:val="single" w:sz="6" w:space="0" w:color="auto"/>
          </w:tblBorders>
        </w:tblPrEx>
        <w:trPr>
          <w:gridAfter w:val="2"/>
          <w:wAfter w:w="177" w:type="dxa"/>
          <w:jc w:val="center"/>
        </w:trPr>
        <w:tc>
          <w:tcPr>
            <w:tcW w:w="9018" w:type="dxa"/>
            <w:gridSpan w:val="9"/>
            <w:tcBorders>
              <w:top w:val="single" w:sz="4" w:space="0" w:color="auto"/>
              <w:left w:val="nil"/>
              <w:bottom w:val="nil"/>
              <w:right w:val="nil"/>
            </w:tcBorders>
          </w:tcPr>
          <w:p w14:paraId="1C75699A" w14:textId="492BC9BC" w:rsidR="00026659" w:rsidRPr="0020722A" w:rsidRDefault="00026659" w:rsidP="006E5597">
            <w:pPr>
              <w:widowControl w:val="0"/>
              <w:autoSpaceDE w:val="0"/>
              <w:autoSpaceDN w:val="0"/>
              <w:adjustRightInd w:val="0"/>
              <w:spacing w:before="240" w:after="0" w:line="240" w:lineRule="auto"/>
              <w:contextualSpacing/>
              <w:jc w:val="both"/>
              <w:rPr>
                <w:rFonts w:ascii="Garamond" w:eastAsia="Times New Roman" w:hAnsi="Garamond" w:cs="Times New Roman"/>
                <w:sz w:val="20"/>
                <w:szCs w:val="20"/>
              </w:rPr>
            </w:pPr>
            <w:r w:rsidRPr="0020722A">
              <w:rPr>
                <w:rFonts w:ascii="Garamond" w:eastAsia="Times New Roman" w:hAnsi="Garamond" w:cs="Times New Roman"/>
                <w:i/>
                <w:sz w:val="20"/>
                <w:szCs w:val="20"/>
              </w:rPr>
              <w:t>Note:</w:t>
            </w:r>
            <w:r w:rsidRPr="0020722A">
              <w:rPr>
                <w:rFonts w:ascii="Garamond" w:eastAsia="Times New Roman" w:hAnsi="Garamond" w:cs="Times New Roman"/>
                <w:sz w:val="20"/>
                <w:szCs w:val="20"/>
              </w:rPr>
              <w:t xml:space="preserve"> </w:t>
            </w:r>
            <w:r w:rsidR="006F0ADF">
              <w:rPr>
                <w:rFonts w:ascii="Garamond" w:eastAsia="Times New Roman" w:hAnsi="Garamond" w:cs="Times New Roman"/>
                <w:sz w:val="20"/>
                <w:szCs w:val="20"/>
                <w:lang w:val="en-GB"/>
              </w:rPr>
              <w:t>C</w:t>
            </w:r>
            <w:r w:rsidR="006F0ADF" w:rsidRPr="006F0ADF">
              <w:rPr>
                <w:rFonts w:ascii="Garamond" w:eastAsia="Times New Roman" w:hAnsi="Garamond" w:cs="Times New Roman"/>
                <w:sz w:val="20"/>
                <w:szCs w:val="20"/>
                <w:lang w:val="en-GB"/>
              </w:rPr>
              <w:t xml:space="preserve">ountry fixed-effects </w:t>
            </w:r>
            <w:r w:rsidR="006F0ADF">
              <w:rPr>
                <w:rFonts w:ascii="Garamond" w:eastAsia="Times New Roman" w:hAnsi="Garamond" w:cs="Times New Roman"/>
                <w:sz w:val="20"/>
                <w:szCs w:val="20"/>
                <w:lang w:val="en-GB"/>
              </w:rPr>
              <w:t xml:space="preserve">and the constant </w:t>
            </w:r>
            <w:r w:rsidR="006F0ADF" w:rsidRPr="006F0ADF">
              <w:rPr>
                <w:rFonts w:ascii="Garamond" w:eastAsia="Times New Roman" w:hAnsi="Garamond" w:cs="Times New Roman"/>
                <w:sz w:val="20"/>
                <w:szCs w:val="20"/>
                <w:lang w:val="en-GB"/>
              </w:rPr>
              <w:t>are eliminated by the within transformation</w:t>
            </w:r>
            <w:r w:rsidR="006F0ADF">
              <w:rPr>
                <w:rFonts w:ascii="Garamond" w:eastAsia="Times New Roman" w:hAnsi="Garamond" w:cs="Times New Roman"/>
                <w:sz w:val="20"/>
                <w:szCs w:val="20"/>
                <w:lang w:val="en-GB"/>
              </w:rPr>
              <w:t>.</w:t>
            </w:r>
            <w:r w:rsidR="006F0ADF" w:rsidRPr="006F0ADF">
              <w:rPr>
                <w:rFonts w:ascii="Garamond" w:eastAsia="Times New Roman" w:hAnsi="Garamond" w:cs="Times New Roman"/>
                <w:sz w:val="20"/>
                <w:szCs w:val="20"/>
              </w:rPr>
              <w:t xml:space="preserve"> </w:t>
            </w:r>
            <w:r w:rsidRPr="0020722A">
              <w:rPr>
                <w:rFonts w:ascii="Garamond" w:eastAsia="Times New Roman" w:hAnsi="Garamond" w:cs="Times New Roman"/>
                <w:sz w:val="20"/>
                <w:szCs w:val="20"/>
              </w:rPr>
              <w:t>Robust standard errors, clustered at country</w:t>
            </w:r>
            <w:r>
              <w:rPr>
                <w:rFonts w:ascii="Garamond" w:eastAsia="Times New Roman" w:hAnsi="Garamond" w:cs="Times New Roman"/>
                <w:sz w:val="20"/>
                <w:szCs w:val="20"/>
              </w:rPr>
              <w:t xml:space="preserve"> level</w:t>
            </w:r>
            <w:r w:rsidRPr="0020722A">
              <w:rPr>
                <w:rFonts w:ascii="Garamond" w:eastAsia="Times New Roman" w:hAnsi="Garamond" w:cs="Times New Roman"/>
                <w:sz w:val="20"/>
                <w:szCs w:val="20"/>
              </w:rPr>
              <w:t xml:space="preserve">, </w:t>
            </w:r>
            <w:r w:rsidR="006F0ADF">
              <w:rPr>
                <w:rFonts w:ascii="Garamond" w:eastAsia="Times New Roman" w:hAnsi="Garamond" w:cs="Times New Roman"/>
                <w:sz w:val="20"/>
                <w:szCs w:val="20"/>
              </w:rPr>
              <w:t xml:space="preserve">are </w:t>
            </w:r>
            <w:r w:rsidRPr="0020722A">
              <w:rPr>
                <w:rFonts w:ascii="Garamond" w:eastAsia="Times New Roman" w:hAnsi="Garamond" w:cs="Times New Roman"/>
                <w:sz w:val="20"/>
                <w:szCs w:val="20"/>
              </w:rPr>
              <w:t>in parentheses. *** p&lt;0.001, ** p&lt;0.01, * p&lt;0.05</w:t>
            </w:r>
          </w:p>
          <w:p w14:paraId="6D8688A9" w14:textId="77777777" w:rsidR="00026659" w:rsidRPr="0020722A" w:rsidRDefault="00026659" w:rsidP="006E5597">
            <w:pPr>
              <w:widowControl w:val="0"/>
              <w:autoSpaceDE w:val="0"/>
              <w:autoSpaceDN w:val="0"/>
              <w:adjustRightInd w:val="0"/>
              <w:spacing w:before="240" w:after="0" w:line="240" w:lineRule="auto"/>
              <w:contextualSpacing/>
              <w:jc w:val="both"/>
              <w:rPr>
                <w:rFonts w:ascii="Garamond" w:eastAsia="Times New Roman" w:hAnsi="Garamond" w:cs="Times New Roman"/>
                <w:i/>
                <w:sz w:val="20"/>
                <w:szCs w:val="20"/>
              </w:rPr>
            </w:pPr>
          </w:p>
        </w:tc>
      </w:tr>
    </w:tbl>
    <w:p w14:paraId="4B1EEBB8" w14:textId="77777777" w:rsidR="00CC6BB5" w:rsidRDefault="00CC6BB5" w:rsidP="008A7DF5">
      <w:pPr>
        <w:spacing w:line="360" w:lineRule="auto"/>
        <w:jc w:val="both"/>
        <w:rPr>
          <w:rFonts w:ascii="Garamond" w:hAnsi="Garamond"/>
          <w:sz w:val="24"/>
          <w:szCs w:val="24"/>
        </w:rPr>
      </w:pPr>
    </w:p>
    <w:p w14:paraId="39510342" w14:textId="6FAD0814" w:rsidR="00322F75" w:rsidRPr="001243CA" w:rsidRDefault="00303008" w:rsidP="00026659">
      <w:pPr>
        <w:spacing w:line="360" w:lineRule="auto"/>
        <w:jc w:val="both"/>
        <w:rPr>
          <w:rFonts w:ascii="Garamond" w:hAnsi="Garamond"/>
          <w:sz w:val="24"/>
          <w:szCs w:val="24"/>
        </w:rPr>
      </w:pPr>
      <w:r>
        <w:rPr>
          <w:rFonts w:ascii="Garamond" w:hAnsi="Garamond"/>
          <w:sz w:val="24"/>
          <w:szCs w:val="24"/>
        </w:rPr>
        <w:lastRenderedPageBreak/>
        <w:t>Notice that column (</w:t>
      </w:r>
      <w:r w:rsidR="00026659">
        <w:rPr>
          <w:rFonts w:ascii="Garamond" w:hAnsi="Garamond"/>
          <w:sz w:val="24"/>
          <w:szCs w:val="24"/>
        </w:rPr>
        <w:t>6</w:t>
      </w:r>
      <w:r>
        <w:rPr>
          <w:rFonts w:ascii="Garamond" w:hAnsi="Garamond"/>
          <w:sz w:val="24"/>
          <w:szCs w:val="24"/>
        </w:rPr>
        <w:t>) to (8) account</w:t>
      </w:r>
      <w:r w:rsidR="00026659">
        <w:rPr>
          <w:rFonts w:ascii="Garamond" w:hAnsi="Garamond"/>
          <w:sz w:val="24"/>
          <w:szCs w:val="24"/>
        </w:rPr>
        <w:t xml:space="preserve"> for general and for country-specific time trends. </w:t>
      </w:r>
      <w:r w:rsidR="00956190">
        <w:rPr>
          <w:rFonts w:ascii="Garamond" w:hAnsi="Garamond"/>
          <w:sz w:val="24"/>
          <w:szCs w:val="24"/>
        </w:rPr>
        <w:t>Among other unobservable trends, t</w:t>
      </w:r>
      <w:r w:rsidR="00307C71">
        <w:rPr>
          <w:rFonts w:ascii="Garamond" w:hAnsi="Garamond"/>
          <w:sz w:val="24"/>
          <w:szCs w:val="24"/>
        </w:rPr>
        <w:t>h</w:t>
      </w:r>
      <w:r w:rsidR="00026659">
        <w:rPr>
          <w:rFonts w:ascii="Garamond" w:hAnsi="Garamond"/>
          <w:sz w:val="24"/>
          <w:szCs w:val="24"/>
        </w:rPr>
        <w:t>e</w:t>
      </w:r>
      <w:r w:rsidR="00307C71">
        <w:rPr>
          <w:rFonts w:ascii="Garamond" w:hAnsi="Garamond"/>
          <w:sz w:val="24"/>
          <w:szCs w:val="24"/>
        </w:rPr>
        <w:t>s</w:t>
      </w:r>
      <w:r w:rsidR="00026659">
        <w:rPr>
          <w:rFonts w:ascii="Garamond" w:hAnsi="Garamond"/>
          <w:sz w:val="24"/>
          <w:szCs w:val="24"/>
        </w:rPr>
        <w:t>e</w:t>
      </w:r>
      <w:r w:rsidR="00307C71">
        <w:rPr>
          <w:rFonts w:ascii="Garamond" w:hAnsi="Garamond"/>
          <w:sz w:val="24"/>
          <w:szCs w:val="24"/>
        </w:rPr>
        <w:t xml:space="preserve"> analys</w:t>
      </w:r>
      <w:r w:rsidR="00026659">
        <w:rPr>
          <w:rFonts w:ascii="Garamond" w:hAnsi="Garamond"/>
          <w:sz w:val="24"/>
          <w:szCs w:val="24"/>
        </w:rPr>
        <w:t>e</w:t>
      </w:r>
      <w:r w:rsidR="00307C71">
        <w:rPr>
          <w:rFonts w:ascii="Garamond" w:hAnsi="Garamond"/>
          <w:sz w:val="24"/>
          <w:szCs w:val="24"/>
        </w:rPr>
        <w:t xml:space="preserve">s account for evolution </w:t>
      </w:r>
      <w:r w:rsidR="00956190">
        <w:rPr>
          <w:rFonts w:ascii="Garamond" w:hAnsi="Garamond"/>
          <w:sz w:val="24"/>
          <w:szCs w:val="24"/>
        </w:rPr>
        <w:t xml:space="preserve">and spread </w:t>
      </w:r>
      <w:r w:rsidR="00307C71">
        <w:rPr>
          <w:rFonts w:ascii="Garamond" w:hAnsi="Garamond"/>
          <w:sz w:val="24"/>
          <w:szCs w:val="24"/>
        </w:rPr>
        <w:t>over time</w:t>
      </w:r>
      <w:r w:rsidR="00956190">
        <w:rPr>
          <w:rFonts w:ascii="Garamond" w:hAnsi="Garamond"/>
          <w:sz w:val="24"/>
          <w:szCs w:val="24"/>
        </w:rPr>
        <w:t xml:space="preserve"> of television and internet</w:t>
      </w:r>
      <w:r w:rsidR="006F37ED">
        <w:rPr>
          <w:rFonts w:ascii="Garamond" w:hAnsi="Garamond"/>
          <w:sz w:val="24"/>
          <w:szCs w:val="24"/>
        </w:rPr>
        <w:t>. T</w:t>
      </w:r>
      <w:r w:rsidR="00307C71">
        <w:rPr>
          <w:rFonts w:ascii="Garamond" w:hAnsi="Garamond"/>
          <w:sz w:val="24"/>
          <w:szCs w:val="24"/>
        </w:rPr>
        <w:t>his point is discussed in Section 5.</w:t>
      </w:r>
    </w:p>
    <w:p w14:paraId="6DB5B84A" w14:textId="5CE17831" w:rsidR="008E2BA2" w:rsidRPr="008E2BA2" w:rsidRDefault="00165B46" w:rsidP="008E2BA2">
      <w:pPr>
        <w:pStyle w:val="Titolo1"/>
        <w:rPr>
          <w:rFonts w:ascii="Garamond" w:hAnsi="Garamond"/>
          <w:lang w:val="en-GB"/>
        </w:rPr>
      </w:pPr>
      <w:r w:rsidRPr="006F4A10">
        <w:rPr>
          <w:rFonts w:ascii="Garamond" w:hAnsi="Garamond"/>
          <w:lang w:val="en-GB"/>
        </w:rPr>
        <w:t>4 Robustness</w:t>
      </w:r>
      <w:r w:rsidR="00962DD2">
        <w:rPr>
          <w:rFonts w:ascii="Garamond" w:hAnsi="Garamond"/>
          <w:lang w:val="en-GB"/>
        </w:rPr>
        <w:t xml:space="preserve"> checks</w:t>
      </w:r>
    </w:p>
    <w:p w14:paraId="5485657B" w14:textId="45B8F83A" w:rsidR="005B206C" w:rsidRDefault="00307C71" w:rsidP="00AB17C3">
      <w:pPr>
        <w:spacing w:line="360" w:lineRule="auto"/>
        <w:jc w:val="both"/>
        <w:rPr>
          <w:rFonts w:ascii="Garamond" w:hAnsi="Garamond"/>
          <w:sz w:val="24"/>
          <w:szCs w:val="24"/>
        </w:rPr>
      </w:pPr>
      <w:r>
        <w:rPr>
          <w:rFonts w:ascii="Garamond" w:hAnsi="Garamond"/>
          <w:sz w:val="24"/>
          <w:szCs w:val="24"/>
          <w:lang w:val="en-GB"/>
        </w:rPr>
        <w:t>W</w:t>
      </w:r>
      <w:r w:rsidR="00B30233">
        <w:rPr>
          <w:rFonts w:ascii="Garamond" w:hAnsi="Garamond"/>
          <w:sz w:val="24"/>
          <w:szCs w:val="24"/>
          <w:lang w:val="en-GB"/>
        </w:rPr>
        <w:t xml:space="preserve">e </w:t>
      </w:r>
      <w:r w:rsidR="00026659">
        <w:rPr>
          <w:rFonts w:ascii="Garamond" w:hAnsi="Garamond"/>
          <w:sz w:val="24"/>
          <w:szCs w:val="24"/>
          <w:lang w:val="en-GB"/>
        </w:rPr>
        <w:t>conduct</w:t>
      </w:r>
      <w:r w:rsidR="00026659" w:rsidRPr="008E2BA2">
        <w:rPr>
          <w:rFonts w:ascii="Garamond" w:hAnsi="Garamond"/>
          <w:sz w:val="24"/>
          <w:szCs w:val="24"/>
          <w:lang w:val="en-GB"/>
        </w:rPr>
        <w:t xml:space="preserve"> </w:t>
      </w:r>
      <w:r w:rsidR="00026659">
        <w:rPr>
          <w:rFonts w:ascii="Garamond" w:hAnsi="Garamond"/>
          <w:sz w:val="24"/>
          <w:szCs w:val="24"/>
          <w:lang w:val="en-GB"/>
        </w:rPr>
        <w:t xml:space="preserve">a </w:t>
      </w:r>
      <w:r w:rsidR="00C53CEC">
        <w:rPr>
          <w:rFonts w:ascii="Garamond" w:hAnsi="Garamond"/>
          <w:sz w:val="24"/>
          <w:szCs w:val="24"/>
          <w:lang w:val="en-GB"/>
        </w:rPr>
        <w:t>four</w:t>
      </w:r>
      <w:r w:rsidR="00026659">
        <w:rPr>
          <w:rFonts w:ascii="Garamond" w:hAnsi="Garamond"/>
          <w:sz w:val="24"/>
          <w:szCs w:val="24"/>
          <w:lang w:val="en-GB"/>
        </w:rPr>
        <w:t xml:space="preserve"> falsification tests</w:t>
      </w:r>
      <w:r w:rsidR="008E2BA2" w:rsidRPr="008E2BA2">
        <w:rPr>
          <w:rFonts w:ascii="Garamond" w:hAnsi="Garamond"/>
          <w:sz w:val="24"/>
          <w:szCs w:val="24"/>
          <w:lang w:val="en-GB"/>
        </w:rPr>
        <w:t xml:space="preserve">. </w:t>
      </w:r>
      <w:r w:rsidR="000C2BD4">
        <w:rPr>
          <w:rFonts w:ascii="Garamond" w:hAnsi="Garamond"/>
          <w:sz w:val="24"/>
          <w:szCs w:val="24"/>
          <w:lang w:val="en-GB"/>
        </w:rPr>
        <w:t xml:space="preserve">First, </w:t>
      </w:r>
      <w:r w:rsidR="000C2BD4" w:rsidRPr="000C2BD4">
        <w:rPr>
          <w:rFonts w:ascii="Garamond" w:hAnsi="Garamond"/>
          <w:sz w:val="24"/>
          <w:szCs w:val="24"/>
        </w:rPr>
        <w:t xml:space="preserve">we conduct </w:t>
      </w:r>
      <w:r w:rsidR="000C2BD4">
        <w:rPr>
          <w:rFonts w:ascii="Garamond" w:hAnsi="Garamond"/>
          <w:sz w:val="24"/>
          <w:szCs w:val="24"/>
        </w:rPr>
        <w:t>analys</w:t>
      </w:r>
      <w:r w:rsidR="00CC6BB5">
        <w:rPr>
          <w:rFonts w:ascii="Garamond" w:hAnsi="Garamond"/>
          <w:sz w:val="24"/>
          <w:szCs w:val="24"/>
        </w:rPr>
        <w:t>e</w:t>
      </w:r>
      <w:r w:rsidR="000C2BD4">
        <w:rPr>
          <w:rFonts w:ascii="Garamond" w:hAnsi="Garamond"/>
          <w:sz w:val="24"/>
          <w:szCs w:val="24"/>
        </w:rPr>
        <w:t>s</w:t>
      </w:r>
      <w:r w:rsidR="003D366A">
        <w:rPr>
          <w:rFonts w:ascii="Garamond" w:hAnsi="Garamond"/>
          <w:sz w:val="24"/>
          <w:szCs w:val="24"/>
        </w:rPr>
        <w:t xml:space="preserve"> </w:t>
      </w:r>
      <w:r w:rsidR="00CC6BB5">
        <w:rPr>
          <w:rFonts w:ascii="Garamond" w:hAnsi="Garamond"/>
          <w:sz w:val="24"/>
          <w:szCs w:val="24"/>
        </w:rPr>
        <w:t>on</w:t>
      </w:r>
      <w:r w:rsidR="003D366A">
        <w:rPr>
          <w:rFonts w:ascii="Garamond" w:hAnsi="Garamond"/>
          <w:sz w:val="24"/>
          <w:szCs w:val="24"/>
        </w:rPr>
        <w:t xml:space="preserve"> </w:t>
      </w:r>
      <w:r w:rsidR="003D366A" w:rsidRPr="003D366A">
        <w:rPr>
          <w:rFonts w:ascii="Garamond" w:hAnsi="Garamond"/>
          <w:sz w:val="24"/>
          <w:szCs w:val="24"/>
        </w:rPr>
        <w:t xml:space="preserve">births </w:t>
      </w:r>
      <w:r w:rsidR="00BF2395">
        <w:rPr>
          <w:rFonts w:ascii="Garamond" w:hAnsi="Garamond"/>
          <w:sz w:val="24"/>
          <w:szCs w:val="24"/>
        </w:rPr>
        <w:t xml:space="preserve">from </w:t>
      </w:r>
      <w:r w:rsidR="003D366A" w:rsidRPr="003D366A">
        <w:rPr>
          <w:rFonts w:ascii="Garamond" w:hAnsi="Garamond"/>
          <w:sz w:val="24"/>
          <w:szCs w:val="24"/>
        </w:rPr>
        <w:t xml:space="preserve">1 to 11 months after the competition </w:t>
      </w:r>
      <w:r w:rsidR="000C2BD4" w:rsidRPr="000C2BD4">
        <w:rPr>
          <w:rFonts w:ascii="Garamond" w:hAnsi="Garamond"/>
          <w:sz w:val="24"/>
          <w:szCs w:val="24"/>
        </w:rPr>
        <w:t xml:space="preserve">on the subsample of years </w:t>
      </w:r>
      <w:r w:rsidR="00CC6BB5">
        <w:rPr>
          <w:rFonts w:ascii="Garamond" w:hAnsi="Garamond"/>
          <w:sz w:val="24"/>
          <w:szCs w:val="24"/>
        </w:rPr>
        <w:t>when</w:t>
      </w:r>
      <w:r w:rsidR="000C2BD4">
        <w:rPr>
          <w:rFonts w:ascii="Garamond" w:hAnsi="Garamond"/>
          <w:sz w:val="24"/>
          <w:szCs w:val="24"/>
        </w:rPr>
        <w:t xml:space="preserve"> the </w:t>
      </w:r>
      <w:r w:rsidR="00E31C83">
        <w:rPr>
          <w:rFonts w:ascii="Garamond" w:hAnsi="Garamond"/>
          <w:sz w:val="24"/>
          <w:szCs w:val="24"/>
        </w:rPr>
        <w:t>tournaments were</w:t>
      </w:r>
      <w:r w:rsidR="000C2BD4" w:rsidRPr="000C2BD4">
        <w:rPr>
          <w:rFonts w:ascii="Garamond" w:hAnsi="Garamond"/>
          <w:sz w:val="24"/>
          <w:szCs w:val="24"/>
        </w:rPr>
        <w:t xml:space="preserve"> </w:t>
      </w:r>
      <w:r w:rsidR="00E31C83">
        <w:rPr>
          <w:rFonts w:ascii="Garamond" w:hAnsi="Garamond"/>
          <w:sz w:val="24"/>
          <w:szCs w:val="24"/>
        </w:rPr>
        <w:t xml:space="preserve">held </w:t>
      </w:r>
      <w:r w:rsidR="000C2BD4">
        <w:rPr>
          <w:rFonts w:ascii="Garamond" w:hAnsi="Garamond"/>
          <w:sz w:val="24"/>
          <w:szCs w:val="24"/>
        </w:rPr>
        <w:t xml:space="preserve">entirely in </w:t>
      </w:r>
      <w:r w:rsidR="00C93D61">
        <w:rPr>
          <w:rFonts w:ascii="Garamond" w:hAnsi="Garamond"/>
          <w:sz w:val="24"/>
          <w:szCs w:val="24"/>
        </w:rPr>
        <w:t xml:space="preserve">one month, either only </w:t>
      </w:r>
      <w:r w:rsidR="000C2BD4">
        <w:rPr>
          <w:rFonts w:ascii="Garamond" w:hAnsi="Garamond"/>
          <w:sz w:val="24"/>
          <w:szCs w:val="24"/>
        </w:rPr>
        <w:t>June</w:t>
      </w:r>
      <w:r w:rsidR="00C93D61">
        <w:rPr>
          <w:rFonts w:ascii="Garamond" w:hAnsi="Garamond"/>
          <w:sz w:val="24"/>
          <w:szCs w:val="24"/>
        </w:rPr>
        <w:t xml:space="preserve"> or only July</w:t>
      </w:r>
      <w:r w:rsidR="000C2BD4" w:rsidRPr="000C2BD4">
        <w:rPr>
          <w:rFonts w:ascii="Garamond" w:hAnsi="Garamond"/>
          <w:sz w:val="24"/>
          <w:szCs w:val="24"/>
        </w:rPr>
        <w:t xml:space="preserve">. </w:t>
      </w:r>
      <w:r w:rsidR="00026659">
        <w:rPr>
          <w:rFonts w:ascii="Garamond" w:hAnsi="Garamond"/>
          <w:sz w:val="24"/>
          <w:szCs w:val="24"/>
        </w:rPr>
        <w:t xml:space="preserve">These analyses are based on observations from </w:t>
      </w:r>
      <w:r w:rsidR="00D76CB2">
        <w:rPr>
          <w:rFonts w:ascii="Garamond" w:hAnsi="Garamond"/>
          <w:sz w:val="24"/>
          <w:szCs w:val="24"/>
        </w:rPr>
        <w:t>20</w:t>
      </w:r>
      <w:r w:rsidR="00026659">
        <w:rPr>
          <w:rFonts w:ascii="Garamond" w:hAnsi="Garamond"/>
          <w:sz w:val="24"/>
          <w:szCs w:val="24"/>
        </w:rPr>
        <w:t xml:space="preserve"> years (i.e., about 4</w:t>
      </w:r>
      <w:r w:rsidR="00D76CB2">
        <w:rPr>
          <w:rFonts w:ascii="Garamond" w:hAnsi="Garamond"/>
          <w:sz w:val="24"/>
          <w:szCs w:val="24"/>
        </w:rPr>
        <w:t>.6</w:t>
      </w:r>
      <w:r w:rsidR="00026659">
        <w:rPr>
          <w:rFonts w:ascii="Garamond" w:hAnsi="Garamond"/>
          <w:sz w:val="24"/>
          <w:szCs w:val="24"/>
        </w:rPr>
        <w:t>k observations), which gives a smaller sample; thus, w</w:t>
      </w:r>
      <w:r w:rsidR="00C93D61">
        <w:rPr>
          <w:rFonts w:ascii="Garamond" w:hAnsi="Garamond"/>
          <w:sz w:val="24"/>
          <w:szCs w:val="24"/>
        </w:rPr>
        <w:t>e use model specification from Column (</w:t>
      </w:r>
      <w:r w:rsidR="009D7F63">
        <w:rPr>
          <w:rFonts w:ascii="Garamond" w:hAnsi="Garamond"/>
          <w:sz w:val="24"/>
          <w:szCs w:val="24"/>
        </w:rPr>
        <w:t>3</w:t>
      </w:r>
      <w:r w:rsidR="00C93D61">
        <w:rPr>
          <w:rFonts w:ascii="Garamond" w:hAnsi="Garamond"/>
          <w:sz w:val="24"/>
          <w:szCs w:val="24"/>
        </w:rPr>
        <w:t xml:space="preserve">), Table 2. </w:t>
      </w:r>
    </w:p>
    <w:p w14:paraId="78F66054" w14:textId="172CDCF4" w:rsidR="004677CC" w:rsidRPr="00AB17C3" w:rsidRDefault="00BF2395" w:rsidP="00AB17C3">
      <w:pPr>
        <w:spacing w:line="360" w:lineRule="auto"/>
        <w:jc w:val="both"/>
        <w:rPr>
          <w:rFonts w:ascii="Garamond" w:hAnsi="Garamond"/>
          <w:sz w:val="24"/>
          <w:szCs w:val="24"/>
        </w:rPr>
      </w:pPr>
      <w:r w:rsidRPr="000C2BD4">
        <w:rPr>
          <w:rFonts w:ascii="Garamond" w:hAnsi="Garamond"/>
          <w:sz w:val="24"/>
          <w:szCs w:val="24"/>
        </w:rPr>
        <w:t>Figure</w:t>
      </w:r>
      <w:r>
        <w:rPr>
          <w:rFonts w:ascii="Garamond" w:hAnsi="Garamond"/>
          <w:sz w:val="24"/>
          <w:szCs w:val="24"/>
        </w:rPr>
        <w:t xml:space="preserve"> 1 illustrates t</w:t>
      </w:r>
      <w:r w:rsidR="000C2BD4" w:rsidRPr="000C2BD4">
        <w:rPr>
          <w:rFonts w:ascii="Garamond" w:hAnsi="Garamond"/>
          <w:sz w:val="24"/>
          <w:szCs w:val="24"/>
        </w:rPr>
        <w:t>he results</w:t>
      </w:r>
      <w:r w:rsidR="005B206C">
        <w:rPr>
          <w:rFonts w:ascii="Garamond" w:hAnsi="Garamond"/>
          <w:sz w:val="24"/>
          <w:szCs w:val="24"/>
        </w:rPr>
        <w:t>.</w:t>
      </w:r>
      <w:r w:rsidR="000C2BD4" w:rsidRPr="000C2BD4">
        <w:rPr>
          <w:rFonts w:ascii="Garamond" w:hAnsi="Garamond"/>
          <w:sz w:val="24"/>
          <w:szCs w:val="24"/>
        </w:rPr>
        <w:t xml:space="preserve"> </w:t>
      </w:r>
      <w:r w:rsidR="005B206C">
        <w:rPr>
          <w:rFonts w:ascii="Garamond" w:hAnsi="Garamond"/>
          <w:sz w:val="24"/>
          <w:szCs w:val="24"/>
        </w:rPr>
        <w:t>T</w:t>
      </w:r>
      <w:r w:rsidR="00E31C83" w:rsidRPr="00E31C83">
        <w:rPr>
          <w:rFonts w:ascii="Garamond" w:hAnsi="Garamond"/>
          <w:sz w:val="24"/>
          <w:szCs w:val="24"/>
        </w:rPr>
        <w:t xml:space="preserve">he effect of performance on monthly births is highly statistically significant </w:t>
      </w:r>
      <w:r w:rsidR="009D7F63">
        <w:rPr>
          <w:rFonts w:ascii="Garamond" w:hAnsi="Garamond"/>
          <w:sz w:val="24"/>
          <w:szCs w:val="24"/>
        </w:rPr>
        <w:t xml:space="preserve">nine </w:t>
      </w:r>
      <w:r w:rsidR="00C93D61">
        <w:rPr>
          <w:rFonts w:ascii="Garamond" w:hAnsi="Garamond"/>
          <w:sz w:val="24"/>
          <w:szCs w:val="24"/>
        </w:rPr>
        <w:t xml:space="preserve">and </w:t>
      </w:r>
      <w:r w:rsidR="009D7F63">
        <w:rPr>
          <w:rFonts w:ascii="Garamond" w:hAnsi="Garamond"/>
          <w:sz w:val="24"/>
          <w:szCs w:val="24"/>
        </w:rPr>
        <w:t>ten</w:t>
      </w:r>
      <w:r w:rsidR="00E31C83">
        <w:rPr>
          <w:rFonts w:ascii="Garamond" w:hAnsi="Garamond"/>
          <w:sz w:val="24"/>
          <w:szCs w:val="24"/>
        </w:rPr>
        <w:t xml:space="preserve"> </w:t>
      </w:r>
      <w:r w:rsidR="00E31C83" w:rsidRPr="00E31C83">
        <w:rPr>
          <w:rFonts w:ascii="Garamond" w:hAnsi="Garamond"/>
          <w:sz w:val="24"/>
          <w:szCs w:val="24"/>
        </w:rPr>
        <w:t>month</w:t>
      </w:r>
      <w:r>
        <w:rPr>
          <w:rFonts w:ascii="Garamond" w:hAnsi="Garamond"/>
          <w:sz w:val="24"/>
          <w:szCs w:val="24"/>
        </w:rPr>
        <w:t>s</w:t>
      </w:r>
      <w:r w:rsidR="00E31C83" w:rsidRPr="00E31C83">
        <w:rPr>
          <w:rFonts w:ascii="Garamond" w:hAnsi="Garamond"/>
          <w:sz w:val="24"/>
          <w:szCs w:val="24"/>
        </w:rPr>
        <w:t xml:space="preserve"> </w:t>
      </w:r>
      <w:r w:rsidR="00C93D61">
        <w:rPr>
          <w:rFonts w:ascii="Garamond" w:hAnsi="Garamond"/>
          <w:sz w:val="24"/>
          <w:szCs w:val="24"/>
        </w:rPr>
        <w:t>after the tournament</w:t>
      </w:r>
      <w:r w:rsidR="005B206C">
        <w:rPr>
          <w:rFonts w:ascii="Garamond" w:hAnsi="Garamond"/>
          <w:sz w:val="24"/>
          <w:szCs w:val="24"/>
        </w:rPr>
        <w:t>,</w:t>
      </w:r>
      <w:r w:rsidR="00C93D61" w:rsidRPr="00486C31">
        <w:rPr>
          <w:rStyle w:val="Rimandonotaapidipagina"/>
        </w:rPr>
        <w:footnoteReference w:id="1"/>
      </w:r>
      <w:r w:rsidR="00E31C83">
        <w:rPr>
          <w:rFonts w:ascii="Garamond" w:hAnsi="Garamond"/>
          <w:sz w:val="24"/>
          <w:szCs w:val="24"/>
        </w:rPr>
        <w:t xml:space="preserve"> </w:t>
      </w:r>
      <w:r w:rsidR="005B206C">
        <w:rPr>
          <w:rFonts w:ascii="Garamond" w:hAnsi="Garamond"/>
          <w:sz w:val="24"/>
          <w:szCs w:val="24"/>
        </w:rPr>
        <w:t>while t</w:t>
      </w:r>
      <w:r w:rsidR="009D7F63">
        <w:rPr>
          <w:rFonts w:ascii="Garamond" w:hAnsi="Garamond"/>
          <w:sz w:val="24"/>
          <w:szCs w:val="24"/>
        </w:rPr>
        <w:t>he effect after eleven months is on the edge of significance</w:t>
      </w:r>
      <w:r w:rsidR="005B206C">
        <w:rPr>
          <w:rFonts w:ascii="Garamond" w:hAnsi="Garamond"/>
          <w:sz w:val="24"/>
          <w:szCs w:val="24"/>
        </w:rPr>
        <w:t>.</w:t>
      </w:r>
      <w:r w:rsidR="005B206C" w:rsidRPr="00486C31">
        <w:rPr>
          <w:rStyle w:val="Rimandonotaapidipagina"/>
        </w:rPr>
        <w:footnoteReference w:id="2"/>
      </w:r>
    </w:p>
    <w:p w14:paraId="297513C2" w14:textId="41EB0CBE" w:rsidR="00E31C83" w:rsidRPr="00AB17C3" w:rsidRDefault="00E31C83" w:rsidP="00E31C83">
      <w:pPr>
        <w:jc w:val="center"/>
        <w:rPr>
          <w:rFonts w:ascii="Garamond" w:hAnsi="Garamond"/>
          <w:b/>
          <w:bCs/>
          <w:sz w:val="24"/>
          <w:szCs w:val="24"/>
        </w:rPr>
      </w:pPr>
      <w:bookmarkStart w:id="7" w:name="_Hlk71548305"/>
      <w:r w:rsidRPr="00AB17C3">
        <w:rPr>
          <w:rFonts w:ascii="Garamond" w:hAnsi="Garamond"/>
          <w:b/>
          <w:bCs/>
          <w:sz w:val="24"/>
          <w:szCs w:val="24"/>
        </w:rPr>
        <w:t>Figure 1</w:t>
      </w:r>
      <w:r w:rsidRPr="00AB17C3">
        <w:rPr>
          <w:rFonts w:ascii="Garamond" w:hAnsi="Garamond"/>
          <w:sz w:val="24"/>
          <w:szCs w:val="24"/>
        </w:rPr>
        <w:t>.</w:t>
      </w:r>
      <w:r w:rsidR="00AB17C3" w:rsidRPr="00AB17C3">
        <w:rPr>
          <w:rFonts w:ascii="Garamond" w:hAnsi="Garamond"/>
          <w:sz w:val="24"/>
          <w:szCs w:val="24"/>
        </w:rPr>
        <w:t xml:space="preserve"> Effect of performance on monthly births</w:t>
      </w:r>
    </w:p>
    <w:bookmarkEnd w:id="7"/>
    <w:p w14:paraId="19228244" w14:textId="06D98E3A" w:rsidR="00E31C83" w:rsidRPr="000C2BD4" w:rsidRDefault="00D76CB2" w:rsidP="00E31C83">
      <w:pPr>
        <w:jc w:val="center"/>
        <w:rPr>
          <w:rFonts w:ascii="Garamond" w:hAnsi="Garamond"/>
          <w:sz w:val="24"/>
          <w:szCs w:val="24"/>
        </w:rPr>
      </w:pPr>
      <w:r>
        <w:rPr>
          <w:rFonts w:ascii="Garamond" w:hAnsi="Garamond"/>
          <w:noProof/>
          <w:sz w:val="24"/>
          <w:szCs w:val="24"/>
        </w:rPr>
        <w:drawing>
          <wp:inline distT="0" distB="0" distL="0" distR="0" wp14:anchorId="419DF786" wp14:editId="0D24DEBE">
            <wp:extent cx="4030980" cy="2932366"/>
            <wp:effectExtent l="0" t="0" r="762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 of interaction after different months V06JunJul-R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0980" cy="2932366"/>
                    </a:xfrm>
                    <a:prstGeom prst="rect">
                      <a:avLst/>
                    </a:prstGeom>
                  </pic:spPr>
                </pic:pic>
              </a:graphicData>
            </a:graphic>
          </wp:inline>
        </w:drawing>
      </w:r>
    </w:p>
    <w:p w14:paraId="13E85E34" w14:textId="77777777" w:rsidR="00C25724" w:rsidRPr="00ED0E7C" w:rsidRDefault="00C25724" w:rsidP="00C25724">
      <w:pPr>
        <w:keepNext/>
        <w:spacing w:line="240" w:lineRule="auto"/>
        <w:ind w:left="720"/>
        <w:jc w:val="both"/>
        <w:rPr>
          <w:rFonts w:ascii="Garamond" w:hAnsi="Garamond"/>
          <w:sz w:val="20"/>
          <w:szCs w:val="20"/>
        </w:rPr>
      </w:pPr>
      <w:r w:rsidRPr="00ED0E7C">
        <w:rPr>
          <w:rFonts w:ascii="Garamond" w:hAnsi="Garamond"/>
          <w:i/>
          <w:iCs/>
          <w:sz w:val="20"/>
          <w:szCs w:val="20"/>
        </w:rPr>
        <w:lastRenderedPageBreak/>
        <w:t>Note</w:t>
      </w:r>
      <w:r w:rsidRPr="00ED0E7C">
        <w:rPr>
          <w:rFonts w:ascii="Garamond" w:hAnsi="Garamond"/>
          <w:sz w:val="20"/>
          <w:szCs w:val="20"/>
        </w:rPr>
        <w:t>: The figure plots the parameter estimates alongside 95% confidence intervals of the</w:t>
      </w:r>
      <w:r w:rsidRPr="00ED0E7C">
        <w:t xml:space="preserve"> </w:t>
      </w:r>
      <w:r w:rsidRPr="00ED0E7C">
        <w:rPr>
          <w:rFonts w:ascii="Garamond" w:hAnsi="Garamond"/>
          <w:sz w:val="20"/>
          <w:szCs w:val="20"/>
        </w:rPr>
        <w:t>analysis which estimates Equation (</w:t>
      </w:r>
      <w:r>
        <w:rPr>
          <w:rFonts w:ascii="Garamond" w:hAnsi="Garamond"/>
          <w:sz w:val="20"/>
          <w:szCs w:val="20"/>
        </w:rPr>
        <w:t>1</w:t>
      </w:r>
      <w:r w:rsidRPr="00ED0E7C">
        <w:rPr>
          <w:rFonts w:ascii="Garamond" w:hAnsi="Garamond"/>
          <w:sz w:val="20"/>
          <w:szCs w:val="20"/>
        </w:rPr>
        <w:t xml:space="preserve">) </w:t>
      </w:r>
      <w:r>
        <w:rPr>
          <w:rFonts w:ascii="Garamond" w:hAnsi="Garamond"/>
          <w:sz w:val="20"/>
          <w:szCs w:val="20"/>
        </w:rPr>
        <w:t>on the natural logarithm of births from 1 to 11 months after the tournament.</w:t>
      </w:r>
    </w:p>
    <w:p w14:paraId="6F6BDE86" w14:textId="22416B41" w:rsidR="008E2BA2" w:rsidRPr="0001109E" w:rsidRDefault="008E2BA2" w:rsidP="008E2BA2">
      <w:pPr>
        <w:rPr>
          <w:rFonts w:ascii="Garamond" w:hAnsi="Garamond"/>
          <w:sz w:val="24"/>
          <w:szCs w:val="24"/>
        </w:rPr>
      </w:pPr>
    </w:p>
    <w:p w14:paraId="64FED110" w14:textId="35876A95" w:rsidR="00C93D61" w:rsidRDefault="00B522D6" w:rsidP="005E3467">
      <w:pPr>
        <w:spacing w:line="360" w:lineRule="auto"/>
        <w:jc w:val="both"/>
        <w:rPr>
          <w:rFonts w:ascii="Garamond" w:hAnsi="Garamond"/>
          <w:sz w:val="24"/>
          <w:szCs w:val="24"/>
        </w:rPr>
      </w:pPr>
      <w:r>
        <w:rPr>
          <w:rFonts w:ascii="Garamond" w:hAnsi="Garamond"/>
          <w:sz w:val="24"/>
          <w:szCs w:val="24"/>
        </w:rPr>
        <w:t xml:space="preserve">The results are equivalent to those </w:t>
      </w:r>
      <w:r w:rsidR="00C93D61">
        <w:rPr>
          <w:rFonts w:ascii="Garamond" w:hAnsi="Garamond"/>
          <w:sz w:val="24"/>
          <w:szCs w:val="24"/>
        </w:rPr>
        <w:t>from Column (</w:t>
      </w:r>
      <w:r w:rsidR="00397C61">
        <w:rPr>
          <w:rFonts w:ascii="Garamond" w:hAnsi="Garamond"/>
          <w:sz w:val="24"/>
          <w:szCs w:val="24"/>
        </w:rPr>
        <w:t>3</w:t>
      </w:r>
      <w:r w:rsidR="00C93D61">
        <w:rPr>
          <w:rFonts w:ascii="Garamond" w:hAnsi="Garamond"/>
          <w:sz w:val="24"/>
          <w:szCs w:val="24"/>
        </w:rPr>
        <w:t>)</w:t>
      </w:r>
      <w:r>
        <w:rPr>
          <w:rFonts w:ascii="Garamond" w:hAnsi="Garamond"/>
          <w:sz w:val="24"/>
          <w:szCs w:val="24"/>
        </w:rPr>
        <w:t xml:space="preserve"> with the same specification</w:t>
      </w:r>
      <w:r w:rsidR="00397C61">
        <w:rPr>
          <w:rFonts w:ascii="Garamond" w:hAnsi="Garamond"/>
          <w:sz w:val="24"/>
          <w:szCs w:val="24"/>
        </w:rPr>
        <w:t>, and from Table 2 more in general</w:t>
      </w:r>
      <w:r w:rsidR="00C93D61">
        <w:rPr>
          <w:rFonts w:ascii="Garamond" w:hAnsi="Garamond"/>
          <w:sz w:val="24"/>
          <w:szCs w:val="24"/>
        </w:rPr>
        <w:t xml:space="preserve">. </w:t>
      </w:r>
    </w:p>
    <w:p w14:paraId="65732793" w14:textId="0CC655BD" w:rsidR="00AB17C3" w:rsidRDefault="00BC57EA" w:rsidP="005E3467">
      <w:pPr>
        <w:spacing w:line="360" w:lineRule="auto"/>
        <w:jc w:val="both"/>
        <w:rPr>
          <w:rFonts w:ascii="Garamond" w:hAnsi="Garamond"/>
          <w:sz w:val="24"/>
          <w:szCs w:val="24"/>
        </w:rPr>
      </w:pPr>
      <w:r>
        <w:rPr>
          <w:rFonts w:ascii="Garamond" w:hAnsi="Garamond"/>
          <w:sz w:val="24"/>
          <w:szCs w:val="24"/>
        </w:rPr>
        <w:t>Second</w:t>
      </w:r>
      <w:r w:rsidR="00BF2395">
        <w:rPr>
          <w:rFonts w:ascii="Garamond" w:hAnsi="Garamond"/>
          <w:sz w:val="24"/>
          <w:szCs w:val="24"/>
        </w:rPr>
        <w:t>, w</w:t>
      </w:r>
      <w:r w:rsidR="003D366A" w:rsidRPr="003D366A">
        <w:rPr>
          <w:rFonts w:ascii="Garamond" w:hAnsi="Garamond"/>
          <w:sz w:val="24"/>
          <w:szCs w:val="24"/>
        </w:rPr>
        <w:t xml:space="preserve">e conduct </w:t>
      </w:r>
      <w:r w:rsidR="00BF2395">
        <w:rPr>
          <w:rFonts w:ascii="Garamond" w:hAnsi="Garamond"/>
          <w:sz w:val="24"/>
          <w:szCs w:val="24"/>
        </w:rPr>
        <w:t xml:space="preserve">three </w:t>
      </w:r>
      <w:r w:rsidR="00146172">
        <w:rPr>
          <w:rFonts w:ascii="Garamond" w:hAnsi="Garamond"/>
          <w:sz w:val="24"/>
          <w:szCs w:val="24"/>
        </w:rPr>
        <w:t>randomization test</w:t>
      </w:r>
      <w:r w:rsidR="00BF2395">
        <w:rPr>
          <w:rFonts w:ascii="Garamond" w:hAnsi="Garamond"/>
          <w:sz w:val="24"/>
          <w:szCs w:val="24"/>
        </w:rPr>
        <w:t>s</w:t>
      </w:r>
      <w:r w:rsidR="00146172">
        <w:rPr>
          <w:rFonts w:ascii="Garamond" w:hAnsi="Garamond"/>
          <w:sz w:val="24"/>
          <w:szCs w:val="24"/>
        </w:rPr>
        <w:t xml:space="preserve"> by means of </w:t>
      </w:r>
      <w:proofErr w:type="spellStart"/>
      <w:r w:rsidR="003D366A" w:rsidRPr="003D366A">
        <w:rPr>
          <w:rFonts w:ascii="Garamond" w:hAnsi="Garamond"/>
          <w:sz w:val="24"/>
          <w:szCs w:val="24"/>
        </w:rPr>
        <w:t>Montecarlo</w:t>
      </w:r>
      <w:proofErr w:type="spellEnd"/>
      <w:r w:rsidR="003D366A" w:rsidRPr="003D366A">
        <w:rPr>
          <w:rFonts w:ascii="Garamond" w:hAnsi="Garamond"/>
          <w:sz w:val="24"/>
          <w:szCs w:val="24"/>
        </w:rPr>
        <w:t xml:space="preserve"> simulation, 100 repetitions each: (</w:t>
      </w:r>
      <w:proofErr w:type="spellStart"/>
      <w:r w:rsidR="003D366A" w:rsidRPr="003D366A">
        <w:rPr>
          <w:rFonts w:ascii="Garamond" w:hAnsi="Garamond"/>
          <w:sz w:val="24"/>
          <w:szCs w:val="24"/>
        </w:rPr>
        <w:t>i</w:t>
      </w:r>
      <w:proofErr w:type="spellEnd"/>
      <w:r w:rsidR="003D366A" w:rsidRPr="003D366A">
        <w:rPr>
          <w:rFonts w:ascii="Garamond" w:hAnsi="Garamond"/>
          <w:sz w:val="24"/>
          <w:szCs w:val="24"/>
        </w:rPr>
        <w:t xml:space="preserve">) we weight the ELO coefficient with a random number </w:t>
      </w:r>
      <w:r w:rsidR="00307C71">
        <w:rPr>
          <w:rFonts w:ascii="Garamond" w:hAnsi="Garamond"/>
          <w:sz w:val="24"/>
          <w:szCs w:val="24"/>
        </w:rPr>
        <w:t>between</w:t>
      </w:r>
      <w:r w:rsidR="00307C71" w:rsidRPr="003D366A">
        <w:rPr>
          <w:rFonts w:ascii="Garamond" w:hAnsi="Garamond"/>
          <w:sz w:val="24"/>
          <w:szCs w:val="24"/>
        </w:rPr>
        <w:t xml:space="preserve"> </w:t>
      </w:r>
      <w:r w:rsidR="003D366A" w:rsidRPr="003D366A">
        <w:rPr>
          <w:rFonts w:ascii="Garamond" w:hAnsi="Garamond"/>
          <w:sz w:val="24"/>
          <w:szCs w:val="24"/>
        </w:rPr>
        <w:t xml:space="preserve">0 </w:t>
      </w:r>
      <w:r w:rsidR="00307C71">
        <w:rPr>
          <w:rFonts w:ascii="Garamond" w:hAnsi="Garamond"/>
          <w:sz w:val="24"/>
          <w:szCs w:val="24"/>
        </w:rPr>
        <w:t>and</w:t>
      </w:r>
      <w:r w:rsidR="003D366A" w:rsidRPr="003D366A">
        <w:rPr>
          <w:rFonts w:ascii="Garamond" w:hAnsi="Garamond"/>
          <w:sz w:val="24"/>
          <w:szCs w:val="24"/>
        </w:rPr>
        <w:t xml:space="preserve"> 1; (ii) we randomly reassign country-ELO scores across time</w:t>
      </w:r>
      <w:r w:rsidR="00307C71">
        <w:rPr>
          <w:rFonts w:ascii="Garamond" w:hAnsi="Garamond"/>
          <w:sz w:val="24"/>
          <w:szCs w:val="24"/>
        </w:rPr>
        <w:t xml:space="preserve"> for</w:t>
      </w:r>
      <w:r w:rsidR="00307C71" w:rsidRPr="003D366A">
        <w:rPr>
          <w:rFonts w:ascii="Garamond" w:hAnsi="Garamond"/>
          <w:sz w:val="24"/>
          <w:szCs w:val="24"/>
        </w:rPr>
        <w:t xml:space="preserve"> participating countries</w:t>
      </w:r>
      <w:r w:rsidR="003D366A" w:rsidRPr="003D366A">
        <w:rPr>
          <w:rFonts w:ascii="Garamond" w:hAnsi="Garamond"/>
          <w:sz w:val="24"/>
          <w:szCs w:val="24"/>
        </w:rPr>
        <w:t>;</w:t>
      </w:r>
      <w:r w:rsidR="003D366A" w:rsidRPr="00486C31">
        <w:rPr>
          <w:rStyle w:val="Rimandonotaapidipagina"/>
        </w:rPr>
        <w:footnoteReference w:id="3"/>
      </w:r>
      <w:r w:rsidR="003D366A" w:rsidRPr="003D366A">
        <w:rPr>
          <w:rFonts w:ascii="Garamond" w:hAnsi="Garamond"/>
          <w:sz w:val="24"/>
          <w:szCs w:val="24"/>
        </w:rPr>
        <w:t xml:space="preserve"> (iii) we randomly reassign monthly-births within year, for each country. </w:t>
      </w:r>
      <w:r w:rsidR="00424FA9">
        <w:rPr>
          <w:rFonts w:ascii="Garamond" w:hAnsi="Garamond"/>
          <w:sz w:val="24"/>
          <w:szCs w:val="24"/>
        </w:rPr>
        <w:t xml:space="preserve">Third, we look at what happens to births in the typical </w:t>
      </w:r>
      <w:r w:rsidR="00B41B12">
        <w:rPr>
          <w:rFonts w:ascii="Garamond" w:hAnsi="Garamond"/>
          <w:sz w:val="24"/>
          <w:szCs w:val="24"/>
        </w:rPr>
        <w:t>nine</w:t>
      </w:r>
      <w:r w:rsidR="00424FA9">
        <w:rPr>
          <w:rFonts w:ascii="Garamond" w:hAnsi="Garamond"/>
          <w:sz w:val="24"/>
          <w:szCs w:val="24"/>
        </w:rPr>
        <w:t xml:space="preserve"> months after the tournament, but shifted one year later (i.e. 21 months</w:t>
      </w:r>
      <w:r w:rsidR="00E94D29">
        <w:rPr>
          <w:rFonts w:ascii="Garamond" w:hAnsi="Garamond"/>
          <w:sz w:val="24"/>
          <w:szCs w:val="24"/>
        </w:rPr>
        <w:t xml:space="preserve"> after the tournament; the standard nine months after a tournament in June-July</w:t>
      </w:r>
      <w:r w:rsidR="00424FA9">
        <w:rPr>
          <w:rFonts w:ascii="Garamond" w:hAnsi="Garamond"/>
          <w:sz w:val="24"/>
          <w:szCs w:val="24"/>
        </w:rPr>
        <w:t xml:space="preserve"> </w:t>
      </w:r>
      <w:r w:rsidR="00E94D29">
        <w:rPr>
          <w:rFonts w:ascii="Garamond" w:hAnsi="Garamond"/>
          <w:sz w:val="24"/>
          <w:szCs w:val="24"/>
        </w:rPr>
        <w:t>gives March-April of the following year, we add 12 months to that</w:t>
      </w:r>
      <w:r w:rsidR="00424FA9">
        <w:rPr>
          <w:rFonts w:ascii="Garamond" w:hAnsi="Garamond"/>
          <w:sz w:val="24"/>
          <w:szCs w:val="24"/>
        </w:rPr>
        <w:t>) and one year earlier (i.e. 14 months before the tournament</w:t>
      </w:r>
      <w:r w:rsidR="00E94D29">
        <w:rPr>
          <w:rFonts w:ascii="Garamond" w:hAnsi="Garamond"/>
          <w:sz w:val="24"/>
          <w:szCs w:val="24"/>
        </w:rPr>
        <w:t>; we look at March-April in the year previous the tournament</w:t>
      </w:r>
      <w:r w:rsidR="00424FA9">
        <w:rPr>
          <w:rFonts w:ascii="Garamond" w:hAnsi="Garamond"/>
          <w:sz w:val="24"/>
          <w:szCs w:val="24"/>
        </w:rPr>
        <w:t xml:space="preserve">). </w:t>
      </w:r>
      <w:r w:rsidR="003D366A" w:rsidRPr="003D366A">
        <w:rPr>
          <w:rFonts w:ascii="Garamond" w:hAnsi="Garamond"/>
          <w:sz w:val="24"/>
          <w:szCs w:val="24"/>
        </w:rPr>
        <w:t xml:space="preserve">Table </w:t>
      </w:r>
      <w:r w:rsidR="009C7A34">
        <w:rPr>
          <w:rFonts w:ascii="Garamond" w:hAnsi="Garamond"/>
          <w:sz w:val="24"/>
          <w:szCs w:val="24"/>
        </w:rPr>
        <w:t>3</w:t>
      </w:r>
      <w:r w:rsidR="003D366A" w:rsidRPr="003D366A">
        <w:rPr>
          <w:rFonts w:ascii="Garamond" w:hAnsi="Garamond"/>
          <w:sz w:val="24"/>
          <w:szCs w:val="24"/>
        </w:rPr>
        <w:t xml:space="preserve"> reports the results</w:t>
      </w:r>
      <w:r w:rsidR="00424FA9">
        <w:rPr>
          <w:rFonts w:ascii="Garamond" w:hAnsi="Garamond"/>
          <w:sz w:val="24"/>
          <w:szCs w:val="24"/>
        </w:rPr>
        <w:t xml:space="preserve"> for both second and third falsification tests</w:t>
      </w:r>
      <w:r w:rsidR="003D366A" w:rsidRPr="003D366A">
        <w:rPr>
          <w:rFonts w:ascii="Garamond" w:hAnsi="Garamond"/>
          <w:sz w:val="24"/>
          <w:szCs w:val="24"/>
        </w:rPr>
        <w:t xml:space="preserve">. For </w:t>
      </w:r>
      <w:r w:rsidR="00397C61">
        <w:rPr>
          <w:rFonts w:ascii="Garamond" w:hAnsi="Garamond"/>
          <w:sz w:val="24"/>
          <w:szCs w:val="24"/>
        </w:rPr>
        <w:t>comparison sake</w:t>
      </w:r>
      <w:r w:rsidR="003D366A" w:rsidRPr="003D366A">
        <w:rPr>
          <w:rFonts w:ascii="Garamond" w:hAnsi="Garamond"/>
          <w:sz w:val="24"/>
          <w:szCs w:val="24"/>
        </w:rPr>
        <w:t xml:space="preserve">, we use </w:t>
      </w:r>
      <w:r w:rsidR="00397C61">
        <w:rPr>
          <w:rFonts w:ascii="Garamond" w:hAnsi="Garamond"/>
          <w:sz w:val="24"/>
          <w:szCs w:val="24"/>
        </w:rPr>
        <w:t xml:space="preserve">the model </w:t>
      </w:r>
      <w:r w:rsidR="003D366A" w:rsidRPr="003D366A">
        <w:rPr>
          <w:rFonts w:ascii="Garamond" w:hAnsi="Garamond"/>
          <w:sz w:val="24"/>
          <w:szCs w:val="24"/>
        </w:rPr>
        <w:t>specification from Column (</w:t>
      </w:r>
      <w:r w:rsidR="00002D59">
        <w:rPr>
          <w:rFonts w:ascii="Garamond" w:hAnsi="Garamond"/>
          <w:sz w:val="24"/>
          <w:szCs w:val="24"/>
        </w:rPr>
        <w:t>3</w:t>
      </w:r>
      <w:r w:rsidR="003D366A" w:rsidRPr="003D366A">
        <w:rPr>
          <w:rFonts w:ascii="Garamond" w:hAnsi="Garamond"/>
          <w:sz w:val="24"/>
          <w:szCs w:val="24"/>
        </w:rPr>
        <w:t>)</w:t>
      </w:r>
      <w:r w:rsidR="008A7DF5">
        <w:rPr>
          <w:rFonts w:ascii="Garamond" w:hAnsi="Garamond"/>
          <w:sz w:val="24"/>
          <w:szCs w:val="24"/>
        </w:rPr>
        <w:t xml:space="preserve"> in</w:t>
      </w:r>
      <w:r w:rsidR="007C0053">
        <w:rPr>
          <w:rFonts w:ascii="Garamond" w:hAnsi="Garamond"/>
          <w:sz w:val="24"/>
          <w:szCs w:val="24"/>
        </w:rPr>
        <w:t xml:space="preserve"> Table 2</w:t>
      </w:r>
      <w:r w:rsidR="003D366A" w:rsidRPr="003D366A">
        <w:rPr>
          <w:rFonts w:ascii="Garamond" w:hAnsi="Garamond"/>
          <w:sz w:val="24"/>
          <w:szCs w:val="24"/>
        </w:rPr>
        <w:t>.</w:t>
      </w:r>
    </w:p>
    <w:tbl>
      <w:tblPr>
        <w:tblW w:w="8674" w:type="dxa"/>
        <w:jc w:val="center"/>
        <w:tblLayout w:type="fixed"/>
        <w:tblCellMar>
          <w:left w:w="75" w:type="dxa"/>
          <w:right w:w="75" w:type="dxa"/>
        </w:tblCellMar>
        <w:tblLook w:val="0000" w:firstRow="0" w:lastRow="0" w:firstColumn="0" w:lastColumn="0" w:noHBand="0" w:noVBand="0"/>
      </w:tblPr>
      <w:tblGrid>
        <w:gridCol w:w="1304"/>
        <w:gridCol w:w="1474"/>
        <w:gridCol w:w="1474"/>
        <w:gridCol w:w="1474"/>
        <w:gridCol w:w="1474"/>
        <w:gridCol w:w="1442"/>
        <w:gridCol w:w="32"/>
      </w:tblGrid>
      <w:tr w:rsidR="00BC57EA" w:rsidRPr="005E3467" w14:paraId="3B8C5122" w14:textId="77777777" w:rsidTr="00C93678">
        <w:trPr>
          <w:gridAfter w:val="1"/>
          <w:wAfter w:w="32" w:type="dxa"/>
          <w:jc w:val="center"/>
        </w:trPr>
        <w:tc>
          <w:tcPr>
            <w:tcW w:w="8642" w:type="dxa"/>
            <w:gridSpan w:val="6"/>
            <w:tcBorders>
              <w:left w:val="nil"/>
              <w:bottom w:val="double" w:sz="4" w:space="0" w:color="auto"/>
              <w:right w:val="nil"/>
            </w:tcBorders>
          </w:tcPr>
          <w:p w14:paraId="3A17BBCC" w14:textId="2DD58BF1" w:rsidR="00BC57EA" w:rsidRPr="00AB17C3" w:rsidRDefault="00BC57EA">
            <w:pPr>
              <w:widowControl w:val="0"/>
              <w:autoSpaceDE w:val="0"/>
              <w:autoSpaceDN w:val="0"/>
              <w:adjustRightInd w:val="0"/>
              <w:spacing w:before="240" w:after="0" w:line="240" w:lineRule="auto"/>
              <w:contextualSpacing/>
              <w:jc w:val="both"/>
              <w:rPr>
                <w:rFonts w:ascii="Garamond" w:eastAsia="Times New Roman" w:hAnsi="Garamond" w:cs="Times New Roman"/>
                <w:sz w:val="24"/>
                <w:szCs w:val="24"/>
              </w:rPr>
            </w:pPr>
            <w:r w:rsidRPr="00AB17C3">
              <w:rPr>
                <w:rFonts w:ascii="Garamond" w:eastAsia="Times New Roman" w:hAnsi="Garamond" w:cs="Times New Roman"/>
                <w:b/>
                <w:sz w:val="24"/>
                <w:szCs w:val="24"/>
              </w:rPr>
              <w:t xml:space="preserve">Table 3. </w:t>
            </w:r>
            <w:r w:rsidRPr="008D7DAA">
              <w:rPr>
                <w:rFonts w:ascii="Garamond" w:eastAsia="Times New Roman" w:hAnsi="Garamond" w:cs="Times New Roman"/>
                <w:sz w:val="24"/>
                <w:szCs w:val="24"/>
              </w:rPr>
              <w:t>Effect of performance on the natural logarithm of number of births</w:t>
            </w:r>
            <w:r>
              <w:rPr>
                <w:rFonts w:ascii="Garamond" w:eastAsia="Times New Roman" w:hAnsi="Garamond" w:cs="Times New Roman"/>
                <w:sz w:val="24"/>
                <w:szCs w:val="24"/>
              </w:rPr>
              <w:t>;</w:t>
            </w:r>
            <w:r w:rsidRPr="00AB17C3">
              <w:rPr>
                <w:rFonts w:ascii="Garamond" w:eastAsia="Times New Roman" w:hAnsi="Garamond" w:cs="Times New Roman"/>
                <w:sz w:val="24"/>
                <w:szCs w:val="24"/>
              </w:rPr>
              <w:t xml:space="preserve"> fixed</w:t>
            </w:r>
            <w:r w:rsidR="00E12D90">
              <w:rPr>
                <w:rFonts w:ascii="Garamond" w:eastAsia="Times New Roman" w:hAnsi="Garamond" w:cs="Times New Roman"/>
                <w:sz w:val="24"/>
                <w:szCs w:val="24"/>
              </w:rPr>
              <w:t>-</w:t>
            </w:r>
            <w:r w:rsidRPr="00AB17C3">
              <w:rPr>
                <w:rFonts w:ascii="Garamond" w:eastAsia="Times New Roman" w:hAnsi="Garamond" w:cs="Times New Roman"/>
                <w:sz w:val="24"/>
                <w:szCs w:val="24"/>
              </w:rPr>
              <w:t xml:space="preserve">effect parameter estimates. </w:t>
            </w:r>
            <w:r w:rsidR="006F0ADF">
              <w:rPr>
                <w:rFonts w:ascii="Garamond" w:eastAsia="Times New Roman" w:hAnsi="Garamond" w:cs="Times New Roman"/>
                <w:sz w:val="24"/>
                <w:szCs w:val="24"/>
              </w:rPr>
              <w:t>Randomization tests</w:t>
            </w:r>
            <w:r w:rsidRPr="00AB17C3">
              <w:rPr>
                <w:rFonts w:ascii="Garamond" w:eastAsia="Times New Roman" w:hAnsi="Garamond" w:cs="Times New Roman"/>
                <w:sz w:val="24"/>
                <w:szCs w:val="24"/>
              </w:rPr>
              <w:t xml:space="preserve"> </w:t>
            </w:r>
            <w:r w:rsidR="00424FA9">
              <w:rPr>
                <w:rFonts w:ascii="Garamond" w:eastAsia="Times New Roman" w:hAnsi="Garamond" w:cs="Times New Roman"/>
                <w:sz w:val="24"/>
                <w:szCs w:val="24"/>
              </w:rPr>
              <w:t>(panel A), and one-year shift analyses (panel B).</w:t>
            </w:r>
          </w:p>
        </w:tc>
      </w:tr>
      <w:tr w:rsidR="006F0ADF" w:rsidRPr="005E3467" w14:paraId="08EC5F3B" w14:textId="35D059A4" w:rsidTr="002E34CC">
        <w:trPr>
          <w:jc w:val="center"/>
        </w:trPr>
        <w:tc>
          <w:tcPr>
            <w:tcW w:w="1304" w:type="dxa"/>
            <w:tcBorders>
              <w:top w:val="double" w:sz="4" w:space="0" w:color="auto"/>
              <w:left w:val="nil"/>
              <w:right w:val="nil"/>
            </w:tcBorders>
          </w:tcPr>
          <w:p w14:paraId="11115EE5" w14:textId="77777777" w:rsidR="006F0ADF" w:rsidRPr="005E3467" w:rsidRDefault="006F0ADF" w:rsidP="005E3467">
            <w:pPr>
              <w:widowControl w:val="0"/>
              <w:autoSpaceDE w:val="0"/>
              <w:autoSpaceDN w:val="0"/>
              <w:adjustRightInd w:val="0"/>
              <w:spacing w:before="240" w:after="0" w:line="240" w:lineRule="auto"/>
              <w:contextualSpacing/>
              <w:jc w:val="both"/>
              <w:rPr>
                <w:rFonts w:ascii="Garamond" w:eastAsia="Times New Roman" w:hAnsi="Garamond" w:cs="Times New Roman"/>
              </w:rPr>
            </w:pPr>
          </w:p>
        </w:tc>
        <w:tc>
          <w:tcPr>
            <w:tcW w:w="4422" w:type="dxa"/>
            <w:gridSpan w:val="3"/>
            <w:tcBorders>
              <w:top w:val="double" w:sz="4" w:space="0" w:color="auto"/>
              <w:left w:val="nil"/>
              <w:bottom w:val="single" w:sz="4" w:space="0" w:color="auto"/>
              <w:right w:val="single" w:sz="4" w:space="0" w:color="auto"/>
            </w:tcBorders>
          </w:tcPr>
          <w:p w14:paraId="33A4ADE8" w14:textId="74667018" w:rsidR="006F0ADF" w:rsidRDefault="006F0ADF"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Pr>
                <w:rFonts w:ascii="Garamond" w:eastAsia="Times New Roman" w:hAnsi="Garamond" w:cs="Times New Roman"/>
              </w:rPr>
              <w:t>Randomization tests</w:t>
            </w:r>
          </w:p>
          <w:p w14:paraId="72141EBE" w14:textId="4FB0646D" w:rsidR="006F0ADF" w:rsidRPr="005E3467" w:rsidRDefault="006F0ADF"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Pr>
                <w:rFonts w:ascii="Garamond" w:eastAsia="Times New Roman" w:hAnsi="Garamond" w:cs="Times New Roman"/>
              </w:rPr>
              <w:t>(A)</w:t>
            </w:r>
          </w:p>
        </w:tc>
        <w:tc>
          <w:tcPr>
            <w:tcW w:w="2948" w:type="dxa"/>
            <w:gridSpan w:val="3"/>
            <w:tcBorders>
              <w:top w:val="double" w:sz="4" w:space="0" w:color="auto"/>
              <w:left w:val="single" w:sz="4" w:space="0" w:color="auto"/>
              <w:bottom w:val="single" w:sz="4" w:space="0" w:color="auto"/>
              <w:right w:val="nil"/>
            </w:tcBorders>
          </w:tcPr>
          <w:p w14:paraId="075AD4DA" w14:textId="61975BD0" w:rsidR="006F0ADF" w:rsidRDefault="006F0ADF"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Pr>
                <w:rFonts w:ascii="Garamond" w:eastAsia="Times New Roman" w:hAnsi="Garamond" w:cs="Times New Roman"/>
              </w:rPr>
              <w:t>One-year shift analyses</w:t>
            </w:r>
          </w:p>
          <w:p w14:paraId="150BBC20" w14:textId="42A46944" w:rsidR="006F0ADF" w:rsidRPr="005E3467" w:rsidRDefault="006F0ADF"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Pr>
                <w:rFonts w:ascii="Garamond" w:eastAsia="Times New Roman" w:hAnsi="Garamond" w:cs="Times New Roman"/>
              </w:rPr>
              <w:t>(B)</w:t>
            </w:r>
          </w:p>
        </w:tc>
      </w:tr>
      <w:tr w:rsidR="00BC57EA" w:rsidRPr="005E3467" w14:paraId="0CB860DB" w14:textId="7E3CDF67" w:rsidTr="00C93678">
        <w:trPr>
          <w:jc w:val="center"/>
        </w:trPr>
        <w:tc>
          <w:tcPr>
            <w:tcW w:w="1304" w:type="dxa"/>
            <w:tcBorders>
              <w:left w:val="nil"/>
              <w:right w:val="nil"/>
            </w:tcBorders>
          </w:tcPr>
          <w:p w14:paraId="6F0E05D1" w14:textId="77777777" w:rsidR="00BC57EA" w:rsidRPr="005E3467" w:rsidRDefault="00BC57EA" w:rsidP="005E3467">
            <w:pPr>
              <w:widowControl w:val="0"/>
              <w:autoSpaceDE w:val="0"/>
              <w:autoSpaceDN w:val="0"/>
              <w:adjustRightInd w:val="0"/>
              <w:spacing w:before="240" w:after="0" w:line="240" w:lineRule="auto"/>
              <w:contextualSpacing/>
              <w:jc w:val="both"/>
              <w:rPr>
                <w:rFonts w:ascii="Garamond" w:eastAsia="Times New Roman" w:hAnsi="Garamond" w:cs="Times New Roman"/>
              </w:rPr>
            </w:pPr>
          </w:p>
        </w:tc>
        <w:tc>
          <w:tcPr>
            <w:tcW w:w="1474" w:type="dxa"/>
            <w:tcBorders>
              <w:left w:val="nil"/>
              <w:bottom w:val="single" w:sz="4" w:space="0" w:color="auto"/>
              <w:right w:val="nil"/>
            </w:tcBorders>
          </w:tcPr>
          <w:p w14:paraId="22E34C8A" w14:textId="77777777" w:rsidR="00BC57EA"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 xml:space="preserve">ELO </w:t>
            </w:r>
          </w:p>
          <w:p w14:paraId="0802034A" w14:textId="45993DC3"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rescaling</w:t>
            </w:r>
          </w:p>
        </w:tc>
        <w:tc>
          <w:tcPr>
            <w:tcW w:w="1474" w:type="dxa"/>
            <w:tcBorders>
              <w:left w:val="nil"/>
              <w:bottom w:val="single" w:sz="4" w:space="0" w:color="auto"/>
              <w:right w:val="nil"/>
            </w:tcBorders>
          </w:tcPr>
          <w:p w14:paraId="5044D1C6"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ELO reassignment</w:t>
            </w:r>
          </w:p>
        </w:tc>
        <w:tc>
          <w:tcPr>
            <w:tcW w:w="1474" w:type="dxa"/>
            <w:tcBorders>
              <w:left w:val="nil"/>
              <w:bottom w:val="single" w:sz="4" w:space="0" w:color="auto"/>
              <w:right w:val="single" w:sz="4" w:space="0" w:color="auto"/>
            </w:tcBorders>
          </w:tcPr>
          <w:p w14:paraId="7B3072FD"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Births reassignment</w:t>
            </w:r>
          </w:p>
        </w:tc>
        <w:tc>
          <w:tcPr>
            <w:tcW w:w="1474" w:type="dxa"/>
            <w:tcBorders>
              <w:left w:val="single" w:sz="4" w:space="0" w:color="auto"/>
              <w:right w:val="nil"/>
            </w:tcBorders>
          </w:tcPr>
          <w:p w14:paraId="55E69C41" w14:textId="6DE99EED"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p>
        </w:tc>
        <w:tc>
          <w:tcPr>
            <w:tcW w:w="1474" w:type="dxa"/>
            <w:gridSpan w:val="2"/>
            <w:tcBorders>
              <w:left w:val="nil"/>
              <w:right w:val="nil"/>
            </w:tcBorders>
          </w:tcPr>
          <w:p w14:paraId="00537313"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p>
        </w:tc>
      </w:tr>
      <w:tr w:rsidR="00356560" w:rsidRPr="005E3467" w14:paraId="25094530" w14:textId="1C724EBC" w:rsidTr="00C93678">
        <w:trPr>
          <w:jc w:val="center"/>
        </w:trPr>
        <w:tc>
          <w:tcPr>
            <w:tcW w:w="1304" w:type="dxa"/>
            <w:tcBorders>
              <w:left w:val="nil"/>
              <w:bottom w:val="nil"/>
              <w:right w:val="nil"/>
            </w:tcBorders>
          </w:tcPr>
          <w:p w14:paraId="1868584D" w14:textId="77777777" w:rsidR="00356560" w:rsidRPr="005E3467" w:rsidRDefault="00356560" w:rsidP="005E3467">
            <w:pPr>
              <w:widowControl w:val="0"/>
              <w:autoSpaceDE w:val="0"/>
              <w:autoSpaceDN w:val="0"/>
              <w:adjustRightInd w:val="0"/>
              <w:spacing w:before="240" w:after="0" w:line="240" w:lineRule="auto"/>
              <w:contextualSpacing/>
              <w:jc w:val="both"/>
              <w:rPr>
                <w:rFonts w:ascii="Garamond" w:eastAsia="Times New Roman" w:hAnsi="Garamond" w:cs="Times New Roman"/>
              </w:rPr>
            </w:pPr>
            <w:r w:rsidRPr="005E3467">
              <w:rPr>
                <w:rFonts w:ascii="Garamond" w:eastAsia="Times New Roman" w:hAnsi="Garamond" w:cs="Times New Roman"/>
              </w:rPr>
              <w:t>Variables</w:t>
            </w:r>
          </w:p>
        </w:tc>
        <w:tc>
          <w:tcPr>
            <w:tcW w:w="4422" w:type="dxa"/>
            <w:gridSpan w:val="3"/>
            <w:tcBorders>
              <w:left w:val="nil"/>
              <w:bottom w:val="nil"/>
              <w:right w:val="single" w:sz="4" w:space="0" w:color="auto"/>
            </w:tcBorders>
          </w:tcPr>
          <w:p w14:paraId="60E3FA61" w14:textId="5C5BAB0B" w:rsidR="00356560" w:rsidRPr="005E3467" w:rsidRDefault="00356560" w:rsidP="005D5A8F">
            <w:pPr>
              <w:widowControl w:val="0"/>
              <w:autoSpaceDE w:val="0"/>
              <w:autoSpaceDN w:val="0"/>
              <w:adjustRightInd w:val="0"/>
              <w:spacing w:before="240" w:after="0" w:line="240" w:lineRule="auto"/>
              <w:contextualSpacing/>
              <w:jc w:val="center"/>
              <w:rPr>
                <w:rFonts w:ascii="Garamond" w:eastAsia="Times New Roman" w:hAnsi="Garamond" w:cs="Times New Roman"/>
              </w:rPr>
            </w:pPr>
            <w:proofErr w:type="spellStart"/>
            <w:r w:rsidRPr="008D7DAA">
              <w:rPr>
                <w:rFonts w:ascii="Garamond" w:eastAsia="Times New Roman" w:hAnsi="Garamond" w:cs="Times New Roman"/>
              </w:rPr>
              <w:t>Ln_Births</w:t>
            </w:r>
            <w:proofErr w:type="spellEnd"/>
            <w:r w:rsidRPr="008D7DAA">
              <w:rPr>
                <w:rFonts w:ascii="Garamond" w:eastAsia="Times New Roman" w:hAnsi="Garamond" w:cs="Times New Roman"/>
              </w:rPr>
              <w:t xml:space="preserve"> 9 months after</w:t>
            </w:r>
            <w:r>
              <w:rPr>
                <w:rFonts w:ascii="Garamond" w:eastAsia="Times New Roman" w:hAnsi="Garamond" w:cs="Times New Roman"/>
              </w:rPr>
              <w:t xml:space="preserve"> the tournament</w:t>
            </w:r>
          </w:p>
        </w:tc>
        <w:tc>
          <w:tcPr>
            <w:tcW w:w="1474" w:type="dxa"/>
            <w:tcBorders>
              <w:left w:val="single" w:sz="4" w:space="0" w:color="auto"/>
              <w:bottom w:val="nil"/>
            </w:tcBorders>
          </w:tcPr>
          <w:p w14:paraId="7FF20D06" w14:textId="77777777" w:rsidR="00356560" w:rsidRPr="008D7DAA" w:rsidRDefault="00356560" w:rsidP="005D5A8F">
            <w:pPr>
              <w:widowControl w:val="0"/>
              <w:autoSpaceDE w:val="0"/>
              <w:autoSpaceDN w:val="0"/>
              <w:adjustRightInd w:val="0"/>
              <w:spacing w:before="240" w:after="0" w:line="240" w:lineRule="auto"/>
              <w:contextualSpacing/>
              <w:jc w:val="center"/>
              <w:rPr>
                <w:rFonts w:ascii="Garamond" w:eastAsia="Times New Roman" w:hAnsi="Garamond" w:cs="Times New Roman"/>
              </w:rPr>
            </w:pPr>
            <w:proofErr w:type="spellStart"/>
            <w:r>
              <w:rPr>
                <w:rFonts w:ascii="Garamond" w:eastAsia="Times New Roman" w:hAnsi="Garamond" w:cs="Times New Roman"/>
              </w:rPr>
              <w:t>Ln_Births</w:t>
            </w:r>
            <w:proofErr w:type="spellEnd"/>
            <w:r>
              <w:rPr>
                <w:rFonts w:ascii="Garamond" w:eastAsia="Times New Roman" w:hAnsi="Garamond" w:cs="Times New Roman"/>
              </w:rPr>
              <w:t xml:space="preserve"> 21</w:t>
            </w:r>
            <w:r w:rsidRPr="008D7DAA">
              <w:rPr>
                <w:rFonts w:ascii="Garamond" w:eastAsia="Times New Roman" w:hAnsi="Garamond" w:cs="Times New Roman"/>
              </w:rPr>
              <w:t xml:space="preserve"> months after</w:t>
            </w:r>
            <w:r>
              <w:rPr>
                <w:rFonts w:ascii="Garamond" w:eastAsia="Times New Roman" w:hAnsi="Garamond" w:cs="Times New Roman"/>
              </w:rPr>
              <w:t xml:space="preserve"> the tournament</w:t>
            </w:r>
          </w:p>
        </w:tc>
        <w:tc>
          <w:tcPr>
            <w:tcW w:w="1474" w:type="dxa"/>
            <w:gridSpan w:val="2"/>
            <w:tcBorders>
              <w:bottom w:val="nil"/>
              <w:right w:val="nil"/>
            </w:tcBorders>
          </w:tcPr>
          <w:p w14:paraId="684349ED" w14:textId="7968769A" w:rsidR="00356560" w:rsidRPr="008D7DAA" w:rsidRDefault="00356560" w:rsidP="005D5A8F">
            <w:pPr>
              <w:widowControl w:val="0"/>
              <w:autoSpaceDE w:val="0"/>
              <w:autoSpaceDN w:val="0"/>
              <w:adjustRightInd w:val="0"/>
              <w:spacing w:before="240" w:after="0" w:line="240" w:lineRule="auto"/>
              <w:contextualSpacing/>
              <w:jc w:val="center"/>
              <w:rPr>
                <w:rFonts w:ascii="Garamond" w:eastAsia="Times New Roman" w:hAnsi="Garamond" w:cs="Times New Roman"/>
              </w:rPr>
            </w:pPr>
            <w:proofErr w:type="spellStart"/>
            <w:r>
              <w:rPr>
                <w:rFonts w:ascii="Garamond" w:eastAsia="Times New Roman" w:hAnsi="Garamond" w:cs="Times New Roman"/>
              </w:rPr>
              <w:t>Ln_Births</w:t>
            </w:r>
            <w:proofErr w:type="spellEnd"/>
            <w:r>
              <w:rPr>
                <w:rFonts w:ascii="Garamond" w:eastAsia="Times New Roman" w:hAnsi="Garamond" w:cs="Times New Roman"/>
              </w:rPr>
              <w:t xml:space="preserve"> </w:t>
            </w:r>
            <w:r w:rsidR="00424FA9">
              <w:rPr>
                <w:rFonts w:ascii="Garamond" w:eastAsia="Times New Roman" w:hAnsi="Garamond" w:cs="Times New Roman"/>
              </w:rPr>
              <w:t>14</w:t>
            </w:r>
            <w:r>
              <w:rPr>
                <w:rFonts w:ascii="Garamond" w:eastAsia="Times New Roman" w:hAnsi="Garamond" w:cs="Times New Roman"/>
              </w:rPr>
              <w:t xml:space="preserve"> months before the tournament</w:t>
            </w:r>
          </w:p>
        </w:tc>
      </w:tr>
      <w:tr w:rsidR="00BC57EA" w:rsidRPr="005E3467" w14:paraId="5F56F967" w14:textId="78780A32" w:rsidTr="00C93678">
        <w:trPr>
          <w:jc w:val="center"/>
        </w:trPr>
        <w:tc>
          <w:tcPr>
            <w:tcW w:w="1304" w:type="dxa"/>
            <w:tcBorders>
              <w:top w:val="nil"/>
              <w:left w:val="nil"/>
              <w:bottom w:val="single" w:sz="6" w:space="0" w:color="auto"/>
              <w:right w:val="nil"/>
            </w:tcBorders>
          </w:tcPr>
          <w:p w14:paraId="6FB01621" w14:textId="77777777" w:rsidR="00BC57EA" w:rsidRPr="005E3467" w:rsidRDefault="00BC57EA" w:rsidP="005E3467">
            <w:pPr>
              <w:widowControl w:val="0"/>
              <w:autoSpaceDE w:val="0"/>
              <w:autoSpaceDN w:val="0"/>
              <w:adjustRightInd w:val="0"/>
              <w:spacing w:before="240" w:after="0" w:line="240" w:lineRule="auto"/>
              <w:contextualSpacing/>
              <w:jc w:val="both"/>
              <w:rPr>
                <w:rFonts w:ascii="Garamond" w:eastAsia="Times New Roman" w:hAnsi="Garamond" w:cs="Times New Roman"/>
              </w:rPr>
            </w:pPr>
          </w:p>
        </w:tc>
        <w:tc>
          <w:tcPr>
            <w:tcW w:w="1474" w:type="dxa"/>
            <w:tcBorders>
              <w:top w:val="nil"/>
              <w:left w:val="nil"/>
              <w:bottom w:val="single" w:sz="6" w:space="0" w:color="auto"/>
              <w:right w:val="nil"/>
            </w:tcBorders>
          </w:tcPr>
          <w:p w14:paraId="514DEC12"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(1)</w:t>
            </w:r>
          </w:p>
        </w:tc>
        <w:tc>
          <w:tcPr>
            <w:tcW w:w="1474" w:type="dxa"/>
            <w:tcBorders>
              <w:top w:val="nil"/>
              <w:left w:val="nil"/>
              <w:bottom w:val="single" w:sz="6" w:space="0" w:color="auto"/>
              <w:right w:val="nil"/>
            </w:tcBorders>
          </w:tcPr>
          <w:p w14:paraId="35664096"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(2)</w:t>
            </w:r>
          </w:p>
        </w:tc>
        <w:tc>
          <w:tcPr>
            <w:tcW w:w="1474" w:type="dxa"/>
            <w:tcBorders>
              <w:top w:val="nil"/>
              <w:left w:val="nil"/>
              <w:bottom w:val="single" w:sz="6" w:space="0" w:color="auto"/>
              <w:right w:val="single" w:sz="4" w:space="0" w:color="auto"/>
            </w:tcBorders>
          </w:tcPr>
          <w:p w14:paraId="2EC8905D"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(3)</w:t>
            </w:r>
          </w:p>
        </w:tc>
        <w:tc>
          <w:tcPr>
            <w:tcW w:w="1474" w:type="dxa"/>
            <w:tcBorders>
              <w:top w:val="nil"/>
              <w:left w:val="single" w:sz="4" w:space="0" w:color="auto"/>
              <w:bottom w:val="single" w:sz="6" w:space="0" w:color="auto"/>
              <w:right w:val="nil"/>
            </w:tcBorders>
          </w:tcPr>
          <w:p w14:paraId="141BEA79" w14:textId="2D10E5D2" w:rsidR="00BC57EA" w:rsidRPr="005E3467" w:rsidRDefault="00356560"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Pr>
                <w:rFonts w:ascii="Garamond" w:eastAsia="Times New Roman" w:hAnsi="Garamond" w:cs="Times New Roman"/>
              </w:rPr>
              <w:t>(4)</w:t>
            </w:r>
          </w:p>
        </w:tc>
        <w:tc>
          <w:tcPr>
            <w:tcW w:w="1474" w:type="dxa"/>
            <w:gridSpan w:val="2"/>
            <w:tcBorders>
              <w:top w:val="nil"/>
              <w:left w:val="nil"/>
              <w:bottom w:val="single" w:sz="6" w:space="0" w:color="auto"/>
              <w:right w:val="nil"/>
            </w:tcBorders>
          </w:tcPr>
          <w:p w14:paraId="302C1F18" w14:textId="7C4D6BD2" w:rsidR="00BC57EA" w:rsidRPr="005E3467" w:rsidRDefault="00356560"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Pr>
                <w:rFonts w:ascii="Garamond" w:eastAsia="Times New Roman" w:hAnsi="Garamond" w:cs="Times New Roman"/>
              </w:rPr>
              <w:t>(5)</w:t>
            </w:r>
          </w:p>
        </w:tc>
      </w:tr>
      <w:tr w:rsidR="00BC57EA" w:rsidRPr="005E3467" w14:paraId="06CBE35E" w14:textId="27B1AA2C" w:rsidTr="00C93678">
        <w:trPr>
          <w:jc w:val="center"/>
        </w:trPr>
        <w:tc>
          <w:tcPr>
            <w:tcW w:w="1304" w:type="dxa"/>
            <w:tcBorders>
              <w:top w:val="nil"/>
              <w:left w:val="nil"/>
              <w:bottom w:val="nil"/>
              <w:right w:val="nil"/>
            </w:tcBorders>
          </w:tcPr>
          <w:p w14:paraId="26AAD869" w14:textId="77777777" w:rsidR="00BC57EA" w:rsidRPr="005E3467" w:rsidRDefault="00BC57EA" w:rsidP="005E3467">
            <w:pPr>
              <w:widowControl w:val="0"/>
              <w:autoSpaceDE w:val="0"/>
              <w:autoSpaceDN w:val="0"/>
              <w:adjustRightInd w:val="0"/>
              <w:spacing w:before="240" w:after="0" w:line="240" w:lineRule="auto"/>
              <w:contextualSpacing/>
              <w:jc w:val="both"/>
              <w:rPr>
                <w:rFonts w:ascii="Garamond" w:eastAsia="Times New Roman" w:hAnsi="Garamond" w:cs="Times New Roman"/>
              </w:rPr>
            </w:pPr>
          </w:p>
        </w:tc>
        <w:tc>
          <w:tcPr>
            <w:tcW w:w="1474" w:type="dxa"/>
            <w:tcBorders>
              <w:top w:val="nil"/>
              <w:left w:val="nil"/>
              <w:bottom w:val="nil"/>
              <w:right w:val="nil"/>
            </w:tcBorders>
          </w:tcPr>
          <w:p w14:paraId="033CEE85"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p>
        </w:tc>
        <w:tc>
          <w:tcPr>
            <w:tcW w:w="1474" w:type="dxa"/>
            <w:tcBorders>
              <w:top w:val="nil"/>
              <w:left w:val="nil"/>
              <w:bottom w:val="nil"/>
              <w:right w:val="nil"/>
            </w:tcBorders>
          </w:tcPr>
          <w:p w14:paraId="53970489"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p>
        </w:tc>
        <w:tc>
          <w:tcPr>
            <w:tcW w:w="1474" w:type="dxa"/>
            <w:tcBorders>
              <w:top w:val="nil"/>
              <w:left w:val="nil"/>
              <w:bottom w:val="nil"/>
              <w:right w:val="nil"/>
            </w:tcBorders>
          </w:tcPr>
          <w:p w14:paraId="6395D9A8"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p>
        </w:tc>
        <w:tc>
          <w:tcPr>
            <w:tcW w:w="1474" w:type="dxa"/>
            <w:tcBorders>
              <w:top w:val="nil"/>
              <w:left w:val="nil"/>
              <w:bottom w:val="nil"/>
              <w:right w:val="nil"/>
            </w:tcBorders>
          </w:tcPr>
          <w:p w14:paraId="05EEBFBD"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p>
        </w:tc>
        <w:tc>
          <w:tcPr>
            <w:tcW w:w="1474" w:type="dxa"/>
            <w:gridSpan w:val="2"/>
            <w:tcBorders>
              <w:top w:val="nil"/>
              <w:left w:val="nil"/>
              <w:bottom w:val="nil"/>
              <w:right w:val="nil"/>
            </w:tcBorders>
          </w:tcPr>
          <w:p w14:paraId="65DA1447" w14:textId="77777777" w:rsidR="00BC57EA" w:rsidRPr="005E3467" w:rsidRDefault="00BC57EA"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p>
        </w:tc>
      </w:tr>
      <w:tr w:rsidR="00356560" w:rsidRPr="005E3467" w14:paraId="36126919" w14:textId="7A48CDC4" w:rsidTr="00C93678">
        <w:trPr>
          <w:jc w:val="center"/>
        </w:trPr>
        <w:tc>
          <w:tcPr>
            <w:tcW w:w="1304" w:type="dxa"/>
            <w:tcBorders>
              <w:top w:val="nil"/>
              <w:left w:val="nil"/>
              <w:bottom w:val="nil"/>
              <w:right w:val="nil"/>
            </w:tcBorders>
          </w:tcPr>
          <w:p w14:paraId="56DE3EC0" w14:textId="11E672FE" w:rsidR="00356560" w:rsidRPr="005E3467" w:rsidRDefault="00356560" w:rsidP="005E3467">
            <w:pPr>
              <w:widowControl w:val="0"/>
              <w:autoSpaceDE w:val="0"/>
              <w:autoSpaceDN w:val="0"/>
              <w:adjustRightInd w:val="0"/>
              <w:spacing w:before="240" w:after="0" w:line="240" w:lineRule="auto"/>
              <w:contextualSpacing/>
              <w:jc w:val="both"/>
              <w:rPr>
                <w:rFonts w:ascii="Garamond" w:eastAsia="Times New Roman" w:hAnsi="Garamond" w:cs="Times New Roman"/>
              </w:rPr>
            </w:pPr>
            <w:proofErr w:type="spellStart"/>
            <w:r w:rsidRPr="005037CF">
              <w:rPr>
                <w:rFonts w:ascii="Garamond" w:eastAsia="Times New Roman" w:hAnsi="Garamond" w:cs="Times New Roman"/>
                <w:sz w:val="20"/>
                <w:szCs w:val="20"/>
              </w:rPr>
              <w:t>Std</w:t>
            </w:r>
            <w:r>
              <w:rPr>
                <w:rFonts w:ascii="Garamond" w:eastAsia="Times New Roman" w:hAnsi="Garamond" w:cs="Times New Roman"/>
                <w:sz w:val="20"/>
                <w:szCs w:val="20"/>
              </w:rPr>
              <w:t>_</w:t>
            </w:r>
            <w:r w:rsidRPr="005037CF">
              <w:rPr>
                <w:rFonts w:ascii="Garamond" w:eastAsia="Times New Roman" w:hAnsi="Garamond" w:cs="Times New Roman"/>
                <w:sz w:val="20"/>
                <w:szCs w:val="20"/>
              </w:rPr>
              <w:t>ELO</w:t>
            </w:r>
            <w:proofErr w:type="spellEnd"/>
          </w:p>
        </w:tc>
        <w:tc>
          <w:tcPr>
            <w:tcW w:w="1474" w:type="dxa"/>
            <w:tcBorders>
              <w:top w:val="nil"/>
              <w:left w:val="nil"/>
              <w:bottom w:val="nil"/>
              <w:right w:val="nil"/>
            </w:tcBorders>
          </w:tcPr>
          <w:p w14:paraId="271A2F08" w14:textId="3A660484" w:rsidR="00356560" w:rsidRPr="005E3467" w:rsidRDefault="00356560"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7C0053">
              <w:rPr>
                <w:rFonts w:ascii="Garamond" w:eastAsia="Times New Roman" w:hAnsi="Garamond" w:cs="Times New Roman"/>
              </w:rPr>
              <w:t>-</w:t>
            </w:r>
            <w:r>
              <w:rPr>
                <w:rFonts w:ascii="Garamond" w:eastAsia="Times New Roman" w:hAnsi="Garamond" w:cs="Times New Roman"/>
              </w:rPr>
              <w:t>0.002</w:t>
            </w:r>
          </w:p>
        </w:tc>
        <w:tc>
          <w:tcPr>
            <w:tcW w:w="1474" w:type="dxa"/>
            <w:tcBorders>
              <w:top w:val="nil"/>
              <w:left w:val="nil"/>
              <w:bottom w:val="nil"/>
              <w:right w:val="nil"/>
            </w:tcBorders>
          </w:tcPr>
          <w:p w14:paraId="328B133C" w14:textId="749442F1" w:rsidR="00356560" w:rsidRPr="005E3467" w:rsidRDefault="00356560"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w:t>
            </w:r>
            <w:r>
              <w:rPr>
                <w:rFonts w:ascii="Garamond" w:eastAsia="Times New Roman" w:hAnsi="Garamond" w:cs="Times New Roman"/>
              </w:rPr>
              <w:t>0.002</w:t>
            </w:r>
          </w:p>
        </w:tc>
        <w:tc>
          <w:tcPr>
            <w:tcW w:w="1474" w:type="dxa"/>
            <w:tcBorders>
              <w:top w:val="nil"/>
              <w:left w:val="nil"/>
              <w:bottom w:val="nil"/>
              <w:right w:val="nil"/>
            </w:tcBorders>
          </w:tcPr>
          <w:p w14:paraId="1C6DA9A9" w14:textId="0001296B" w:rsidR="00356560" w:rsidRPr="005E3467" w:rsidRDefault="00356560">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w:t>
            </w:r>
            <w:r>
              <w:rPr>
                <w:rFonts w:ascii="Garamond" w:eastAsia="Times New Roman" w:hAnsi="Garamond" w:cs="Times New Roman"/>
              </w:rPr>
              <w:t>0.002</w:t>
            </w:r>
          </w:p>
        </w:tc>
        <w:tc>
          <w:tcPr>
            <w:tcW w:w="1474" w:type="dxa"/>
            <w:tcBorders>
              <w:top w:val="nil"/>
              <w:left w:val="nil"/>
              <w:bottom w:val="nil"/>
              <w:right w:val="nil"/>
            </w:tcBorders>
          </w:tcPr>
          <w:p w14:paraId="7E2020B1" w14:textId="1D44EBCE" w:rsidR="00356560" w:rsidRPr="00356560" w:rsidRDefault="00356560">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C93678">
              <w:rPr>
                <w:rFonts w:ascii="Garamond" w:hAnsi="Garamond" w:cs="Times New Roman"/>
              </w:rPr>
              <w:t>-0.003</w:t>
            </w:r>
          </w:p>
        </w:tc>
        <w:tc>
          <w:tcPr>
            <w:tcW w:w="1474" w:type="dxa"/>
            <w:gridSpan w:val="2"/>
            <w:tcBorders>
              <w:top w:val="nil"/>
              <w:left w:val="nil"/>
              <w:bottom w:val="nil"/>
              <w:right w:val="nil"/>
            </w:tcBorders>
          </w:tcPr>
          <w:p w14:paraId="560AE092" w14:textId="407FA058" w:rsidR="00356560" w:rsidRPr="00356560" w:rsidRDefault="00356560">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C93678">
              <w:rPr>
                <w:rFonts w:ascii="Garamond" w:hAnsi="Garamond" w:cs="Times New Roman"/>
              </w:rPr>
              <w:t>0.00</w:t>
            </w:r>
            <w:r w:rsidR="00424FA9">
              <w:rPr>
                <w:rFonts w:ascii="Garamond" w:hAnsi="Garamond" w:cs="Times New Roman"/>
              </w:rPr>
              <w:t>1</w:t>
            </w:r>
          </w:p>
        </w:tc>
      </w:tr>
      <w:tr w:rsidR="00356560" w:rsidRPr="005E3467" w14:paraId="6D6BEAEA" w14:textId="7A56315A" w:rsidTr="00C93678">
        <w:trPr>
          <w:jc w:val="center"/>
        </w:trPr>
        <w:tc>
          <w:tcPr>
            <w:tcW w:w="1304" w:type="dxa"/>
            <w:tcBorders>
              <w:top w:val="nil"/>
              <w:left w:val="nil"/>
              <w:bottom w:val="nil"/>
              <w:right w:val="nil"/>
            </w:tcBorders>
          </w:tcPr>
          <w:p w14:paraId="7B56C077" w14:textId="77777777" w:rsidR="00356560" w:rsidRPr="005E3467" w:rsidRDefault="00356560" w:rsidP="005E3467">
            <w:pPr>
              <w:widowControl w:val="0"/>
              <w:autoSpaceDE w:val="0"/>
              <w:autoSpaceDN w:val="0"/>
              <w:adjustRightInd w:val="0"/>
              <w:spacing w:before="240" w:after="0" w:line="240" w:lineRule="auto"/>
              <w:contextualSpacing/>
              <w:jc w:val="both"/>
              <w:rPr>
                <w:rFonts w:ascii="Garamond" w:eastAsia="Times New Roman" w:hAnsi="Garamond" w:cs="Times New Roman"/>
              </w:rPr>
            </w:pPr>
          </w:p>
        </w:tc>
        <w:tc>
          <w:tcPr>
            <w:tcW w:w="1474" w:type="dxa"/>
            <w:tcBorders>
              <w:top w:val="nil"/>
              <w:left w:val="nil"/>
              <w:bottom w:val="nil"/>
              <w:right w:val="nil"/>
            </w:tcBorders>
          </w:tcPr>
          <w:p w14:paraId="4A229402" w14:textId="76C8132B" w:rsidR="00356560" w:rsidRPr="005E3467" w:rsidRDefault="00356560"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w:t>
            </w:r>
            <w:r>
              <w:rPr>
                <w:rFonts w:ascii="Garamond" w:eastAsia="Times New Roman" w:hAnsi="Garamond" w:cs="Times New Roman"/>
              </w:rPr>
              <w:t>0.001</w:t>
            </w:r>
            <w:r w:rsidRPr="005E3467">
              <w:rPr>
                <w:rFonts w:ascii="Garamond" w:eastAsia="Times New Roman" w:hAnsi="Garamond" w:cs="Times New Roman"/>
              </w:rPr>
              <w:t>)</w:t>
            </w:r>
          </w:p>
        </w:tc>
        <w:tc>
          <w:tcPr>
            <w:tcW w:w="1474" w:type="dxa"/>
            <w:tcBorders>
              <w:top w:val="nil"/>
              <w:left w:val="nil"/>
              <w:bottom w:val="nil"/>
              <w:right w:val="nil"/>
            </w:tcBorders>
          </w:tcPr>
          <w:p w14:paraId="2B94F774" w14:textId="76D90E29" w:rsidR="00356560" w:rsidRPr="005E3467" w:rsidRDefault="00356560"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w:t>
            </w:r>
            <w:r>
              <w:rPr>
                <w:rFonts w:ascii="Garamond" w:eastAsia="Times New Roman" w:hAnsi="Garamond" w:cs="Times New Roman"/>
              </w:rPr>
              <w:t>0.001</w:t>
            </w:r>
            <w:r w:rsidRPr="005E3467">
              <w:rPr>
                <w:rFonts w:ascii="Garamond" w:eastAsia="Times New Roman" w:hAnsi="Garamond" w:cs="Times New Roman"/>
              </w:rPr>
              <w:t>)</w:t>
            </w:r>
          </w:p>
        </w:tc>
        <w:tc>
          <w:tcPr>
            <w:tcW w:w="1474" w:type="dxa"/>
            <w:tcBorders>
              <w:top w:val="nil"/>
              <w:left w:val="nil"/>
              <w:bottom w:val="nil"/>
              <w:right w:val="nil"/>
            </w:tcBorders>
          </w:tcPr>
          <w:p w14:paraId="0CE5F81B" w14:textId="2B2DAA2E" w:rsidR="00356560" w:rsidRPr="005E3467" w:rsidRDefault="00356560"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5E3467">
              <w:rPr>
                <w:rFonts w:ascii="Garamond" w:eastAsia="Times New Roman" w:hAnsi="Garamond" w:cs="Times New Roman"/>
              </w:rPr>
              <w:t>(</w:t>
            </w:r>
            <w:r>
              <w:rPr>
                <w:rFonts w:ascii="Garamond" w:eastAsia="Times New Roman" w:hAnsi="Garamond" w:cs="Times New Roman"/>
              </w:rPr>
              <w:t>0.001</w:t>
            </w:r>
            <w:r w:rsidRPr="005E3467">
              <w:rPr>
                <w:rFonts w:ascii="Garamond" w:eastAsia="Times New Roman" w:hAnsi="Garamond" w:cs="Times New Roman"/>
              </w:rPr>
              <w:t>)</w:t>
            </w:r>
          </w:p>
        </w:tc>
        <w:tc>
          <w:tcPr>
            <w:tcW w:w="1474" w:type="dxa"/>
            <w:tcBorders>
              <w:top w:val="nil"/>
              <w:left w:val="nil"/>
              <w:bottom w:val="nil"/>
              <w:right w:val="nil"/>
            </w:tcBorders>
          </w:tcPr>
          <w:p w14:paraId="7413C1CC" w14:textId="27EBA56B" w:rsidR="00356560" w:rsidRPr="00356560" w:rsidRDefault="00356560"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C93678">
              <w:rPr>
                <w:rFonts w:ascii="Garamond" w:hAnsi="Garamond" w:cs="Times New Roman"/>
              </w:rPr>
              <w:t>(0.002)</w:t>
            </w:r>
          </w:p>
        </w:tc>
        <w:tc>
          <w:tcPr>
            <w:tcW w:w="1474" w:type="dxa"/>
            <w:gridSpan w:val="2"/>
            <w:tcBorders>
              <w:top w:val="nil"/>
              <w:left w:val="nil"/>
              <w:bottom w:val="nil"/>
              <w:right w:val="nil"/>
            </w:tcBorders>
          </w:tcPr>
          <w:p w14:paraId="57B0549C" w14:textId="1635CEEB" w:rsidR="00356560" w:rsidRPr="00356560" w:rsidRDefault="00356560"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r w:rsidRPr="00C93678">
              <w:rPr>
                <w:rFonts w:ascii="Garamond" w:hAnsi="Garamond" w:cs="Times New Roman"/>
              </w:rPr>
              <w:t>(0.002)</w:t>
            </w:r>
          </w:p>
        </w:tc>
      </w:tr>
      <w:tr w:rsidR="00356560" w:rsidRPr="005E3467" w14:paraId="76BE8D26" w14:textId="77777777" w:rsidTr="00C93678">
        <w:tblPrEx>
          <w:tblBorders>
            <w:bottom w:val="single" w:sz="6" w:space="0" w:color="auto"/>
          </w:tblBorders>
        </w:tblPrEx>
        <w:trPr>
          <w:gridAfter w:val="1"/>
          <w:wAfter w:w="32" w:type="dxa"/>
          <w:jc w:val="center"/>
        </w:trPr>
        <w:tc>
          <w:tcPr>
            <w:tcW w:w="8642" w:type="dxa"/>
            <w:gridSpan w:val="6"/>
            <w:tcBorders>
              <w:top w:val="single" w:sz="4" w:space="0" w:color="auto"/>
              <w:left w:val="nil"/>
              <w:bottom w:val="nil"/>
              <w:right w:val="nil"/>
            </w:tcBorders>
          </w:tcPr>
          <w:p w14:paraId="601FFB4E" w14:textId="793096B8" w:rsidR="00356560" w:rsidRPr="005E3467" w:rsidRDefault="00356560" w:rsidP="005E3467">
            <w:pPr>
              <w:widowControl w:val="0"/>
              <w:autoSpaceDE w:val="0"/>
              <w:autoSpaceDN w:val="0"/>
              <w:adjustRightInd w:val="0"/>
              <w:spacing w:before="240" w:after="0" w:line="240" w:lineRule="auto"/>
              <w:contextualSpacing/>
              <w:jc w:val="both"/>
              <w:rPr>
                <w:rFonts w:ascii="Garamond" w:eastAsia="Times New Roman" w:hAnsi="Garamond" w:cs="Times New Roman"/>
                <w:sz w:val="20"/>
                <w:szCs w:val="20"/>
              </w:rPr>
            </w:pPr>
            <w:r w:rsidRPr="00AB17C3">
              <w:rPr>
                <w:rFonts w:ascii="Garamond" w:eastAsia="Times New Roman" w:hAnsi="Garamond" w:cs="Times New Roman"/>
                <w:i/>
                <w:iCs/>
                <w:sz w:val="20"/>
                <w:szCs w:val="20"/>
              </w:rPr>
              <w:t>Note:</w:t>
            </w:r>
            <w:r w:rsidRPr="005E3467">
              <w:rPr>
                <w:rFonts w:ascii="Garamond" w:eastAsia="Times New Roman" w:hAnsi="Garamond" w:cs="Times New Roman"/>
                <w:sz w:val="20"/>
                <w:szCs w:val="20"/>
              </w:rPr>
              <w:t xml:space="preserve"> </w:t>
            </w:r>
            <w:r w:rsidR="00E12D90">
              <w:rPr>
                <w:rFonts w:ascii="Garamond" w:eastAsia="Times New Roman" w:hAnsi="Garamond" w:cs="Times New Roman"/>
                <w:sz w:val="20"/>
                <w:szCs w:val="20"/>
              </w:rPr>
              <w:t>Panel (A)</w:t>
            </w:r>
            <w:r w:rsidR="006F0ADF">
              <w:rPr>
                <w:rFonts w:ascii="Garamond" w:eastAsia="Times New Roman" w:hAnsi="Garamond" w:cs="Times New Roman"/>
                <w:sz w:val="20"/>
                <w:szCs w:val="20"/>
              </w:rPr>
              <w:t xml:space="preserve"> reports </w:t>
            </w:r>
            <w:r w:rsidRPr="005E3467">
              <w:rPr>
                <w:rFonts w:ascii="Garamond" w:eastAsia="Times New Roman" w:hAnsi="Garamond" w:cs="Times New Roman"/>
                <w:sz w:val="20"/>
                <w:szCs w:val="20"/>
              </w:rPr>
              <w:t>average estimates and standard errors across 100 simulations</w:t>
            </w:r>
            <w:r w:rsidR="006F0ADF">
              <w:rPr>
                <w:rFonts w:ascii="Garamond" w:eastAsia="Times New Roman" w:hAnsi="Garamond" w:cs="Times New Roman"/>
                <w:sz w:val="20"/>
                <w:szCs w:val="20"/>
              </w:rPr>
              <w:t xml:space="preserve"> for three different randomizati</w:t>
            </w:r>
            <w:r w:rsidR="006F0ADF" w:rsidRPr="006F0ADF">
              <w:rPr>
                <w:rFonts w:ascii="Garamond" w:eastAsia="Times New Roman" w:hAnsi="Garamond" w:cs="Times New Roman"/>
                <w:sz w:val="20"/>
                <w:szCs w:val="20"/>
              </w:rPr>
              <w:t xml:space="preserve">on tests: </w:t>
            </w:r>
            <w:r w:rsidR="006F0ADF" w:rsidRPr="00C93678">
              <w:rPr>
                <w:rFonts w:ascii="Garamond" w:eastAsia="Times New Roman" w:hAnsi="Garamond" w:cs="Times New Roman"/>
                <w:sz w:val="20"/>
                <w:szCs w:val="20"/>
              </w:rPr>
              <w:t>with rescaled ELO, reassigned ELO, and reassigned births</w:t>
            </w:r>
            <w:r w:rsidRPr="006F0ADF">
              <w:rPr>
                <w:rFonts w:ascii="Garamond" w:eastAsia="Times New Roman" w:hAnsi="Garamond" w:cs="Times New Roman"/>
                <w:sz w:val="20"/>
                <w:szCs w:val="20"/>
              </w:rPr>
              <w:t xml:space="preserve">. </w:t>
            </w:r>
            <w:r w:rsidR="006F0ADF" w:rsidRPr="006F0ADF">
              <w:rPr>
                <w:rFonts w:ascii="Garamond" w:eastAsia="Times New Roman" w:hAnsi="Garamond" w:cs="Times New Roman"/>
                <w:sz w:val="20"/>
                <w:szCs w:val="20"/>
              </w:rPr>
              <w:t xml:space="preserve">Panel (B) </w:t>
            </w:r>
            <w:r w:rsidR="006F0ADF">
              <w:rPr>
                <w:rFonts w:ascii="Garamond" w:eastAsia="Times New Roman" w:hAnsi="Garamond" w:cs="Times New Roman"/>
                <w:sz w:val="20"/>
                <w:szCs w:val="20"/>
              </w:rPr>
              <w:t xml:space="preserve">reports estimates from one-year shift analyses: </w:t>
            </w:r>
            <w:r w:rsidR="00E94D29">
              <w:rPr>
                <w:rFonts w:ascii="Garamond" w:eastAsia="Times New Roman" w:hAnsi="Garamond" w:cs="Times New Roman"/>
                <w:sz w:val="20"/>
                <w:szCs w:val="20"/>
              </w:rPr>
              <w:t>21 months after the tournament (i.e. 9 + 12 months lead), and 15 months before the tournament (i.e. 12 + 2 months lag)</w:t>
            </w:r>
            <w:r w:rsidR="00E12D90">
              <w:rPr>
                <w:rFonts w:ascii="Garamond" w:eastAsia="Times New Roman" w:hAnsi="Garamond" w:cs="Times New Roman"/>
                <w:sz w:val="20"/>
                <w:szCs w:val="20"/>
              </w:rPr>
              <w:t xml:space="preserve">. </w:t>
            </w:r>
            <w:r>
              <w:rPr>
                <w:rFonts w:ascii="Garamond" w:eastAsia="Times New Roman" w:hAnsi="Garamond" w:cs="Times New Roman"/>
                <w:sz w:val="20"/>
                <w:szCs w:val="20"/>
              </w:rPr>
              <w:t>R</w:t>
            </w:r>
            <w:r w:rsidRPr="005E3467">
              <w:rPr>
                <w:rFonts w:ascii="Garamond" w:eastAsia="Times New Roman" w:hAnsi="Garamond" w:cs="Times New Roman"/>
                <w:sz w:val="20"/>
                <w:szCs w:val="20"/>
              </w:rPr>
              <w:t>obust standard errors</w:t>
            </w:r>
            <w:r>
              <w:rPr>
                <w:rFonts w:ascii="Garamond" w:eastAsia="Times New Roman" w:hAnsi="Garamond" w:cs="Times New Roman"/>
                <w:sz w:val="20"/>
                <w:szCs w:val="20"/>
              </w:rPr>
              <w:t xml:space="preserve">, </w:t>
            </w:r>
            <w:r w:rsidRPr="005E3467">
              <w:rPr>
                <w:rFonts w:ascii="Garamond" w:eastAsia="Times New Roman" w:hAnsi="Garamond" w:cs="Times New Roman"/>
                <w:sz w:val="20"/>
                <w:szCs w:val="20"/>
              </w:rPr>
              <w:t>clustered at the level of the country, in parentheses. *** p&lt;0.001, ** p&lt;0.01, * p&lt;0.05</w:t>
            </w:r>
          </w:p>
          <w:p w14:paraId="45F8D98B" w14:textId="77777777" w:rsidR="00356560" w:rsidRPr="005E3467" w:rsidRDefault="00356560" w:rsidP="005E3467">
            <w:pPr>
              <w:widowControl w:val="0"/>
              <w:autoSpaceDE w:val="0"/>
              <w:autoSpaceDN w:val="0"/>
              <w:adjustRightInd w:val="0"/>
              <w:spacing w:before="240" w:after="0" w:line="240" w:lineRule="auto"/>
              <w:contextualSpacing/>
              <w:jc w:val="center"/>
              <w:rPr>
                <w:rFonts w:ascii="Garamond" w:eastAsia="Times New Roman" w:hAnsi="Garamond" w:cs="Times New Roman"/>
              </w:rPr>
            </w:pPr>
          </w:p>
        </w:tc>
      </w:tr>
    </w:tbl>
    <w:p w14:paraId="787EB6B7" w14:textId="77777777" w:rsidR="00424FA9" w:rsidRDefault="00424FA9" w:rsidP="008A7DF5">
      <w:pPr>
        <w:spacing w:line="360" w:lineRule="auto"/>
        <w:jc w:val="both"/>
        <w:rPr>
          <w:rFonts w:ascii="Garamond" w:hAnsi="Garamond"/>
          <w:sz w:val="24"/>
          <w:szCs w:val="24"/>
        </w:rPr>
      </w:pPr>
    </w:p>
    <w:p w14:paraId="3211DDE4" w14:textId="6FE35B45" w:rsidR="00165B46" w:rsidRDefault="00424FA9" w:rsidP="008A7DF5">
      <w:pPr>
        <w:spacing w:line="360" w:lineRule="auto"/>
        <w:jc w:val="both"/>
        <w:rPr>
          <w:rFonts w:ascii="Garamond" w:hAnsi="Garamond"/>
          <w:sz w:val="24"/>
          <w:szCs w:val="24"/>
        </w:rPr>
      </w:pPr>
      <w:r>
        <w:rPr>
          <w:rFonts w:ascii="Garamond" w:hAnsi="Garamond"/>
          <w:sz w:val="24"/>
          <w:szCs w:val="24"/>
        </w:rPr>
        <w:lastRenderedPageBreak/>
        <w:t>Panel A</w:t>
      </w:r>
      <w:r w:rsidR="005E3467" w:rsidRPr="005E3467">
        <w:rPr>
          <w:rFonts w:ascii="Garamond" w:hAnsi="Garamond"/>
          <w:sz w:val="24"/>
          <w:szCs w:val="24"/>
        </w:rPr>
        <w:t xml:space="preserve"> show</w:t>
      </w:r>
      <w:r w:rsidR="005E3467">
        <w:rPr>
          <w:rFonts w:ascii="Garamond" w:hAnsi="Garamond"/>
          <w:sz w:val="24"/>
          <w:szCs w:val="24"/>
        </w:rPr>
        <w:t>s</w:t>
      </w:r>
      <w:r w:rsidR="005E3467" w:rsidRPr="005E3467">
        <w:rPr>
          <w:rFonts w:ascii="Garamond" w:hAnsi="Garamond"/>
          <w:sz w:val="24"/>
          <w:szCs w:val="24"/>
        </w:rPr>
        <w:t xml:space="preserve"> </w:t>
      </w:r>
      <w:r w:rsidR="005E3467">
        <w:rPr>
          <w:rFonts w:ascii="Garamond" w:hAnsi="Garamond"/>
          <w:sz w:val="24"/>
          <w:szCs w:val="24"/>
        </w:rPr>
        <w:t>that</w:t>
      </w:r>
      <w:r w:rsidR="005E3467" w:rsidRPr="005E3467">
        <w:rPr>
          <w:rFonts w:ascii="Garamond" w:hAnsi="Garamond"/>
          <w:sz w:val="24"/>
          <w:szCs w:val="24"/>
        </w:rPr>
        <w:t xml:space="preserve"> </w:t>
      </w:r>
      <w:r w:rsidR="00DC4E35" w:rsidRPr="005E3467">
        <w:rPr>
          <w:rFonts w:ascii="Garamond" w:hAnsi="Garamond"/>
          <w:sz w:val="24"/>
          <w:szCs w:val="24"/>
        </w:rPr>
        <w:t>n</w:t>
      </w:r>
      <w:r w:rsidR="00DC4E35">
        <w:rPr>
          <w:rFonts w:ascii="Garamond" w:hAnsi="Garamond"/>
          <w:sz w:val="24"/>
          <w:szCs w:val="24"/>
        </w:rPr>
        <w:t>e</w:t>
      </w:r>
      <w:r w:rsidR="00DC4E35" w:rsidRPr="005E3467">
        <w:rPr>
          <w:rFonts w:ascii="Garamond" w:hAnsi="Garamond"/>
          <w:sz w:val="24"/>
          <w:szCs w:val="24"/>
        </w:rPr>
        <w:t>ither</w:t>
      </w:r>
      <w:r w:rsidR="005E3467" w:rsidRPr="005E3467">
        <w:rPr>
          <w:rFonts w:ascii="Garamond" w:hAnsi="Garamond"/>
          <w:sz w:val="24"/>
          <w:szCs w:val="24"/>
        </w:rPr>
        <w:t xml:space="preserve"> of the three </w:t>
      </w:r>
      <w:r w:rsidR="00E94D29">
        <w:rPr>
          <w:rFonts w:ascii="Garamond" w:hAnsi="Garamond"/>
          <w:sz w:val="24"/>
          <w:szCs w:val="24"/>
        </w:rPr>
        <w:t>randomization test</w:t>
      </w:r>
      <w:r w:rsidR="00E94D29" w:rsidRPr="005E3467">
        <w:rPr>
          <w:rFonts w:ascii="Garamond" w:hAnsi="Garamond"/>
          <w:sz w:val="24"/>
          <w:szCs w:val="24"/>
        </w:rPr>
        <w:t xml:space="preserve"> </w:t>
      </w:r>
      <w:r w:rsidR="005E3467" w:rsidRPr="005E3467">
        <w:rPr>
          <w:rFonts w:ascii="Garamond" w:hAnsi="Garamond"/>
          <w:sz w:val="24"/>
          <w:szCs w:val="24"/>
        </w:rPr>
        <w:t xml:space="preserve">provides a statistically significant </w:t>
      </w:r>
      <w:r w:rsidR="00716F17">
        <w:rPr>
          <w:rFonts w:ascii="Garamond" w:hAnsi="Garamond"/>
          <w:sz w:val="24"/>
          <w:szCs w:val="24"/>
        </w:rPr>
        <w:t>association</w:t>
      </w:r>
      <w:r w:rsidR="00716F17" w:rsidRPr="005E3467">
        <w:rPr>
          <w:rFonts w:ascii="Garamond" w:hAnsi="Garamond"/>
          <w:sz w:val="24"/>
          <w:szCs w:val="24"/>
        </w:rPr>
        <w:t xml:space="preserve"> </w:t>
      </w:r>
      <w:r w:rsidR="00DC4E35">
        <w:rPr>
          <w:rFonts w:ascii="Garamond" w:hAnsi="Garamond"/>
          <w:sz w:val="24"/>
          <w:szCs w:val="24"/>
        </w:rPr>
        <w:t>between</w:t>
      </w:r>
      <w:r w:rsidR="005E3467" w:rsidRPr="005E3467">
        <w:rPr>
          <w:rFonts w:ascii="Garamond" w:hAnsi="Garamond"/>
          <w:sz w:val="24"/>
          <w:szCs w:val="24"/>
        </w:rPr>
        <w:t xml:space="preserve"> </w:t>
      </w:r>
      <w:r w:rsidR="00716F17">
        <w:rPr>
          <w:rFonts w:ascii="Garamond" w:hAnsi="Garamond"/>
          <w:sz w:val="24"/>
          <w:szCs w:val="24"/>
        </w:rPr>
        <w:t>national team</w:t>
      </w:r>
      <w:r w:rsidR="005E3467" w:rsidRPr="005E3467">
        <w:rPr>
          <w:rFonts w:ascii="Garamond" w:hAnsi="Garamond"/>
          <w:sz w:val="24"/>
          <w:szCs w:val="24"/>
        </w:rPr>
        <w:t xml:space="preserve">s’ performance </w:t>
      </w:r>
      <w:r w:rsidR="00DC4E35">
        <w:rPr>
          <w:rFonts w:ascii="Garamond" w:hAnsi="Garamond"/>
          <w:sz w:val="24"/>
          <w:szCs w:val="24"/>
        </w:rPr>
        <w:t xml:space="preserve">and country’s </w:t>
      </w:r>
      <w:r w:rsidR="005E3467" w:rsidRPr="005E3467">
        <w:rPr>
          <w:rFonts w:ascii="Garamond" w:hAnsi="Garamond"/>
          <w:sz w:val="24"/>
          <w:szCs w:val="24"/>
        </w:rPr>
        <w:t>births, nine months after the competition.</w:t>
      </w:r>
      <w:r w:rsidR="005E3467">
        <w:rPr>
          <w:rFonts w:ascii="Garamond" w:hAnsi="Garamond"/>
          <w:sz w:val="24"/>
          <w:szCs w:val="24"/>
        </w:rPr>
        <w:t xml:space="preserve"> </w:t>
      </w:r>
      <w:r w:rsidR="00356560">
        <w:rPr>
          <w:rFonts w:ascii="Garamond" w:hAnsi="Garamond"/>
          <w:sz w:val="24"/>
          <w:szCs w:val="24"/>
        </w:rPr>
        <w:t xml:space="preserve">Similarly, </w:t>
      </w:r>
      <w:r w:rsidR="00B41B12">
        <w:rPr>
          <w:rFonts w:ascii="Garamond" w:hAnsi="Garamond"/>
          <w:sz w:val="24"/>
          <w:szCs w:val="24"/>
        </w:rPr>
        <w:t xml:space="preserve">panel B shows </w:t>
      </w:r>
      <w:r w:rsidR="00356560">
        <w:rPr>
          <w:rFonts w:ascii="Garamond" w:hAnsi="Garamond"/>
          <w:sz w:val="24"/>
          <w:szCs w:val="24"/>
        </w:rPr>
        <w:t xml:space="preserve">no </w:t>
      </w:r>
      <w:r w:rsidR="00356560" w:rsidRPr="005E3467">
        <w:rPr>
          <w:rFonts w:ascii="Garamond" w:hAnsi="Garamond"/>
          <w:sz w:val="24"/>
          <w:szCs w:val="24"/>
        </w:rPr>
        <w:t xml:space="preserve">statistically significant </w:t>
      </w:r>
      <w:r w:rsidR="00356560">
        <w:rPr>
          <w:rFonts w:ascii="Garamond" w:hAnsi="Garamond"/>
          <w:sz w:val="24"/>
          <w:szCs w:val="24"/>
        </w:rPr>
        <w:t>association</w:t>
      </w:r>
      <w:r w:rsidR="00356560" w:rsidRPr="005E3467">
        <w:rPr>
          <w:rFonts w:ascii="Garamond" w:hAnsi="Garamond"/>
          <w:sz w:val="24"/>
          <w:szCs w:val="24"/>
        </w:rPr>
        <w:t xml:space="preserve"> </w:t>
      </w:r>
      <w:r w:rsidR="00356560">
        <w:rPr>
          <w:rFonts w:ascii="Garamond" w:hAnsi="Garamond"/>
          <w:sz w:val="24"/>
          <w:szCs w:val="24"/>
        </w:rPr>
        <w:t>between</w:t>
      </w:r>
      <w:r w:rsidR="00356560" w:rsidRPr="005E3467">
        <w:rPr>
          <w:rFonts w:ascii="Garamond" w:hAnsi="Garamond"/>
          <w:sz w:val="24"/>
          <w:szCs w:val="24"/>
        </w:rPr>
        <w:t xml:space="preserve"> </w:t>
      </w:r>
      <w:r w:rsidR="00356560">
        <w:rPr>
          <w:rFonts w:ascii="Garamond" w:hAnsi="Garamond"/>
          <w:sz w:val="24"/>
          <w:szCs w:val="24"/>
        </w:rPr>
        <w:t>national team</w:t>
      </w:r>
      <w:r w:rsidR="00356560" w:rsidRPr="005E3467">
        <w:rPr>
          <w:rFonts w:ascii="Garamond" w:hAnsi="Garamond"/>
          <w:sz w:val="24"/>
          <w:szCs w:val="24"/>
        </w:rPr>
        <w:t xml:space="preserve">s’ performance </w:t>
      </w:r>
      <w:r w:rsidR="00356560">
        <w:rPr>
          <w:rFonts w:ascii="Garamond" w:hAnsi="Garamond"/>
          <w:sz w:val="24"/>
          <w:szCs w:val="24"/>
        </w:rPr>
        <w:t xml:space="preserve">and country’s </w:t>
      </w:r>
      <w:r w:rsidR="00356560" w:rsidRPr="005E3467">
        <w:rPr>
          <w:rFonts w:ascii="Garamond" w:hAnsi="Garamond"/>
          <w:sz w:val="24"/>
          <w:szCs w:val="24"/>
        </w:rPr>
        <w:t>birt</w:t>
      </w:r>
      <w:r w:rsidR="00356560">
        <w:rPr>
          <w:rFonts w:ascii="Garamond" w:hAnsi="Garamond"/>
          <w:sz w:val="24"/>
          <w:szCs w:val="24"/>
        </w:rPr>
        <w:t>hs in the one-year shift analyses.</w:t>
      </w:r>
    </w:p>
    <w:p w14:paraId="55B88AA0" w14:textId="78D57607" w:rsidR="00D12315" w:rsidRPr="00DC4E35" w:rsidRDefault="00C53CEC" w:rsidP="00C93678">
      <w:pPr>
        <w:spacing w:line="360" w:lineRule="auto"/>
        <w:jc w:val="both"/>
        <w:rPr>
          <w:rFonts w:ascii="Garamond" w:hAnsi="Garamond"/>
        </w:rPr>
      </w:pPr>
      <w:r>
        <w:rPr>
          <w:rFonts w:ascii="Garamond" w:hAnsi="Garamond"/>
          <w:sz w:val="24"/>
          <w:szCs w:val="24"/>
        </w:rPr>
        <w:t>Finally</w:t>
      </w:r>
      <w:r w:rsidR="00A82888">
        <w:rPr>
          <w:rFonts w:ascii="Garamond" w:hAnsi="Garamond"/>
          <w:sz w:val="24"/>
          <w:szCs w:val="24"/>
        </w:rPr>
        <w:t xml:space="preserve">, </w:t>
      </w:r>
      <w:r w:rsidR="007F70BA">
        <w:rPr>
          <w:rFonts w:ascii="Garamond" w:hAnsi="Garamond"/>
          <w:sz w:val="24"/>
          <w:szCs w:val="24"/>
        </w:rPr>
        <w:t xml:space="preserve">we </w:t>
      </w:r>
      <w:r w:rsidR="00A82888">
        <w:rPr>
          <w:rFonts w:ascii="Garamond" w:hAnsi="Garamond"/>
          <w:sz w:val="24"/>
          <w:szCs w:val="24"/>
        </w:rPr>
        <w:t>perform</w:t>
      </w:r>
      <w:r w:rsidR="00A82888" w:rsidRPr="00A82888">
        <w:rPr>
          <w:rFonts w:ascii="Garamond" w:hAnsi="Garamond"/>
          <w:sz w:val="24"/>
          <w:szCs w:val="24"/>
        </w:rPr>
        <w:t xml:space="preserve"> a </w:t>
      </w:r>
      <w:r w:rsidR="008D7DAA">
        <w:rPr>
          <w:rFonts w:ascii="Garamond" w:hAnsi="Garamond"/>
          <w:sz w:val="24"/>
          <w:szCs w:val="24"/>
        </w:rPr>
        <w:t xml:space="preserve">series of 50 </w:t>
      </w:r>
      <w:r w:rsidR="00A82888" w:rsidRPr="00A82888">
        <w:rPr>
          <w:rFonts w:ascii="Garamond" w:hAnsi="Garamond"/>
          <w:sz w:val="24"/>
          <w:szCs w:val="24"/>
        </w:rPr>
        <w:t xml:space="preserve">leave-one-out </w:t>
      </w:r>
      <w:r w:rsidR="008D7DAA" w:rsidRPr="00A82888">
        <w:rPr>
          <w:rFonts w:ascii="Garamond" w:hAnsi="Garamond"/>
          <w:sz w:val="24"/>
          <w:szCs w:val="24"/>
        </w:rPr>
        <w:t>analys</w:t>
      </w:r>
      <w:r w:rsidR="008D7DAA">
        <w:rPr>
          <w:rFonts w:ascii="Garamond" w:hAnsi="Garamond"/>
          <w:sz w:val="24"/>
          <w:szCs w:val="24"/>
        </w:rPr>
        <w:t>e</w:t>
      </w:r>
      <w:r w:rsidR="008D7DAA" w:rsidRPr="00A82888">
        <w:rPr>
          <w:rFonts w:ascii="Garamond" w:hAnsi="Garamond"/>
          <w:sz w:val="24"/>
          <w:szCs w:val="24"/>
        </w:rPr>
        <w:t>s</w:t>
      </w:r>
      <w:r w:rsidR="008D7DAA">
        <w:rPr>
          <w:rFonts w:ascii="Garamond" w:hAnsi="Garamond"/>
          <w:sz w:val="24"/>
          <w:szCs w:val="24"/>
        </w:rPr>
        <w:t>,</w:t>
      </w:r>
      <w:r w:rsidR="008D7DAA" w:rsidRPr="00A82888">
        <w:rPr>
          <w:rFonts w:ascii="Garamond" w:hAnsi="Garamond"/>
          <w:sz w:val="24"/>
          <w:szCs w:val="24"/>
        </w:rPr>
        <w:t xml:space="preserve"> </w:t>
      </w:r>
      <w:r w:rsidR="008D7DAA">
        <w:rPr>
          <w:rFonts w:ascii="Garamond" w:hAnsi="Garamond"/>
          <w:sz w:val="24"/>
          <w:szCs w:val="24"/>
        </w:rPr>
        <w:t>where we</w:t>
      </w:r>
      <w:r w:rsidR="00A82888" w:rsidRPr="00A82888">
        <w:rPr>
          <w:rFonts w:ascii="Garamond" w:hAnsi="Garamond"/>
          <w:sz w:val="24"/>
          <w:szCs w:val="24"/>
        </w:rPr>
        <w:t xml:space="preserve"> subsequently</w:t>
      </w:r>
      <w:r w:rsidR="00A82888">
        <w:rPr>
          <w:rFonts w:ascii="Garamond" w:hAnsi="Garamond"/>
          <w:sz w:val="24"/>
          <w:szCs w:val="24"/>
        </w:rPr>
        <w:t xml:space="preserve"> </w:t>
      </w:r>
      <w:r w:rsidR="00A82888" w:rsidRPr="00A82888">
        <w:rPr>
          <w:rFonts w:ascii="Garamond" w:hAnsi="Garamond"/>
          <w:sz w:val="24"/>
          <w:szCs w:val="24"/>
        </w:rPr>
        <w:t>exclud</w:t>
      </w:r>
      <w:r w:rsidR="008D7DAA">
        <w:rPr>
          <w:rFonts w:ascii="Garamond" w:hAnsi="Garamond"/>
          <w:sz w:val="24"/>
          <w:szCs w:val="24"/>
        </w:rPr>
        <w:t>e</w:t>
      </w:r>
      <w:r w:rsidR="00A82888" w:rsidRPr="00A82888">
        <w:rPr>
          <w:rFonts w:ascii="Garamond" w:hAnsi="Garamond"/>
          <w:sz w:val="24"/>
          <w:szCs w:val="24"/>
        </w:rPr>
        <w:t xml:space="preserve"> one </w:t>
      </w:r>
      <w:r w:rsidR="00A82888">
        <w:rPr>
          <w:rFonts w:ascii="Garamond" w:hAnsi="Garamond"/>
          <w:sz w:val="24"/>
          <w:szCs w:val="24"/>
        </w:rPr>
        <w:t>country</w:t>
      </w:r>
      <w:r w:rsidR="00A82888" w:rsidRPr="00A82888">
        <w:rPr>
          <w:rFonts w:ascii="Garamond" w:hAnsi="Garamond"/>
          <w:sz w:val="24"/>
          <w:szCs w:val="24"/>
        </w:rPr>
        <w:t xml:space="preserve"> at </w:t>
      </w:r>
      <w:r w:rsidR="008D7DAA">
        <w:rPr>
          <w:rFonts w:ascii="Garamond" w:hAnsi="Garamond"/>
          <w:sz w:val="24"/>
          <w:szCs w:val="24"/>
        </w:rPr>
        <w:t xml:space="preserve">a </w:t>
      </w:r>
      <w:r w:rsidR="00A82888" w:rsidRPr="00A82888">
        <w:rPr>
          <w:rFonts w:ascii="Garamond" w:hAnsi="Garamond"/>
          <w:sz w:val="24"/>
          <w:szCs w:val="24"/>
        </w:rPr>
        <w:t xml:space="preserve">time. </w:t>
      </w:r>
      <w:r w:rsidR="00BC57EA">
        <w:rPr>
          <w:rFonts w:ascii="Garamond" w:hAnsi="Garamond"/>
          <w:sz w:val="24"/>
          <w:szCs w:val="24"/>
        </w:rPr>
        <w:t xml:space="preserve">Appendix C, Figure C.1 reports the estimates from this analyses. </w:t>
      </w:r>
      <w:r w:rsidR="00A82888" w:rsidRPr="00A82888">
        <w:rPr>
          <w:rFonts w:ascii="Garamond" w:hAnsi="Garamond"/>
          <w:sz w:val="24"/>
          <w:szCs w:val="24"/>
        </w:rPr>
        <w:t xml:space="preserve"> </w:t>
      </w:r>
      <w:r w:rsidR="008D7DAA">
        <w:rPr>
          <w:rFonts w:ascii="Garamond" w:hAnsi="Garamond"/>
          <w:sz w:val="24"/>
          <w:szCs w:val="24"/>
        </w:rPr>
        <w:t>Compared to Table 2, these results are virtually unchanged in term of</w:t>
      </w:r>
      <w:r w:rsidR="00A82888" w:rsidRPr="00A82888">
        <w:rPr>
          <w:rFonts w:ascii="Garamond" w:hAnsi="Garamond"/>
          <w:sz w:val="24"/>
          <w:szCs w:val="24"/>
        </w:rPr>
        <w:t xml:space="preserve"> magnitude </w:t>
      </w:r>
      <w:r w:rsidR="008D7DAA">
        <w:rPr>
          <w:rFonts w:ascii="Garamond" w:hAnsi="Garamond"/>
          <w:sz w:val="24"/>
          <w:szCs w:val="24"/>
        </w:rPr>
        <w:t>and st</w:t>
      </w:r>
      <w:r w:rsidR="00A82888" w:rsidRPr="00A82888">
        <w:rPr>
          <w:rFonts w:ascii="Garamond" w:hAnsi="Garamond"/>
          <w:sz w:val="24"/>
          <w:szCs w:val="24"/>
        </w:rPr>
        <w:t>atistical significance.</w:t>
      </w:r>
    </w:p>
    <w:p w14:paraId="575EBDAC" w14:textId="6316F4C9" w:rsidR="00165B46" w:rsidRDefault="00165B46" w:rsidP="00165B46">
      <w:pPr>
        <w:pStyle w:val="Titolo1"/>
        <w:rPr>
          <w:rFonts w:ascii="Garamond" w:hAnsi="Garamond"/>
          <w:lang w:val="en-GB"/>
        </w:rPr>
      </w:pPr>
      <w:r w:rsidRPr="006F4A10">
        <w:rPr>
          <w:rFonts w:ascii="Garamond" w:hAnsi="Garamond"/>
          <w:lang w:val="en-GB"/>
        </w:rPr>
        <w:t xml:space="preserve">5 </w:t>
      </w:r>
      <w:r w:rsidR="00BB3F28">
        <w:rPr>
          <w:rFonts w:ascii="Garamond" w:hAnsi="Garamond"/>
          <w:lang w:val="en-GB"/>
        </w:rPr>
        <w:t>Discussion</w:t>
      </w:r>
    </w:p>
    <w:p w14:paraId="08109AFF" w14:textId="769F44BE" w:rsidR="004956A2" w:rsidRDefault="00716F17" w:rsidP="00A24D9B">
      <w:pPr>
        <w:spacing w:line="360" w:lineRule="auto"/>
        <w:jc w:val="both"/>
        <w:rPr>
          <w:rFonts w:ascii="Garamond" w:hAnsi="Garamond"/>
          <w:sz w:val="24"/>
          <w:szCs w:val="24"/>
          <w:lang w:val="en-GB"/>
        </w:rPr>
      </w:pPr>
      <w:r>
        <w:rPr>
          <w:rFonts w:ascii="Garamond" w:hAnsi="Garamond"/>
          <w:sz w:val="24"/>
          <w:szCs w:val="24"/>
          <w:lang w:val="en-GB"/>
        </w:rPr>
        <w:t>W</w:t>
      </w:r>
      <w:r w:rsidR="004A7553">
        <w:rPr>
          <w:rFonts w:ascii="Garamond" w:hAnsi="Garamond"/>
          <w:sz w:val="24"/>
          <w:szCs w:val="24"/>
          <w:lang w:val="en-GB"/>
        </w:rPr>
        <w:t xml:space="preserve">e have analysed the relationship between </w:t>
      </w:r>
      <w:r w:rsidR="004A7553" w:rsidRPr="004A7553">
        <w:rPr>
          <w:rFonts w:ascii="Garamond" w:hAnsi="Garamond"/>
          <w:sz w:val="24"/>
          <w:szCs w:val="24"/>
          <w:lang w:val="en-GB"/>
        </w:rPr>
        <w:t xml:space="preserve">national </w:t>
      </w:r>
      <w:r>
        <w:rPr>
          <w:rFonts w:ascii="Garamond" w:hAnsi="Garamond"/>
          <w:sz w:val="24"/>
          <w:szCs w:val="24"/>
          <w:lang w:val="en-GB"/>
        </w:rPr>
        <w:t xml:space="preserve">teams’ </w:t>
      </w:r>
      <w:r w:rsidR="004A7553" w:rsidRPr="004A7553">
        <w:rPr>
          <w:rFonts w:ascii="Garamond" w:hAnsi="Garamond"/>
          <w:sz w:val="24"/>
          <w:szCs w:val="24"/>
          <w:lang w:val="en-GB"/>
        </w:rPr>
        <w:t>performance in major sports competitions</w:t>
      </w:r>
      <w:r w:rsidR="004A7553">
        <w:rPr>
          <w:rFonts w:ascii="Garamond" w:hAnsi="Garamond"/>
          <w:sz w:val="24"/>
          <w:szCs w:val="24"/>
          <w:lang w:val="en-GB"/>
        </w:rPr>
        <w:t xml:space="preserve"> and birth rates. </w:t>
      </w:r>
      <w:r w:rsidR="006F117D" w:rsidRPr="006F117D">
        <w:rPr>
          <w:rFonts w:ascii="Garamond" w:hAnsi="Garamond"/>
          <w:sz w:val="24"/>
          <w:szCs w:val="24"/>
          <w:lang w:val="en-GB"/>
        </w:rPr>
        <w:t xml:space="preserve">We find that an increase in national team performance in international </w:t>
      </w:r>
      <w:r w:rsidR="00B07D71">
        <w:rPr>
          <w:rFonts w:ascii="Garamond" w:hAnsi="Garamond"/>
          <w:sz w:val="24"/>
          <w:szCs w:val="24"/>
          <w:lang w:val="en-GB"/>
        </w:rPr>
        <w:t>football</w:t>
      </w:r>
      <w:r w:rsidR="005037CF">
        <w:rPr>
          <w:rFonts w:ascii="Garamond" w:hAnsi="Garamond"/>
          <w:sz w:val="24"/>
          <w:szCs w:val="24"/>
          <w:lang w:val="en-GB"/>
        </w:rPr>
        <w:t xml:space="preserve"> </w:t>
      </w:r>
      <w:r w:rsidR="006F117D">
        <w:rPr>
          <w:rFonts w:ascii="Garamond" w:hAnsi="Garamond"/>
          <w:sz w:val="24"/>
          <w:szCs w:val="24"/>
          <w:lang w:val="en-GB"/>
        </w:rPr>
        <w:t>competitions</w:t>
      </w:r>
      <w:r w:rsidR="006F117D" w:rsidRPr="006F117D">
        <w:rPr>
          <w:rFonts w:ascii="Garamond" w:hAnsi="Garamond"/>
          <w:sz w:val="24"/>
          <w:szCs w:val="24"/>
          <w:lang w:val="en-GB"/>
        </w:rPr>
        <w:t xml:space="preserve"> is associated with a drop in birth</w:t>
      </w:r>
      <w:r w:rsidR="001F35E4">
        <w:rPr>
          <w:rFonts w:ascii="Garamond" w:hAnsi="Garamond"/>
          <w:sz w:val="24"/>
          <w:szCs w:val="24"/>
          <w:lang w:val="en-GB"/>
        </w:rPr>
        <w:t>s</w:t>
      </w:r>
      <w:r w:rsidR="006F117D" w:rsidRPr="006F117D">
        <w:rPr>
          <w:rFonts w:ascii="Garamond" w:hAnsi="Garamond"/>
          <w:sz w:val="24"/>
          <w:szCs w:val="24"/>
          <w:lang w:val="en-GB"/>
        </w:rPr>
        <w:t xml:space="preserve"> </w:t>
      </w:r>
      <w:r w:rsidR="006F117D">
        <w:rPr>
          <w:rFonts w:ascii="Garamond" w:hAnsi="Garamond"/>
          <w:sz w:val="24"/>
          <w:szCs w:val="24"/>
          <w:lang w:val="en-GB"/>
        </w:rPr>
        <w:t>nine</w:t>
      </w:r>
      <w:r w:rsidR="006F117D" w:rsidRPr="006F117D">
        <w:rPr>
          <w:rFonts w:ascii="Garamond" w:hAnsi="Garamond"/>
          <w:sz w:val="24"/>
          <w:szCs w:val="24"/>
          <w:lang w:val="en-GB"/>
        </w:rPr>
        <w:t xml:space="preserve"> months after the event.</w:t>
      </w:r>
    </w:p>
    <w:p w14:paraId="1AFBC9A3" w14:textId="4A2F8CD9" w:rsidR="007A72C0" w:rsidRDefault="007A72C0" w:rsidP="00A24D9B">
      <w:pPr>
        <w:spacing w:line="360" w:lineRule="auto"/>
        <w:jc w:val="both"/>
        <w:rPr>
          <w:rFonts w:ascii="Garamond" w:hAnsi="Garamond"/>
          <w:sz w:val="24"/>
          <w:szCs w:val="24"/>
          <w:lang w:val="en-GB"/>
        </w:rPr>
      </w:pPr>
      <w:r w:rsidRPr="007A72C0">
        <w:rPr>
          <w:rFonts w:ascii="Garamond" w:hAnsi="Garamond"/>
          <w:sz w:val="24"/>
          <w:szCs w:val="24"/>
          <w:lang w:val="en-GB"/>
        </w:rPr>
        <w:t>Our paper contribu</w:t>
      </w:r>
      <w:r w:rsidR="00B11BB2">
        <w:rPr>
          <w:rFonts w:ascii="Garamond" w:hAnsi="Garamond"/>
          <w:sz w:val="24"/>
          <w:szCs w:val="24"/>
          <w:lang w:val="en-GB"/>
        </w:rPr>
        <w:t>tes to shed light on the</w:t>
      </w:r>
      <w:r w:rsidRPr="007A72C0">
        <w:rPr>
          <w:rFonts w:ascii="Garamond" w:hAnsi="Garamond"/>
          <w:sz w:val="24"/>
          <w:szCs w:val="24"/>
          <w:lang w:val="en-GB"/>
        </w:rPr>
        <w:t xml:space="preserve"> </w:t>
      </w:r>
      <w:r>
        <w:rPr>
          <w:rFonts w:ascii="Garamond" w:hAnsi="Garamond"/>
          <w:sz w:val="24"/>
          <w:szCs w:val="24"/>
          <w:lang w:val="en-GB"/>
        </w:rPr>
        <w:t xml:space="preserve">social </w:t>
      </w:r>
      <w:r w:rsidRPr="007A72C0">
        <w:rPr>
          <w:rFonts w:ascii="Garamond" w:hAnsi="Garamond"/>
          <w:sz w:val="24"/>
          <w:szCs w:val="24"/>
          <w:lang w:val="en-GB"/>
        </w:rPr>
        <w:t>determinants of birth rates and fertility</w:t>
      </w:r>
      <w:r>
        <w:rPr>
          <w:rFonts w:ascii="Garamond" w:hAnsi="Garamond"/>
          <w:sz w:val="24"/>
          <w:szCs w:val="24"/>
          <w:lang w:val="en-GB"/>
        </w:rPr>
        <w:t xml:space="preserve">. </w:t>
      </w:r>
      <w:r w:rsidR="001F35E4">
        <w:rPr>
          <w:rFonts w:ascii="Garamond" w:hAnsi="Garamond"/>
          <w:sz w:val="24"/>
          <w:szCs w:val="24"/>
          <w:lang w:val="en-GB"/>
        </w:rPr>
        <w:t xml:space="preserve">While our data provide a neat </w:t>
      </w:r>
      <w:r w:rsidR="00534F2D">
        <w:rPr>
          <w:rFonts w:ascii="Garamond" w:hAnsi="Garamond"/>
          <w:sz w:val="24"/>
          <w:szCs w:val="24"/>
          <w:lang w:val="en-GB"/>
        </w:rPr>
        <w:t>longitudinal</w:t>
      </w:r>
      <w:r w:rsidR="001512AF">
        <w:rPr>
          <w:rFonts w:ascii="Garamond" w:hAnsi="Garamond"/>
          <w:sz w:val="24"/>
          <w:szCs w:val="24"/>
          <w:lang w:val="en-GB"/>
        </w:rPr>
        <w:t xml:space="preserve"> </w:t>
      </w:r>
      <w:r w:rsidR="007E3204">
        <w:rPr>
          <w:rFonts w:ascii="Garamond" w:hAnsi="Garamond"/>
          <w:sz w:val="24"/>
          <w:szCs w:val="24"/>
          <w:lang w:val="en-GB"/>
        </w:rPr>
        <w:t>framework</w:t>
      </w:r>
      <w:r w:rsidR="001F35E4">
        <w:rPr>
          <w:rFonts w:ascii="Garamond" w:hAnsi="Garamond"/>
          <w:sz w:val="24"/>
          <w:szCs w:val="24"/>
          <w:lang w:val="en-GB"/>
        </w:rPr>
        <w:t xml:space="preserve">, they </w:t>
      </w:r>
      <w:r>
        <w:rPr>
          <w:rFonts w:ascii="Garamond" w:hAnsi="Garamond"/>
          <w:sz w:val="24"/>
          <w:szCs w:val="24"/>
          <w:lang w:val="en-GB"/>
        </w:rPr>
        <w:t xml:space="preserve">do not allow </w:t>
      </w:r>
      <w:r w:rsidR="001F35E4">
        <w:rPr>
          <w:rFonts w:ascii="Garamond" w:hAnsi="Garamond"/>
          <w:sz w:val="24"/>
          <w:szCs w:val="24"/>
          <w:lang w:val="en-GB"/>
        </w:rPr>
        <w:t xml:space="preserve">us </w:t>
      </w:r>
      <w:r>
        <w:rPr>
          <w:rFonts w:ascii="Garamond" w:hAnsi="Garamond"/>
          <w:sz w:val="24"/>
          <w:szCs w:val="24"/>
          <w:lang w:val="en-GB"/>
        </w:rPr>
        <w:t xml:space="preserve">to investigate mechanisms linking national </w:t>
      </w:r>
      <w:r w:rsidR="00716F17">
        <w:rPr>
          <w:rFonts w:ascii="Garamond" w:hAnsi="Garamond"/>
          <w:sz w:val="24"/>
          <w:szCs w:val="24"/>
          <w:lang w:val="en-GB"/>
        </w:rPr>
        <w:t>teams’</w:t>
      </w:r>
      <w:r>
        <w:rPr>
          <w:rFonts w:ascii="Garamond" w:hAnsi="Garamond"/>
          <w:sz w:val="24"/>
          <w:szCs w:val="24"/>
          <w:lang w:val="en-GB"/>
        </w:rPr>
        <w:t xml:space="preserve"> performance and birth rates</w:t>
      </w:r>
      <w:r w:rsidR="001F35E4">
        <w:rPr>
          <w:rFonts w:ascii="Garamond" w:hAnsi="Garamond"/>
          <w:sz w:val="24"/>
          <w:szCs w:val="24"/>
          <w:lang w:val="en-GB"/>
        </w:rPr>
        <w:t>.</w:t>
      </w:r>
      <w:r w:rsidR="00716F17">
        <w:rPr>
          <w:rFonts w:ascii="Garamond" w:hAnsi="Garamond"/>
          <w:sz w:val="24"/>
          <w:szCs w:val="24"/>
          <w:lang w:val="en-GB"/>
        </w:rPr>
        <w:t xml:space="preserve"> </w:t>
      </w:r>
      <w:r w:rsidR="007E3204">
        <w:rPr>
          <w:rFonts w:ascii="Garamond" w:hAnsi="Garamond"/>
          <w:sz w:val="24"/>
          <w:szCs w:val="24"/>
          <w:lang w:val="en-GB"/>
        </w:rPr>
        <w:t>W</w:t>
      </w:r>
      <w:r>
        <w:rPr>
          <w:rFonts w:ascii="Garamond" w:hAnsi="Garamond"/>
          <w:sz w:val="24"/>
          <w:szCs w:val="24"/>
          <w:lang w:val="en-GB"/>
        </w:rPr>
        <w:t xml:space="preserve">e </w:t>
      </w:r>
      <w:r w:rsidR="00B8658A">
        <w:rPr>
          <w:rFonts w:ascii="Garamond" w:hAnsi="Garamond"/>
          <w:sz w:val="24"/>
          <w:szCs w:val="24"/>
          <w:lang w:val="en-GB"/>
        </w:rPr>
        <w:t>hypothesize</w:t>
      </w:r>
      <w:r>
        <w:rPr>
          <w:rFonts w:ascii="Garamond" w:hAnsi="Garamond"/>
          <w:sz w:val="24"/>
          <w:szCs w:val="24"/>
          <w:lang w:val="en-GB"/>
        </w:rPr>
        <w:t xml:space="preserve"> that these results might be explained </w:t>
      </w:r>
      <w:r w:rsidR="00147ADA">
        <w:rPr>
          <w:rFonts w:ascii="Garamond" w:hAnsi="Garamond"/>
          <w:sz w:val="24"/>
          <w:szCs w:val="24"/>
          <w:lang w:val="en-GB"/>
        </w:rPr>
        <w:t xml:space="preserve">by </w:t>
      </w:r>
      <w:r>
        <w:rPr>
          <w:rFonts w:ascii="Garamond" w:hAnsi="Garamond"/>
          <w:sz w:val="24"/>
          <w:szCs w:val="24"/>
          <w:lang w:val="en-GB"/>
        </w:rPr>
        <w:t>individuals</w:t>
      </w:r>
      <w:r w:rsidR="00716F17">
        <w:rPr>
          <w:rFonts w:ascii="Garamond" w:hAnsi="Garamond"/>
          <w:sz w:val="24"/>
          <w:szCs w:val="24"/>
          <w:lang w:val="en-GB"/>
        </w:rPr>
        <w:t>’</w:t>
      </w:r>
      <w:r>
        <w:rPr>
          <w:rFonts w:ascii="Garamond" w:hAnsi="Garamond"/>
          <w:sz w:val="24"/>
          <w:szCs w:val="24"/>
          <w:lang w:val="en-GB"/>
        </w:rPr>
        <w:t xml:space="preserve"> time allocations choices</w:t>
      </w:r>
      <w:r w:rsidR="00716F17">
        <w:rPr>
          <w:rFonts w:ascii="Garamond" w:hAnsi="Garamond"/>
          <w:sz w:val="24"/>
          <w:szCs w:val="24"/>
          <w:lang w:val="en-GB"/>
        </w:rPr>
        <w:t xml:space="preserve"> (</w:t>
      </w:r>
      <w:r w:rsidR="00147ADA">
        <w:rPr>
          <w:rFonts w:ascii="Garamond" w:hAnsi="Garamond"/>
          <w:sz w:val="24"/>
          <w:szCs w:val="24"/>
          <w:lang w:val="en-GB"/>
        </w:rPr>
        <w:t>Mincer</w:t>
      </w:r>
      <w:r w:rsidR="00716F17">
        <w:rPr>
          <w:rFonts w:ascii="Garamond" w:hAnsi="Garamond"/>
          <w:sz w:val="24"/>
          <w:szCs w:val="24"/>
          <w:lang w:val="en-GB"/>
        </w:rPr>
        <w:t>,</w:t>
      </w:r>
      <w:r w:rsidR="00147ADA">
        <w:rPr>
          <w:rFonts w:ascii="Garamond" w:hAnsi="Garamond"/>
          <w:sz w:val="24"/>
          <w:szCs w:val="24"/>
          <w:lang w:val="en-GB"/>
        </w:rPr>
        <w:t xml:space="preserve"> </w:t>
      </w:r>
      <w:r w:rsidR="004956A2">
        <w:rPr>
          <w:rFonts w:ascii="Garamond" w:hAnsi="Garamond"/>
          <w:sz w:val="24"/>
          <w:szCs w:val="24"/>
          <w:lang w:val="en-GB"/>
        </w:rPr>
        <w:t>1963</w:t>
      </w:r>
      <w:r w:rsidR="00716F17">
        <w:rPr>
          <w:rFonts w:ascii="Garamond" w:hAnsi="Garamond"/>
          <w:sz w:val="24"/>
          <w:szCs w:val="24"/>
          <w:lang w:val="en-GB"/>
        </w:rPr>
        <w:t>; B</w:t>
      </w:r>
      <w:r w:rsidR="00147ADA">
        <w:rPr>
          <w:rFonts w:ascii="Garamond" w:hAnsi="Garamond"/>
          <w:sz w:val="24"/>
          <w:szCs w:val="24"/>
          <w:lang w:val="en-GB"/>
        </w:rPr>
        <w:t>ecker</w:t>
      </w:r>
      <w:r w:rsidR="000C1BD3">
        <w:rPr>
          <w:rFonts w:ascii="Garamond" w:hAnsi="Garamond"/>
          <w:sz w:val="24"/>
          <w:szCs w:val="24"/>
          <w:lang w:val="en-GB"/>
        </w:rPr>
        <w:t>,</w:t>
      </w:r>
      <w:r w:rsidR="00716F17">
        <w:rPr>
          <w:rFonts w:ascii="Garamond" w:hAnsi="Garamond"/>
          <w:sz w:val="24"/>
          <w:szCs w:val="24"/>
          <w:lang w:val="en-GB"/>
        </w:rPr>
        <w:t xml:space="preserve"> </w:t>
      </w:r>
      <w:r w:rsidR="00147ADA">
        <w:rPr>
          <w:rFonts w:ascii="Garamond" w:hAnsi="Garamond"/>
          <w:sz w:val="24"/>
          <w:szCs w:val="24"/>
          <w:lang w:val="en-GB"/>
        </w:rPr>
        <w:t xml:space="preserve">1965). </w:t>
      </w:r>
      <w:r>
        <w:rPr>
          <w:rFonts w:ascii="Garamond" w:hAnsi="Garamond"/>
          <w:sz w:val="24"/>
          <w:szCs w:val="24"/>
          <w:lang w:val="en-GB"/>
        </w:rPr>
        <w:t xml:space="preserve">In this framework, </w:t>
      </w:r>
      <w:r w:rsidR="001F35E4">
        <w:rPr>
          <w:rFonts w:ascii="Garamond" w:hAnsi="Garamond"/>
          <w:sz w:val="24"/>
          <w:szCs w:val="24"/>
          <w:lang w:val="en-GB"/>
        </w:rPr>
        <w:t xml:space="preserve">the </w:t>
      </w:r>
      <w:r w:rsidR="00716F17">
        <w:rPr>
          <w:rFonts w:ascii="Garamond" w:hAnsi="Garamond"/>
          <w:sz w:val="24"/>
          <w:szCs w:val="24"/>
        </w:rPr>
        <w:t>attend</w:t>
      </w:r>
      <w:r w:rsidR="001F35E4">
        <w:rPr>
          <w:rFonts w:ascii="Garamond" w:hAnsi="Garamond"/>
          <w:sz w:val="24"/>
          <w:szCs w:val="24"/>
        </w:rPr>
        <w:t>ance of</w:t>
      </w:r>
      <w:r w:rsidR="00716F17">
        <w:rPr>
          <w:rFonts w:ascii="Garamond" w:hAnsi="Garamond"/>
          <w:sz w:val="24"/>
          <w:szCs w:val="24"/>
        </w:rPr>
        <w:t xml:space="preserve"> live event</w:t>
      </w:r>
      <w:r w:rsidR="001F35E4">
        <w:rPr>
          <w:rFonts w:ascii="Garamond" w:hAnsi="Garamond"/>
          <w:sz w:val="24"/>
          <w:szCs w:val="24"/>
        </w:rPr>
        <w:t>s</w:t>
      </w:r>
      <w:r w:rsidR="00716F17">
        <w:rPr>
          <w:rFonts w:ascii="Garamond" w:hAnsi="Garamond"/>
          <w:sz w:val="24"/>
          <w:szCs w:val="24"/>
        </w:rPr>
        <w:t xml:space="preserve"> (e.g.</w:t>
      </w:r>
      <w:r w:rsidR="001F35E4">
        <w:rPr>
          <w:rFonts w:ascii="Garamond" w:hAnsi="Garamond"/>
          <w:sz w:val="24"/>
          <w:szCs w:val="24"/>
        </w:rPr>
        <w:t>, from late afternoon to late night,</w:t>
      </w:r>
      <w:r w:rsidR="00716F17">
        <w:rPr>
          <w:rFonts w:ascii="Garamond" w:hAnsi="Garamond"/>
          <w:sz w:val="24"/>
          <w:szCs w:val="24"/>
        </w:rPr>
        <w:t xml:space="preserve"> on TV, at the stadium, on big screens in public places</w:t>
      </w:r>
      <w:r w:rsidR="00EB45B0" w:rsidRPr="00486C31">
        <w:rPr>
          <w:rStyle w:val="Rimandonotaapidipagina"/>
        </w:rPr>
        <w:footnoteReference w:id="4"/>
      </w:r>
      <w:r w:rsidR="00716F17">
        <w:rPr>
          <w:rFonts w:ascii="Garamond" w:hAnsi="Garamond"/>
          <w:sz w:val="24"/>
          <w:szCs w:val="24"/>
        </w:rPr>
        <w:t xml:space="preserve">) </w:t>
      </w:r>
      <w:r>
        <w:rPr>
          <w:rFonts w:ascii="Garamond" w:hAnsi="Garamond"/>
          <w:sz w:val="24"/>
          <w:szCs w:val="24"/>
        </w:rPr>
        <w:t>may reduce</w:t>
      </w:r>
      <w:r w:rsidRPr="007A72C0">
        <w:rPr>
          <w:rFonts w:ascii="Garamond" w:hAnsi="Garamond"/>
          <w:sz w:val="24"/>
          <w:szCs w:val="24"/>
        </w:rPr>
        <w:t xml:space="preserve"> the time spent on physical intimacy</w:t>
      </w:r>
      <w:r w:rsidR="008C0964">
        <w:rPr>
          <w:rFonts w:ascii="Garamond" w:hAnsi="Garamond"/>
          <w:sz w:val="24"/>
          <w:szCs w:val="24"/>
        </w:rPr>
        <w:t xml:space="preserve"> as </w:t>
      </w:r>
      <w:r w:rsidR="007E3204">
        <w:rPr>
          <w:rFonts w:ascii="Garamond" w:hAnsi="Garamond"/>
          <w:sz w:val="24"/>
          <w:szCs w:val="24"/>
        </w:rPr>
        <w:t xml:space="preserve">suggested </w:t>
      </w:r>
      <w:r w:rsidR="001F35E4">
        <w:rPr>
          <w:rFonts w:ascii="Garamond" w:hAnsi="Garamond"/>
          <w:sz w:val="24"/>
          <w:szCs w:val="24"/>
        </w:rPr>
        <w:t>in</w:t>
      </w:r>
      <w:r w:rsidR="008C0964">
        <w:rPr>
          <w:rFonts w:ascii="Garamond" w:hAnsi="Garamond"/>
          <w:sz w:val="24"/>
          <w:szCs w:val="24"/>
        </w:rPr>
        <w:t xml:space="preserve"> </w:t>
      </w:r>
      <w:r w:rsidR="007E3204">
        <w:rPr>
          <w:rFonts w:ascii="Garamond" w:hAnsi="Garamond"/>
          <w:sz w:val="24"/>
          <w:szCs w:val="24"/>
        </w:rPr>
        <w:t>other</w:t>
      </w:r>
      <w:r w:rsidR="008C0964">
        <w:rPr>
          <w:rFonts w:ascii="Garamond" w:hAnsi="Garamond"/>
          <w:sz w:val="24"/>
          <w:szCs w:val="24"/>
        </w:rPr>
        <w:t xml:space="preserve"> </w:t>
      </w:r>
      <w:r w:rsidR="001F35E4">
        <w:rPr>
          <w:rFonts w:ascii="Garamond" w:hAnsi="Garamond"/>
          <w:sz w:val="24"/>
          <w:szCs w:val="24"/>
        </w:rPr>
        <w:t>studies</w:t>
      </w:r>
      <w:r w:rsidR="008C0964">
        <w:rPr>
          <w:rFonts w:ascii="Garamond" w:hAnsi="Garamond"/>
          <w:sz w:val="24"/>
          <w:szCs w:val="24"/>
        </w:rPr>
        <w:t xml:space="preserve"> (</w:t>
      </w:r>
      <w:r w:rsidR="008C0964" w:rsidRPr="008C0964">
        <w:rPr>
          <w:rFonts w:ascii="Garamond" w:hAnsi="Garamond"/>
          <w:sz w:val="24"/>
          <w:szCs w:val="24"/>
        </w:rPr>
        <w:t xml:space="preserve">Grimm </w:t>
      </w:r>
      <w:r w:rsidR="008C0964" w:rsidRPr="00E642D8">
        <w:rPr>
          <w:rFonts w:ascii="Garamond" w:hAnsi="Garamond"/>
          <w:i/>
          <w:iCs/>
          <w:sz w:val="24"/>
          <w:szCs w:val="24"/>
        </w:rPr>
        <w:t>et al</w:t>
      </w:r>
      <w:r w:rsidR="008C0964" w:rsidRPr="008C0964">
        <w:rPr>
          <w:rFonts w:ascii="Garamond" w:hAnsi="Garamond"/>
          <w:sz w:val="24"/>
          <w:szCs w:val="24"/>
        </w:rPr>
        <w:t xml:space="preserve">., 2015; </w:t>
      </w:r>
      <w:proofErr w:type="spellStart"/>
      <w:r w:rsidR="008C0964" w:rsidRPr="008C0964">
        <w:rPr>
          <w:rFonts w:ascii="Garamond" w:hAnsi="Garamond"/>
          <w:sz w:val="24"/>
          <w:szCs w:val="24"/>
        </w:rPr>
        <w:t>Dewi</w:t>
      </w:r>
      <w:proofErr w:type="spellEnd"/>
      <w:r w:rsidR="008C0964" w:rsidRPr="008C0964">
        <w:rPr>
          <w:rFonts w:ascii="Garamond" w:hAnsi="Garamond"/>
          <w:sz w:val="24"/>
          <w:szCs w:val="24"/>
        </w:rPr>
        <w:t xml:space="preserve"> </w:t>
      </w:r>
      <w:r w:rsidR="008C0964" w:rsidRPr="00E642D8">
        <w:rPr>
          <w:rFonts w:ascii="Garamond" w:hAnsi="Garamond"/>
          <w:i/>
          <w:iCs/>
          <w:sz w:val="24"/>
          <w:szCs w:val="24"/>
        </w:rPr>
        <w:t>et al</w:t>
      </w:r>
      <w:r w:rsidR="008C0964" w:rsidRPr="008C0964">
        <w:rPr>
          <w:rFonts w:ascii="Garamond" w:hAnsi="Garamond"/>
          <w:sz w:val="24"/>
          <w:szCs w:val="24"/>
        </w:rPr>
        <w:t xml:space="preserve">., 2017; Johnson, 2001; </w:t>
      </w:r>
      <w:proofErr w:type="spellStart"/>
      <w:r w:rsidR="008C0964" w:rsidRPr="008C0964">
        <w:rPr>
          <w:rFonts w:ascii="Garamond" w:hAnsi="Garamond"/>
          <w:sz w:val="24"/>
          <w:szCs w:val="24"/>
        </w:rPr>
        <w:t>Hornik</w:t>
      </w:r>
      <w:proofErr w:type="spellEnd"/>
      <w:r w:rsidR="008C0964" w:rsidRPr="008C0964">
        <w:rPr>
          <w:rFonts w:ascii="Garamond" w:hAnsi="Garamond"/>
          <w:sz w:val="24"/>
          <w:szCs w:val="24"/>
        </w:rPr>
        <w:t xml:space="preserve"> and </w:t>
      </w:r>
      <w:proofErr w:type="spellStart"/>
      <w:r w:rsidR="008C0964" w:rsidRPr="008C0964">
        <w:rPr>
          <w:rFonts w:ascii="Garamond" w:hAnsi="Garamond"/>
          <w:sz w:val="24"/>
          <w:szCs w:val="24"/>
        </w:rPr>
        <w:t>McAnany</w:t>
      </w:r>
      <w:proofErr w:type="spellEnd"/>
      <w:r w:rsidR="008C0964" w:rsidRPr="008C0964">
        <w:rPr>
          <w:rFonts w:ascii="Garamond" w:hAnsi="Garamond"/>
          <w:sz w:val="24"/>
          <w:szCs w:val="24"/>
        </w:rPr>
        <w:t>, 2001)</w:t>
      </w:r>
      <w:r w:rsidR="008C0964">
        <w:rPr>
          <w:rFonts w:ascii="Garamond" w:hAnsi="Garamond"/>
          <w:sz w:val="24"/>
          <w:szCs w:val="24"/>
        </w:rPr>
        <w:t xml:space="preserve">. </w:t>
      </w:r>
      <w:r w:rsidR="00956190">
        <w:rPr>
          <w:rFonts w:ascii="Garamond" w:hAnsi="Garamond"/>
          <w:sz w:val="24"/>
          <w:szCs w:val="24"/>
        </w:rPr>
        <w:t xml:space="preserve">As a support to </w:t>
      </w:r>
      <w:r w:rsidR="001F35E4">
        <w:rPr>
          <w:rFonts w:ascii="Garamond" w:hAnsi="Garamond"/>
          <w:sz w:val="24"/>
          <w:szCs w:val="24"/>
        </w:rPr>
        <w:t>this substituti</w:t>
      </w:r>
      <w:r w:rsidR="007E3204">
        <w:rPr>
          <w:rFonts w:ascii="Garamond" w:hAnsi="Garamond"/>
          <w:sz w:val="24"/>
          <w:szCs w:val="24"/>
        </w:rPr>
        <w:t>on</w:t>
      </w:r>
      <w:r w:rsidR="001F35E4">
        <w:rPr>
          <w:rFonts w:ascii="Garamond" w:hAnsi="Garamond"/>
          <w:sz w:val="24"/>
          <w:szCs w:val="24"/>
        </w:rPr>
        <w:t xml:space="preserve"> </w:t>
      </w:r>
      <w:r w:rsidR="00956190">
        <w:rPr>
          <w:rFonts w:ascii="Garamond" w:hAnsi="Garamond"/>
          <w:sz w:val="24"/>
          <w:szCs w:val="24"/>
        </w:rPr>
        <w:t>mechanism</w:t>
      </w:r>
      <w:r w:rsidR="007E3204">
        <w:rPr>
          <w:rFonts w:ascii="Garamond" w:hAnsi="Garamond"/>
          <w:sz w:val="24"/>
          <w:szCs w:val="24"/>
        </w:rPr>
        <w:t>,</w:t>
      </w:r>
      <w:r w:rsidR="00E642D8">
        <w:rPr>
          <w:rFonts w:ascii="Garamond" w:hAnsi="Garamond"/>
          <w:sz w:val="24"/>
          <w:szCs w:val="24"/>
        </w:rPr>
        <w:t xml:space="preserve"> it is important to notice</w:t>
      </w:r>
      <w:r w:rsidR="001F35E4">
        <w:rPr>
          <w:rFonts w:ascii="Garamond" w:hAnsi="Garamond"/>
          <w:sz w:val="24"/>
          <w:szCs w:val="24"/>
        </w:rPr>
        <w:t xml:space="preserve"> </w:t>
      </w:r>
      <w:r w:rsidR="00376AC8">
        <w:rPr>
          <w:rFonts w:ascii="Garamond" w:hAnsi="Garamond"/>
          <w:sz w:val="24"/>
          <w:szCs w:val="24"/>
        </w:rPr>
        <w:t>that</w:t>
      </w:r>
      <w:r w:rsidR="001F35E4">
        <w:rPr>
          <w:rFonts w:ascii="Garamond" w:hAnsi="Garamond"/>
          <w:sz w:val="24"/>
          <w:szCs w:val="24"/>
        </w:rPr>
        <w:t xml:space="preserve"> c</w:t>
      </w:r>
      <w:r w:rsidR="008C0964">
        <w:rPr>
          <w:rFonts w:ascii="Garamond" w:hAnsi="Garamond"/>
          <w:sz w:val="24"/>
          <w:szCs w:val="24"/>
        </w:rPr>
        <w:t>ontrary to other entertainment video activities (e.</w:t>
      </w:r>
      <w:r w:rsidR="00716F17">
        <w:rPr>
          <w:rFonts w:ascii="Garamond" w:hAnsi="Garamond"/>
          <w:sz w:val="24"/>
          <w:szCs w:val="24"/>
        </w:rPr>
        <w:t>g.</w:t>
      </w:r>
      <w:r w:rsidR="008C0964">
        <w:rPr>
          <w:rFonts w:ascii="Garamond" w:hAnsi="Garamond"/>
          <w:sz w:val="24"/>
          <w:szCs w:val="24"/>
        </w:rPr>
        <w:t xml:space="preserve">, </w:t>
      </w:r>
      <w:r w:rsidR="007E3204">
        <w:rPr>
          <w:rFonts w:ascii="Garamond" w:hAnsi="Garamond"/>
          <w:sz w:val="24"/>
          <w:szCs w:val="24"/>
        </w:rPr>
        <w:t xml:space="preserve">watching </w:t>
      </w:r>
      <w:r w:rsidR="00716F17">
        <w:rPr>
          <w:rFonts w:ascii="Garamond" w:hAnsi="Garamond"/>
          <w:sz w:val="24"/>
          <w:szCs w:val="24"/>
        </w:rPr>
        <w:t>movies and series</w:t>
      </w:r>
      <w:r w:rsidR="007E3204">
        <w:rPr>
          <w:rFonts w:ascii="Garamond" w:hAnsi="Garamond"/>
          <w:sz w:val="24"/>
          <w:szCs w:val="24"/>
        </w:rPr>
        <w:t>, connecting on online social media</w:t>
      </w:r>
      <w:r w:rsidR="008C0964">
        <w:rPr>
          <w:rFonts w:ascii="Garamond" w:hAnsi="Garamond"/>
          <w:sz w:val="24"/>
          <w:szCs w:val="24"/>
        </w:rPr>
        <w:t xml:space="preserve">), </w:t>
      </w:r>
      <w:r w:rsidR="00E25058">
        <w:rPr>
          <w:rFonts w:ascii="Garamond" w:hAnsi="Garamond"/>
          <w:sz w:val="24"/>
          <w:szCs w:val="24"/>
        </w:rPr>
        <w:t>sports</w:t>
      </w:r>
      <w:r w:rsidR="008C0964">
        <w:rPr>
          <w:rFonts w:ascii="Garamond" w:hAnsi="Garamond"/>
          <w:sz w:val="24"/>
          <w:szCs w:val="24"/>
        </w:rPr>
        <w:t xml:space="preserve"> events are characterized by their uniqueness and </w:t>
      </w:r>
      <w:r w:rsidR="008569B2" w:rsidRPr="008C0964">
        <w:rPr>
          <w:rFonts w:ascii="Garamond" w:hAnsi="Garamond"/>
          <w:sz w:val="24"/>
          <w:szCs w:val="24"/>
        </w:rPr>
        <w:t>unrepeatability</w:t>
      </w:r>
      <w:r w:rsidR="008569B2">
        <w:rPr>
          <w:rFonts w:ascii="Garamond" w:hAnsi="Garamond"/>
          <w:sz w:val="24"/>
          <w:szCs w:val="24"/>
        </w:rPr>
        <w:t xml:space="preserve"> as</w:t>
      </w:r>
      <w:r w:rsidR="008C0964">
        <w:rPr>
          <w:rFonts w:ascii="Garamond" w:hAnsi="Garamond"/>
          <w:sz w:val="24"/>
          <w:szCs w:val="24"/>
        </w:rPr>
        <w:t xml:space="preserve"> well as by their collective engagement. </w:t>
      </w:r>
      <w:r w:rsidR="00956190">
        <w:rPr>
          <w:rFonts w:ascii="Garamond" w:hAnsi="Garamond"/>
          <w:sz w:val="24"/>
          <w:szCs w:val="24"/>
        </w:rPr>
        <w:t>On top of that, g</w:t>
      </w:r>
      <w:r w:rsidR="001F35E4">
        <w:rPr>
          <w:rFonts w:ascii="Garamond" w:hAnsi="Garamond"/>
          <w:sz w:val="24"/>
          <w:szCs w:val="24"/>
        </w:rPr>
        <w:t>ood national teams’ performance</w:t>
      </w:r>
      <w:r w:rsidR="007E3204">
        <w:rPr>
          <w:rFonts w:ascii="Garamond" w:hAnsi="Garamond"/>
          <w:sz w:val="24"/>
          <w:szCs w:val="24"/>
        </w:rPr>
        <w:t>s are</w:t>
      </w:r>
      <w:r w:rsidR="001F35E4">
        <w:rPr>
          <w:rFonts w:ascii="Garamond" w:hAnsi="Garamond"/>
          <w:sz w:val="24"/>
          <w:szCs w:val="24"/>
        </w:rPr>
        <w:t xml:space="preserve"> likely followed by celebrations with friends and fellow countrymen</w:t>
      </w:r>
      <w:r w:rsidR="007E3204">
        <w:rPr>
          <w:rFonts w:ascii="Garamond" w:hAnsi="Garamond"/>
          <w:sz w:val="24"/>
          <w:szCs w:val="24"/>
        </w:rPr>
        <w:t xml:space="preserve">, which reduces even more physical intimacy time. </w:t>
      </w:r>
      <w:r w:rsidR="00FD0D8D">
        <w:rPr>
          <w:rFonts w:ascii="Garamond" w:hAnsi="Garamond"/>
          <w:sz w:val="24"/>
          <w:szCs w:val="24"/>
        </w:rPr>
        <w:t xml:space="preserve">Differently, bad performances cause early exclusion from the tournament, without disrupting intimacy time. </w:t>
      </w:r>
      <w:r w:rsidR="008C0964">
        <w:rPr>
          <w:rFonts w:ascii="Garamond" w:hAnsi="Garamond"/>
          <w:sz w:val="24"/>
          <w:szCs w:val="24"/>
        </w:rPr>
        <w:t>To this end</w:t>
      </w:r>
      <w:r w:rsidR="008569B2">
        <w:rPr>
          <w:rFonts w:ascii="Garamond" w:hAnsi="Garamond"/>
          <w:sz w:val="24"/>
          <w:szCs w:val="24"/>
        </w:rPr>
        <w:t xml:space="preserve">, time allocation choices seem more salient than euphoria in explaining reproductive </w:t>
      </w:r>
      <w:r w:rsidR="008569B2" w:rsidRPr="008569B2">
        <w:rPr>
          <w:rFonts w:ascii="Garamond" w:hAnsi="Garamond"/>
          <w:sz w:val="24"/>
          <w:szCs w:val="24"/>
          <w:lang w:val="en-GB"/>
        </w:rPr>
        <w:t>behaviour</w:t>
      </w:r>
      <w:r w:rsidR="008569B2">
        <w:rPr>
          <w:rFonts w:ascii="Garamond" w:hAnsi="Garamond"/>
          <w:sz w:val="24"/>
          <w:szCs w:val="24"/>
        </w:rPr>
        <w:t xml:space="preserve">. </w:t>
      </w:r>
    </w:p>
    <w:p w14:paraId="7403A49C" w14:textId="597DA3F6" w:rsidR="00716F17" w:rsidRDefault="001F7115" w:rsidP="0064179F">
      <w:pPr>
        <w:spacing w:line="360" w:lineRule="auto"/>
        <w:jc w:val="both"/>
        <w:rPr>
          <w:rFonts w:ascii="Garamond" w:eastAsiaTheme="majorEastAsia" w:hAnsi="Garamond" w:cstheme="majorBidi"/>
          <w:b/>
          <w:color w:val="000000" w:themeColor="text1"/>
          <w:sz w:val="32"/>
          <w:szCs w:val="32"/>
          <w:lang w:val="en-GB"/>
        </w:rPr>
      </w:pPr>
      <w:r>
        <w:rPr>
          <w:rFonts w:ascii="Garamond" w:hAnsi="Garamond"/>
          <w:sz w:val="24"/>
          <w:szCs w:val="24"/>
          <w:lang w:val="en-GB"/>
        </w:rPr>
        <w:t>Our results</w:t>
      </w:r>
      <w:r w:rsidR="007A72C0">
        <w:rPr>
          <w:rFonts w:ascii="Garamond" w:hAnsi="Garamond"/>
          <w:sz w:val="24"/>
          <w:szCs w:val="24"/>
          <w:lang w:val="en-GB"/>
        </w:rPr>
        <w:t xml:space="preserve"> ha</w:t>
      </w:r>
      <w:r>
        <w:rPr>
          <w:rFonts w:ascii="Garamond" w:hAnsi="Garamond"/>
          <w:sz w:val="24"/>
          <w:szCs w:val="24"/>
          <w:lang w:val="en-GB"/>
        </w:rPr>
        <w:t>ve</w:t>
      </w:r>
      <w:r w:rsidR="007A72C0">
        <w:rPr>
          <w:rFonts w:ascii="Garamond" w:hAnsi="Garamond"/>
          <w:sz w:val="24"/>
          <w:szCs w:val="24"/>
          <w:lang w:val="en-GB"/>
        </w:rPr>
        <w:t xml:space="preserve"> implications for </w:t>
      </w:r>
      <w:r w:rsidR="008569B2">
        <w:rPr>
          <w:rFonts w:ascii="Garamond" w:hAnsi="Garamond"/>
          <w:sz w:val="24"/>
          <w:szCs w:val="24"/>
          <w:lang w:val="en-GB"/>
        </w:rPr>
        <w:t xml:space="preserve">both economics and </w:t>
      </w:r>
      <w:r w:rsidR="00035CE9">
        <w:rPr>
          <w:rFonts w:ascii="Garamond" w:hAnsi="Garamond"/>
          <w:sz w:val="24"/>
          <w:szCs w:val="24"/>
          <w:lang w:val="en-GB"/>
        </w:rPr>
        <w:t>demography</w:t>
      </w:r>
      <w:r w:rsidR="008569B2">
        <w:rPr>
          <w:rFonts w:ascii="Garamond" w:hAnsi="Garamond"/>
          <w:sz w:val="24"/>
          <w:szCs w:val="24"/>
          <w:lang w:val="en-GB"/>
        </w:rPr>
        <w:t xml:space="preserve">. </w:t>
      </w:r>
      <w:r w:rsidR="006D3288">
        <w:rPr>
          <w:rFonts w:ascii="Garamond" w:hAnsi="Garamond"/>
          <w:sz w:val="24"/>
          <w:szCs w:val="24"/>
          <w:lang w:val="en-GB"/>
        </w:rPr>
        <w:t>On one hand, i</w:t>
      </w:r>
      <w:r w:rsidR="009E2C7C">
        <w:rPr>
          <w:rFonts w:ascii="Garamond" w:hAnsi="Garamond"/>
          <w:sz w:val="24"/>
          <w:szCs w:val="24"/>
          <w:lang w:val="en-GB"/>
        </w:rPr>
        <w:t>n</w:t>
      </w:r>
      <w:r w:rsidR="008569B2">
        <w:rPr>
          <w:rFonts w:ascii="Garamond" w:hAnsi="Garamond"/>
          <w:sz w:val="24"/>
          <w:szCs w:val="24"/>
          <w:lang w:val="en-GB"/>
        </w:rPr>
        <w:t xml:space="preserve"> high-fertility </w:t>
      </w:r>
      <w:r w:rsidR="007E3204">
        <w:rPr>
          <w:rFonts w:ascii="Garamond" w:hAnsi="Garamond"/>
          <w:sz w:val="24"/>
          <w:szCs w:val="24"/>
          <w:lang w:val="en-GB"/>
        </w:rPr>
        <w:t>settings</w:t>
      </w:r>
      <w:r w:rsidR="008569B2">
        <w:rPr>
          <w:rFonts w:ascii="Garamond" w:hAnsi="Garamond"/>
          <w:sz w:val="24"/>
          <w:szCs w:val="24"/>
          <w:lang w:val="en-GB"/>
        </w:rPr>
        <w:t xml:space="preserve">, such as developing countries, </w:t>
      </w:r>
      <w:r>
        <w:rPr>
          <w:rFonts w:ascii="Garamond" w:hAnsi="Garamond"/>
          <w:sz w:val="24"/>
          <w:szCs w:val="24"/>
          <w:lang w:val="en-GB"/>
        </w:rPr>
        <w:t xml:space="preserve">governments may </w:t>
      </w:r>
      <w:r w:rsidR="00420280">
        <w:rPr>
          <w:rFonts w:ascii="Garamond" w:hAnsi="Garamond"/>
          <w:sz w:val="24"/>
          <w:szCs w:val="24"/>
          <w:lang w:val="en-GB"/>
        </w:rPr>
        <w:t xml:space="preserve">aim at </w:t>
      </w:r>
      <w:r>
        <w:rPr>
          <w:rFonts w:ascii="Garamond" w:hAnsi="Garamond"/>
          <w:sz w:val="24"/>
          <w:szCs w:val="24"/>
          <w:lang w:val="en-GB"/>
        </w:rPr>
        <w:t>reduc</w:t>
      </w:r>
      <w:r w:rsidR="00420280">
        <w:rPr>
          <w:rFonts w:ascii="Garamond" w:hAnsi="Garamond"/>
          <w:sz w:val="24"/>
          <w:szCs w:val="24"/>
          <w:lang w:val="en-GB"/>
        </w:rPr>
        <w:t>ing</w:t>
      </w:r>
      <w:r>
        <w:rPr>
          <w:rFonts w:ascii="Garamond" w:hAnsi="Garamond"/>
          <w:sz w:val="24"/>
          <w:szCs w:val="24"/>
          <w:lang w:val="en-GB"/>
        </w:rPr>
        <w:t xml:space="preserve"> </w:t>
      </w:r>
      <w:r w:rsidR="00420280">
        <w:rPr>
          <w:rFonts w:ascii="Garamond" w:hAnsi="Garamond"/>
          <w:sz w:val="24"/>
          <w:szCs w:val="24"/>
          <w:lang w:val="en-GB"/>
        </w:rPr>
        <w:t>births, even with indirect</w:t>
      </w:r>
      <w:r>
        <w:rPr>
          <w:rFonts w:ascii="Garamond" w:hAnsi="Garamond"/>
          <w:sz w:val="24"/>
          <w:szCs w:val="24"/>
          <w:lang w:val="en-GB"/>
        </w:rPr>
        <w:t xml:space="preserve"> </w:t>
      </w:r>
      <w:r>
        <w:rPr>
          <w:rFonts w:ascii="Garamond" w:hAnsi="Garamond"/>
          <w:sz w:val="24"/>
          <w:szCs w:val="24"/>
          <w:lang w:val="en-GB"/>
        </w:rPr>
        <w:lastRenderedPageBreak/>
        <w:t xml:space="preserve">interventions, such as </w:t>
      </w:r>
      <w:r w:rsidR="008569B2">
        <w:rPr>
          <w:rFonts w:ascii="Garamond" w:hAnsi="Garamond"/>
          <w:sz w:val="24"/>
          <w:szCs w:val="24"/>
          <w:lang w:val="en-GB"/>
        </w:rPr>
        <w:t xml:space="preserve">increasing access to </w:t>
      </w:r>
      <w:r w:rsidR="006F1F7C">
        <w:rPr>
          <w:rFonts w:ascii="Garamond" w:hAnsi="Garamond"/>
          <w:sz w:val="24"/>
          <w:szCs w:val="24"/>
          <w:lang w:val="en-GB"/>
        </w:rPr>
        <w:t xml:space="preserve">entertainment activities and </w:t>
      </w:r>
      <w:r w:rsidR="008569B2">
        <w:rPr>
          <w:rFonts w:ascii="Garamond" w:hAnsi="Garamond"/>
          <w:sz w:val="24"/>
          <w:szCs w:val="24"/>
          <w:lang w:val="en-GB"/>
        </w:rPr>
        <w:t>TV</w:t>
      </w:r>
      <w:r w:rsidR="00420280">
        <w:rPr>
          <w:rFonts w:ascii="Garamond" w:hAnsi="Garamond"/>
          <w:sz w:val="24"/>
          <w:szCs w:val="24"/>
          <w:lang w:val="en-GB"/>
        </w:rPr>
        <w:t xml:space="preserve">. </w:t>
      </w:r>
      <w:r w:rsidR="009E2C7C">
        <w:rPr>
          <w:rFonts w:ascii="Garamond" w:hAnsi="Garamond"/>
          <w:sz w:val="24"/>
          <w:szCs w:val="24"/>
          <w:lang w:val="en-GB"/>
        </w:rPr>
        <w:t xml:space="preserve">On the other </w:t>
      </w:r>
      <w:r w:rsidR="006D3288">
        <w:rPr>
          <w:rFonts w:ascii="Garamond" w:hAnsi="Garamond"/>
          <w:sz w:val="24"/>
          <w:szCs w:val="24"/>
          <w:lang w:val="en-GB"/>
        </w:rPr>
        <w:t>hand</w:t>
      </w:r>
      <w:r w:rsidR="009E2C7C">
        <w:rPr>
          <w:rFonts w:ascii="Garamond" w:hAnsi="Garamond"/>
          <w:sz w:val="24"/>
          <w:szCs w:val="24"/>
          <w:lang w:val="en-GB"/>
        </w:rPr>
        <w:t>, o</w:t>
      </w:r>
      <w:r w:rsidR="00420280">
        <w:rPr>
          <w:rFonts w:ascii="Garamond" w:hAnsi="Garamond"/>
          <w:sz w:val="24"/>
          <w:szCs w:val="24"/>
          <w:lang w:val="en-GB"/>
        </w:rPr>
        <w:t xml:space="preserve">ur </w:t>
      </w:r>
      <w:r w:rsidR="009E2C7C">
        <w:rPr>
          <w:rFonts w:ascii="Garamond" w:hAnsi="Garamond"/>
          <w:sz w:val="24"/>
          <w:szCs w:val="24"/>
          <w:lang w:val="en-GB"/>
        </w:rPr>
        <w:t xml:space="preserve">results </w:t>
      </w:r>
      <w:r w:rsidR="00420280">
        <w:rPr>
          <w:rFonts w:ascii="Garamond" w:hAnsi="Garamond"/>
          <w:sz w:val="24"/>
          <w:szCs w:val="24"/>
          <w:lang w:val="en-GB"/>
        </w:rPr>
        <w:t xml:space="preserve">suggest that </w:t>
      </w:r>
      <w:r w:rsidR="006F1F7C">
        <w:rPr>
          <w:rFonts w:ascii="Garamond" w:hAnsi="Garamond"/>
          <w:sz w:val="24"/>
          <w:szCs w:val="24"/>
          <w:lang w:val="en-GB"/>
        </w:rPr>
        <w:t xml:space="preserve">an increase in entertainment activities may reduce births even in </w:t>
      </w:r>
      <w:r w:rsidR="008569B2">
        <w:rPr>
          <w:rFonts w:ascii="Garamond" w:hAnsi="Garamond"/>
          <w:sz w:val="24"/>
          <w:szCs w:val="24"/>
          <w:lang w:val="en-GB"/>
        </w:rPr>
        <w:t xml:space="preserve">low-fertility </w:t>
      </w:r>
      <w:r w:rsidR="007E3204">
        <w:rPr>
          <w:rFonts w:ascii="Garamond" w:hAnsi="Garamond"/>
          <w:sz w:val="24"/>
          <w:szCs w:val="24"/>
          <w:lang w:val="en-GB"/>
        </w:rPr>
        <w:t>settings</w:t>
      </w:r>
      <w:r w:rsidR="008569B2">
        <w:rPr>
          <w:rFonts w:ascii="Garamond" w:hAnsi="Garamond"/>
          <w:sz w:val="24"/>
          <w:szCs w:val="24"/>
          <w:lang w:val="en-GB"/>
        </w:rPr>
        <w:t xml:space="preserve">, </w:t>
      </w:r>
      <w:r>
        <w:rPr>
          <w:rFonts w:ascii="Garamond" w:hAnsi="Garamond"/>
          <w:sz w:val="24"/>
          <w:szCs w:val="24"/>
          <w:lang w:val="en-GB"/>
        </w:rPr>
        <w:t xml:space="preserve">such as most European countries, </w:t>
      </w:r>
      <w:r w:rsidR="006F1F7C">
        <w:rPr>
          <w:rFonts w:ascii="Garamond" w:hAnsi="Garamond"/>
          <w:sz w:val="24"/>
          <w:szCs w:val="24"/>
          <w:lang w:val="en-GB"/>
        </w:rPr>
        <w:t xml:space="preserve">where governments typically aim at increasing fertility. </w:t>
      </w:r>
      <w:r w:rsidR="004721D2">
        <w:rPr>
          <w:rFonts w:ascii="Garamond" w:hAnsi="Garamond"/>
          <w:sz w:val="24"/>
          <w:szCs w:val="24"/>
          <w:lang w:val="en-GB"/>
        </w:rPr>
        <w:t xml:space="preserve">While the effect of the massive increase in the consumption of media and entertainment in rich countries is </w:t>
      </w:r>
      <w:r w:rsidR="006D3288">
        <w:rPr>
          <w:rFonts w:ascii="Garamond" w:hAnsi="Garamond"/>
          <w:sz w:val="24"/>
          <w:szCs w:val="24"/>
          <w:lang w:val="en-GB"/>
        </w:rPr>
        <w:t xml:space="preserve">broadly </w:t>
      </w:r>
      <w:r w:rsidR="004721D2">
        <w:rPr>
          <w:rFonts w:ascii="Garamond" w:hAnsi="Garamond"/>
          <w:sz w:val="24"/>
          <w:szCs w:val="24"/>
          <w:lang w:val="en-GB"/>
        </w:rPr>
        <w:t>debated (</w:t>
      </w:r>
      <w:proofErr w:type="spellStart"/>
      <w:r w:rsidR="004721D2" w:rsidRPr="004721D2">
        <w:rPr>
          <w:rFonts w:ascii="Garamond" w:hAnsi="Garamond"/>
          <w:sz w:val="24"/>
          <w:szCs w:val="24"/>
          <w:lang w:val="en-GB"/>
        </w:rPr>
        <w:t>Wallsten</w:t>
      </w:r>
      <w:proofErr w:type="spellEnd"/>
      <w:r w:rsidR="004721D2">
        <w:rPr>
          <w:rFonts w:ascii="Garamond" w:hAnsi="Garamond"/>
          <w:sz w:val="24"/>
          <w:szCs w:val="24"/>
          <w:lang w:val="en-GB"/>
        </w:rPr>
        <w:t>, 2013), its specific effect on reproductive behaviour remain</w:t>
      </w:r>
      <w:r w:rsidR="007E3204">
        <w:rPr>
          <w:rFonts w:ascii="Garamond" w:hAnsi="Garamond"/>
          <w:sz w:val="24"/>
          <w:szCs w:val="24"/>
          <w:lang w:val="en-GB"/>
        </w:rPr>
        <w:t>s</w:t>
      </w:r>
      <w:r w:rsidR="004721D2">
        <w:rPr>
          <w:rFonts w:ascii="Garamond" w:hAnsi="Garamond"/>
          <w:sz w:val="24"/>
          <w:szCs w:val="24"/>
          <w:lang w:val="en-GB"/>
        </w:rPr>
        <w:t xml:space="preserve"> largely unexplored</w:t>
      </w:r>
      <w:r w:rsidR="003A3D3E">
        <w:rPr>
          <w:rFonts w:ascii="Garamond" w:hAnsi="Garamond"/>
          <w:sz w:val="24"/>
          <w:szCs w:val="24"/>
          <w:lang w:val="en-GB"/>
        </w:rPr>
        <w:t xml:space="preserve">. </w:t>
      </w:r>
    </w:p>
    <w:p w14:paraId="48EC023D" w14:textId="77777777" w:rsidR="00402DD1" w:rsidRDefault="00402DD1">
      <w:pPr>
        <w:rPr>
          <w:rFonts w:ascii="Garamond" w:eastAsiaTheme="majorEastAsia" w:hAnsi="Garamond" w:cstheme="majorBidi"/>
          <w:b/>
          <w:color w:val="000000" w:themeColor="text1"/>
          <w:sz w:val="32"/>
          <w:szCs w:val="32"/>
          <w:lang w:val="en-GB"/>
        </w:rPr>
      </w:pPr>
      <w:r>
        <w:rPr>
          <w:rFonts w:ascii="Garamond" w:hAnsi="Garamond"/>
          <w:lang w:val="en-GB"/>
        </w:rPr>
        <w:br w:type="page"/>
      </w:r>
    </w:p>
    <w:p w14:paraId="6C354D8E" w14:textId="6938F3C0" w:rsidR="00F6251A" w:rsidRDefault="00F6251A" w:rsidP="00F6251A">
      <w:pPr>
        <w:pStyle w:val="Titolo1"/>
        <w:rPr>
          <w:rFonts w:ascii="Garamond" w:hAnsi="Garamond"/>
          <w:lang w:val="en-GB"/>
        </w:rPr>
      </w:pPr>
      <w:r w:rsidRPr="006F4A10">
        <w:rPr>
          <w:rFonts w:ascii="Garamond" w:hAnsi="Garamond"/>
          <w:lang w:val="en-GB"/>
        </w:rPr>
        <w:lastRenderedPageBreak/>
        <w:t>References</w:t>
      </w:r>
    </w:p>
    <w:p w14:paraId="04BFE562" w14:textId="77777777" w:rsidR="00184A43" w:rsidRPr="00184A43" w:rsidRDefault="00184A43" w:rsidP="00184A43">
      <w:pPr>
        <w:rPr>
          <w:lang w:val="en-GB"/>
        </w:rPr>
      </w:pPr>
    </w:p>
    <w:p w14:paraId="279E3CBB" w14:textId="50CF94E7" w:rsidR="00CC7DBE" w:rsidRDefault="00184A43" w:rsidP="00830009">
      <w:pPr>
        <w:jc w:val="both"/>
        <w:rPr>
          <w:rFonts w:ascii="Garamond" w:hAnsi="Garamond"/>
          <w:sz w:val="24"/>
          <w:szCs w:val="24"/>
        </w:rPr>
      </w:pPr>
      <w:bookmarkStart w:id="8" w:name="_Hlk71205187"/>
      <w:r w:rsidRPr="00184A43">
        <w:rPr>
          <w:rFonts w:ascii="Garamond" w:hAnsi="Garamond"/>
          <w:sz w:val="24"/>
          <w:szCs w:val="24"/>
        </w:rPr>
        <w:t xml:space="preserve">Anderson, B. A., &amp; </w:t>
      </w:r>
      <w:proofErr w:type="spellStart"/>
      <w:r w:rsidRPr="00184A43">
        <w:rPr>
          <w:rFonts w:ascii="Garamond" w:hAnsi="Garamond"/>
          <w:sz w:val="24"/>
          <w:szCs w:val="24"/>
        </w:rPr>
        <w:t>Coale</w:t>
      </w:r>
      <w:bookmarkEnd w:id="8"/>
      <w:proofErr w:type="spellEnd"/>
      <w:r w:rsidRPr="00184A43">
        <w:rPr>
          <w:rFonts w:ascii="Garamond" w:hAnsi="Garamond"/>
          <w:sz w:val="24"/>
          <w:szCs w:val="24"/>
        </w:rPr>
        <w:t>, A. J. (2017). Regional and cultural factors in the decline of marital fertility in Europe. In </w:t>
      </w:r>
      <w:r w:rsidRPr="00184A43">
        <w:rPr>
          <w:rFonts w:ascii="Garamond" w:hAnsi="Garamond"/>
          <w:i/>
          <w:iCs/>
          <w:sz w:val="24"/>
          <w:szCs w:val="24"/>
        </w:rPr>
        <w:t>The decline of fertility in Europe</w:t>
      </w:r>
      <w:r w:rsidRPr="00184A43">
        <w:rPr>
          <w:rFonts w:ascii="Garamond" w:hAnsi="Garamond"/>
          <w:sz w:val="24"/>
          <w:szCs w:val="24"/>
        </w:rPr>
        <w:t> (pp. 293-313). Princeton University Press.</w:t>
      </w:r>
    </w:p>
    <w:p w14:paraId="4FFF8A54" w14:textId="7D379CA0" w:rsidR="00C25724" w:rsidRDefault="00C25724" w:rsidP="00830009">
      <w:pPr>
        <w:jc w:val="both"/>
        <w:rPr>
          <w:rFonts w:ascii="Garamond" w:hAnsi="Garamond"/>
          <w:sz w:val="24"/>
          <w:szCs w:val="24"/>
        </w:rPr>
      </w:pPr>
      <w:proofErr w:type="spellStart"/>
      <w:r w:rsidRPr="00C25724">
        <w:rPr>
          <w:rFonts w:ascii="Garamond" w:hAnsi="Garamond"/>
          <w:sz w:val="24"/>
          <w:szCs w:val="24"/>
        </w:rPr>
        <w:t>Barreca</w:t>
      </w:r>
      <w:proofErr w:type="spellEnd"/>
      <w:r w:rsidRPr="00C25724">
        <w:rPr>
          <w:rFonts w:ascii="Garamond" w:hAnsi="Garamond"/>
          <w:sz w:val="24"/>
          <w:szCs w:val="24"/>
        </w:rPr>
        <w:t xml:space="preserve">, A., Deschenes, O., &amp; </w:t>
      </w:r>
      <w:proofErr w:type="spellStart"/>
      <w:r w:rsidRPr="00C25724">
        <w:rPr>
          <w:rFonts w:ascii="Garamond" w:hAnsi="Garamond"/>
          <w:sz w:val="24"/>
          <w:szCs w:val="24"/>
        </w:rPr>
        <w:t>Guldi</w:t>
      </w:r>
      <w:proofErr w:type="spellEnd"/>
      <w:r w:rsidRPr="00C25724">
        <w:rPr>
          <w:rFonts w:ascii="Garamond" w:hAnsi="Garamond"/>
          <w:sz w:val="24"/>
          <w:szCs w:val="24"/>
        </w:rPr>
        <w:t xml:space="preserve">, M. (2018). Maybe next month? Temperature shocks and dynamic adjustments in birth rates. </w:t>
      </w:r>
      <w:r w:rsidRPr="0001109E">
        <w:rPr>
          <w:rFonts w:ascii="Garamond" w:hAnsi="Garamond"/>
          <w:i/>
          <w:sz w:val="24"/>
          <w:szCs w:val="24"/>
        </w:rPr>
        <w:t>Demography, 55</w:t>
      </w:r>
      <w:r w:rsidRPr="00C25724">
        <w:rPr>
          <w:rFonts w:ascii="Garamond" w:hAnsi="Garamond"/>
          <w:sz w:val="24"/>
          <w:szCs w:val="24"/>
        </w:rPr>
        <w:t>(4), 1269-1293.</w:t>
      </w:r>
    </w:p>
    <w:p w14:paraId="46903384" w14:textId="1B6D2D90" w:rsidR="00184A43" w:rsidRPr="00044F49" w:rsidRDefault="00184A43" w:rsidP="00830009">
      <w:pPr>
        <w:jc w:val="both"/>
        <w:rPr>
          <w:rFonts w:ascii="Garamond" w:hAnsi="Garamond"/>
          <w:sz w:val="24"/>
          <w:szCs w:val="24"/>
        </w:rPr>
      </w:pPr>
      <w:bookmarkStart w:id="9" w:name="_Hlk71205224"/>
      <w:proofErr w:type="spellStart"/>
      <w:r w:rsidRPr="005D5A8F">
        <w:rPr>
          <w:rFonts w:ascii="Garamond" w:hAnsi="Garamond"/>
          <w:sz w:val="24"/>
          <w:szCs w:val="24"/>
        </w:rPr>
        <w:t>Basedau</w:t>
      </w:r>
      <w:bookmarkEnd w:id="9"/>
      <w:proofErr w:type="spellEnd"/>
      <w:r w:rsidRPr="005D5A8F">
        <w:rPr>
          <w:rFonts w:ascii="Garamond" w:hAnsi="Garamond"/>
          <w:sz w:val="24"/>
          <w:szCs w:val="24"/>
        </w:rPr>
        <w:t xml:space="preserve">, M., </w:t>
      </w:r>
      <w:proofErr w:type="spellStart"/>
      <w:r w:rsidRPr="005D5A8F">
        <w:rPr>
          <w:rFonts w:ascii="Garamond" w:hAnsi="Garamond"/>
          <w:sz w:val="24"/>
          <w:szCs w:val="24"/>
        </w:rPr>
        <w:t>Gobien</w:t>
      </w:r>
      <w:proofErr w:type="spellEnd"/>
      <w:r w:rsidRPr="005D5A8F">
        <w:rPr>
          <w:rFonts w:ascii="Garamond" w:hAnsi="Garamond"/>
          <w:sz w:val="24"/>
          <w:szCs w:val="24"/>
        </w:rPr>
        <w:t xml:space="preserve">, S., &amp; </w:t>
      </w:r>
      <w:proofErr w:type="spellStart"/>
      <w:r w:rsidRPr="005D5A8F">
        <w:rPr>
          <w:rFonts w:ascii="Garamond" w:hAnsi="Garamond"/>
          <w:sz w:val="24"/>
          <w:szCs w:val="24"/>
        </w:rPr>
        <w:t>Prediger</w:t>
      </w:r>
      <w:proofErr w:type="spellEnd"/>
      <w:r w:rsidRPr="005D5A8F">
        <w:rPr>
          <w:rFonts w:ascii="Garamond" w:hAnsi="Garamond"/>
          <w:sz w:val="24"/>
          <w:szCs w:val="24"/>
        </w:rPr>
        <w:t xml:space="preserve">, S. (2018). </w:t>
      </w:r>
      <w:r w:rsidRPr="00184A43">
        <w:rPr>
          <w:rFonts w:ascii="Garamond" w:hAnsi="Garamond"/>
          <w:sz w:val="24"/>
          <w:szCs w:val="24"/>
        </w:rPr>
        <w:t>The multidimensional effects of religion on socioeconomic development: a review of the empirical literature. </w:t>
      </w:r>
      <w:r w:rsidRPr="00184A43">
        <w:rPr>
          <w:rFonts w:ascii="Garamond" w:hAnsi="Garamond"/>
          <w:i/>
          <w:iCs/>
          <w:sz w:val="24"/>
          <w:szCs w:val="24"/>
        </w:rPr>
        <w:t>Journal of Economic Surveys</w:t>
      </w:r>
      <w:r w:rsidRPr="00184A43">
        <w:rPr>
          <w:rFonts w:ascii="Garamond" w:hAnsi="Garamond"/>
          <w:sz w:val="24"/>
          <w:szCs w:val="24"/>
        </w:rPr>
        <w:t>, </w:t>
      </w:r>
      <w:r w:rsidRPr="00184A43">
        <w:rPr>
          <w:rFonts w:ascii="Garamond" w:hAnsi="Garamond"/>
          <w:i/>
          <w:iCs/>
          <w:sz w:val="24"/>
          <w:szCs w:val="24"/>
        </w:rPr>
        <w:t>32</w:t>
      </w:r>
      <w:r w:rsidRPr="00184A43">
        <w:rPr>
          <w:rFonts w:ascii="Garamond" w:hAnsi="Garamond"/>
          <w:sz w:val="24"/>
          <w:szCs w:val="24"/>
        </w:rPr>
        <w:t>(4), 1106-1133.</w:t>
      </w:r>
    </w:p>
    <w:p w14:paraId="363FFACF" w14:textId="4BC95D11" w:rsidR="00CC7DBE" w:rsidRDefault="00CC7DBE" w:rsidP="00830009">
      <w:pPr>
        <w:jc w:val="both"/>
        <w:rPr>
          <w:rFonts w:ascii="Garamond" w:hAnsi="Garamond"/>
          <w:sz w:val="24"/>
          <w:szCs w:val="24"/>
          <w:lang w:val="it-IT"/>
        </w:rPr>
      </w:pPr>
      <w:r w:rsidRPr="00CC7DBE">
        <w:rPr>
          <w:rFonts w:ascii="Garamond" w:hAnsi="Garamond"/>
          <w:sz w:val="24"/>
          <w:szCs w:val="24"/>
        </w:rPr>
        <w:t>Becker, G. S. (1965). A Theory of the Allocation of Time. </w:t>
      </w:r>
      <w:r w:rsidRPr="00751306">
        <w:rPr>
          <w:rFonts w:ascii="Garamond" w:hAnsi="Garamond"/>
          <w:i/>
          <w:iCs/>
          <w:sz w:val="24"/>
          <w:szCs w:val="24"/>
          <w:lang w:val="it-IT"/>
        </w:rPr>
        <w:t xml:space="preserve">The </w:t>
      </w:r>
      <w:proofErr w:type="spellStart"/>
      <w:r w:rsidR="004721D2">
        <w:rPr>
          <w:rFonts w:ascii="Garamond" w:hAnsi="Garamond"/>
          <w:i/>
          <w:iCs/>
          <w:sz w:val="24"/>
          <w:szCs w:val="24"/>
          <w:lang w:val="it-IT"/>
        </w:rPr>
        <w:t>E</w:t>
      </w:r>
      <w:r w:rsidRPr="005A06A1">
        <w:rPr>
          <w:rFonts w:ascii="Garamond" w:hAnsi="Garamond"/>
          <w:i/>
          <w:iCs/>
          <w:sz w:val="24"/>
          <w:szCs w:val="24"/>
          <w:lang w:val="it-IT"/>
        </w:rPr>
        <w:t>conomic</w:t>
      </w:r>
      <w:proofErr w:type="spellEnd"/>
      <w:r w:rsidRPr="005A06A1">
        <w:rPr>
          <w:rFonts w:ascii="Garamond" w:hAnsi="Garamond"/>
          <w:i/>
          <w:iCs/>
          <w:sz w:val="24"/>
          <w:szCs w:val="24"/>
          <w:lang w:val="it-IT"/>
        </w:rPr>
        <w:t xml:space="preserve"> </w:t>
      </w:r>
      <w:r w:rsidR="004721D2">
        <w:rPr>
          <w:rFonts w:ascii="Garamond" w:hAnsi="Garamond"/>
          <w:i/>
          <w:iCs/>
          <w:sz w:val="24"/>
          <w:szCs w:val="24"/>
          <w:lang w:val="it-IT"/>
        </w:rPr>
        <w:t>J</w:t>
      </w:r>
      <w:r w:rsidRPr="00751306">
        <w:rPr>
          <w:rFonts w:ascii="Garamond" w:hAnsi="Garamond"/>
          <w:i/>
          <w:iCs/>
          <w:sz w:val="24"/>
          <w:szCs w:val="24"/>
          <w:lang w:val="it-IT"/>
        </w:rPr>
        <w:t>ournal</w:t>
      </w:r>
      <w:r w:rsidRPr="00751306">
        <w:rPr>
          <w:rFonts w:ascii="Garamond" w:hAnsi="Garamond"/>
          <w:sz w:val="24"/>
          <w:szCs w:val="24"/>
          <w:lang w:val="it-IT"/>
        </w:rPr>
        <w:t>, </w:t>
      </w:r>
      <w:r w:rsidRPr="00751306">
        <w:rPr>
          <w:rFonts w:ascii="Garamond" w:hAnsi="Garamond"/>
          <w:i/>
          <w:iCs/>
          <w:sz w:val="24"/>
          <w:szCs w:val="24"/>
          <w:lang w:val="it-IT"/>
        </w:rPr>
        <w:t>75</w:t>
      </w:r>
      <w:r w:rsidRPr="00751306">
        <w:rPr>
          <w:rFonts w:ascii="Garamond" w:hAnsi="Garamond"/>
          <w:sz w:val="24"/>
          <w:szCs w:val="24"/>
          <w:lang w:val="it-IT"/>
        </w:rPr>
        <w:t>(299), 493-517.</w:t>
      </w:r>
    </w:p>
    <w:p w14:paraId="012D30B5" w14:textId="402A79A2" w:rsidR="00B436C9" w:rsidRDefault="00B436C9" w:rsidP="00830009">
      <w:pPr>
        <w:jc w:val="both"/>
        <w:rPr>
          <w:rFonts w:ascii="Garamond" w:hAnsi="Garamond"/>
          <w:sz w:val="24"/>
          <w:szCs w:val="24"/>
        </w:rPr>
      </w:pPr>
      <w:proofErr w:type="spellStart"/>
      <w:r w:rsidRPr="00B436C9">
        <w:rPr>
          <w:rFonts w:ascii="Garamond" w:hAnsi="Garamond"/>
          <w:sz w:val="24"/>
          <w:szCs w:val="24"/>
          <w:lang w:val="it-IT"/>
        </w:rPr>
        <w:t>Billari</w:t>
      </w:r>
      <w:proofErr w:type="spellEnd"/>
      <w:r w:rsidRPr="00B436C9">
        <w:rPr>
          <w:rFonts w:ascii="Garamond" w:hAnsi="Garamond"/>
          <w:sz w:val="24"/>
          <w:szCs w:val="24"/>
          <w:lang w:val="it-IT"/>
        </w:rPr>
        <w:t xml:space="preserve">, F. C., </w:t>
      </w:r>
      <w:proofErr w:type="spellStart"/>
      <w:r w:rsidRPr="00B436C9">
        <w:rPr>
          <w:rFonts w:ascii="Garamond" w:hAnsi="Garamond"/>
          <w:sz w:val="24"/>
          <w:szCs w:val="24"/>
          <w:lang w:val="it-IT"/>
        </w:rPr>
        <w:t>Giuntella</w:t>
      </w:r>
      <w:proofErr w:type="spellEnd"/>
      <w:r w:rsidRPr="00B436C9">
        <w:rPr>
          <w:rFonts w:ascii="Garamond" w:hAnsi="Garamond"/>
          <w:sz w:val="24"/>
          <w:szCs w:val="24"/>
          <w:lang w:val="it-IT"/>
        </w:rPr>
        <w:t xml:space="preserve">, O., &amp; Stella, L. (2019). </w:t>
      </w:r>
      <w:r w:rsidRPr="00B436C9">
        <w:rPr>
          <w:rFonts w:ascii="Garamond" w:hAnsi="Garamond"/>
          <w:sz w:val="24"/>
          <w:szCs w:val="24"/>
        </w:rPr>
        <w:t>Does broadband Internet affect fertility?. </w:t>
      </w:r>
      <w:r w:rsidRPr="00B436C9">
        <w:rPr>
          <w:rFonts w:ascii="Garamond" w:hAnsi="Garamond"/>
          <w:i/>
          <w:iCs/>
          <w:sz w:val="24"/>
          <w:szCs w:val="24"/>
        </w:rPr>
        <w:t xml:space="preserve">Population </w:t>
      </w:r>
      <w:r w:rsidR="00156061">
        <w:rPr>
          <w:rFonts w:ascii="Garamond" w:hAnsi="Garamond"/>
          <w:i/>
          <w:iCs/>
          <w:sz w:val="24"/>
          <w:szCs w:val="24"/>
        </w:rPr>
        <w:t>S</w:t>
      </w:r>
      <w:r w:rsidRPr="00B436C9">
        <w:rPr>
          <w:rFonts w:ascii="Garamond" w:hAnsi="Garamond"/>
          <w:i/>
          <w:iCs/>
          <w:sz w:val="24"/>
          <w:szCs w:val="24"/>
        </w:rPr>
        <w:t>tudies</w:t>
      </w:r>
      <w:r w:rsidRPr="00B436C9">
        <w:rPr>
          <w:rFonts w:ascii="Garamond" w:hAnsi="Garamond"/>
          <w:sz w:val="24"/>
          <w:szCs w:val="24"/>
        </w:rPr>
        <w:t>, </w:t>
      </w:r>
      <w:r w:rsidRPr="00B436C9">
        <w:rPr>
          <w:rFonts w:ascii="Garamond" w:hAnsi="Garamond"/>
          <w:i/>
          <w:iCs/>
          <w:sz w:val="24"/>
          <w:szCs w:val="24"/>
        </w:rPr>
        <w:t>73</w:t>
      </w:r>
      <w:r w:rsidRPr="00B436C9">
        <w:rPr>
          <w:rFonts w:ascii="Garamond" w:hAnsi="Garamond"/>
          <w:sz w:val="24"/>
          <w:szCs w:val="24"/>
        </w:rPr>
        <w:t>(3), 297-316.</w:t>
      </w:r>
    </w:p>
    <w:p w14:paraId="6F77EC0D" w14:textId="7743DAC8" w:rsidR="00F6251A" w:rsidRDefault="00AB6F83" w:rsidP="00830009">
      <w:pPr>
        <w:jc w:val="both"/>
        <w:rPr>
          <w:rFonts w:ascii="Garamond" w:hAnsi="Garamond"/>
          <w:sz w:val="24"/>
          <w:szCs w:val="24"/>
        </w:rPr>
      </w:pPr>
      <w:proofErr w:type="spellStart"/>
      <w:r w:rsidRPr="00AB6F83">
        <w:rPr>
          <w:rFonts w:ascii="Garamond" w:hAnsi="Garamond"/>
          <w:sz w:val="24"/>
          <w:szCs w:val="24"/>
        </w:rPr>
        <w:t>Burlando</w:t>
      </w:r>
      <w:proofErr w:type="spellEnd"/>
      <w:r w:rsidRPr="00AB6F83">
        <w:rPr>
          <w:rFonts w:ascii="Garamond" w:hAnsi="Garamond"/>
          <w:sz w:val="24"/>
          <w:szCs w:val="24"/>
        </w:rPr>
        <w:t>, A. (2014). Power outages, power externalities, and baby booms. </w:t>
      </w:r>
      <w:r w:rsidRPr="00AB6F83">
        <w:rPr>
          <w:rFonts w:ascii="Garamond" w:hAnsi="Garamond"/>
          <w:i/>
          <w:iCs/>
          <w:sz w:val="24"/>
          <w:szCs w:val="24"/>
        </w:rPr>
        <w:t>Demography</w:t>
      </w:r>
      <w:r w:rsidRPr="00AB6F83">
        <w:rPr>
          <w:rFonts w:ascii="Garamond" w:hAnsi="Garamond"/>
          <w:sz w:val="24"/>
          <w:szCs w:val="24"/>
        </w:rPr>
        <w:t>, </w:t>
      </w:r>
      <w:r w:rsidRPr="00AB6F83">
        <w:rPr>
          <w:rFonts w:ascii="Garamond" w:hAnsi="Garamond"/>
          <w:i/>
          <w:iCs/>
          <w:sz w:val="24"/>
          <w:szCs w:val="24"/>
        </w:rPr>
        <w:t>51</w:t>
      </w:r>
      <w:r w:rsidRPr="00AB6F83">
        <w:rPr>
          <w:rFonts w:ascii="Garamond" w:hAnsi="Garamond"/>
          <w:sz w:val="24"/>
          <w:szCs w:val="24"/>
        </w:rPr>
        <w:t>(4), 1477-1500.</w:t>
      </w:r>
    </w:p>
    <w:p w14:paraId="16AFB597" w14:textId="330D42DF" w:rsidR="009A29AD" w:rsidRDefault="009A29AD" w:rsidP="00830009">
      <w:pPr>
        <w:jc w:val="both"/>
        <w:rPr>
          <w:rFonts w:ascii="Garamond" w:hAnsi="Garamond"/>
          <w:sz w:val="24"/>
          <w:szCs w:val="24"/>
        </w:rPr>
      </w:pPr>
      <w:bookmarkStart w:id="10" w:name="_Hlk65748493"/>
      <w:proofErr w:type="spellStart"/>
      <w:r w:rsidRPr="009A29AD">
        <w:rPr>
          <w:rFonts w:ascii="Garamond" w:hAnsi="Garamond"/>
          <w:sz w:val="24"/>
          <w:szCs w:val="24"/>
        </w:rPr>
        <w:t>Fetzer</w:t>
      </w:r>
      <w:bookmarkEnd w:id="10"/>
      <w:proofErr w:type="spellEnd"/>
      <w:r w:rsidRPr="009A29AD">
        <w:rPr>
          <w:rFonts w:ascii="Garamond" w:hAnsi="Garamond"/>
          <w:sz w:val="24"/>
          <w:szCs w:val="24"/>
        </w:rPr>
        <w:t xml:space="preserve">, T., Pardo, O., &amp; </w:t>
      </w:r>
      <w:proofErr w:type="spellStart"/>
      <w:r w:rsidRPr="009A29AD">
        <w:rPr>
          <w:rFonts w:ascii="Garamond" w:hAnsi="Garamond"/>
          <w:sz w:val="24"/>
          <w:szCs w:val="24"/>
        </w:rPr>
        <w:t>Shanghavi</w:t>
      </w:r>
      <w:proofErr w:type="spellEnd"/>
      <w:r w:rsidRPr="009A29AD">
        <w:rPr>
          <w:rFonts w:ascii="Garamond" w:hAnsi="Garamond"/>
          <w:sz w:val="24"/>
          <w:szCs w:val="24"/>
        </w:rPr>
        <w:t>, A. (2018). More than an urban legend: the short-and long-run effects of unplanned fertility shocks. </w:t>
      </w:r>
      <w:r w:rsidRPr="009A29AD">
        <w:rPr>
          <w:rFonts w:ascii="Garamond" w:hAnsi="Garamond"/>
          <w:i/>
          <w:iCs/>
          <w:sz w:val="24"/>
          <w:szCs w:val="24"/>
        </w:rPr>
        <w:t>Journal of Population Economics</w:t>
      </w:r>
      <w:r w:rsidRPr="009A29AD">
        <w:rPr>
          <w:rFonts w:ascii="Garamond" w:hAnsi="Garamond"/>
          <w:sz w:val="24"/>
          <w:szCs w:val="24"/>
        </w:rPr>
        <w:t>, </w:t>
      </w:r>
      <w:r w:rsidRPr="009A29AD">
        <w:rPr>
          <w:rFonts w:ascii="Garamond" w:hAnsi="Garamond"/>
          <w:i/>
          <w:iCs/>
          <w:sz w:val="24"/>
          <w:szCs w:val="24"/>
        </w:rPr>
        <w:t>31</w:t>
      </w:r>
      <w:r w:rsidRPr="009A29AD">
        <w:rPr>
          <w:rFonts w:ascii="Garamond" w:hAnsi="Garamond"/>
          <w:sz w:val="24"/>
          <w:szCs w:val="24"/>
        </w:rPr>
        <w:t>(4), 1125-1176.</w:t>
      </w:r>
    </w:p>
    <w:p w14:paraId="1ECB2B99" w14:textId="2038EF7E" w:rsidR="0007184C" w:rsidRDefault="0007184C" w:rsidP="00830009">
      <w:pPr>
        <w:jc w:val="both"/>
        <w:rPr>
          <w:rFonts w:ascii="Garamond" w:hAnsi="Garamond"/>
          <w:sz w:val="24"/>
          <w:szCs w:val="24"/>
        </w:rPr>
      </w:pPr>
      <w:r>
        <w:rPr>
          <w:rFonts w:ascii="Garamond" w:hAnsi="Garamond"/>
          <w:sz w:val="24"/>
          <w:szCs w:val="24"/>
        </w:rPr>
        <w:t xml:space="preserve">FIFA (2018). </w:t>
      </w:r>
      <w:r w:rsidRPr="0007184C">
        <w:rPr>
          <w:rFonts w:ascii="Garamond" w:hAnsi="Garamond"/>
          <w:sz w:val="24"/>
          <w:szCs w:val="24"/>
        </w:rPr>
        <w:t>2018 FIFA World Cup Russia™ Global broadcast and audience summary</w:t>
      </w:r>
      <w:r>
        <w:rPr>
          <w:rFonts w:ascii="Garamond" w:hAnsi="Garamond"/>
          <w:sz w:val="24"/>
          <w:szCs w:val="24"/>
        </w:rPr>
        <w:t xml:space="preserve">. </w:t>
      </w:r>
      <w:r w:rsidRPr="0007184C">
        <w:rPr>
          <w:rFonts w:ascii="Garamond" w:hAnsi="Garamond"/>
          <w:sz w:val="24"/>
          <w:szCs w:val="24"/>
        </w:rPr>
        <w:t>Available at:</w:t>
      </w:r>
      <w:r>
        <w:rPr>
          <w:rFonts w:ascii="Garamond" w:hAnsi="Garamond"/>
          <w:sz w:val="24"/>
          <w:szCs w:val="24"/>
        </w:rPr>
        <w:t xml:space="preserve"> www.fifa.com. Last accessed: 10/05/2021</w:t>
      </w:r>
    </w:p>
    <w:p w14:paraId="593CA7D7" w14:textId="6207523F" w:rsidR="007704ED" w:rsidRDefault="007704ED" w:rsidP="00830009">
      <w:pPr>
        <w:jc w:val="both"/>
        <w:rPr>
          <w:rFonts w:ascii="Garamond" w:hAnsi="Garamond"/>
          <w:sz w:val="24"/>
          <w:szCs w:val="24"/>
        </w:rPr>
      </w:pPr>
      <w:bookmarkStart w:id="11" w:name="_Hlk65750313"/>
      <w:r w:rsidRPr="007704ED">
        <w:rPr>
          <w:rFonts w:ascii="Garamond" w:hAnsi="Garamond"/>
          <w:sz w:val="24"/>
          <w:szCs w:val="24"/>
        </w:rPr>
        <w:t>Kearney, M. S., &amp; Wilson</w:t>
      </w:r>
      <w:bookmarkEnd w:id="11"/>
      <w:r w:rsidRPr="007704ED">
        <w:rPr>
          <w:rFonts w:ascii="Garamond" w:hAnsi="Garamond"/>
          <w:sz w:val="24"/>
          <w:szCs w:val="24"/>
        </w:rPr>
        <w:t xml:space="preserve">, R. (2018). Male earnings, marriageable men, and </w:t>
      </w:r>
      <w:proofErr w:type="spellStart"/>
      <w:r w:rsidRPr="007704ED">
        <w:rPr>
          <w:rFonts w:ascii="Garamond" w:hAnsi="Garamond"/>
          <w:sz w:val="24"/>
          <w:szCs w:val="24"/>
        </w:rPr>
        <w:t>nonmarital</w:t>
      </w:r>
      <w:proofErr w:type="spellEnd"/>
      <w:r w:rsidRPr="007704ED">
        <w:rPr>
          <w:rFonts w:ascii="Garamond" w:hAnsi="Garamond"/>
          <w:sz w:val="24"/>
          <w:szCs w:val="24"/>
        </w:rPr>
        <w:t xml:space="preserve"> fertility: Evidence from the fracking boom. </w:t>
      </w:r>
      <w:r w:rsidRPr="007704ED">
        <w:rPr>
          <w:rFonts w:ascii="Garamond" w:hAnsi="Garamond"/>
          <w:i/>
          <w:iCs/>
          <w:sz w:val="24"/>
          <w:szCs w:val="24"/>
        </w:rPr>
        <w:t>Review of Economics and Statistics</w:t>
      </w:r>
      <w:r w:rsidRPr="007704ED">
        <w:rPr>
          <w:rFonts w:ascii="Garamond" w:hAnsi="Garamond"/>
          <w:sz w:val="24"/>
          <w:szCs w:val="24"/>
        </w:rPr>
        <w:t>, </w:t>
      </w:r>
      <w:r w:rsidRPr="007704ED">
        <w:rPr>
          <w:rFonts w:ascii="Garamond" w:hAnsi="Garamond"/>
          <w:i/>
          <w:iCs/>
          <w:sz w:val="24"/>
          <w:szCs w:val="24"/>
        </w:rPr>
        <w:t>100</w:t>
      </w:r>
      <w:r w:rsidRPr="007704ED">
        <w:rPr>
          <w:rFonts w:ascii="Garamond" w:hAnsi="Garamond"/>
          <w:sz w:val="24"/>
          <w:szCs w:val="24"/>
        </w:rPr>
        <w:t>(4), 678-690.</w:t>
      </w:r>
    </w:p>
    <w:p w14:paraId="4DEB316C" w14:textId="0DB90A7F" w:rsidR="004A343B" w:rsidRDefault="004A343B" w:rsidP="00830009">
      <w:pPr>
        <w:jc w:val="both"/>
        <w:rPr>
          <w:rFonts w:ascii="Garamond" w:hAnsi="Garamond"/>
          <w:sz w:val="24"/>
          <w:szCs w:val="24"/>
        </w:rPr>
      </w:pPr>
      <w:r w:rsidRPr="00A24D9B">
        <w:rPr>
          <w:rFonts w:ascii="Garamond" w:hAnsi="Garamond"/>
          <w:sz w:val="24"/>
          <w:szCs w:val="24"/>
        </w:rPr>
        <w:t xml:space="preserve">La Ferrara, O., Ching, A., Duryea, S. (2012). </w:t>
      </w:r>
      <w:r w:rsidRPr="004A343B">
        <w:rPr>
          <w:rFonts w:ascii="Garamond" w:hAnsi="Garamond"/>
          <w:sz w:val="24"/>
          <w:szCs w:val="24"/>
        </w:rPr>
        <w:t xml:space="preserve">Soap Operas and Fertility: Evidence from Brazil. </w:t>
      </w:r>
      <w:r w:rsidRPr="004A343B">
        <w:rPr>
          <w:rFonts w:ascii="Garamond" w:hAnsi="Garamond"/>
          <w:i/>
          <w:sz w:val="24"/>
          <w:szCs w:val="24"/>
        </w:rPr>
        <w:t>American Economic Journal: Applied Economics 2012, 4</w:t>
      </w:r>
      <w:r w:rsidRPr="004A343B">
        <w:rPr>
          <w:rFonts w:ascii="Garamond" w:hAnsi="Garamond"/>
          <w:sz w:val="24"/>
          <w:szCs w:val="24"/>
        </w:rPr>
        <w:t>(4), 1-31.</w:t>
      </w:r>
    </w:p>
    <w:p w14:paraId="6849D859" w14:textId="684E3EAD" w:rsidR="00CC7DBE" w:rsidRDefault="00CC7DBE" w:rsidP="00830009">
      <w:pPr>
        <w:jc w:val="both"/>
        <w:rPr>
          <w:rFonts w:ascii="Garamond" w:hAnsi="Garamond"/>
          <w:sz w:val="24"/>
          <w:szCs w:val="24"/>
        </w:rPr>
      </w:pPr>
      <w:r w:rsidRPr="00CC7DBE">
        <w:rPr>
          <w:rFonts w:ascii="Garamond" w:hAnsi="Garamond"/>
          <w:sz w:val="24"/>
          <w:szCs w:val="24"/>
        </w:rPr>
        <w:t>Mincer,</w:t>
      </w:r>
      <w:r>
        <w:rPr>
          <w:rFonts w:ascii="Garamond" w:hAnsi="Garamond"/>
          <w:sz w:val="24"/>
          <w:szCs w:val="24"/>
        </w:rPr>
        <w:t xml:space="preserve"> J.</w:t>
      </w:r>
      <w:r w:rsidRPr="00CC7DBE">
        <w:rPr>
          <w:rFonts w:ascii="Garamond" w:hAnsi="Garamond"/>
          <w:sz w:val="24"/>
          <w:szCs w:val="24"/>
        </w:rPr>
        <w:t xml:space="preserve"> (1963) Market Prices, Opportunity costs, and Income Effects, in </w:t>
      </w:r>
      <w:r w:rsidRPr="00CC7DBE">
        <w:rPr>
          <w:rFonts w:ascii="Garamond" w:hAnsi="Garamond"/>
          <w:i/>
          <w:iCs/>
          <w:sz w:val="24"/>
          <w:szCs w:val="24"/>
        </w:rPr>
        <w:t xml:space="preserve">Measurement in Economics: Studies in Mathematical Economics and Econometrics in honor of Yehuda </w:t>
      </w:r>
      <w:proofErr w:type="spellStart"/>
      <w:r w:rsidRPr="00CC7DBE">
        <w:rPr>
          <w:rFonts w:ascii="Garamond" w:hAnsi="Garamond"/>
          <w:i/>
          <w:iCs/>
          <w:sz w:val="24"/>
          <w:szCs w:val="24"/>
        </w:rPr>
        <w:t>Grunfield</w:t>
      </w:r>
      <w:proofErr w:type="spellEnd"/>
      <w:r w:rsidRPr="00CC7DBE">
        <w:rPr>
          <w:rFonts w:ascii="Garamond" w:hAnsi="Garamond"/>
          <w:i/>
          <w:iCs/>
          <w:sz w:val="24"/>
          <w:szCs w:val="24"/>
        </w:rPr>
        <w:t xml:space="preserve">, </w:t>
      </w:r>
      <w:r w:rsidRPr="00CC7DBE">
        <w:rPr>
          <w:rFonts w:ascii="Garamond" w:hAnsi="Garamond"/>
          <w:sz w:val="24"/>
          <w:szCs w:val="24"/>
        </w:rPr>
        <w:t>ed. C. Christ, (Stanford, California: Stanford University Press).</w:t>
      </w:r>
    </w:p>
    <w:p w14:paraId="40E6B976" w14:textId="5AEB5F47" w:rsidR="005B0B18" w:rsidRDefault="005B0B18" w:rsidP="00830009">
      <w:pPr>
        <w:jc w:val="both"/>
        <w:rPr>
          <w:rFonts w:ascii="Garamond" w:hAnsi="Garamond"/>
          <w:sz w:val="24"/>
          <w:szCs w:val="24"/>
        </w:rPr>
      </w:pPr>
      <w:bookmarkStart w:id="12" w:name="_Hlk65748368"/>
      <w:r w:rsidRPr="00F83DDC">
        <w:rPr>
          <w:rFonts w:ascii="Garamond" w:hAnsi="Garamond"/>
          <w:sz w:val="24"/>
          <w:szCs w:val="24"/>
        </w:rPr>
        <w:t>Nandi</w:t>
      </w:r>
      <w:bookmarkEnd w:id="12"/>
      <w:r w:rsidRPr="00F83DDC">
        <w:rPr>
          <w:rFonts w:ascii="Garamond" w:hAnsi="Garamond"/>
          <w:sz w:val="24"/>
          <w:szCs w:val="24"/>
        </w:rPr>
        <w:t xml:space="preserve">, A., </w:t>
      </w:r>
      <w:proofErr w:type="spellStart"/>
      <w:r w:rsidRPr="00F83DDC">
        <w:rPr>
          <w:rFonts w:ascii="Garamond" w:hAnsi="Garamond"/>
          <w:sz w:val="24"/>
          <w:szCs w:val="24"/>
        </w:rPr>
        <w:t>Mazumdar</w:t>
      </w:r>
      <w:proofErr w:type="spellEnd"/>
      <w:r w:rsidRPr="00F83DDC">
        <w:rPr>
          <w:rFonts w:ascii="Garamond" w:hAnsi="Garamond"/>
          <w:sz w:val="24"/>
          <w:szCs w:val="24"/>
        </w:rPr>
        <w:t xml:space="preserve">, S., &amp; Behrman, J. R. (2018). </w:t>
      </w:r>
      <w:r w:rsidRPr="005B0B18">
        <w:rPr>
          <w:rFonts w:ascii="Garamond" w:hAnsi="Garamond"/>
          <w:sz w:val="24"/>
          <w:szCs w:val="24"/>
        </w:rPr>
        <w:t>The effect of natural disaster on fertility, birth spacing, and child sex ratio: evidence from a major earthquake in India. </w:t>
      </w:r>
      <w:r w:rsidRPr="005B0B18">
        <w:rPr>
          <w:rFonts w:ascii="Garamond" w:hAnsi="Garamond"/>
          <w:i/>
          <w:iCs/>
          <w:sz w:val="24"/>
          <w:szCs w:val="24"/>
        </w:rPr>
        <w:t>Journal of Population Economics</w:t>
      </w:r>
      <w:r w:rsidRPr="005B0B18">
        <w:rPr>
          <w:rFonts w:ascii="Garamond" w:hAnsi="Garamond"/>
          <w:sz w:val="24"/>
          <w:szCs w:val="24"/>
        </w:rPr>
        <w:t>, </w:t>
      </w:r>
      <w:r w:rsidRPr="005B0B18">
        <w:rPr>
          <w:rFonts w:ascii="Garamond" w:hAnsi="Garamond"/>
          <w:i/>
          <w:iCs/>
          <w:sz w:val="24"/>
          <w:szCs w:val="24"/>
        </w:rPr>
        <w:t>31</w:t>
      </w:r>
      <w:r w:rsidRPr="005B0B18">
        <w:rPr>
          <w:rFonts w:ascii="Garamond" w:hAnsi="Garamond"/>
          <w:sz w:val="24"/>
          <w:szCs w:val="24"/>
        </w:rPr>
        <w:t>(1), 267-293.</w:t>
      </w:r>
    </w:p>
    <w:p w14:paraId="1A3F9D80" w14:textId="03D95247" w:rsidR="00830009" w:rsidRDefault="00830009" w:rsidP="00830009">
      <w:pPr>
        <w:jc w:val="both"/>
        <w:rPr>
          <w:rFonts w:ascii="Garamond" w:hAnsi="Garamond"/>
          <w:sz w:val="24"/>
          <w:szCs w:val="24"/>
        </w:rPr>
      </w:pPr>
      <w:bookmarkStart w:id="13" w:name="_Hlk65747983"/>
      <w:r w:rsidRPr="00830009">
        <w:rPr>
          <w:rFonts w:ascii="Garamond" w:hAnsi="Garamond"/>
          <w:sz w:val="24"/>
          <w:szCs w:val="24"/>
        </w:rPr>
        <w:t>Schaller</w:t>
      </w:r>
      <w:bookmarkEnd w:id="13"/>
      <w:r w:rsidRPr="00830009">
        <w:rPr>
          <w:rFonts w:ascii="Garamond" w:hAnsi="Garamond"/>
          <w:sz w:val="24"/>
          <w:szCs w:val="24"/>
        </w:rPr>
        <w:t xml:space="preserve">, J., </w:t>
      </w:r>
      <w:proofErr w:type="spellStart"/>
      <w:r w:rsidRPr="00830009">
        <w:rPr>
          <w:rFonts w:ascii="Garamond" w:hAnsi="Garamond"/>
          <w:sz w:val="24"/>
          <w:szCs w:val="24"/>
        </w:rPr>
        <w:t>Fishback</w:t>
      </w:r>
      <w:proofErr w:type="spellEnd"/>
      <w:r w:rsidRPr="00830009">
        <w:rPr>
          <w:rFonts w:ascii="Garamond" w:hAnsi="Garamond"/>
          <w:sz w:val="24"/>
          <w:szCs w:val="24"/>
        </w:rPr>
        <w:t xml:space="preserve">, P., &amp; Marquardt, K. (2020). Local Economic Conditions and Fertility from the Great Depression through the Great Recession. </w:t>
      </w:r>
      <w:r w:rsidRPr="00830009">
        <w:rPr>
          <w:rFonts w:ascii="Garamond" w:hAnsi="Garamond"/>
          <w:i/>
          <w:iCs/>
          <w:sz w:val="24"/>
          <w:szCs w:val="24"/>
        </w:rPr>
        <w:t>AEA</w:t>
      </w:r>
      <w:r>
        <w:rPr>
          <w:rFonts w:ascii="Garamond" w:hAnsi="Garamond"/>
          <w:i/>
          <w:iCs/>
          <w:sz w:val="24"/>
          <w:szCs w:val="24"/>
        </w:rPr>
        <w:t>:</w:t>
      </w:r>
      <w:r w:rsidRPr="00830009">
        <w:rPr>
          <w:rFonts w:ascii="Garamond" w:hAnsi="Garamond"/>
          <w:i/>
          <w:iCs/>
          <w:sz w:val="24"/>
          <w:szCs w:val="24"/>
        </w:rPr>
        <w:t xml:space="preserve"> Papers and Proceedings</w:t>
      </w:r>
      <w:r w:rsidR="004721D2">
        <w:rPr>
          <w:rFonts w:ascii="Garamond" w:hAnsi="Garamond"/>
          <w:sz w:val="24"/>
          <w:szCs w:val="24"/>
        </w:rPr>
        <w:t xml:space="preserve">, </w:t>
      </w:r>
      <w:r w:rsidRPr="00830009">
        <w:rPr>
          <w:rFonts w:ascii="Garamond" w:hAnsi="Garamond"/>
          <w:sz w:val="24"/>
          <w:szCs w:val="24"/>
        </w:rPr>
        <w:t>110, 236-</w:t>
      </w:r>
      <w:r w:rsidR="004721D2">
        <w:rPr>
          <w:rFonts w:ascii="Garamond" w:hAnsi="Garamond"/>
          <w:sz w:val="24"/>
          <w:szCs w:val="24"/>
        </w:rPr>
        <w:t>2</w:t>
      </w:r>
      <w:r w:rsidRPr="00830009">
        <w:rPr>
          <w:rFonts w:ascii="Garamond" w:hAnsi="Garamond"/>
          <w:sz w:val="24"/>
          <w:szCs w:val="24"/>
        </w:rPr>
        <w:t>40.</w:t>
      </w:r>
    </w:p>
    <w:p w14:paraId="4336259D" w14:textId="7CEF3D21" w:rsidR="00676911" w:rsidRDefault="00676911" w:rsidP="00830009">
      <w:pPr>
        <w:jc w:val="both"/>
        <w:rPr>
          <w:rFonts w:ascii="Garamond" w:hAnsi="Garamond"/>
          <w:sz w:val="24"/>
          <w:szCs w:val="24"/>
        </w:rPr>
      </w:pPr>
      <w:r w:rsidRPr="00B07D71">
        <w:rPr>
          <w:rFonts w:ascii="Garamond" w:hAnsi="Garamond"/>
          <w:sz w:val="24"/>
          <w:szCs w:val="24"/>
        </w:rPr>
        <w:t xml:space="preserve">Uribe, R., </w:t>
      </w:r>
      <w:proofErr w:type="spellStart"/>
      <w:r w:rsidRPr="00B07D71">
        <w:rPr>
          <w:rFonts w:ascii="Garamond" w:hAnsi="Garamond"/>
          <w:sz w:val="24"/>
          <w:szCs w:val="24"/>
        </w:rPr>
        <w:t>Buzeta</w:t>
      </w:r>
      <w:proofErr w:type="spellEnd"/>
      <w:r w:rsidRPr="00B07D71">
        <w:rPr>
          <w:rFonts w:ascii="Garamond" w:hAnsi="Garamond"/>
          <w:sz w:val="24"/>
          <w:szCs w:val="24"/>
        </w:rPr>
        <w:t xml:space="preserve">, C., </w:t>
      </w:r>
      <w:proofErr w:type="spellStart"/>
      <w:r w:rsidRPr="00B07D71">
        <w:rPr>
          <w:rFonts w:ascii="Garamond" w:hAnsi="Garamond"/>
          <w:sz w:val="24"/>
          <w:szCs w:val="24"/>
        </w:rPr>
        <w:t>Manzur</w:t>
      </w:r>
      <w:proofErr w:type="spellEnd"/>
      <w:r w:rsidRPr="00B07D71">
        <w:rPr>
          <w:rFonts w:ascii="Garamond" w:hAnsi="Garamond"/>
          <w:sz w:val="24"/>
          <w:szCs w:val="24"/>
        </w:rPr>
        <w:t xml:space="preserve">, E., &amp; Alvarez, I. (2021). </w:t>
      </w:r>
      <w:r w:rsidRPr="00676911">
        <w:rPr>
          <w:rFonts w:ascii="Garamond" w:hAnsi="Garamond"/>
          <w:sz w:val="24"/>
          <w:szCs w:val="24"/>
        </w:rPr>
        <w:t>Determinants of football TV audience: The straight and ancillary effects of the presence of the local team on the FIFA world cup. </w:t>
      </w:r>
      <w:r w:rsidRPr="00676911">
        <w:rPr>
          <w:rFonts w:ascii="Garamond" w:hAnsi="Garamond"/>
          <w:i/>
          <w:iCs/>
          <w:sz w:val="24"/>
          <w:szCs w:val="24"/>
        </w:rPr>
        <w:t>Journal of Business Research</w:t>
      </w:r>
      <w:r w:rsidRPr="00676911">
        <w:rPr>
          <w:rFonts w:ascii="Garamond" w:hAnsi="Garamond"/>
          <w:sz w:val="24"/>
          <w:szCs w:val="24"/>
        </w:rPr>
        <w:t>, </w:t>
      </w:r>
      <w:r w:rsidRPr="00676911">
        <w:rPr>
          <w:rFonts w:ascii="Garamond" w:hAnsi="Garamond"/>
          <w:i/>
          <w:iCs/>
          <w:sz w:val="24"/>
          <w:szCs w:val="24"/>
        </w:rPr>
        <w:t>127</w:t>
      </w:r>
      <w:r w:rsidRPr="00676911">
        <w:rPr>
          <w:rFonts w:ascii="Garamond" w:hAnsi="Garamond"/>
          <w:sz w:val="24"/>
          <w:szCs w:val="24"/>
        </w:rPr>
        <w:t>, 454-463.</w:t>
      </w:r>
    </w:p>
    <w:p w14:paraId="53E6ABC7" w14:textId="046E8A01" w:rsidR="000D32CD" w:rsidRPr="0001109E" w:rsidRDefault="004721D2" w:rsidP="0001109E">
      <w:pPr>
        <w:jc w:val="both"/>
        <w:rPr>
          <w:rFonts w:ascii="Garamond" w:hAnsi="Garamond"/>
          <w:sz w:val="24"/>
          <w:szCs w:val="24"/>
        </w:rPr>
      </w:pPr>
      <w:proofErr w:type="spellStart"/>
      <w:r>
        <w:rPr>
          <w:rFonts w:ascii="Garamond" w:hAnsi="Garamond"/>
          <w:sz w:val="24"/>
          <w:szCs w:val="24"/>
        </w:rPr>
        <w:t>Wallsten</w:t>
      </w:r>
      <w:proofErr w:type="spellEnd"/>
      <w:r>
        <w:rPr>
          <w:rFonts w:ascii="Garamond" w:hAnsi="Garamond"/>
          <w:sz w:val="24"/>
          <w:szCs w:val="24"/>
        </w:rPr>
        <w:t>, S</w:t>
      </w:r>
      <w:r w:rsidRPr="00830009">
        <w:rPr>
          <w:rFonts w:ascii="Garamond" w:hAnsi="Garamond"/>
          <w:sz w:val="24"/>
          <w:szCs w:val="24"/>
        </w:rPr>
        <w:t>. (20</w:t>
      </w:r>
      <w:r>
        <w:rPr>
          <w:rFonts w:ascii="Garamond" w:hAnsi="Garamond"/>
          <w:sz w:val="24"/>
          <w:szCs w:val="24"/>
        </w:rPr>
        <w:t>13</w:t>
      </w:r>
      <w:r w:rsidRPr="00830009">
        <w:rPr>
          <w:rFonts w:ascii="Garamond" w:hAnsi="Garamond"/>
          <w:sz w:val="24"/>
          <w:szCs w:val="24"/>
        </w:rPr>
        <w:t xml:space="preserve">). </w:t>
      </w:r>
      <w:r>
        <w:rPr>
          <w:rFonts w:ascii="Garamond" w:hAnsi="Garamond"/>
          <w:sz w:val="24"/>
          <w:szCs w:val="24"/>
        </w:rPr>
        <w:t xml:space="preserve">What Are We </w:t>
      </w:r>
      <w:r w:rsidR="00E05D09">
        <w:rPr>
          <w:rFonts w:ascii="Garamond" w:hAnsi="Garamond"/>
          <w:sz w:val="24"/>
          <w:szCs w:val="24"/>
        </w:rPr>
        <w:t>Not</w:t>
      </w:r>
      <w:r>
        <w:rPr>
          <w:rFonts w:ascii="Garamond" w:hAnsi="Garamond"/>
          <w:sz w:val="24"/>
          <w:szCs w:val="24"/>
        </w:rPr>
        <w:t xml:space="preserve"> Doing When We’</w:t>
      </w:r>
      <w:r w:rsidRPr="004721D2">
        <w:rPr>
          <w:rFonts w:ascii="Garamond" w:hAnsi="Garamond"/>
          <w:sz w:val="24"/>
          <w:szCs w:val="24"/>
        </w:rPr>
        <w:t>re Online</w:t>
      </w:r>
      <w:r w:rsidRPr="00830009">
        <w:rPr>
          <w:rFonts w:ascii="Garamond" w:hAnsi="Garamond"/>
          <w:sz w:val="24"/>
          <w:szCs w:val="24"/>
        </w:rPr>
        <w:t xml:space="preserve">. </w:t>
      </w:r>
      <w:r w:rsidRPr="004721D2">
        <w:rPr>
          <w:rFonts w:ascii="Garamond" w:hAnsi="Garamond"/>
          <w:i/>
          <w:iCs/>
          <w:sz w:val="24"/>
          <w:szCs w:val="24"/>
        </w:rPr>
        <w:t>National Bureau of Economic Research</w:t>
      </w:r>
      <w:r>
        <w:rPr>
          <w:rFonts w:ascii="Garamond" w:hAnsi="Garamond"/>
          <w:i/>
          <w:iCs/>
          <w:sz w:val="24"/>
          <w:szCs w:val="24"/>
        </w:rPr>
        <w:t>,</w:t>
      </w:r>
      <w:r w:rsidRPr="004721D2">
        <w:rPr>
          <w:rFonts w:ascii="Garamond" w:hAnsi="Garamond"/>
          <w:i/>
          <w:iCs/>
          <w:sz w:val="24"/>
          <w:szCs w:val="24"/>
        </w:rPr>
        <w:t xml:space="preserve"> w19549.</w:t>
      </w:r>
    </w:p>
    <w:p w14:paraId="6EA383DB" w14:textId="4644AE7C" w:rsidR="00463029" w:rsidRPr="00102AAF" w:rsidRDefault="00463029">
      <w:pPr>
        <w:pStyle w:val="Titolo1"/>
      </w:pPr>
      <w:r w:rsidRPr="00102AAF">
        <w:lastRenderedPageBreak/>
        <w:t xml:space="preserve">Appendix A: FIFA ELO score </w:t>
      </w:r>
    </w:p>
    <w:p w14:paraId="0FB5AA16" w14:textId="54D3F4A3" w:rsidR="00A24D9B" w:rsidRPr="00A24D9B" w:rsidRDefault="002D25D7" w:rsidP="00A24D9B">
      <w:pPr>
        <w:spacing w:before="240" w:after="0" w:line="360" w:lineRule="auto"/>
        <w:contextualSpacing/>
        <w:jc w:val="both"/>
        <w:rPr>
          <w:rFonts w:ascii="Garamond" w:eastAsia="Times New Roman" w:hAnsi="Garamond" w:cs="Times New Roman"/>
          <w:sz w:val="24"/>
        </w:rPr>
      </w:pPr>
      <w:r>
        <w:rPr>
          <w:rFonts w:ascii="Garamond" w:eastAsia="Times New Roman" w:hAnsi="Garamond" w:cs="Times New Roman"/>
          <w:sz w:val="24"/>
        </w:rPr>
        <w:t>T</w:t>
      </w:r>
      <w:r w:rsidR="00E20F8D">
        <w:rPr>
          <w:rFonts w:ascii="Garamond" w:eastAsia="Times New Roman" w:hAnsi="Garamond" w:cs="Times New Roman"/>
          <w:sz w:val="24"/>
        </w:rPr>
        <w:t xml:space="preserve">o build our </w:t>
      </w:r>
      <w:bookmarkStart w:id="14" w:name="_Hlk68162953"/>
      <w:r w:rsidR="00E20F8D">
        <w:rPr>
          <w:rFonts w:ascii="Garamond" w:eastAsia="Times New Roman" w:hAnsi="Garamond" w:cs="Times New Roman"/>
          <w:sz w:val="24"/>
        </w:rPr>
        <w:t>measure of national team’s performance</w:t>
      </w:r>
      <w:r>
        <w:rPr>
          <w:rFonts w:ascii="Garamond" w:eastAsia="Times New Roman" w:hAnsi="Garamond" w:cs="Times New Roman"/>
          <w:sz w:val="24"/>
        </w:rPr>
        <w:t>,</w:t>
      </w:r>
      <w:r w:rsidR="00E20F8D">
        <w:rPr>
          <w:rFonts w:ascii="Garamond" w:eastAsia="Times New Roman" w:hAnsi="Garamond" w:cs="Times New Roman"/>
          <w:sz w:val="24"/>
        </w:rPr>
        <w:t xml:space="preserve"> we follow the official ELO system used by FIFA</w:t>
      </w:r>
      <w:bookmarkEnd w:id="14"/>
      <w:r w:rsidR="00E20F8D">
        <w:rPr>
          <w:rFonts w:ascii="Garamond" w:eastAsia="Times New Roman" w:hAnsi="Garamond" w:cs="Times New Roman"/>
          <w:sz w:val="24"/>
        </w:rPr>
        <w:t xml:space="preserve">. </w:t>
      </w:r>
      <w:r w:rsidR="00A24D9B" w:rsidRPr="00A24D9B">
        <w:rPr>
          <w:rFonts w:ascii="Garamond" w:eastAsia="Times New Roman" w:hAnsi="Garamond" w:cs="Times New Roman"/>
          <w:sz w:val="24"/>
        </w:rPr>
        <w:t>The computation of individual national teams</w:t>
      </w:r>
      <w:r>
        <w:rPr>
          <w:rFonts w:ascii="Garamond" w:eastAsia="Times New Roman" w:hAnsi="Garamond" w:cs="Times New Roman"/>
          <w:sz w:val="24"/>
        </w:rPr>
        <w:t>’</w:t>
      </w:r>
      <w:r w:rsidR="00A24D9B" w:rsidRPr="00A24D9B">
        <w:rPr>
          <w:rFonts w:ascii="Garamond" w:eastAsia="Times New Roman" w:hAnsi="Garamond" w:cs="Times New Roman"/>
          <w:sz w:val="24"/>
        </w:rPr>
        <w:t xml:space="preserve"> performance in one international cup proceeds in two stages: first, we multiply the importance and result coefficient (see below) for each game played by one national team and, second, we sum the results of these multiplications across matches for the same </w:t>
      </w:r>
      <w:r>
        <w:rPr>
          <w:rFonts w:ascii="Garamond" w:eastAsia="Times New Roman" w:hAnsi="Garamond" w:cs="Times New Roman"/>
          <w:sz w:val="24"/>
        </w:rPr>
        <w:t>national team</w:t>
      </w:r>
      <w:r w:rsidR="00A24D9B" w:rsidRPr="00A24D9B">
        <w:rPr>
          <w:rFonts w:ascii="Garamond" w:eastAsia="Times New Roman" w:hAnsi="Garamond" w:cs="Times New Roman"/>
          <w:sz w:val="24"/>
        </w:rPr>
        <w:t>, within the same competition. These are the two coefficients we combine:</w:t>
      </w:r>
    </w:p>
    <w:p w14:paraId="474ACEA8" w14:textId="3327ADA0" w:rsidR="00A24D9B" w:rsidRPr="00A24D9B" w:rsidRDefault="00A24D9B" w:rsidP="00A24D9B">
      <w:pPr>
        <w:numPr>
          <w:ilvl w:val="0"/>
          <w:numId w:val="1"/>
        </w:numPr>
        <w:spacing w:before="240" w:after="0" w:line="360" w:lineRule="auto"/>
        <w:contextualSpacing/>
        <w:jc w:val="both"/>
        <w:rPr>
          <w:rFonts w:ascii="Garamond" w:eastAsia="Times New Roman" w:hAnsi="Garamond" w:cs="Times New Roman"/>
          <w:sz w:val="24"/>
        </w:rPr>
      </w:pPr>
      <w:r w:rsidRPr="00A24D9B">
        <w:rPr>
          <w:rFonts w:ascii="Garamond" w:eastAsia="Times New Roman" w:hAnsi="Garamond" w:cs="Times New Roman"/>
          <w:i/>
          <w:sz w:val="24"/>
        </w:rPr>
        <w:t>importance coefficient:</w:t>
      </w:r>
      <w:r w:rsidRPr="00A24D9B">
        <w:rPr>
          <w:rFonts w:ascii="Garamond" w:eastAsia="Times New Roman" w:hAnsi="Garamond" w:cs="Times New Roman"/>
          <w:sz w:val="24"/>
        </w:rPr>
        <w:t xml:space="preserve"> 50</w:t>
      </w:r>
      <w:r w:rsidR="002D25D7">
        <w:rPr>
          <w:rFonts w:ascii="Garamond" w:eastAsia="Times New Roman" w:hAnsi="Garamond" w:cs="Times New Roman"/>
          <w:sz w:val="24"/>
        </w:rPr>
        <w:t xml:space="preserve"> </w:t>
      </w:r>
      <w:r w:rsidRPr="00A24D9B">
        <w:rPr>
          <w:rFonts w:ascii="Garamond" w:eastAsia="Times New Roman" w:hAnsi="Garamond" w:cs="Times New Roman"/>
          <w:sz w:val="24"/>
        </w:rPr>
        <w:t>for matches before quarter-finals and 60 for matches in quarter-finals or later.</w:t>
      </w:r>
      <w:r w:rsidRPr="00A24D9B">
        <w:rPr>
          <w:rFonts w:ascii="Garamond" w:eastAsia="Times New Roman" w:hAnsi="Garamond" w:cs="Times New Roman"/>
          <w:sz w:val="24"/>
        </w:rPr>
        <w:tab/>
      </w:r>
      <w:r w:rsidR="006D31A4">
        <w:rPr>
          <w:rFonts w:ascii="Garamond" w:eastAsia="Times New Roman" w:hAnsi="Garamond" w:cs="Times New Roman"/>
          <w:sz w:val="24"/>
        </w:rPr>
        <w:t xml:space="preserve"> </w:t>
      </w:r>
      <w:r w:rsidRPr="00A24D9B">
        <w:rPr>
          <w:rFonts w:ascii="Garamond" w:eastAsia="Times New Roman" w:hAnsi="Garamond" w:cs="Times New Roman"/>
          <w:sz w:val="24"/>
        </w:rPr>
        <w:t>In this dataset we have coefficients only on the final stages of international tournaments.</w:t>
      </w:r>
    </w:p>
    <w:p w14:paraId="1BE6D382" w14:textId="3F5DBCE2" w:rsidR="00A24D9B" w:rsidRPr="00A24D9B" w:rsidRDefault="00A24D9B" w:rsidP="00A24D9B">
      <w:pPr>
        <w:numPr>
          <w:ilvl w:val="0"/>
          <w:numId w:val="1"/>
        </w:numPr>
        <w:spacing w:before="240" w:after="0" w:line="360" w:lineRule="auto"/>
        <w:contextualSpacing/>
        <w:jc w:val="both"/>
        <w:rPr>
          <w:rFonts w:ascii="Garamond" w:eastAsia="Times New Roman" w:hAnsi="Garamond" w:cs="Times New Roman"/>
          <w:sz w:val="24"/>
        </w:rPr>
      </w:pPr>
      <w:r w:rsidRPr="00A24D9B">
        <w:rPr>
          <w:rFonts w:ascii="Garamond" w:eastAsia="Times New Roman" w:hAnsi="Garamond" w:cs="Times New Roman"/>
          <w:i/>
          <w:sz w:val="24"/>
        </w:rPr>
        <w:t>result coefficient:</w:t>
      </w:r>
      <w:r w:rsidRPr="00A24D9B">
        <w:rPr>
          <w:rFonts w:ascii="Garamond" w:eastAsia="Times New Roman" w:hAnsi="Garamond" w:cs="Times New Roman"/>
          <w:sz w:val="24"/>
        </w:rPr>
        <w:t xml:space="preserve"> 0</w:t>
      </w:r>
      <w:r w:rsidR="002D25D7">
        <w:rPr>
          <w:rFonts w:ascii="Garamond" w:eastAsia="Times New Roman" w:hAnsi="Garamond" w:cs="Times New Roman"/>
          <w:sz w:val="24"/>
        </w:rPr>
        <w:t xml:space="preserve"> </w:t>
      </w:r>
      <w:r w:rsidRPr="00A24D9B">
        <w:rPr>
          <w:rFonts w:ascii="Garamond" w:eastAsia="Times New Roman" w:hAnsi="Garamond" w:cs="Times New Roman"/>
          <w:sz w:val="24"/>
        </w:rPr>
        <w:t>for a loss after regular or extra time, 0.5 for a draw or loss in a penalty shootout, 0.75 for a victory in a penalty shootout, 1 for a victory after regular or extra time.</w:t>
      </w:r>
      <w:r w:rsidRPr="00A24D9B">
        <w:rPr>
          <w:rFonts w:ascii="Garamond" w:eastAsia="Times New Roman" w:hAnsi="Garamond" w:cs="Times New Roman"/>
          <w:sz w:val="24"/>
        </w:rPr>
        <w:tab/>
      </w:r>
    </w:p>
    <w:p w14:paraId="394C5F93" w14:textId="0E566CB3" w:rsidR="00C33225" w:rsidRDefault="00A24D9B" w:rsidP="00A24D9B">
      <w:pPr>
        <w:spacing w:before="240" w:after="0" w:line="360" w:lineRule="auto"/>
        <w:contextualSpacing/>
        <w:jc w:val="both"/>
        <w:rPr>
          <w:rFonts w:ascii="Garamond" w:eastAsia="Times New Roman" w:hAnsi="Garamond" w:cs="Times New Roman"/>
          <w:sz w:val="24"/>
        </w:rPr>
      </w:pPr>
      <w:r w:rsidRPr="00A24D9B">
        <w:rPr>
          <w:rFonts w:ascii="Garamond" w:eastAsia="Times New Roman" w:hAnsi="Garamond" w:cs="Times New Roman"/>
          <w:sz w:val="24"/>
        </w:rPr>
        <w:t>If a game ends with a winner but still requires a penalty shootouts (i.e.</w:t>
      </w:r>
      <w:r w:rsidR="002D25D7">
        <w:rPr>
          <w:rFonts w:ascii="Garamond" w:eastAsia="Times New Roman" w:hAnsi="Garamond" w:cs="Times New Roman"/>
          <w:sz w:val="24"/>
        </w:rPr>
        <w:t>,</w:t>
      </w:r>
      <w:r w:rsidRPr="00A24D9B">
        <w:rPr>
          <w:rFonts w:ascii="Garamond" w:eastAsia="Times New Roman" w:hAnsi="Garamond" w:cs="Times New Roman"/>
          <w:sz w:val="24"/>
        </w:rPr>
        <w:t xml:space="preserve"> in the second game of a two-legged tie), it is</w:t>
      </w:r>
      <w:r w:rsidR="002D25D7">
        <w:rPr>
          <w:rFonts w:ascii="Garamond" w:eastAsia="Times New Roman" w:hAnsi="Garamond" w:cs="Times New Roman"/>
          <w:sz w:val="24"/>
        </w:rPr>
        <w:t xml:space="preserve"> scored</w:t>
      </w:r>
      <w:r w:rsidRPr="00A24D9B">
        <w:rPr>
          <w:rFonts w:ascii="Garamond" w:eastAsia="Times New Roman" w:hAnsi="Garamond" w:cs="Times New Roman"/>
          <w:sz w:val="24"/>
        </w:rPr>
        <w:t xml:space="preserve"> as a regular gam</w:t>
      </w:r>
      <w:r w:rsidR="002D25D7">
        <w:rPr>
          <w:rFonts w:ascii="Garamond" w:eastAsia="Times New Roman" w:hAnsi="Garamond" w:cs="Times New Roman"/>
          <w:sz w:val="24"/>
        </w:rPr>
        <w:t>e (</w:t>
      </w:r>
      <w:r w:rsidRPr="00A24D9B">
        <w:rPr>
          <w:rFonts w:ascii="Garamond" w:eastAsia="Times New Roman" w:hAnsi="Garamond" w:cs="Times New Roman"/>
          <w:sz w:val="24"/>
        </w:rPr>
        <w:t>e.</w:t>
      </w:r>
      <w:r w:rsidR="002D25D7">
        <w:rPr>
          <w:rFonts w:ascii="Garamond" w:eastAsia="Times New Roman" w:hAnsi="Garamond" w:cs="Times New Roman"/>
          <w:sz w:val="24"/>
        </w:rPr>
        <w:t>g., the score is based on the regular time result).</w:t>
      </w:r>
    </w:p>
    <w:p w14:paraId="2494C07B" w14:textId="77777777" w:rsidR="006C1AD2" w:rsidRPr="00A24D9B" w:rsidRDefault="006C1AD2" w:rsidP="00A24D9B">
      <w:pPr>
        <w:spacing w:before="240" w:after="0" w:line="360" w:lineRule="auto"/>
        <w:contextualSpacing/>
        <w:jc w:val="both"/>
        <w:rPr>
          <w:rFonts w:ascii="Garamond" w:eastAsia="Times New Roman" w:hAnsi="Garamond" w:cs="Times New Roman"/>
          <w:sz w:val="24"/>
        </w:rPr>
      </w:pPr>
    </w:p>
    <w:p w14:paraId="7C27E6A1" w14:textId="79A90406" w:rsidR="00461C26" w:rsidRDefault="00A24D9B" w:rsidP="00F23AC1">
      <w:pPr>
        <w:spacing w:before="240" w:after="0" w:line="360" w:lineRule="auto"/>
        <w:contextualSpacing/>
        <w:jc w:val="both"/>
        <w:rPr>
          <w:rFonts w:ascii="Garamond" w:eastAsia="Times New Roman" w:hAnsi="Garamond" w:cs="Times New Roman"/>
          <w:sz w:val="24"/>
        </w:rPr>
      </w:pPr>
      <w:r w:rsidRPr="00A24D9B">
        <w:rPr>
          <w:rFonts w:ascii="Garamond" w:eastAsia="Times New Roman" w:hAnsi="Garamond" w:cs="Times New Roman"/>
          <w:sz w:val="24"/>
        </w:rPr>
        <w:t xml:space="preserve">Since we are simply interested in studying a proxy for the national team’s </w:t>
      </w:r>
      <w:r w:rsidR="00EB45B0">
        <w:rPr>
          <w:rFonts w:ascii="Garamond" w:eastAsia="Times New Roman" w:hAnsi="Garamond" w:cs="Times New Roman"/>
          <w:sz w:val="24"/>
        </w:rPr>
        <w:t>two-</w:t>
      </w:r>
      <w:r w:rsidRPr="00A24D9B">
        <w:rPr>
          <w:rFonts w:ascii="Garamond" w:eastAsia="Times New Roman" w:hAnsi="Garamond" w:cs="Times New Roman"/>
          <w:sz w:val="24"/>
        </w:rPr>
        <w:t xml:space="preserve">performance in an international tournament, we modify the official ELO scoring system to account for four aspects. </w:t>
      </w:r>
      <w:r w:rsidRPr="008D5485">
        <w:rPr>
          <w:rFonts w:ascii="Garamond" w:eastAsia="Times New Roman" w:hAnsi="Garamond" w:cs="Times New Roman"/>
          <w:sz w:val="24"/>
        </w:rPr>
        <w:t xml:space="preserve">First, international competitions format changed </w:t>
      </w:r>
      <w:r w:rsidR="003503F1">
        <w:rPr>
          <w:rFonts w:ascii="Garamond" w:eastAsia="Times New Roman" w:hAnsi="Garamond" w:cs="Times New Roman"/>
          <w:sz w:val="24"/>
        </w:rPr>
        <w:t xml:space="preserve">slightly </w:t>
      </w:r>
      <w:r w:rsidRPr="008D5485">
        <w:rPr>
          <w:rFonts w:ascii="Garamond" w:eastAsia="Times New Roman" w:hAnsi="Garamond" w:cs="Times New Roman"/>
          <w:sz w:val="24"/>
        </w:rPr>
        <w:t>over time</w:t>
      </w:r>
      <w:r w:rsidR="008D5485" w:rsidRPr="000F761F">
        <w:rPr>
          <w:rFonts w:ascii="Garamond" w:eastAsia="Times New Roman" w:hAnsi="Garamond" w:cs="Times New Roman"/>
          <w:sz w:val="24"/>
        </w:rPr>
        <w:t>, with some</w:t>
      </w:r>
      <w:r w:rsidRPr="008D5485">
        <w:rPr>
          <w:rFonts w:ascii="Garamond" w:eastAsia="Times New Roman" w:hAnsi="Garamond" w:cs="Times New Roman"/>
          <w:sz w:val="24"/>
        </w:rPr>
        <w:t xml:space="preserve"> earlier competitions ha</w:t>
      </w:r>
      <w:r w:rsidR="008D5485" w:rsidRPr="000F761F">
        <w:rPr>
          <w:rFonts w:ascii="Garamond" w:eastAsia="Times New Roman" w:hAnsi="Garamond" w:cs="Times New Roman"/>
          <w:sz w:val="24"/>
        </w:rPr>
        <w:t>ving</w:t>
      </w:r>
      <w:r w:rsidRPr="008D5485">
        <w:rPr>
          <w:rFonts w:ascii="Garamond" w:eastAsia="Times New Roman" w:hAnsi="Garamond" w:cs="Times New Roman"/>
          <w:sz w:val="24"/>
        </w:rPr>
        <w:t xml:space="preserve"> </w:t>
      </w:r>
      <w:r w:rsidR="008D5485" w:rsidRPr="000F761F">
        <w:rPr>
          <w:rFonts w:ascii="Garamond" w:eastAsia="Times New Roman" w:hAnsi="Garamond" w:cs="Times New Roman"/>
          <w:sz w:val="24"/>
        </w:rPr>
        <w:t xml:space="preserve">a small </w:t>
      </w:r>
      <w:r w:rsidRPr="008D5485">
        <w:rPr>
          <w:rFonts w:ascii="Garamond" w:eastAsia="Times New Roman" w:hAnsi="Garamond" w:cs="Times New Roman"/>
          <w:sz w:val="24"/>
        </w:rPr>
        <w:t>group</w:t>
      </w:r>
      <w:r w:rsidR="008D5485" w:rsidRPr="000F761F">
        <w:rPr>
          <w:rFonts w:ascii="Garamond" w:eastAsia="Times New Roman" w:hAnsi="Garamond" w:cs="Times New Roman"/>
          <w:sz w:val="24"/>
        </w:rPr>
        <w:t xml:space="preserve"> stage</w:t>
      </w:r>
      <w:r w:rsidRPr="008D5485">
        <w:rPr>
          <w:rFonts w:ascii="Garamond" w:eastAsia="Times New Roman" w:hAnsi="Garamond" w:cs="Times New Roman"/>
          <w:sz w:val="24"/>
        </w:rPr>
        <w:t xml:space="preserve"> before the semi-finals</w:t>
      </w:r>
      <w:r w:rsidR="008D5485" w:rsidRPr="000F761F">
        <w:rPr>
          <w:rFonts w:ascii="Garamond" w:eastAsia="Times New Roman" w:hAnsi="Garamond" w:cs="Times New Roman"/>
          <w:sz w:val="24"/>
        </w:rPr>
        <w:t>, which factually corresponded to quarter-finals</w:t>
      </w:r>
      <w:r w:rsidRPr="008D5485">
        <w:rPr>
          <w:rFonts w:ascii="Garamond" w:eastAsia="Times New Roman" w:hAnsi="Garamond" w:cs="Times New Roman"/>
          <w:sz w:val="24"/>
        </w:rPr>
        <w:t>. T</w:t>
      </w:r>
      <w:r w:rsidR="008D5485" w:rsidRPr="000F761F">
        <w:rPr>
          <w:rFonts w:ascii="Garamond" w:eastAsia="Times New Roman" w:hAnsi="Garamond" w:cs="Times New Roman"/>
          <w:sz w:val="24"/>
        </w:rPr>
        <w:t>herefore, we assigned the importance coefficient equal to 60 to matches at that stage</w:t>
      </w:r>
      <w:r w:rsidR="003503F1">
        <w:rPr>
          <w:rFonts w:ascii="Garamond" w:eastAsia="Times New Roman" w:hAnsi="Garamond" w:cs="Times New Roman"/>
          <w:sz w:val="24"/>
        </w:rPr>
        <w:t xml:space="preserve"> as well</w:t>
      </w:r>
      <w:r w:rsidRPr="008D5485">
        <w:rPr>
          <w:rFonts w:ascii="Garamond" w:eastAsia="Times New Roman" w:hAnsi="Garamond" w:cs="Times New Roman"/>
          <w:sz w:val="24"/>
        </w:rPr>
        <w:t>. Second, we added 60 additional points to the team that wins the international cup, regardless of whether the match ends after the regular time, extra time or penalty shootouts; a final victory has to count more than a victory in the semifinals or earlier. Third, we added 1 point to all of the n</w:t>
      </w:r>
      <w:r w:rsidRPr="00A24D9B">
        <w:rPr>
          <w:rFonts w:ascii="Garamond" w:eastAsia="Times New Roman" w:hAnsi="Garamond" w:cs="Times New Roman"/>
          <w:sz w:val="24"/>
        </w:rPr>
        <w:t>ational teams that participate to the international cup (i.e.</w:t>
      </w:r>
      <w:r w:rsidR="002D25D7">
        <w:rPr>
          <w:rFonts w:ascii="Garamond" w:eastAsia="Times New Roman" w:hAnsi="Garamond" w:cs="Times New Roman"/>
          <w:sz w:val="24"/>
        </w:rPr>
        <w:t>,</w:t>
      </w:r>
      <w:r w:rsidRPr="00A24D9B">
        <w:rPr>
          <w:rFonts w:ascii="Garamond" w:eastAsia="Times New Roman" w:hAnsi="Garamond" w:cs="Times New Roman"/>
          <w:sz w:val="24"/>
        </w:rPr>
        <w:t xml:space="preserve"> a national team is assigned at least 1 point, even after </w:t>
      </w:r>
      <w:proofErr w:type="spellStart"/>
      <w:r w:rsidRPr="00A24D9B">
        <w:rPr>
          <w:rFonts w:ascii="Garamond" w:eastAsia="Times New Roman" w:hAnsi="Garamond" w:cs="Times New Roman"/>
          <w:sz w:val="24"/>
        </w:rPr>
        <w:t>loosing</w:t>
      </w:r>
      <w:proofErr w:type="spellEnd"/>
      <w:r w:rsidRPr="00A24D9B">
        <w:rPr>
          <w:rFonts w:ascii="Garamond" w:eastAsia="Times New Roman" w:hAnsi="Garamond" w:cs="Times New Roman"/>
          <w:sz w:val="24"/>
        </w:rPr>
        <w:t xml:space="preserve"> all of the matches in the international cup). A team that participates but </w:t>
      </w:r>
      <w:proofErr w:type="spellStart"/>
      <w:r w:rsidRPr="00A24D9B">
        <w:rPr>
          <w:rFonts w:ascii="Garamond" w:eastAsia="Times New Roman" w:hAnsi="Garamond" w:cs="Times New Roman"/>
          <w:sz w:val="24"/>
        </w:rPr>
        <w:t>looses</w:t>
      </w:r>
      <w:proofErr w:type="spellEnd"/>
      <w:r w:rsidRPr="00A24D9B">
        <w:rPr>
          <w:rFonts w:ascii="Garamond" w:eastAsia="Times New Roman" w:hAnsi="Garamond" w:cs="Times New Roman"/>
          <w:sz w:val="24"/>
        </w:rPr>
        <w:t xml:space="preserve"> all of the matches is still better off than a team that does not participate at all. Fourth, we are not considering ELO points assigned by the FIFA to national teams up until the tournament (i.e.</w:t>
      </w:r>
      <w:r w:rsidR="002D25D7">
        <w:rPr>
          <w:rFonts w:ascii="Garamond" w:eastAsia="Times New Roman" w:hAnsi="Garamond" w:cs="Times New Roman"/>
          <w:sz w:val="24"/>
        </w:rPr>
        <w:t>,</w:t>
      </w:r>
      <w:r w:rsidRPr="00A24D9B">
        <w:rPr>
          <w:rFonts w:ascii="Garamond" w:eastAsia="Times New Roman" w:hAnsi="Garamond" w:cs="Times New Roman"/>
          <w:sz w:val="24"/>
        </w:rPr>
        <w:t xml:space="preserve"> points cumulated during qualification</w:t>
      </w:r>
      <w:r w:rsidR="002D25D7">
        <w:rPr>
          <w:rFonts w:ascii="Garamond" w:eastAsia="Times New Roman" w:hAnsi="Garamond" w:cs="Times New Roman"/>
          <w:sz w:val="24"/>
        </w:rPr>
        <w:t xml:space="preserve"> matches</w:t>
      </w:r>
      <w:r w:rsidRPr="00A24D9B">
        <w:rPr>
          <w:rFonts w:ascii="Garamond" w:eastAsia="Times New Roman" w:hAnsi="Garamond" w:cs="Times New Roman"/>
          <w:sz w:val="24"/>
        </w:rPr>
        <w:t xml:space="preserve"> to the final stages of the competition); </w:t>
      </w:r>
      <w:r w:rsidR="002D25D7">
        <w:rPr>
          <w:rFonts w:ascii="Garamond" w:eastAsia="Times New Roman" w:hAnsi="Garamond" w:cs="Times New Roman"/>
          <w:sz w:val="24"/>
        </w:rPr>
        <w:t>related to that</w:t>
      </w:r>
      <w:r w:rsidRPr="00A24D9B">
        <w:rPr>
          <w:rFonts w:ascii="Garamond" w:eastAsia="Times New Roman" w:hAnsi="Garamond" w:cs="Times New Roman"/>
          <w:sz w:val="24"/>
        </w:rPr>
        <w:t>, we are not accounting for the opponent team strength.</w:t>
      </w:r>
    </w:p>
    <w:p w14:paraId="640C561C" w14:textId="77777777" w:rsidR="006C1AD2" w:rsidRDefault="006C1AD2" w:rsidP="00F23AC1">
      <w:pPr>
        <w:spacing w:before="240" w:after="0" w:line="360" w:lineRule="auto"/>
        <w:contextualSpacing/>
        <w:jc w:val="both"/>
        <w:rPr>
          <w:rFonts w:ascii="Garamond" w:eastAsia="Times New Roman" w:hAnsi="Garamond" w:cs="Times New Roman"/>
          <w:sz w:val="24"/>
        </w:rPr>
      </w:pPr>
    </w:p>
    <w:p w14:paraId="7FCA7C76" w14:textId="1D3B386D" w:rsidR="00461C26" w:rsidRDefault="00BE574B" w:rsidP="00376AC8">
      <w:pPr>
        <w:spacing w:before="240" w:after="0" w:line="360" w:lineRule="auto"/>
        <w:contextualSpacing/>
        <w:jc w:val="both"/>
        <w:rPr>
          <w:rFonts w:ascii="Garamond" w:eastAsia="Times New Roman" w:hAnsi="Garamond" w:cs="Times New Roman"/>
          <w:sz w:val="24"/>
        </w:rPr>
      </w:pPr>
      <w:r>
        <w:rPr>
          <w:rFonts w:ascii="Garamond" w:eastAsia="Times New Roman" w:hAnsi="Garamond" w:cs="Times New Roman"/>
          <w:sz w:val="24"/>
        </w:rPr>
        <w:lastRenderedPageBreak/>
        <w:t>We conduct additional robustness checks that exclude the victory bonus (i.e.</w:t>
      </w:r>
      <w:r w:rsidR="0016493A">
        <w:rPr>
          <w:rFonts w:ascii="Garamond" w:eastAsia="Times New Roman" w:hAnsi="Garamond" w:cs="Times New Roman"/>
          <w:sz w:val="24"/>
        </w:rPr>
        <w:t>,</w:t>
      </w:r>
      <w:r>
        <w:rPr>
          <w:rFonts w:ascii="Garamond" w:eastAsia="Times New Roman" w:hAnsi="Garamond" w:cs="Times New Roman"/>
          <w:sz w:val="24"/>
        </w:rPr>
        <w:t xml:space="preserve"> the second change in the ELO scoring system). The results are identical; it is not surprising, given that the amount of countries that are in the Eurostat database and win an international tournament is very small (i.e.</w:t>
      </w:r>
      <w:r w:rsidR="0016493A">
        <w:rPr>
          <w:rFonts w:ascii="Garamond" w:eastAsia="Times New Roman" w:hAnsi="Garamond" w:cs="Times New Roman"/>
          <w:sz w:val="24"/>
        </w:rPr>
        <w:t>,</w:t>
      </w:r>
      <w:r>
        <w:rPr>
          <w:rFonts w:ascii="Garamond" w:eastAsia="Times New Roman" w:hAnsi="Garamond" w:cs="Times New Roman"/>
          <w:sz w:val="24"/>
        </w:rPr>
        <w:t xml:space="preserve"> 17).</w:t>
      </w:r>
      <w:r w:rsidR="00461C26">
        <w:rPr>
          <w:rFonts w:ascii="Garamond" w:eastAsia="Times New Roman" w:hAnsi="Garamond" w:cs="Times New Roman"/>
          <w:sz w:val="24"/>
        </w:rPr>
        <w:br w:type="page"/>
      </w:r>
    </w:p>
    <w:p w14:paraId="5A25EEB3" w14:textId="134E10BD" w:rsidR="00461C26" w:rsidRDefault="00461C26" w:rsidP="00461C26">
      <w:pPr>
        <w:pStyle w:val="Titolo1"/>
      </w:pPr>
      <w:r>
        <w:lastRenderedPageBreak/>
        <w:t>Appendix B</w:t>
      </w:r>
      <w:r w:rsidRPr="00102AAF">
        <w:t xml:space="preserve">: </w:t>
      </w:r>
      <w:r>
        <w:t>Countries and Years</w:t>
      </w:r>
    </w:p>
    <w:p w14:paraId="34E4D4CA" w14:textId="77777777" w:rsidR="00376AC8" w:rsidRPr="00376AC8" w:rsidRDefault="00376AC8" w:rsidP="00376AC8"/>
    <w:tbl>
      <w:tblPr>
        <w:tblW w:w="5782" w:type="dxa"/>
        <w:tblInd w:w="93" w:type="dxa"/>
        <w:tblLook w:val="04A0" w:firstRow="1" w:lastRow="0" w:firstColumn="1" w:lastColumn="0" w:noHBand="0" w:noVBand="1"/>
      </w:tblPr>
      <w:tblGrid>
        <w:gridCol w:w="3742"/>
        <w:gridCol w:w="1020"/>
        <w:gridCol w:w="1020"/>
      </w:tblGrid>
      <w:tr w:rsidR="00376AC8" w:rsidRPr="000D32CD" w14:paraId="757EEA23" w14:textId="77777777" w:rsidTr="00A15EBA">
        <w:trPr>
          <w:trHeight w:val="300"/>
        </w:trPr>
        <w:tc>
          <w:tcPr>
            <w:tcW w:w="5782" w:type="dxa"/>
            <w:gridSpan w:val="3"/>
            <w:tcBorders>
              <w:top w:val="nil"/>
              <w:left w:val="nil"/>
              <w:bottom w:val="double" w:sz="4" w:space="0" w:color="auto"/>
              <w:right w:val="nil"/>
            </w:tcBorders>
            <w:shd w:val="clear" w:color="auto" w:fill="auto"/>
            <w:noWrap/>
            <w:vAlign w:val="bottom"/>
          </w:tcPr>
          <w:p w14:paraId="78266F0B" w14:textId="77777777" w:rsidR="00376AC8" w:rsidRPr="00B52EDF" w:rsidRDefault="00376AC8" w:rsidP="00A15EBA">
            <w:pPr>
              <w:spacing w:after="0" w:line="240" w:lineRule="auto"/>
              <w:rPr>
                <w:rFonts w:ascii="Garamond" w:eastAsia="Times New Roman" w:hAnsi="Garamond" w:cs="Calibri"/>
                <w:color w:val="000000"/>
              </w:rPr>
            </w:pPr>
            <w:r w:rsidRPr="00C26374">
              <w:rPr>
                <w:rFonts w:ascii="Garamond" w:eastAsia="Times New Roman" w:hAnsi="Garamond" w:cs="Times New Roman"/>
                <w:b/>
                <w:sz w:val="24"/>
                <w:szCs w:val="24"/>
              </w:rPr>
              <w:t>Table B.1</w:t>
            </w:r>
            <w:r>
              <w:rPr>
                <w:rFonts w:ascii="Garamond" w:eastAsia="Times New Roman" w:hAnsi="Garamond" w:cs="Times New Roman"/>
                <w:b/>
                <w:sz w:val="24"/>
                <w:szCs w:val="24"/>
              </w:rPr>
              <w:t xml:space="preserve"> </w:t>
            </w:r>
            <w:r>
              <w:rPr>
                <w:rFonts w:ascii="Garamond" w:eastAsia="Times New Roman" w:hAnsi="Garamond" w:cs="Times New Roman"/>
                <w:sz w:val="24"/>
                <w:szCs w:val="24"/>
              </w:rPr>
              <w:t>First and last year in the database, by country.</w:t>
            </w:r>
          </w:p>
        </w:tc>
      </w:tr>
      <w:tr w:rsidR="00376AC8" w:rsidRPr="000D32CD" w14:paraId="6BB73776" w14:textId="77777777" w:rsidTr="00A15EBA">
        <w:trPr>
          <w:trHeight w:val="300"/>
        </w:trPr>
        <w:tc>
          <w:tcPr>
            <w:tcW w:w="3742" w:type="dxa"/>
            <w:tcBorders>
              <w:top w:val="double" w:sz="4" w:space="0" w:color="auto"/>
              <w:left w:val="nil"/>
              <w:bottom w:val="single" w:sz="4" w:space="0" w:color="auto"/>
              <w:right w:val="nil"/>
            </w:tcBorders>
            <w:shd w:val="clear" w:color="auto" w:fill="auto"/>
            <w:noWrap/>
            <w:vAlign w:val="bottom"/>
          </w:tcPr>
          <w:p w14:paraId="20E92559" w14:textId="77777777" w:rsidR="00376AC8" w:rsidRPr="000D32C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Country</w:t>
            </w:r>
          </w:p>
        </w:tc>
        <w:tc>
          <w:tcPr>
            <w:tcW w:w="1020" w:type="dxa"/>
            <w:tcBorders>
              <w:top w:val="double" w:sz="4" w:space="0" w:color="auto"/>
              <w:left w:val="nil"/>
              <w:bottom w:val="single" w:sz="4" w:space="0" w:color="auto"/>
              <w:right w:val="nil"/>
            </w:tcBorders>
            <w:shd w:val="clear" w:color="auto" w:fill="auto"/>
            <w:noWrap/>
            <w:vAlign w:val="bottom"/>
          </w:tcPr>
          <w:p w14:paraId="2B4A78B6" w14:textId="77777777" w:rsidR="00376AC8" w:rsidRPr="000D32CD" w:rsidRDefault="00376AC8" w:rsidP="00A15EBA">
            <w:pPr>
              <w:spacing w:after="0" w:line="240" w:lineRule="auto"/>
              <w:jc w:val="right"/>
              <w:rPr>
                <w:rFonts w:ascii="Garamond" w:eastAsia="Times New Roman" w:hAnsi="Garamond" w:cs="Calibri"/>
                <w:color w:val="000000"/>
              </w:rPr>
            </w:pPr>
            <w:r>
              <w:rPr>
                <w:rFonts w:ascii="Garamond" w:eastAsia="Times New Roman" w:hAnsi="Garamond" w:cs="Calibri"/>
                <w:color w:val="000000"/>
              </w:rPr>
              <w:t>First year</w:t>
            </w:r>
          </w:p>
        </w:tc>
        <w:tc>
          <w:tcPr>
            <w:tcW w:w="1020" w:type="dxa"/>
            <w:tcBorders>
              <w:top w:val="double" w:sz="4" w:space="0" w:color="auto"/>
              <w:left w:val="nil"/>
              <w:bottom w:val="single" w:sz="4" w:space="0" w:color="auto"/>
              <w:right w:val="nil"/>
            </w:tcBorders>
            <w:shd w:val="clear" w:color="auto" w:fill="auto"/>
            <w:noWrap/>
            <w:vAlign w:val="bottom"/>
          </w:tcPr>
          <w:p w14:paraId="6305AC7E" w14:textId="77777777" w:rsidR="00376AC8" w:rsidRPr="000D32CD" w:rsidRDefault="00376AC8" w:rsidP="00A15EBA">
            <w:pPr>
              <w:spacing w:after="0" w:line="240" w:lineRule="auto"/>
              <w:jc w:val="right"/>
              <w:rPr>
                <w:rFonts w:ascii="Garamond" w:eastAsia="Times New Roman" w:hAnsi="Garamond" w:cs="Calibri"/>
                <w:color w:val="000000"/>
              </w:rPr>
            </w:pPr>
            <w:r>
              <w:rPr>
                <w:rFonts w:ascii="Garamond" w:eastAsia="Times New Roman" w:hAnsi="Garamond" w:cs="Calibri"/>
                <w:color w:val="000000"/>
              </w:rPr>
              <w:t>Last year</w:t>
            </w:r>
          </w:p>
        </w:tc>
      </w:tr>
      <w:tr w:rsidR="00376AC8" w:rsidRPr="000D32CD" w14:paraId="352A1202" w14:textId="77777777" w:rsidTr="00A15EBA">
        <w:trPr>
          <w:trHeight w:val="300"/>
        </w:trPr>
        <w:tc>
          <w:tcPr>
            <w:tcW w:w="3742" w:type="dxa"/>
            <w:tcBorders>
              <w:top w:val="single" w:sz="4" w:space="0" w:color="auto"/>
              <w:left w:val="nil"/>
              <w:bottom w:val="nil"/>
              <w:right w:val="nil"/>
            </w:tcBorders>
            <w:shd w:val="clear" w:color="auto" w:fill="auto"/>
            <w:noWrap/>
            <w:vAlign w:val="bottom"/>
            <w:hideMark/>
          </w:tcPr>
          <w:p w14:paraId="6ED793F7" w14:textId="77777777" w:rsidR="00376AC8" w:rsidRPr="00E97E91"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Al</w:t>
            </w:r>
            <w:r w:rsidRPr="00E97E91">
              <w:rPr>
                <w:rFonts w:ascii="Garamond" w:eastAsia="Times New Roman" w:hAnsi="Garamond" w:cs="Calibri"/>
                <w:color w:val="000000"/>
              </w:rPr>
              <w:t>bania</w:t>
            </w:r>
          </w:p>
        </w:tc>
        <w:tc>
          <w:tcPr>
            <w:tcW w:w="1020" w:type="dxa"/>
            <w:tcBorders>
              <w:top w:val="single" w:sz="4" w:space="0" w:color="auto"/>
              <w:left w:val="nil"/>
              <w:bottom w:val="nil"/>
              <w:right w:val="nil"/>
            </w:tcBorders>
            <w:shd w:val="clear" w:color="auto" w:fill="auto"/>
            <w:noWrap/>
            <w:vAlign w:val="bottom"/>
            <w:hideMark/>
          </w:tcPr>
          <w:p w14:paraId="5F544C5C" w14:textId="77777777" w:rsidR="00376AC8" w:rsidRPr="00E97E91" w:rsidRDefault="00376AC8" w:rsidP="00A15EBA">
            <w:pPr>
              <w:spacing w:after="0" w:line="240" w:lineRule="auto"/>
              <w:jc w:val="right"/>
              <w:rPr>
                <w:rFonts w:ascii="Garamond" w:eastAsia="Times New Roman" w:hAnsi="Garamond" w:cs="Calibri"/>
                <w:color w:val="000000"/>
              </w:rPr>
            </w:pPr>
            <w:r w:rsidRPr="00E97E91">
              <w:rPr>
                <w:rFonts w:ascii="Garamond" w:eastAsia="Times New Roman" w:hAnsi="Garamond" w:cs="Calibri"/>
                <w:color w:val="000000"/>
              </w:rPr>
              <w:t>1997</w:t>
            </w:r>
          </w:p>
        </w:tc>
        <w:tc>
          <w:tcPr>
            <w:tcW w:w="1020" w:type="dxa"/>
            <w:tcBorders>
              <w:top w:val="single" w:sz="4" w:space="0" w:color="auto"/>
              <w:left w:val="nil"/>
              <w:bottom w:val="nil"/>
              <w:right w:val="nil"/>
            </w:tcBorders>
            <w:shd w:val="clear" w:color="auto" w:fill="auto"/>
            <w:noWrap/>
            <w:vAlign w:val="bottom"/>
            <w:hideMark/>
          </w:tcPr>
          <w:p w14:paraId="40025956" w14:textId="77777777" w:rsidR="00376AC8" w:rsidRPr="00E97E91" w:rsidRDefault="00376AC8" w:rsidP="00A15EBA">
            <w:pPr>
              <w:spacing w:after="0" w:line="240" w:lineRule="auto"/>
              <w:jc w:val="right"/>
              <w:rPr>
                <w:rFonts w:ascii="Garamond" w:eastAsia="Times New Roman" w:hAnsi="Garamond" w:cs="Calibri"/>
                <w:color w:val="000000"/>
              </w:rPr>
            </w:pPr>
            <w:r w:rsidRPr="00E97E91">
              <w:rPr>
                <w:rFonts w:ascii="Garamond" w:eastAsia="Times New Roman" w:hAnsi="Garamond" w:cs="Calibri"/>
                <w:color w:val="000000"/>
              </w:rPr>
              <w:t>2016</w:t>
            </w:r>
          </w:p>
        </w:tc>
      </w:tr>
      <w:tr w:rsidR="00376AC8" w:rsidRPr="000D32CD" w14:paraId="3372AD79" w14:textId="77777777" w:rsidTr="00A15EBA">
        <w:trPr>
          <w:trHeight w:val="300"/>
        </w:trPr>
        <w:tc>
          <w:tcPr>
            <w:tcW w:w="3742" w:type="dxa"/>
            <w:tcBorders>
              <w:top w:val="nil"/>
              <w:left w:val="nil"/>
              <w:bottom w:val="nil"/>
              <w:right w:val="nil"/>
            </w:tcBorders>
            <w:shd w:val="clear" w:color="auto" w:fill="auto"/>
            <w:noWrap/>
            <w:vAlign w:val="bottom"/>
            <w:hideMark/>
          </w:tcPr>
          <w:p w14:paraId="2A01A16F"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A</w:t>
            </w:r>
            <w:r w:rsidRPr="00C26374">
              <w:rPr>
                <w:rFonts w:ascii="Garamond" w:eastAsia="Times New Roman" w:hAnsi="Garamond" w:cs="Calibri"/>
                <w:color w:val="000000"/>
              </w:rPr>
              <w:t>ndorra</w:t>
            </w:r>
          </w:p>
        </w:tc>
        <w:tc>
          <w:tcPr>
            <w:tcW w:w="1020" w:type="dxa"/>
            <w:tcBorders>
              <w:top w:val="nil"/>
              <w:left w:val="nil"/>
              <w:bottom w:val="nil"/>
              <w:right w:val="nil"/>
            </w:tcBorders>
            <w:shd w:val="clear" w:color="auto" w:fill="auto"/>
            <w:noWrap/>
            <w:vAlign w:val="bottom"/>
            <w:hideMark/>
          </w:tcPr>
          <w:p w14:paraId="1B9AD679"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1E22ADCF"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2012</w:t>
            </w:r>
          </w:p>
        </w:tc>
      </w:tr>
      <w:tr w:rsidR="00376AC8" w:rsidRPr="000D32CD" w14:paraId="18B1F5D6" w14:textId="77777777" w:rsidTr="00A15EBA">
        <w:trPr>
          <w:trHeight w:val="300"/>
        </w:trPr>
        <w:tc>
          <w:tcPr>
            <w:tcW w:w="3742" w:type="dxa"/>
            <w:tcBorders>
              <w:top w:val="nil"/>
              <w:left w:val="nil"/>
              <w:bottom w:val="nil"/>
              <w:right w:val="nil"/>
            </w:tcBorders>
            <w:shd w:val="clear" w:color="auto" w:fill="auto"/>
            <w:noWrap/>
            <w:vAlign w:val="bottom"/>
            <w:hideMark/>
          </w:tcPr>
          <w:p w14:paraId="5175DB8A"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A</w:t>
            </w:r>
            <w:r w:rsidRPr="00C26374">
              <w:rPr>
                <w:rFonts w:ascii="Garamond" w:eastAsia="Times New Roman" w:hAnsi="Garamond" w:cs="Calibri"/>
                <w:color w:val="000000"/>
              </w:rPr>
              <w:t>rmenia</w:t>
            </w:r>
          </w:p>
        </w:tc>
        <w:tc>
          <w:tcPr>
            <w:tcW w:w="1020" w:type="dxa"/>
            <w:tcBorders>
              <w:top w:val="nil"/>
              <w:left w:val="nil"/>
              <w:bottom w:val="nil"/>
              <w:right w:val="nil"/>
            </w:tcBorders>
            <w:shd w:val="clear" w:color="auto" w:fill="auto"/>
            <w:noWrap/>
            <w:vAlign w:val="bottom"/>
            <w:hideMark/>
          </w:tcPr>
          <w:p w14:paraId="31741C25"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4E687734"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5AC86138" w14:textId="77777777" w:rsidTr="00A15EBA">
        <w:trPr>
          <w:trHeight w:val="300"/>
        </w:trPr>
        <w:tc>
          <w:tcPr>
            <w:tcW w:w="3742" w:type="dxa"/>
            <w:tcBorders>
              <w:top w:val="nil"/>
              <w:left w:val="nil"/>
              <w:bottom w:val="nil"/>
              <w:right w:val="nil"/>
            </w:tcBorders>
            <w:shd w:val="clear" w:color="auto" w:fill="auto"/>
            <w:noWrap/>
            <w:vAlign w:val="bottom"/>
            <w:hideMark/>
          </w:tcPr>
          <w:p w14:paraId="7E30D473"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A</w:t>
            </w:r>
            <w:r w:rsidRPr="0079079D">
              <w:rPr>
                <w:rFonts w:ascii="Garamond" w:eastAsia="Times New Roman" w:hAnsi="Garamond" w:cs="Calibri"/>
                <w:color w:val="000000"/>
              </w:rPr>
              <w:t>ustria</w:t>
            </w:r>
          </w:p>
        </w:tc>
        <w:tc>
          <w:tcPr>
            <w:tcW w:w="1020" w:type="dxa"/>
            <w:tcBorders>
              <w:top w:val="nil"/>
              <w:left w:val="nil"/>
              <w:bottom w:val="nil"/>
              <w:right w:val="nil"/>
            </w:tcBorders>
            <w:shd w:val="clear" w:color="auto" w:fill="auto"/>
            <w:noWrap/>
            <w:vAlign w:val="bottom"/>
            <w:hideMark/>
          </w:tcPr>
          <w:p w14:paraId="32534B72"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40821E12"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2016</w:t>
            </w:r>
          </w:p>
        </w:tc>
      </w:tr>
      <w:tr w:rsidR="00376AC8" w:rsidRPr="000D32CD" w14:paraId="0ABE0F65" w14:textId="77777777" w:rsidTr="00A15EBA">
        <w:trPr>
          <w:trHeight w:val="300"/>
        </w:trPr>
        <w:tc>
          <w:tcPr>
            <w:tcW w:w="3742" w:type="dxa"/>
            <w:tcBorders>
              <w:top w:val="nil"/>
              <w:left w:val="nil"/>
              <w:bottom w:val="nil"/>
              <w:right w:val="nil"/>
            </w:tcBorders>
            <w:shd w:val="clear" w:color="auto" w:fill="auto"/>
            <w:noWrap/>
            <w:vAlign w:val="bottom"/>
            <w:hideMark/>
          </w:tcPr>
          <w:p w14:paraId="54468286"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A</w:t>
            </w:r>
            <w:r w:rsidRPr="00C26374">
              <w:rPr>
                <w:rFonts w:ascii="Garamond" w:eastAsia="Times New Roman" w:hAnsi="Garamond" w:cs="Calibri"/>
                <w:color w:val="000000"/>
              </w:rPr>
              <w:t>zerbaija</w:t>
            </w:r>
            <w:r>
              <w:rPr>
                <w:rFonts w:ascii="Garamond" w:eastAsia="Times New Roman" w:hAnsi="Garamond" w:cs="Calibri"/>
                <w:color w:val="000000"/>
              </w:rPr>
              <w:t>n</w:t>
            </w:r>
          </w:p>
        </w:tc>
        <w:tc>
          <w:tcPr>
            <w:tcW w:w="1020" w:type="dxa"/>
            <w:tcBorders>
              <w:top w:val="nil"/>
              <w:left w:val="nil"/>
              <w:bottom w:val="nil"/>
              <w:right w:val="nil"/>
            </w:tcBorders>
            <w:shd w:val="clear" w:color="auto" w:fill="auto"/>
            <w:noWrap/>
            <w:vAlign w:val="bottom"/>
            <w:hideMark/>
          </w:tcPr>
          <w:p w14:paraId="300A3F13"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14228110"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5E3BFBB9" w14:textId="77777777" w:rsidTr="00A15EBA">
        <w:trPr>
          <w:trHeight w:val="300"/>
        </w:trPr>
        <w:tc>
          <w:tcPr>
            <w:tcW w:w="3742" w:type="dxa"/>
            <w:tcBorders>
              <w:top w:val="nil"/>
              <w:left w:val="nil"/>
              <w:bottom w:val="nil"/>
              <w:right w:val="nil"/>
            </w:tcBorders>
            <w:shd w:val="clear" w:color="auto" w:fill="auto"/>
            <w:noWrap/>
            <w:vAlign w:val="bottom"/>
            <w:hideMark/>
          </w:tcPr>
          <w:p w14:paraId="38613B3B" w14:textId="77777777" w:rsidR="00376AC8" w:rsidRPr="00E97E91"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B</w:t>
            </w:r>
            <w:r w:rsidRPr="00E97E91">
              <w:rPr>
                <w:rFonts w:ascii="Garamond" w:eastAsia="Times New Roman" w:hAnsi="Garamond" w:cs="Calibri"/>
                <w:color w:val="000000"/>
              </w:rPr>
              <w:t>elarus</w:t>
            </w:r>
          </w:p>
        </w:tc>
        <w:tc>
          <w:tcPr>
            <w:tcW w:w="1020" w:type="dxa"/>
            <w:tcBorders>
              <w:top w:val="nil"/>
              <w:left w:val="nil"/>
              <w:bottom w:val="nil"/>
              <w:right w:val="nil"/>
            </w:tcBorders>
            <w:shd w:val="clear" w:color="auto" w:fill="auto"/>
            <w:noWrap/>
            <w:vAlign w:val="bottom"/>
            <w:hideMark/>
          </w:tcPr>
          <w:p w14:paraId="052A205A" w14:textId="77777777" w:rsidR="00376AC8" w:rsidRPr="00E97E91" w:rsidRDefault="00376AC8" w:rsidP="00A15EBA">
            <w:pPr>
              <w:spacing w:after="0" w:line="240" w:lineRule="auto"/>
              <w:jc w:val="right"/>
              <w:rPr>
                <w:rFonts w:ascii="Garamond" w:eastAsia="Times New Roman" w:hAnsi="Garamond" w:cs="Calibri"/>
                <w:color w:val="000000"/>
              </w:rPr>
            </w:pPr>
            <w:r w:rsidRPr="00E97E91">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3C27CEF9" w14:textId="77777777" w:rsidR="00376AC8" w:rsidRPr="00E97E91" w:rsidRDefault="00376AC8" w:rsidP="00A15EBA">
            <w:pPr>
              <w:spacing w:after="0" w:line="240" w:lineRule="auto"/>
              <w:jc w:val="right"/>
              <w:rPr>
                <w:rFonts w:ascii="Garamond" w:eastAsia="Times New Roman" w:hAnsi="Garamond" w:cs="Calibri"/>
                <w:color w:val="000000"/>
              </w:rPr>
            </w:pPr>
            <w:r w:rsidRPr="00E97E91">
              <w:rPr>
                <w:rFonts w:ascii="Garamond" w:eastAsia="Times New Roman" w:hAnsi="Garamond" w:cs="Calibri"/>
                <w:color w:val="000000"/>
              </w:rPr>
              <w:t>2015</w:t>
            </w:r>
          </w:p>
        </w:tc>
      </w:tr>
      <w:tr w:rsidR="00376AC8" w:rsidRPr="000D32CD" w14:paraId="6E9BCF3C" w14:textId="77777777" w:rsidTr="00A15EBA">
        <w:trPr>
          <w:trHeight w:val="300"/>
        </w:trPr>
        <w:tc>
          <w:tcPr>
            <w:tcW w:w="3742" w:type="dxa"/>
            <w:tcBorders>
              <w:top w:val="nil"/>
              <w:left w:val="nil"/>
              <w:bottom w:val="nil"/>
              <w:right w:val="nil"/>
            </w:tcBorders>
            <w:shd w:val="clear" w:color="auto" w:fill="auto"/>
            <w:noWrap/>
            <w:vAlign w:val="bottom"/>
            <w:hideMark/>
          </w:tcPr>
          <w:p w14:paraId="3E34DD2C"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B</w:t>
            </w:r>
            <w:r w:rsidRPr="0079079D">
              <w:rPr>
                <w:rFonts w:ascii="Garamond" w:eastAsia="Times New Roman" w:hAnsi="Garamond" w:cs="Calibri"/>
                <w:color w:val="000000"/>
              </w:rPr>
              <w:t>elgium</w:t>
            </w:r>
          </w:p>
        </w:tc>
        <w:tc>
          <w:tcPr>
            <w:tcW w:w="1020" w:type="dxa"/>
            <w:tcBorders>
              <w:top w:val="nil"/>
              <w:left w:val="nil"/>
              <w:bottom w:val="nil"/>
              <w:right w:val="nil"/>
            </w:tcBorders>
            <w:shd w:val="clear" w:color="auto" w:fill="auto"/>
            <w:noWrap/>
            <w:vAlign w:val="bottom"/>
            <w:hideMark/>
          </w:tcPr>
          <w:p w14:paraId="0D15A938"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130980B8"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2016</w:t>
            </w:r>
          </w:p>
        </w:tc>
      </w:tr>
      <w:tr w:rsidR="00376AC8" w:rsidRPr="000D32CD" w14:paraId="4096BC72" w14:textId="77777777" w:rsidTr="00A15EBA">
        <w:trPr>
          <w:trHeight w:val="300"/>
        </w:trPr>
        <w:tc>
          <w:tcPr>
            <w:tcW w:w="3742" w:type="dxa"/>
            <w:tcBorders>
              <w:top w:val="nil"/>
              <w:left w:val="nil"/>
              <w:bottom w:val="nil"/>
              <w:right w:val="nil"/>
            </w:tcBorders>
            <w:shd w:val="clear" w:color="auto" w:fill="auto"/>
            <w:noWrap/>
            <w:vAlign w:val="bottom"/>
            <w:hideMark/>
          </w:tcPr>
          <w:p w14:paraId="6A6A1A12"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B</w:t>
            </w:r>
            <w:r w:rsidRPr="0079079D">
              <w:rPr>
                <w:rFonts w:ascii="Garamond" w:eastAsia="Times New Roman" w:hAnsi="Garamond" w:cs="Calibri"/>
                <w:color w:val="000000"/>
              </w:rPr>
              <w:t xml:space="preserve">osnia </w:t>
            </w:r>
            <w:r>
              <w:rPr>
                <w:rFonts w:ascii="Garamond" w:eastAsia="Times New Roman" w:hAnsi="Garamond" w:cs="Calibri"/>
                <w:color w:val="000000"/>
              </w:rPr>
              <w:t>and H</w:t>
            </w:r>
            <w:r w:rsidRPr="000D32CD">
              <w:rPr>
                <w:rFonts w:ascii="Garamond" w:eastAsia="Times New Roman" w:hAnsi="Garamond" w:cs="Calibri"/>
                <w:color w:val="000000"/>
              </w:rPr>
              <w:t>erzegovina</w:t>
            </w:r>
          </w:p>
        </w:tc>
        <w:tc>
          <w:tcPr>
            <w:tcW w:w="1020" w:type="dxa"/>
            <w:tcBorders>
              <w:top w:val="nil"/>
              <w:left w:val="nil"/>
              <w:bottom w:val="nil"/>
              <w:right w:val="nil"/>
            </w:tcBorders>
            <w:shd w:val="clear" w:color="auto" w:fill="auto"/>
            <w:noWrap/>
            <w:vAlign w:val="bottom"/>
            <w:hideMark/>
          </w:tcPr>
          <w:p w14:paraId="03770653"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2003</w:t>
            </w:r>
          </w:p>
        </w:tc>
        <w:tc>
          <w:tcPr>
            <w:tcW w:w="1020" w:type="dxa"/>
            <w:tcBorders>
              <w:top w:val="nil"/>
              <w:left w:val="nil"/>
              <w:bottom w:val="nil"/>
              <w:right w:val="nil"/>
            </w:tcBorders>
            <w:shd w:val="clear" w:color="auto" w:fill="auto"/>
            <w:noWrap/>
            <w:vAlign w:val="bottom"/>
            <w:hideMark/>
          </w:tcPr>
          <w:p w14:paraId="083A5335"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2012</w:t>
            </w:r>
          </w:p>
        </w:tc>
      </w:tr>
      <w:tr w:rsidR="00376AC8" w:rsidRPr="000D32CD" w14:paraId="1C201FF7" w14:textId="77777777" w:rsidTr="00A15EBA">
        <w:trPr>
          <w:trHeight w:val="300"/>
        </w:trPr>
        <w:tc>
          <w:tcPr>
            <w:tcW w:w="3742" w:type="dxa"/>
            <w:tcBorders>
              <w:top w:val="nil"/>
              <w:left w:val="nil"/>
              <w:bottom w:val="nil"/>
              <w:right w:val="nil"/>
            </w:tcBorders>
            <w:shd w:val="clear" w:color="auto" w:fill="auto"/>
            <w:noWrap/>
            <w:vAlign w:val="bottom"/>
            <w:hideMark/>
          </w:tcPr>
          <w:p w14:paraId="71C830FC"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B</w:t>
            </w:r>
            <w:r w:rsidRPr="0079079D">
              <w:rPr>
                <w:rFonts w:ascii="Garamond" w:eastAsia="Times New Roman" w:hAnsi="Garamond" w:cs="Calibri"/>
                <w:color w:val="000000"/>
              </w:rPr>
              <w:t>ulgaria</w:t>
            </w:r>
          </w:p>
        </w:tc>
        <w:tc>
          <w:tcPr>
            <w:tcW w:w="1020" w:type="dxa"/>
            <w:tcBorders>
              <w:top w:val="nil"/>
              <w:left w:val="nil"/>
              <w:bottom w:val="nil"/>
              <w:right w:val="nil"/>
            </w:tcBorders>
            <w:shd w:val="clear" w:color="auto" w:fill="auto"/>
            <w:noWrap/>
            <w:vAlign w:val="bottom"/>
            <w:hideMark/>
          </w:tcPr>
          <w:p w14:paraId="280C3001"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1994</w:t>
            </w:r>
          </w:p>
        </w:tc>
        <w:tc>
          <w:tcPr>
            <w:tcW w:w="1020" w:type="dxa"/>
            <w:tcBorders>
              <w:top w:val="nil"/>
              <w:left w:val="nil"/>
              <w:bottom w:val="nil"/>
              <w:right w:val="nil"/>
            </w:tcBorders>
            <w:shd w:val="clear" w:color="auto" w:fill="auto"/>
            <w:noWrap/>
            <w:vAlign w:val="bottom"/>
            <w:hideMark/>
          </w:tcPr>
          <w:p w14:paraId="769A64F6"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2016</w:t>
            </w:r>
          </w:p>
        </w:tc>
      </w:tr>
      <w:tr w:rsidR="00376AC8" w:rsidRPr="000D32CD" w14:paraId="2028D12E" w14:textId="77777777" w:rsidTr="00A15EBA">
        <w:trPr>
          <w:trHeight w:val="300"/>
        </w:trPr>
        <w:tc>
          <w:tcPr>
            <w:tcW w:w="3742" w:type="dxa"/>
            <w:tcBorders>
              <w:top w:val="nil"/>
              <w:left w:val="nil"/>
              <w:bottom w:val="nil"/>
              <w:right w:val="nil"/>
            </w:tcBorders>
            <w:shd w:val="clear" w:color="auto" w:fill="auto"/>
            <w:noWrap/>
            <w:vAlign w:val="bottom"/>
            <w:hideMark/>
          </w:tcPr>
          <w:p w14:paraId="1776FE1B"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C</w:t>
            </w:r>
            <w:r w:rsidRPr="0079079D">
              <w:rPr>
                <w:rFonts w:ascii="Garamond" w:eastAsia="Times New Roman" w:hAnsi="Garamond" w:cs="Calibri"/>
                <w:color w:val="000000"/>
              </w:rPr>
              <w:t>roatia</w:t>
            </w:r>
          </w:p>
        </w:tc>
        <w:tc>
          <w:tcPr>
            <w:tcW w:w="1020" w:type="dxa"/>
            <w:tcBorders>
              <w:top w:val="nil"/>
              <w:left w:val="nil"/>
              <w:bottom w:val="nil"/>
              <w:right w:val="nil"/>
            </w:tcBorders>
            <w:shd w:val="clear" w:color="auto" w:fill="auto"/>
            <w:noWrap/>
            <w:vAlign w:val="bottom"/>
            <w:hideMark/>
          </w:tcPr>
          <w:p w14:paraId="4AFF0E33"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1994</w:t>
            </w:r>
          </w:p>
        </w:tc>
        <w:tc>
          <w:tcPr>
            <w:tcW w:w="1020" w:type="dxa"/>
            <w:tcBorders>
              <w:top w:val="nil"/>
              <w:left w:val="nil"/>
              <w:bottom w:val="nil"/>
              <w:right w:val="nil"/>
            </w:tcBorders>
            <w:shd w:val="clear" w:color="auto" w:fill="auto"/>
            <w:noWrap/>
            <w:vAlign w:val="bottom"/>
            <w:hideMark/>
          </w:tcPr>
          <w:p w14:paraId="35D0A3CD"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2016</w:t>
            </w:r>
          </w:p>
        </w:tc>
      </w:tr>
      <w:tr w:rsidR="00376AC8" w:rsidRPr="000D32CD" w14:paraId="54982EC1" w14:textId="77777777" w:rsidTr="00A15EBA">
        <w:trPr>
          <w:trHeight w:val="300"/>
        </w:trPr>
        <w:tc>
          <w:tcPr>
            <w:tcW w:w="3742" w:type="dxa"/>
            <w:tcBorders>
              <w:top w:val="nil"/>
              <w:left w:val="nil"/>
              <w:bottom w:val="nil"/>
              <w:right w:val="nil"/>
            </w:tcBorders>
            <w:shd w:val="clear" w:color="auto" w:fill="auto"/>
            <w:noWrap/>
            <w:vAlign w:val="bottom"/>
            <w:hideMark/>
          </w:tcPr>
          <w:p w14:paraId="58EDA627"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C</w:t>
            </w:r>
            <w:r w:rsidRPr="0079079D">
              <w:rPr>
                <w:rFonts w:ascii="Garamond" w:eastAsia="Times New Roman" w:hAnsi="Garamond" w:cs="Calibri"/>
                <w:color w:val="000000"/>
              </w:rPr>
              <w:t>yprus</w:t>
            </w:r>
          </w:p>
        </w:tc>
        <w:tc>
          <w:tcPr>
            <w:tcW w:w="1020" w:type="dxa"/>
            <w:tcBorders>
              <w:top w:val="nil"/>
              <w:left w:val="nil"/>
              <w:bottom w:val="nil"/>
              <w:right w:val="nil"/>
            </w:tcBorders>
            <w:shd w:val="clear" w:color="auto" w:fill="auto"/>
            <w:noWrap/>
            <w:vAlign w:val="bottom"/>
            <w:hideMark/>
          </w:tcPr>
          <w:p w14:paraId="300C1B35"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1994</w:t>
            </w:r>
          </w:p>
        </w:tc>
        <w:tc>
          <w:tcPr>
            <w:tcW w:w="1020" w:type="dxa"/>
            <w:tcBorders>
              <w:top w:val="nil"/>
              <w:left w:val="nil"/>
              <w:bottom w:val="nil"/>
              <w:right w:val="nil"/>
            </w:tcBorders>
            <w:shd w:val="clear" w:color="auto" w:fill="auto"/>
            <w:noWrap/>
            <w:vAlign w:val="bottom"/>
            <w:hideMark/>
          </w:tcPr>
          <w:p w14:paraId="5B7C8F74"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2016</w:t>
            </w:r>
          </w:p>
        </w:tc>
      </w:tr>
      <w:tr w:rsidR="00376AC8" w:rsidRPr="000D32CD" w14:paraId="3C7CE040" w14:textId="77777777" w:rsidTr="00A15EBA">
        <w:trPr>
          <w:trHeight w:val="300"/>
        </w:trPr>
        <w:tc>
          <w:tcPr>
            <w:tcW w:w="3742" w:type="dxa"/>
            <w:tcBorders>
              <w:top w:val="nil"/>
              <w:left w:val="nil"/>
              <w:bottom w:val="nil"/>
              <w:right w:val="nil"/>
            </w:tcBorders>
            <w:shd w:val="clear" w:color="auto" w:fill="auto"/>
            <w:noWrap/>
            <w:vAlign w:val="bottom"/>
            <w:hideMark/>
          </w:tcPr>
          <w:p w14:paraId="6D46853E" w14:textId="77777777" w:rsidR="00376AC8" w:rsidRPr="00E97E91"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C</w:t>
            </w:r>
            <w:r w:rsidRPr="0079079D">
              <w:rPr>
                <w:rFonts w:ascii="Garamond" w:eastAsia="Times New Roman" w:hAnsi="Garamond" w:cs="Calibri"/>
                <w:color w:val="000000"/>
              </w:rPr>
              <w:t xml:space="preserve">zech </w:t>
            </w:r>
            <w:r>
              <w:rPr>
                <w:rFonts w:ascii="Garamond" w:eastAsia="Times New Roman" w:hAnsi="Garamond" w:cs="Calibri"/>
                <w:color w:val="000000"/>
              </w:rPr>
              <w:t>R</w:t>
            </w:r>
            <w:r w:rsidRPr="0079079D">
              <w:rPr>
                <w:rFonts w:ascii="Garamond" w:eastAsia="Times New Roman" w:hAnsi="Garamond" w:cs="Calibri"/>
                <w:color w:val="000000"/>
              </w:rPr>
              <w:t>ep</w:t>
            </w:r>
            <w:r>
              <w:rPr>
                <w:rFonts w:ascii="Garamond" w:eastAsia="Times New Roman" w:hAnsi="Garamond" w:cs="Calibri"/>
                <w:color w:val="000000"/>
              </w:rPr>
              <w:t>ublic</w:t>
            </w:r>
          </w:p>
        </w:tc>
        <w:tc>
          <w:tcPr>
            <w:tcW w:w="1020" w:type="dxa"/>
            <w:tcBorders>
              <w:top w:val="nil"/>
              <w:left w:val="nil"/>
              <w:bottom w:val="nil"/>
              <w:right w:val="nil"/>
            </w:tcBorders>
            <w:shd w:val="clear" w:color="auto" w:fill="auto"/>
            <w:noWrap/>
            <w:vAlign w:val="bottom"/>
            <w:hideMark/>
          </w:tcPr>
          <w:p w14:paraId="45728147" w14:textId="77777777" w:rsidR="00376AC8" w:rsidRPr="00E97E91" w:rsidRDefault="00376AC8" w:rsidP="00A15EBA">
            <w:pPr>
              <w:spacing w:after="0" w:line="240" w:lineRule="auto"/>
              <w:jc w:val="right"/>
              <w:rPr>
                <w:rFonts w:ascii="Garamond" w:eastAsia="Times New Roman" w:hAnsi="Garamond" w:cs="Calibri"/>
                <w:color w:val="000000"/>
              </w:rPr>
            </w:pPr>
            <w:r w:rsidRPr="00E97E91">
              <w:rPr>
                <w:rFonts w:ascii="Garamond" w:eastAsia="Times New Roman" w:hAnsi="Garamond" w:cs="Calibri"/>
                <w:color w:val="000000"/>
              </w:rPr>
              <w:t>1990</w:t>
            </w:r>
          </w:p>
        </w:tc>
        <w:tc>
          <w:tcPr>
            <w:tcW w:w="1020" w:type="dxa"/>
            <w:tcBorders>
              <w:top w:val="nil"/>
              <w:left w:val="nil"/>
              <w:bottom w:val="nil"/>
              <w:right w:val="nil"/>
            </w:tcBorders>
            <w:shd w:val="clear" w:color="auto" w:fill="auto"/>
            <w:noWrap/>
            <w:vAlign w:val="bottom"/>
            <w:hideMark/>
          </w:tcPr>
          <w:p w14:paraId="54D64E0B" w14:textId="77777777" w:rsidR="00376AC8" w:rsidRPr="00E97E91" w:rsidRDefault="00376AC8" w:rsidP="00A15EBA">
            <w:pPr>
              <w:spacing w:after="0" w:line="240" w:lineRule="auto"/>
              <w:jc w:val="right"/>
              <w:rPr>
                <w:rFonts w:ascii="Garamond" w:eastAsia="Times New Roman" w:hAnsi="Garamond" w:cs="Calibri"/>
                <w:color w:val="000000"/>
              </w:rPr>
            </w:pPr>
            <w:r w:rsidRPr="00E97E91">
              <w:rPr>
                <w:rFonts w:ascii="Garamond" w:eastAsia="Times New Roman" w:hAnsi="Garamond" w:cs="Calibri"/>
                <w:color w:val="000000"/>
              </w:rPr>
              <w:t>2016</w:t>
            </w:r>
          </w:p>
        </w:tc>
      </w:tr>
      <w:tr w:rsidR="00376AC8" w:rsidRPr="000D32CD" w14:paraId="0B5CECB4" w14:textId="77777777" w:rsidTr="00A15EBA">
        <w:trPr>
          <w:trHeight w:val="300"/>
        </w:trPr>
        <w:tc>
          <w:tcPr>
            <w:tcW w:w="3742" w:type="dxa"/>
            <w:tcBorders>
              <w:top w:val="nil"/>
              <w:left w:val="nil"/>
              <w:bottom w:val="nil"/>
              <w:right w:val="nil"/>
            </w:tcBorders>
            <w:shd w:val="clear" w:color="auto" w:fill="auto"/>
            <w:noWrap/>
            <w:vAlign w:val="bottom"/>
            <w:hideMark/>
          </w:tcPr>
          <w:p w14:paraId="1DB3D271"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D</w:t>
            </w:r>
            <w:r w:rsidRPr="00C26374">
              <w:rPr>
                <w:rFonts w:ascii="Garamond" w:eastAsia="Times New Roman" w:hAnsi="Garamond" w:cs="Calibri"/>
                <w:color w:val="000000"/>
              </w:rPr>
              <w:t>enmark</w:t>
            </w:r>
          </w:p>
        </w:tc>
        <w:tc>
          <w:tcPr>
            <w:tcW w:w="1020" w:type="dxa"/>
            <w:tcBorders>
              <w:top w:val="nil"/>
              <w:left w:val="nil"/>
              <w:bottom w:val="nil"/>
              <w:right w:val="nil"/>
            </w:tcBorders>
            <w:shd w:val="clear" w:color="auto" w:fill="auto"/>
            <w:noWrap/>
            <w:vAlign w:val="bottom"/>
            <w:hideMark/>
          </w:tcPr>
          <w:p w14:paraId="169CEEB4"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1D7E24F7"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48D095FC" w14:textId="77777777" w:rsidTr="00A15EBA">
        <w:trPr>
          <w:trHeight w:val="300"/>
        </w:trPr>
        <w:tc>
          <w:tcPr>
            <w:tcW w:w="3742" w:type="dxa"/>
            <w:tcBorders>
              <w:top w:val="nil"/>
              <w:left w:val="nil"/>
              <w:bottom w:val="nil"/>
              <w:right w:val="nil"/>
            </w:tcBorders>
            <w:shd w:val="clear" w:color="auto" w:fill="auto"/>
            <w:noWrap/>
            <w:vAlign w:val="bottom"/>
            <w:hideMark/>
          </w:tcPr>
          <w:p w14:paraId="06F1681F"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E</w:t>
            </w:r>
            <w:r w:rsidRPr="0079079D">
              <w:rPr>
                <w:rFonts w:ascii="Garamond" w:eastAsia="Times New Roman" w:hAnsi="Garamond" w:cs="Calibri"/>
                <w:color w:val="000000"/>
              </w:rPr>
              <w:t>stonia</w:t>
            </w:r>
          </w:p>
        </w:tc>
        <w:tc>
          <w:tcPr>
            <w:tcW w:w="1020" w:type="dxa"/>
            <w:tcBorders>
              <w:top w:val="nil"/>
              <w:left w:val="nil"/>
              <w:bottom w:val="nil"/>
              <w:right w:val="nil"/>
            </w:tcBorders>
            <w:shd w:val="clear" w:color="auto" w:fill="auto"/>
            <w:noWrap/>
            <w:vAlign w:val="bottom"/>
            <w:hideMark/>
          </w:tcPr>
          <w:p w14:paraId="76341F9C"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48ADA646"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2016</w:t>
            </w:r>
          </w:p>
        </w:tc>
      </w:tr>
      <w:tr w:rsidR="00376AC8" w:rsidRPr="000D32CD" w14:paraId="001E5FC2" w14:textId="77777777" w:rsidTr="00A15EBA">
        <w:trPr>
          <w:trHeight w:val="300"/>
        </w:trPr>
        <w:tc>
          <w:tcPr>
            <w:tcW w:w="3742" w:type="dxa"/>
            <w:tcBorders>
              <w:top w:val="nil"/>
              <w:left w:val="nil"/>
              <w:bottom w:val="nil"/>
              <w:right w:val="nil"/>
            </w:tcBorders>
            <w:shd w:val="clear" w:color="auto" w:fill="auto"/>
            <w:noWrap/>
            <w:vAlign w:val="bottom"/>
            <w:hideMark/>
          </w:tcPr>
          <w:p w14:paraId="0516B420"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F</w:t>
            </w:r>
            <w:r w:rsidRPr="0079079D">
              <w:rPr>
                <w:rFonts w:ascii="Garamond" w:eastAsia="Times New Roman" w:hAnsi="Garamond" w:cs="Calibri"/>
                <w:color w:val="000000"/>
              </w:rPr>
              <w:t>inland</w:t>
            </w:r>
          </w:p>
        </w:tc>
        <w:tc>
          <w:tcPr>
            <w:tcW w:w="1020" w:type="dxa"/>
            <w:tcBorders>
              <w:top w:val="nil"/>
              <w:left w:val="nil"/>
              <w:bottom w:val="nil"/>
              <w:right w:val="nil"/>
            </w:tcBorders>
            <w:shd w:val="clear" w:color="auto" w:fill="auto"/>
            <w:noWrap/>
            <w:vAlign w:val="bottom"/>
            <w:hideMark/>
          </w:tcPr>
          <w:p w14:paraId="5308DF5A"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166D7496"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2016</w:t>
            </w:r>
          </w:p>
        </w:tc>
      </w:tr>
      <w:tr w:rsidR="00376AC8" w:rsidRPr="000D32CD" w14:paraId="2CD2B53C" w14:textId="77777777" w:rsidTr="00A15EBA">
        <w:trPr>
          <w:trHeight w:val="300"/>
        </w:trPr>
        <w:tc>
          <w:tcPr>
            <w:tcW w:w="3742" w:type="dxa"/>
            <w:tcBorders>
              <w:top w:val="nil"/>
              <w:left w:val="nil"/>
              <w:bottom w:val="nil"/>
              <w:right w:val="nil"/>
            </w:tcBorders>
            <w:shd w:val="clear" w:color="auto" w:fill="auto"/>
            <w:noWrap/>
            <w:vAlign w:val="bottom"/>
            <w:hideMark/>
          </w:tcPr>
          <w:p w14:paraId="284C50F9"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Former Yugoslav Republic of M</w:t>
            </w:r>
            <w:r w:rsidRPr="000D32CD">
              <w:rPr>
                <w:rFonts w:ascii="Garamond" w:eastAsia="Times New Roman" w:hAnsi="Garamond" w:cs="Calibri"/>
                <w:color w:val="000000"/>
              </w:rPr>
              <w:t>acedoni</w:t>
            </w:r>
            <w:r>
              <w:rPr>
                <w:rFonts w:ascii="Garamond" w:eastAsia="Times New Roman" w:hAnsi="Garamond" w:cs="Calibri"/>
                <w:color w:val="000000"/>
              </w:rPr>
              <w:t>a</w:t>
            </w:r>
          </w:p>
        </w:tc>
        <w:tc>
          <w:tcPr>
            <w:tcW w:w="1020" w:type="dxa"/>
            <w:tcBorders>
              <w:top w:val="nil"/>
              <w:left w:val="nil"/>
              <w:bottom w:val="nil"/>
              <w:right w:val="nil"/>
            </w:tcBorders>
            <w:shd w:val="clear" w:color="auto" w:fill="auto"/>
            <w:noWrap/>
            <w:vAlign w:val="bottom"/>
            <w:hideMark/>
          </w:tcPr>
          <w:p w14:paraId="12CB1C7B"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1994</w:t>
            </w:r>
          </w:p>
        </w:tc>
        <w:tc>
          <w:tcPr>
            <w:tcW w:w="1020" w:type="dxa"/>
            <w:tcBorders>
              <w:top w:val="nil"/>
              <w:left w:val="nil"/>
              <w:bottom w:val="nil"/>
              <w:right w:val="nil"/>
            </w:tcBorders>
            <w:shd w:val="clear" w:color="auto" w:fill="auto"/>
            <w:noWrap/>
            <w:vAlign w:val="bottom"/>
            <w:hideMark/>
          </w:tcPr>
          <w:p w14:paraId="15104924"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2016</w:t>
            </w:r>
          </w:p>
        </w:tc>
      </w:tr>
      <w:tr w:rsidR="00376AC8" w:rsidRPr="000D32CD" w14:paraId="6CF4EA3A" w14:textId="77777777" w:rsidTr="00A15EBA">
        <w:trPr>
          <w:trHeight w:val="300"/>
        </w:trPr>
        <w:tc>
          <w:tcPr>
            <w:tcW w:w="3742" w:type="dxa"/>
            <w:tcBorders>
              <w:top w:val="nil"/>
              <w:left w:val="nil"/>
              <w:bottom w:val="nil"/>
              <w:right w:val="nil"/>
            </w:tcBorders>
            <w:shd w:val="clear" w:color="auto" w:fill="auto"/>
            <w:noWrap/>
            <w:vAlign w:val="bottom"/>
            <w:hideMark/>
          </w:tcPr>
          <w:p w14:paraId="2A7F7964"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F</w:t>
            </w:r>
            <w:r w:rsidRPr="00C26374">
              <w:rPr>
                <w:rFonts w:ascii="Garamond" w:eastAsia="Times New Roman" w:hAnsi="Garamond" w:cs="Calibri"/>
                <w:color w:val="000000"/>
              </w:rPr>
              <w:t>rance</w:t>
            </w:r>
          </w:p>
        </w:tc>
        <w:tc>
          <w:tcPr>
            <w:tcW w:w="1020" w:type="dxa"/>
            <w:tcBorders>
              <w:top w:val="nil"/>
              <w:left w:val="nil"/>
              <w:bottom w:val="nil"/>
              <w:right w:val="nil"/>
            </w:tcBorders>
            <w:shd w:val="clear" w:color="auto" w:fill="auto"/>
            <w:noWrap/>
            <w:vAlign w:val="bottom"/>
            <w:hideMark/>
          </w:tcPr>
          <w:p w14:paraId="7760CCD0"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1994</w:t>
            </w:r>
          </w:p>
        </w:tc>
        <w:tc>
          <w:tcPr>
            <w:tcW w:w="1020" w:type="dxa"/>
            <w:tcBorders>
              <w:top w:val="nil"/>
              <w:left w:val="nil"/>
              <w:bottom w:val="nil"/>
              <w:right w:val="nil"/>
            </w:tcBorders>
            <w:shd w:val="clear" w:color="auto" w:fill="auto"/>
            <w:noWrap/>
            <w:vAlign w:val="bottom"/>
            <w:hideMark/>
          </w:tcPr>
          <w:p w14:paraId="579E3F72"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3B0626A0" w14:textId="77777777" w:rsidTr="00A15EBA">
        <w:trPr>
          <w:trHeight w:val="300"/>
        </w:trPr>
        <w:tc>
          <w:tcPr>
            <w:tcW w:w="3742" w:type="dxa"/>
            <w:tcBorders>
              <w:top w:val="nil"/>
              <w:left w:val="nil"/>
              <w:bottom w:val="nil"/>
              <w:right w:val="nil"/>
            </w:tcBorders>
            <w:shd w:val="clear" w:color="auto" w:fill="auto"/>
            <w:noWrap/>
            <w:vAlign w:val="bottom"/>
            <w:hideMark/>
          </w:tcPr>
          <w:p w14:paraId="0ACAAFE8"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G</w:t>
            </w:r>
            <w:r w:rsidRPr="00C26374">
              <w:rPr>
                <w:rFonts w:ascii="Garamond" w:eastAsia="Times New Roman" w:hAnsi="Garamond" w:cs="Calibri"/>
                <w:color w:val="000000"/>
              </w:rPr>
              <w:t>eorgia</w:t>
            </w:r>
          </w:p>
        </w:tc>
        <w:tc>
          <w:tcPr>
            <w:tcW w:w="1020" w:type="dxa"/>
            <w:tcBorders>
              <w:top w:val="nil"/>
              <w:left w:val="nil"/>
              <w:bottom w:val="nil"/>
              <w:right w:val="nil"/>
            </w:tcBorders>
            <w:shd w:val="clear" w:color="auto" w:fill="auto"/>
            <w:noWrap/>
            <w:vAlign w:val="bottom"/>
            <w:hideMark/>
          </w:tcPr>
          <w:p w14:paraId="1CCAFC13"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32351F7F"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2015</w:t>
            </w:r>
          </w:p>
        </w:tc>
      </w:tr>
      <w:tr w:rsidR="00376AC8" w:rsidRPr="000D32CD" w14:paraId="674E76C9" w14:textId="77777777" w:rsidTr="00A15EBA">
        <w:trPr>
          <w:trHeight w:val="300"/>
        </w:trPr>
        <w:tc>
          <w:tcPr>
            <w:tcW w:w="3742" w:type="dxa"/>
            <w:tcBorders>
              <w:top w:val="nil"/>
              <w:left w:val="nil"/>
              <w:bottom w:val="nil"/>
              <w:right w:val="nil"/>
            </w:tcBorders>
            <w:shd w:val="clear" w:color="auto" w:fill="auto"/>
            <w:noWrap/>
            <w:vAlign w:val="bottom"/>
            <w:hideMark/>
          </w:tcPr>
          <w:p w14:paraId="760499A5"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G</w:t>
            </w:r>
            <w:r w:rsidRPr="00C26374">
              <w:rPr>
                <w:rFonts w:ascii="Garamond" w:eastAsia="Times New Roman" w:hAnsi="Garamond" w:cs="Calibri"/>
                <w:color w:val="000000"/>
              </w:rPr>
              <w:t>ermany</w:t>
            </w:r>
          </w:p>
        </w:tc>
        <w:tc>
          <w:tcPr>
            <w:tcW w:w="1020" w:type="dxa"/>
            <w:tcBorders>
              <w:top w:val="nil"/>
              <w:left w:val="nil"/>
              <w:bottom w:val="nil"/>
              <w:right w:val="nil"/>
            </w:tcBorders>
            <w:shd w:val="clear" w:color="auto" w:fill="auto"/>
            <w:noWrap/>
            <w:vAlign w:val="bottom"/>
            <w:hideMark/>
          </w:tcPr>
          <w:p w14:paraId="298740C2"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1991</w:t>
            </w:r>
          </w:p>
        </w:tc>
        <w:tc>
          <w:tcPr>
            <w:tcW w:w="1020" w:type="dxa"/>
            <w:tcBorders>
              <w:top w:val="nil"/>
              <w:left w:val="nil"/>
              <w:bottom w:val="nil"/>
              <w:right w:val="nil"/>
            </w:tcBorders>
            <w:shd w:val="clear" w:color="auto" w:fill="auto"/>
            <w:noWrap/>
            <w:vAlign w:val="bottom"/>
            <w:hideMark/>
          </w:tcPr>
          <w:p w14:paraId="44CC2905"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3D66F82F" w14:textId="77777777" w:rsidTr="00A15EBA">
        <w:trPr>
          <w:trHeight w:val="300"/>
        </w:trPr>
        <w:tc>
          <w:tcPr>
            <w:tcW w:w="3742" w:type="dxa"/>
            <w:tcBorders>
              <w:top w:val="nil"/>
              <w:left w:val="nil"/>
              <w:bottom w:val="nil"/>
              <w:right w:val="nil"/>
            </w:tcBorders>
            <w:shd w:val="clear" w:color="auto" w:fill="auto"/>
            <w:noWrap/>
            <w:vAlign w:val="bottom"/>
            <w:hideMark/>
          </w:tcPr>
          <w:p w14:paraId="482FF248"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G</w:t>
            </w:r>
            <w:r w:rsidRPr="0079079D">
              <w:rPr>
                <w:rFonts w:ascii="Garamond" w:eastAsia="Times New Roman" w:hAnsi="Garamond" w:cs="Calibri"/>
                <w:color w:val="000000"/>
              </w:rPr>
              <w:t>reece</w:t>
            </w:r>
          </w:p>
        </w:tc>
        <w:tc>
          <w:tcPr>
            <w:tcW w:w="1020" w:type="dxa"/>
            <w:tcBorders>
              <w:top w:val="nil"/>
              <w:left w:val="nil"/>
              <w:bottom w:val="nil"/>
              <w:right w:val="nil"/>
            </w:tcBorders>
            <w:shd w:val="clear" w:color="auto" w:fill="auto"/>
            <w:noWrap/>
            <w:vAlign w:val="bottom"/>
            <w:hideMark/>
          </w:tcPr>
          <w:p w14:paraId="726E9842"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1969</w:t>
            </w:r>
          </w:p>
        </w:tc>
        <w:tc>
          <w:tcPr>
            <w:tcW w:w="1020" w:type="dxa"/>
            <w:tcBorders>
              <w:top w:val="nil"/>
              <w:left w:val="nil"/>
              <w:bottom w:val="nil"/>
              <w:right w:val="nil"/>
            </w:tcBorders>
            <w:shd w:val="clear" w:color="auto" w:fill="auto"/>
            <w:noWrap/>
            <w:vAlign w:val="bottom"/>
            <w:hideMark/>
          </w:tcPr>
          <w:p w14:paraId="17D40F98"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2016</w:t>
            </w:r>
          </w:p>
        </w:tc>
      </w:tr>
      <w:tr w:rsidR="00376AC8" w:rsidRPr="000D32CD" w14:paraId="0A34C2AE" w14:textId="77777777" w:rsidTr="00A15EBA">
        <w:trPr>
          <w:trHeight w:val="300"/>
        </w:trPr>
        <w:tc>
          <w:tcPr>
            <w:tcW w:w="3742" w:type="dxa"/>
            <w:tcBorders>
              <w:top w:val="nil"/>
              <w:left w:val="nil"/>
              <w:bottom w:val="nil"/>
              <w:right w:val="nil"/>
            </w:tcBorders>
            <w:shd w:val="clear" w:color="auto" w:fill="auto"/>
            <w:noWrap/>
            <w:vAlign w:val="bottom"/>
            <w:hideMark/>
          </w:tcPr>
          <w:p w14:paraId="324C053B" w14:textId="77777777" w:rsidR="00376AC8" w:rsidRPr="0079079D"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H</w:t>
            </w:r>
            <w:r w:rsidRPr="0079079D">
              <w:rPr>
                <w:rFonts w:ascii="Garamond" w:eastAsia="Times New Roman" w:hAnsi="Garamond" w:cs="Calibri"/>
                <w:color w:val="000000"/>
              </w:rPr>
              <w:t>ungary</w:t>
            </w:r>
          </w:p>
        </w:tc>
        <w:tc>
          <w:tcPr>
            <w:tcW w:w="1020" w:type="dxa"/>
            <w:tcBorders>
              <w:top w:val="nil"/>
              <w:left w:val="nil"/>
              <w:bottom w:val="nil"/>
              <w:right w:val="nil"/>
            </w:tcBorders>
            <w:shd w:val="clear" w:color="auto" w:fill="auto"/>
            <w:noWrap/>
            <w:vAlign w:val="bottom"/>
            <w:hideMark/>
          </w:tcPr>
          <w:p w14:paraId="29718054"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1994</w:t>
            </w:r>
          </w:p>
        </w:tc>
        <w:tc>
          <w:tcPr>
            <w:tcW w:w="1020" w:type="dxa"/>
            <w:tcBorders>
              <w:top w:val="nil"/>
              <w:left w:val="nil"/>
              <w:bottom w:val="nil"/>
              <w:right w:val="nil"/>
            </w:tcBorders>
            <w:shd w:val="clear" w:color="auto" w:fill="auto"/>
            <w:noWrap/>
            <w:vAlign w:val="bottom"/>
            <w:hideMark/>
          </w:tcPr>
          <w:p w14:paraId="0254CC78" w14:textId="77777777" w:rsidR="00376AC8" w:rsidRPr="0079079D" w:rsidRDefault="00376AC8" w:rsidP="00A15EBA">
            <w:pPr>
              <w:spacing w:after="0" w:line="240" w:lineRule="auto"/>
              <w:jc w:val="right"/>
              <w:rPr>
                <w:rFonts w:ascii="Garamond" w:eastAsia="Times New Roman" w:hAnsi="Garamond" w:cs="Calibri"/>
                <w:color w:val="000000"/>
              </w:rPr>
            </w:pPr>
            <w:r w:rsidRPr="0079079D">
              <w:rPr>
                <w:rFonts w:ascii="Garamond" w:eastAsia="Times New Roman" w:hAnsi="Garamond" w:cs="Calibri"/>
                <w:color w:val="000000"/>
              </w:rPr>
              <w:t>2016</w:t>
            </w:r>
          </w:p>
        </w:tc>
      </w:tr>
      <w:tr w:rsidR="00376AC8" w:rsidRPr="000D32CD" w14:paraId="18ACA849" w14:textId="77777777" w:rsidTr="00A15EBA">
        <w:trPr>
          <w:trHeight w:val="300"/>
        </w:trPr>
        <w:tc>
          <w:tcPr>
            <w:tcW w:w="3742" w:type="dxa"/>
            <w:tcBorders>
              <w:top w:val="nil"/>
              <w:left w:val="nil"/>
              <w:bottom w:val="nil"/>
              <w:right w:val="nil"/>
            </w:tcBorders>
            <w:shd w:val="clear" w:color="auto" w:fill="auto"/>
            <w:noWrap/>
            <w:vAlign w:val="bottom"/>
            <w:hideMark/>
          </w:tcPr>
          <w:p w14:paraId="251D51B3"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I</w:t>
            </w:r>
            <w:r w:rsidRPr="00C26374">
              <w:rPr>
                <w:rFonts w:ascii="Garamond" w:eastAsia="Times New Roman" w:hAnsi="Garamond" w:cs="Calibri"/>
                <w:color w:val="000000"/>
              </w:rPr>
              <w:t>celand</w:t>
            </w:r>
          </w:p>
        </w:tc>
        <w:tc>
          <w:tcPr>
            <w:tcW w:w="1020" w:type="dxa"/>
            <w:tcBorders>
              <w:top w:val="nil"/>
              <w:left w:val="nil"/>
              <w:bottom w:val="nil"/>
              <w:right w:val="nil"/>
            </w:tcBorders>
            <w:shd w:val="clear" w:color="auto" w:fill="auto"/>
            <w:noWrap/>
            <w:vAlign w:val="bottom"/>
            <w:hideMark/>
          </w:tcPr>
          <w:p w14:paraId="70D40B3E"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11C04891"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7A102CD5" w14:textId="77777777" w:rsidTr="00A15EBA">
        <w:trPr>
          <w:trHeight w:val="300"/>
        </w:trPr>
        <w:tc>
          <w:tcPr>
            <w:tcW w:w="3742" w:type="dxa"/>
            <w:tcBorders>
              <w:top w:val="nil"/>
              <w:left w:val="nil"/>
              <w:bottom w:val="nil"/>
              <w:right w:val="nil"/>
            </w:tcBorders>
            <w:shd w:val="clear" w:color="auto" w:fill="auto"/>
            <w:noWrap/>
            <w:vAlign w:val="bottom"/>
            <w:hideMark/>
          </w:tcPr>
          <w:p w14:paraId="32C0C88B"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I</w:t>
            </w:r>
            <w:r w:rsidRPr="00C26374">
              <w:rPr>
                <w:rFonts w:ascii="Garamond" w:eastAsia="Times New Roman" w:hAnsi="Garamond" w:cs="Calibri"/>
                <w:color w:val="000000"/>
              </w:rPr>
              <w:t>reland</w:t>
            </w:r>
          </w:p>
        </w:tc>
        <w:tc>
          <w:tcPr>
            <w:tcW w:w="1020" w:type="dxa"/>
            <w:tcBorders>
              <w:top w:val="nil"/>
              <w:left w:val="nil"/>
              <w:bottom w:val="nil"/>
              <w:right w:val="nil"/>
            </w:tcBorders>
            <w:shd w:val="clear" w:color="auto" w:fill="auto"/>
            <w:noWrap/>
            <w:vAlign w:val="bottom"/>
            <w:hideMark/>
          </w:tcPr>
          <w:p w14:paraId="28DA560A"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1969</w:t>
            </w:r>
          </w:p>
        </w:tc>
        <w:tc>
          <w:tcPr>
            <w:tcW w:w="1020" w:type="dxa"/>
            <w:tcBorders>
              <w:top w:val="nil"/>
              <w:left w:val="nil"/>
              <w:bottom w:val="nil"/>
              <w:right w:val="nil"/>
            </w:tcBorders>
            <w:shd w:val="clear" w:color="auto" w:fill="auto"/>
            <w:noWrap/>
            <w:vAlign w:val="bottom"/>
            <w:hideMark/>
          </w:tcPr>
          <w:p w14:paraId="5B23736E"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05A65608" w14:textId="77777777" w:rsidTr="00A15EBA">
        <w:trPr>
          <w:trHeight w:val="300"/>
        </w:trPr>
        <w:tc>
          <w:tcPr>
            <w:tcW w:w="3742" w:type="dxa"/>
            <w:tcBorders>
              <w:top w:val="nil"/>
              <w:left w:val="nil"/>
              <w:bottom w:val="nil"/>
              <w:right w:val="nil"/>
            </w:tcBorders>
            <w:shd w:val="clear" w:color="auto" w:fill="auto"/>
            <w:noWrap/>
            <w:vAlign w:val="bottom"/>
            <w:hideMark/>
          </w:tcPr>
          <w:p w14:paraId="5994DA78"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I</w:t>
            </w:r>
            <w:r w:rsidRPr="00C26374">
              <w:rPr>
                <w:rFonts w:ascii="Garamond" w:eastAsia="Times New Roman" w:hAnsi="Garamond" w:cs="Calibri"/>
                <w:color w:val="000000"/>
              </w:rPr>
              <w:t>taly</w:t>
            </w:r>
          </w:p>
        </w:tc>
        <w:tc>
          <w:tcPr>
            <w:tcW w:w="1020" w:type="dxa"/>
            <w:tcBorders>
              <w:top w:val="nil"/>
              <w:left w:val="nil"/>
              <w:bottom w:val="nil"/>
              <w:right w:val="nil"/>
            </w:tcBorders>
            <w:shd w:val="clear" w:color="auto" w:fill="auto"/>
            <w:noWrap/>
            <w:vAlign w:val="bottom"/>
            <w:hideMark/>
          </w:tcPr>
          <w:p w14:paraId="3E8E076F"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69BFFEFE"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7E66F215" w14:textId="77777777" w:rsidTr="00A15EBA">
        <w:trPr>
          <w:trHeight w:val="300"/>
        </w:trPr>
        <w:tc>
          <w:tcPr>
            <w:tcW w:w="3742" w:type="dxa"/>
            <w:tcBorders>
              <w:top w:val="nil"/>
              <w:left w:val="nil"/>
              <w:bottom w:val="nil"/>
              <w:right w:val="nil"/>
            </w:tcBorders>
            <w:shd w:val="clear" w:color="auto" w:fill="auto"/>
            <w:noWrap/>
            <w:vAlign w:val="bottom"/>
            <w:hideMark/>
          </w:tcPr>
          <w:p w14:paraId="593F18C4"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K</w:t>
            </w:r>
            <w:r w:rsidRPr="000D32CD">
              <w:rPr>
                <w:rFonts w:ascii="Garamond" w:eastAsia="Times New Roman" w:hAnsi="Garamond" w:cs="Calibri"/>
                <w:color w:val="000000"/>
              </w:rPr>
              <w:t>osovo</w:t>
            </w:r>
            <w:r>
              <w:rPr>
                <w:rFonts w:ascii="Garamond" w:eastAsia="Times New Roman" w:hAnsi="Garamond" w:cs="Calibri"/>
                <w:color w:val="000000"/>
              </w:rPr>
              <w:t xml:space="preserve"> </w:t>
            </w:r>
            <w:r w:rsidRPr="000D32CD">
              <w:rPr>
                <w:rFonts w:ascii="Garamond" w:eastAsia="Times New Roman" w:hAnsi="Garamond" w:cs="Calibri"/>
                <w:color w:val="000000"/>
              </w:rPr>
              <w:t>under</w:t>
            </w:r>
            <w:r>
              <w:rPr>
                <w:rFonts w:ascii="Garamond" w:eastAsia="Times New Roman" w:hAnsi="Garamond" w:cs="Calibri"/>
                <w:color w:val="000000"/>
              </w:rPr>
              <w:t xml:space="preserve"> U</w:t>
            </w:r>
            <w:r w:rsidRPr="000D32CD">
              <w:rPr>
                <w:rFonts w:ascii="Garamond" w:eastAsia="Times New Roman" w:hAnsi="Garamond" w:cs="Calibri"/>
                <w:color w:val="000000"/>
              </w:rPr>
              <w:t>nited</w:t>
            </w:r>
            <w:r>
              <w:rPr>
                <w:rFonts w:ascii="Garamond" w:eastAsia="Times New Roman" w:hAnsi="Garamond" w:cs="Calibri"/>
                <w:color w:val="000000"/>
              </w:rPr>
              <w:t xml:space="preserve"> N</w:t>
            </w:r>
            <w:r w:rsidRPr="000D32CD">
              <w:rPr>
                <w:rFonts w:ascii="Garamond" w:eastAsia="Times New Roman" w:hAnsi="Garamond" w:cs="Calibri"/>
                <w:color w:val="000000"/>
              </w:rPr>
              <w:t>ations</w:t>
            </w:r>
            <w:r>
              <w:rPr>
                <w:rFonts w:ascii="Garamond" w:eastAsia="Times New Roman" w:hAnsi="Garamond" w:cs="Calibri"/>
                <w:color w:val="000000"/>
              </w:rPr>
              <w:t xml:space="preserve"> </w:t>
            </w:r>
            <w:r w:rsidRPr="000D32CD">
              <w:rPr>
                <w:rFonts w:ascii="Garamond" w:eastAsia="Times New Roman" w:hAnsi="Garamond" w:cs="Calibri"/>
                <w:color w:val="000000"/>
              </w:rPr>
              <w:t>security</w:t>
            </w:r>
          </w:p>
        </w:tc>
        <w:tc>
          <w:tcPr>
            <w:tcW w:w="1020" w:type="dxa"/>
            <w:tcBorders>
              <w:top w:val="nil"/>
              <w:left w:val="nil"/>
              <w:bottom w:val="nil"/>
              <w:right w:val="nil"/>
            </w:tcBorders>
            <w:shd w:val="clear" w:color="auto" w:fill="auto"/>
            <w:noWrap/>
            <w:vAlign w:val="bottom"/>
            <w:hideMark/>
          </w:tcPr>
          <w:p w14:paraId="64A60951"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50C05AC4"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2015</w:t>
            </w:r>
          </w:p>
        </w:tc>
      </w:tr>
      <w:tr w:rsidR="00376AC8" w:rsidRPr="000D32CD" w14:paraId="18DAB45E" w14:textId="77777777" w:rsidTr="00A15EBA">
        <w:trPr>
          <w:trHeight w:val="300"/>
        </w:trPr>
        <w:tc>
          <w:tcPr>
            <w:tcW w:w="3742" w:type="dxa"/>
            <w:tcBorders>
              <w:top w:val="nil"/>
              <w:left w:val="nil"/>
              <w:bottom w:val="nil"/>
              <w:right w:val="nil"/>
            </w:tcBorders>
            <w:shd w:val="clear" w:color="auto" w:fill="auto"/>
            <w:noWrap/>
            <w:vAlign w:val="bottom"/>
            <w:hideMark/>
          </w:tcPr>
          <w:p w14:paraId="4E620A83"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L</w:t>
            </w:r>
            <w:r w:rsidRPr="00C26374">
              <w:rPr>
                <w:rFonts w:ascii="Garamond" w:eastAsia="Times New Roman" w:hAnsi="Garamond" w:cs="Calibri"/>
                <w:color w:val="000000"/>
              </w:rPr>
              <w:t>atvia</w:t>
            </w:r>
          </w:p>
        </w:tc>
        <w:tc>
          <w:tcPr>
            <w:tcW w:w="1020" w:type="dxa"/>
            <w:tcBorders>
              <w:top w:val="nil"/>
              <w:left w:val="nil"/>
              <w:bottom w:val="nil"/>
              <w:right w:val="nil"/>
            </w:tcBorders>
            <w:shd w:val="clear" w:color="auto" w:fill="auto"/>
            <w:noWrap/>
            <w:vAlign w:val="bottom"/>
            <w:hideMark/>
          </w:tcPr>
          <w:p w14:paraId="223A193C"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1996</w:t>
            </w:r>
          </w:p>
        </w:tc>
        <w:tc>
          <w:tcPr>
            <w:tcW w:w="1020" w:type="dxa"/>
            <w:tcBorders>
              <w:top w:val="nil"/>
              <w:left w:val="nil"/>
              <w:bottom w:val="nil"/>
              <w:right w:val="nil"/>
            </w:tcBorders>
            <w:shd w:val="clear" w:color="auto" w:fill="auto"/>
            <w:noWrap/>
            <w:vAlign w:val="bottom"/>
            <w:hideMark/>
          </w:tcPr>
          <w:p w14:paraId="29E6DDE0"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41053F57" w14:textId="77777777" w:rsidTr="00A15EBA">
        <w:trPr>
          <w:trHeight w:val="300"/>
        </w:trPr>
        <w:tc>
          <w:tcPr>
            <w:tcW w:w="3742" w:type="dxa"/>
            <w:tcBorders>
              <w:top w:val="nil"/>
              <w:left w:val="nil"/>
              <w:bottom w:val="nil"/>
              <w:right w:val="nil"/>
            </w:tcBorders>
            <w:shd w:val="clear" w:color="auto" w:fill="auto"/>
            <w:noWrap/>
            <w:vAlign w:val="bottom"/>
            <w:hideMark/>
          </w:tcPr>
          <w:p w14:paraId="19463365"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L</w:t>
            </w:r>
            <w:r w:rsidRPr="000D32CD">
              <w:rPr>
                <w:rFonts w:ascii="Garamond" w:eastAsia="Times New Roman" w:hAnsi="Garamond" w:cs="Calibri"/>
                <w:color w:val="000000"/>
              </w:rPr>
              <w:t>iechtenstein</w:t>
            </w:r>
          </w:p>
        </w:tc>
        <w:tc>
          <w:tcPr>
            <w:tcW w:w="1020" w:type="dxa"/>
            <w:tcBorders>
              <w:top w:val="nil"/>
              <w:left w:val="nil"/>
              <w:bottom w:val="nil"/>
              <w:right w:val="nil"/>
            </w:tcBorders>
            <w:shd w:val="clear" w:color="auto" w:fill="auto"/>
            <w:noWrap/>
            <w:vAlign w:val="bottom"/>
            <w:hideMark/>
          </w:tcPr>
          <w:p w14:paraId="352E7AD7"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1980</w:t>
            </w:r>
          </w:p>
        </w:tc>
        <w:tc>
          <w:tcPr>
            <w:tcW w:w="1020" w:type="dxa"/>
            <w:tcBorders>
              <w:top w:val="nil"/>
              <w:left w:val="nil"/>
              <w:bottom w:val="nil"/>
              <w:right w:val="nil"/>
            </w:tcBorders>
            <w:shd w:val="clear" w:color="auto" w:fill="auto"/>
            <w:noWrap/>
            <w:vAlign w:val="bottom"/>
            <w:hideMark/>
          </w:tcPr>
          <w:p w14:paraId="532B5914"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187D5A14" w14:textId="77777777" w:rsidTr="00A15EBA">
        <w:trPr>
          <w:trHeight w:val="300"/>
        </w:trPr>
        <w:tc>
          <w:tcPr>
            <w:tcW w:w="3742" w:type="dxa"/>
            <w:tcBorders>
              <w:top w:val="nil"/>
              <w:left w:val="nil"/>
              <w:bottom w:val="nil"/>
              <w:right w:val="nil"/>
            </w:tcBorders>
            <w:shd w:val="clear" w:color="auto" w:fill="auto"/>
            <w:noWrap/>
            <w:vAlign w:val="bottom"/>
            <w:hideMark/>
          </w:tcPr>
          <w:p w14:paraId="015BB5BD"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L</w:t>
            </w:r>
            <w:r w:rsidRPr="00C26374">
              <w:rPr>
                <w:rFonts w:ascii="Garamond" w:eastAsia="Times New Roman" w:hAnsi="Garamond" w:cs="Calibri"/>
                <w:color w:val="000000"/>
              </w:rPr>
              <w:t>ithuania</w:t>
            </w:r>
          </w:p>
        </w:tc>
        <w:tc>
          <w:tcPr>
            <w:tcW w:w="1020" w:type="dxa"/>
            <w:tcBorders>
              <w:top w:val="nil"/>
              <w:left w:val="nil"/>
              <w:bottom w:val="nil"/>
              <w:right w:val="nil"/>
            </w:tcBorders>
            <w:shd w:val="clear" w:color="auto" w:fill="auto"/>
            <w:noWrap/>
            <w:vAlign w:val="bottom"/>
            <w:hideMark/>
          </w:tcPr>
          <w:p w14:paraId="3657D1ED"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1994</w:t>
            </w:r>
          </w:p>
        </w:tc>
        <w:tc>
          <w:tcPr>
            <w:tcW w:w="1020" w:type="dxa"/>
            <w:tcBorders>
              <w:top w:val="nil"/>
              <w:left w:val="nil"/>
              <w:bottom w:val="nil"/>
              <w:right w:val="nil"/>
            </w:tcBorders>
            <w:shd w:val="clear" w:color="auto" w:fill="auto"/>
            <w:noWrap/>
            <w:vAlign w:val="bottom"/>
            <w:hideMark/>
          </w:tcPr>
          <w:p w14:paraId="621D48C3"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572DB85C" w14:textId="77777777" w:rsidTr="00A15EBA">
        <w:trPr>
          <w:trHeight w:val="300"/>
        </w:trPr>
        <w:tc>
          <w:tcPr>
            <w:tcW w:w="3742" w:type="dxa"/>
            <w:tcBorders>
              <w:top w:val="nil"/>
              <w:left w:val="nil"/>
              <w:bottom w:val="nil"/>
              <w:right w:val="nil"/>
            </w:tcBorders>
            <w:shd w:val="clear" w:color="auto" w:fill="auto"/>
            <w:noWrap/>
            <w:vAlign w:val="bottom"/>
            <w:hideMark/>
          </w:tcPr>
          <w:p w14:paraId="1BF560B3"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L</w:t>
            </w:r>
            <w:r w:rsidRPr="00C26374">
              <w:rPr>
                <w:rFonts w:ascii="Garamond" w:eastAsia="Times New Roman" w:hAnsi="Garamond" w:cs="Calibri"/>
                <w:color w:val="000000"/>
              </w:rPr>
              <w:t>uxembour</w:t>
            </w:r>
            <w:r>
              <w:rPr>
                <w:rFonts w:ascii="Garamond" w:eastAsia="Times New Roman" w:hAnsi="Garamond" w:cs="Calibri"/>
                <w:color w:val="000000"/>
              </w:rPr>
              <w:t>g</w:t>
            </w:r>
          </w:p>
        </w:tc>
        <w:tc>
          <w:tcPr>
            <w:tcW w:w="1020" w:type="dxa"/>
            <w:tcBorders>
              <w:top w:val="nil"/>
              <w:left w:val="nil"/>
              <w:bottom w:val="nil"/>
              <w:right w:val="nil"/>
            </w:tcBorders>
            <w:shd w:val="clear" w:color="auto" w:fill="auto"/>
            <w:noWrap/>
            <w:vAlign w:val="bottom"/>
            <w:hideMark/>
          </w:tcPr>
          <w:p w14:paraId="2F8B65AE"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11C895F6"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56D99925" w14:textId="77777777" w:rsidTr="00A15EBA">
        <w:trPr>
          <w:trHeight w:val="300"/>
        </w:trPr>
        <w:tc>
          <w:tcPr>
            <w:tcW w:w="3742" w:type="dxa"/>
            <w:tcBorders>
              <w:top w:val="nil"/>
              <w:left w:val="nil"/>
              <w:bottom w:val="nil"/>
              <w:right w:val="nil"/>
            </w:tcBorders>
            <w:shd w:val="clear" w:color="auto" w:fill="auto"/>
            <w:noWrap/>
            <w:vAlign w:val="bottom"/>
            <w:hideMark/>
          </w:tcPr>
          <w:p w14:paraId="100691E4"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M</w:t>
            </w:r>
            <w:r w:rsidRPr="00C26374">
              <w:rPr>
                <w:rFonts w:ascii="Garamond" w:eastAsia="Times New Roman" w:hAnsi="Garamond" w:cs="Calibri"/>
                <w:color w:val="000000"/>
              </w:rPr>
              <w:t>alta</w:t>
            </w:r>
          </w:p>
        </w:tc>
        <w:tc>
          <w:tcPr>
            <w:tcW w:w="1020" w:type="dxa"/>
            <w:tcBorders>
              <w:top w:val="nil"/>
              <w:left w:val="nil"/>
              <w:bottom w:val="nil"/>
              <w:right w:val="nil"/>
            </w:tcBorders>
            <w:shd w:val="clear" w:color="auto" w:fill="auto"/>
            <w:noWrap/>
            <w:vAlign w:val="bottom"/>
            <w:hideMark/>
          </w:tcPr>
          <w:p w14:paraId="6717A3F4"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1994</w:t>
            </w:r>
          </w:p>
        </w:tc>
        <w:tc>
          <w:tcPr>
            <w:tcW w:w="1020" w:type="dxa"/>
            <w:tcBorders>
              <w:top w:val="nil"/>
              <w:left w:val="nil"/>
              <w:bottom w:val="nil"/>
              <w:right w:val="nil"/>
            </w:tcBorders>
            <w:shd w:val="clear" w:color="auto" w:fill="auto"/>
            <w:noWrap/>
            <w:vAlign w:val="bottom"/>
            <w:hideMark/>
          </w:tcPr>
          <w:p w14:paraId="10F9B676"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137FF5AF" w14:textId="77777777" w:rsidTr="00A15EBA">
        <w:trPr>
          <w:trHeight w:val="300"/>
        </w:trPr>
        <w:tc>
          <w:tcPr>
            <w:tcW w:w="3742" w:type="dxa"/>
            <w:tcBorders>
              <w:top w:val="nil"/>
              <w:left w:val="nil"/>
              <w:bottom w:val="nil"/>
              <w:right w:val="nil"/>
            </w:tcBorders>
            <w:shd w:val="clear" w:color="auto" w:fill="auto"/>
            <w:noWrap/>
            <w:vAlign w:val="bottom"/>
            <w:hideMark/>
          </w:tcPr>
          <w:p w14:paraId="74D4F6D5"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M</w:t>
            </w:r>
            <w:r w:rsidRPr="00C26374">
              <w:rPr>
                <w:rFonts w:ascii="Garamond" w:eastAsia="Times New Roman" w:hAnsi="Garamond" w:cs="Calibri"/>
                <w:color w:val="000000"/>
              </w:rPr>
              <w:t>oldova</w:t>
            </w:r>
          </w:p>
        </w:tc>
        <w:tc>
          <w:tcPr>
            <w:tcW w:w="1020" w:type="dxa"/>
            <w:tcBorders>
              <w:top w:val="nil"/>
              <w:left w:val="nil"/>
              <w:bottom w:val="nil"/>
              <w:right w:val="nil"/>
            </w:tcBorders>
            <w:shd w:val="clear" w:color="auto" w:fill="auto"/>
            <w:noWrap/>
            <w:vAlign w:val="bottom"/>
            <w:hideMark/>
          </w:tcPr>
          <w:p w14:paraId="290E33C7"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20E53070"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57D3DAD9" w14:textId="77777777" w:rsidTr="00A15EBA">
        <w:trPr>
          <w:trHeight w:val="300"/>
        </w:trPr>
        <w:tc>
          <w:tcPr>
            <w:tcW w:w="3742" w:type="dxa"/>
            <w:tcBorders>
              <w:top w:val="nil"/>
              <w:left w:val="nil"/>
              <w:bottom w:val="nil"/>
              <w:right w:val="nil"/>
            </w:tcBorders>
            <w:shd w:val="clear" w:color="auto" w:fill="auto"/>
            <w:noWrap/>
            <w:vAlign w:val="bottom"/>
            <w:hideMark/>
          </w:tcPr>
          <w:p w14:paraId="2F00E882"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M</w:t>
            </w:r>
            <w:r w:rsidRPr="00C26374">
              <w:rPr>
                <w:rFonts w:ascii="Garamond" w:eastAsia="Times New Roman" w:hAnsi="Garamond" w:cs="Calibri"/>
                <w:color w:val="000000"/>
              </w:rPr>
              <w:t>onaco</w:t>
            </w:r>
          </w:p>
        </w:tc>
        <w:tc>
          <w:tcPr>
            <w:tcW w:w="1020" w:type="dxa"/>
            <w:tcBorders>
              <w:top w:val="nil"/>
              <w:left w:val="nil"/>
              <w:bottom w:val="nil"/>
              <w:right w:val="nil"/>
            </w:tcBorders>
            <w:shd w:val="clear" w:color="auto" w:fill="auto"/>
            <w:noWrap/>
            <w:vAlign w:val="bottom"/>
            <w:hideMark/>
          </w:tcPr>
          <w:p w14:paraId="50E483F7"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69A7722B"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2005</w:t>
            </w:r>
          </w:p>
        </w:tc>
      </w:tr>
      <w:tr w:rsidR="00376AC8" w:rsidRPr="000D32CD" w14:paraId="6771BB29" w14:textId="77777777" w:rsidTr="00A15EBA">
        <w:trPr>
          <w:trHeight w:val="300"/>
        </w:trPr>
        <w:tc>
          <w:tcPr>
            <w:tcW w:w="3742" w:type="dxa"/>
            <w:tcBorders>
              <w:top w:val="nil"/>
              <w:left w:val="nil"/>
              <w:bottom w:val="nil"/>
              <w:right w:val="nil"/>
            </w:tcBorders>
            <w:shd w:val="clear" w:color="auto" w:fill="auto"/>
            <w:noWrap/>
            <w:vAlign w:val="bottom"/>
            <w:hideMark/>
          </w:tcPr>
          <w:p w14:paraId="757FA101"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M</w:t>
            </w:r>
            <w:r w:rsidRPr="00C26374">
              <w:rPr>
                <w:rFonts w:ascii="Garamond" w:eastAsia="Times New Roman" w:hAnsi="Garamond" w:cs="Calibri"/>
                <w:color w:val="000000"/>
              </w:rPr>
              <w:t>ontenegr</w:t>
            </w:r>
            <w:r>
              <w:rPr>
                <w:rFonts w:ascii="Garamond" w:eastAsia="Times New Roman" w:hAnsi="Garamond" w:cs="Calibri"/>
                <w:color w:val="000000"/>
              </w:rPr>
              <w:t>o</w:t>
            </w:r>
          </w:p>
        </w:tc>
        <w:tc>
          <w:tcPr>
            <w:tcW w:w="1020" w:type="dxa"/>
            <w:tcBorders>
              <w:top w:val="nil"/>
              <w:left w:val="nil"/>
              <w:bottom w:val="nil"/>
              <w:right w:val="nil"/>
            </w:tcBorders>
            <w:shd w:val="clear" w:color="auto" w:fill="auto"/>
            <w:noWrap/>
            <w:vAlign w:val="bottom"/>
            <w:hideMark/>
          </w:tcPr>
          <w:p w14:paraId="3C508BF7"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79164C15"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2EFE013C" w14:textId="77777777" w:rsidTr="00A15EBA">
        <w:trPr>
          <w:trHeight w:val="300"/>
        </w:trPr>
        <w:tc>
          <w:tcPr>
            <w:tcW w:w="3742" w:type="dxa"/>
            <w:tcBorders>
              <w:top w:val="nil"/>
              <w:left w:val="nil"/>
              <w:bottom w:val="nil"/>
              <w:right w:val="nil"/>
            </w:tcBorders>
            <w:shd w:val="clear" w:color="auto" w:fill="auto"/>
            <w:noWrap/>
            <w:vAlign w:val="bottom"/>
            <w:hideMark/>
          </w:tcPr>
          <w:p w14:paraId="112605B7"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N</w:t>
            </w:r>
            <w:r w:rsidRPr="00C26374">
              <w:rPr>
                <w:rFonts w:ascii="Garamond" w:eastAsia="Times New Roman" w:hAnsi="Garamond" w:cs="Calibri"/>
                <w:color w:val="000000"/>
              </w:rPr>
              <w:t>etherlan</w:t>
            </w:r>
            <w:r>
              <w:rPr>
                <w:rFonts w:ascii="Garamond" w:eastAsia="Times New Roman" w:hAnsi="Garamond" w:cs="Calibri"/>
                <w:color w:val="000000"/>
              </w:rPr>
              <w:t>d</w:t>
            </w:r>
          </w:p>
        </w:tc>
        <w:tc>
          <w:tcPr>
            <w:tcW w:w="1020" w:type="dxa"/>
            <w:tcBorders>
              <w:top w:val="nil"/>
              <w:left w:val="nil"/>
              <w:bottom w:val="nil"/>
              <w:right w:val="nil"/>
            </w:tcBorders>
            <w:shd w:val="clear" w:color="auto" w:fill="auto"/>
            <w:noWrap/>
            <w:vAlign w:val="bottom"/>
            <w:hideMark/>
          </w:tcPr>
          <w:p w14:paraId="7AB5ED95"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30685E7F"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4AA2B097" w14:textId="77777777" w:rsidTr="00A15EBA">
        <w:trPr>
          <w:trHeight w:val="300"/>
        </w:trPr>
        <w:tc>
          <w:tcPr>
            <w:tcW w:w="3742" w:type="dxa"/>
            <w:tcBorders>
              <w:top w:val="nil"/>
              <w:left w:val="nil"/>
              <w:bottom w:val="nil"/>
              <w:right w:val="nil"/>
            </w:tcBorders>
            <w:shd w:val="clear" w:color="auto" w:fill="auto"/>
            <w:noWrap/>
            <w:vAlign w:val="bottom"/>
            <w:hideMark/>
          </w:tcPr>
          <w:p w14:paraId="61821F21"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N</w:t>
            </w:r>
            <w:r w:rsidRPr="00C26374">
              <w:rPr>
                <w:rFonts w:ascii="Garamond" w:eastAsia="Times New Roman" w:hAnsi="Garamond" w:cs="Calibri"/>
                <w:color w:val="000000"/>
              </w:rPr>
              <w:t>orway</w:t>
            </w:r>
          </w:p>
        </w:tc>
        <w:tc>
          <w:tcPr>
            <w:tcW w:w="1020" w:type="dxa"/>
            <w:tcBorders>
              <w:top w:val="nil"/>
              <w:left w:val="nil"/>
              <w:bottom w:val="nil"/>
              <w:right w:val="nil"/>
            </w:tcBorders>
            <w:shd w:val="clear" w:color="auto" w:fill="auto"/>
            <w:noWrap/>
            <w:vAlign w:val="bottom"/>
            <w:hideMark/>
          </w:tcPr>
          <w:p w14:paraId="57F12801"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5998813C"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4DC9EED9" w14:textId="77777777" w:rsidTr="00A15EBA">
        <w:trPr>
          <w:trHeight w:val="300"/>
        </w:trPr>
        <w:tc>
          <w:tcPr>
            <w:tcW w:w="3742" w:type="dxa"/>
            <w:tcBorders>
              <w:top w:val="nil"/>
              <w:left w:val="nil"/>
              <w:bottom w:val="nil"/>
              <w:right w:val="nil"/>
            </w:tcBorders>
            <w:shd w:val="clear" w:color="auto" w:fill="auto"/>
            <w:noWrap/>
            <w:vAlign w:val="bottom"/>
            <w:hideMark/>
          </w:tcPr>
          <w:p w14:paraId="5E5D69DE"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P</w:t>
            </w:r>
            <w:r w:rsidRPr="00C26374">
              <w:rPr>
                <w:rFonts w:ascii="Garamond" w:eastAsia="Times New Roman" w:hAnsi="Garamond" w:cs="Calibri"/>
                <w:color w:val="000000"/>
              </w:rPr>
              <w:t>oland</w:t>
            </w:r>
          </w:p>
        </w:tc>
        <w:tc>
          <w:tcPr>
            <w:tcW w:w="1020" w:type="dxa"/>
            <w:tcBorders>
              <w:top w:val="nil"/>
              <w:left w:val="nil"/>
              <w:bottom w:val="nil"/>
              <w:right w:val="nil"/>
            </w:tcBorders>
            <w:shd w:val="clear" w:color="auto" w:fill="auto"/>
            <w:noWrap/>
            <w:vAlign w:val="bottom"/>
            <w:hideMark/>
          </w:tcPr>
          <w:p w14:paraId="40B361C2"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1995</w:t>
            </w:r>
          </w:p>
        </w:tc>
        <w:tc>
          <w:tcPr>
            <w:tcW w:w="1020" w:type="dxa"/>
            <w:tcBorders>
              <w:top w:val="nil"/>
              <w:left w:val="nil"/>
              <w:bottom w:val="nil"/>
              <w:right w:val="nil"/>
            </w:tcBorders>
            <w:shd w:val="clear" w:color="auto" w:fill="auto"/>
            <w:noWrap/>
            <w:vAlign w:val="bottom"/>
            <w:hideMark/>
          </w:tcPr>
          <w:p w14:paraId="3CBA2FD6"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0CDA6E02" w14:textId="77777777" w:rsidTr="00A15EBA">
        <w:trPr>
          <w:trHeight w:val="300"/>
        </w:trPr>
        <w:tc>
          <w:tcPr>
            <w:tcW w:w="3742" w:type="dxa"/>
            <w:tcBorders>
              <w:top w:val="nil"/>
              <w:left w:val="nil"/>
              <w:bottom w:val="nil"/>
              <w:right w:val="nil"/>
            </w:tcBorders>
            <w:shd w:val="clear" w:color="auto" w:fill="auto"/>
            <w:noWrap/>
            <w:vAlign w:val="bottom"/>
            <w:hideMark/>
          </w:tcPr>
          <w:p w14:paraId="56DCC6F5" w14:textId="77777777" w:rsidR="00376AC8" w:rsidRPr="00C26374"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P</w:t>
            </w:r>
            <w:r w:rsidRPr="00C26374">
              <w:rPr>
                <w:rFonts w:ascii="Garamond" w:eastAsia="Times New Roman" w:hAnsi="Garamond" w:cs="Calibri"/>
                <w:color w:val="000000"/>
              </w:rPr>
              <w:t>ortugal</w:t>
            </w:r>
          </w:p>
        </w:tc>
        <w:tc>
          <w:tcPr>
            <w:tcW w:w="1020" w:type="dxa"/>
            <w:tcBorders>
              <w:top w:val="nil"/>
              <w:left w:val="nil"/>
              <w:bottom w:val="nil"/>
              <w:right w:val="nil"/>
            </w:tcBorders>
            <w:shd w:val="clear" w:color="auto" w:fill="auto"/>
            <w:noWrap/>
            <w:vAlign w:val="bottom"/>
            <w:hideMark/>
          </w:tcPr>
          <w:p w14:paraId="6EC993D2"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1969</w:t>
            </w:r>
          </w:p>
        </w:tc>
        <w:tc>
          <w:tcPr>
            <w:tcW w:w="1020" w:type="dxa"/>
            <w:tcBorders>
              <w:top w:val="nil"/>
              <w:left w:val="nil"/>
              <w:bottom w:val="nil"/>
              <w:right w:val="nil"/>
            </w:tcBorders>
            <w:shd w:val="clear" w:color="auto" w:fill="auto"/>
            <w:noWrap/>
            <w:vAlign w:val="bottom"/>
            <w:hideMark/>
          </w:tcPr>
          <w:p w14:paraId="4638D1EE" w14:textId="77777777" w:rsidR="00376AC8" w:rsidRPr="00C26374" w:rsidRDefault="00376AC8" w:rsidP="00A15EBA">
            <w:pPr>
              <w:spacing w:after="0" w:line="240" w:lineRule="auto"/>
              <w:jc w:val="right"/>
              <w:rPr>
                <w:rFonts w:ascii="Garamond" w:eastAsia="Times New Roman" w:hAnsi="Garamond" w:cs="Calibri"/>
                <w:color w:val="000000"/>
              </w:rPr>
            </w:pPr>
            <w:r w:rsidRPr="00C26374">
              <w:rPr>
                <w:rFonts w:ascii="Garamond" w:eastAsia="Times New Roman" w:hAnsi="Garamond" w:cs="Calibri"/>
                <w:color w:val="000000"/>
              </w:rPr>
              <w:t>2016</w:t>
            </w:r>
          </w:p>
        </w:tc>
      </w:tr>
      <w:tr w:rsidR="00376AC8" w:rsidRPr="000D32CD" w14:paraId="66BBC553" w14:textId="77777777" w:rsidTr="00A15EBA">
        <w:trPr>
          <w:trHeight w:val="300"/>
        </w:trPr>
        <w:tc>
          <w:tcPr>
            <w:tcW w:w="3742" w:type="dxa"/>
            <w:tcBorders>
              <w:top w:val="nil"/>
              <w:left w:val="nil"/>
              <w:bottom w:val="nil"/>
              <w:right w:val="nil"/>
            </w:tcBorders>
            <w:shd w:val="clear" w:color="auto" w:fill="auto"/>
            <w:noWrap/>
            <w:vAlign w:val="bottom"/>
            <w:hideMark/>
          </w:tcPr>
          <w:p w14:paraId="32BAEE56"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R</w:t>
            </w:r>
            <w:r w:rsidRPr="008B4188">
              <w:rPr>
                <w:rFonts w:ascii="Garamond" w:eastAsia="Times New Roman" w:hAnsi="Garamond" w:cs="Calibri"/>
                <w:color w:val="000000"/>
              </w:rPr>
              <w:t>omania</w:t>
            </w:r>
          </w:p>
        </w:tc>
        <w:tc>
          <w:tcPr>
            <w:tcW w:w="1020" w:type="dxa"/>
            <w:tcBorders>
              <w:top w:val="nil"/>
              <w:left w:val="nil"/>
              <w:bottom w:val="nil"/>
              <w:right w:val="nil"/>
            </w:tcBorders>
            <w:shd w:val="clear" w:color="auto" w:fill="auto"/>
            <w:noWrap/>
            <w:vAlign w:val="bottom"/>
            <w:hideMark/>
          </w:tcPr>
          <w:p w14:paraId="48562824"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1995</w:t>
            </w:r>
          </w:p>
        </w:tc>
        <w:tc>
          <w:tcPr>
            <w:tcW w:w="1020" w:type="dxa"/>
            <w:tcBorders>
              <w:top w:val="nil"/>
              <w:left w:val="nil"/>
              <w:bottom w:val="nil"/>
              <w:right w:val="nil"/>
            </w:tcBorders>
            <w:shd w:val="clear" w:color="auto" w:fill="auto"/>
            <w:noWrap/>
            <w:vAlign w:val="bottom"/>
            <w:hideMark/>
          </w:tcPr>
          <w:p w14:paraId="2C4ED12F"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2016</w:t>
            </w:r>
          </w:p>
        </w:tc>
      </w:tr>
      <w:tr w:rsidR="00376AC8" w:rsidRPr="000D32CD" w14:paraId="59D27EBF" w14:textId="77777777" w:rsidTr="00A15EBA">
        <w:trPr>
          <w:trHeight w:val="300"/>
        </w:trPr>
        <w:tc>
          <w:tcPr>
            <w:tcW w:w="3742" w:type="dxa"/>
            <w:tcBorders>
              <w:top w:val="nil"/>
              <w:left w:val="nil"/>
              <w:bottom w:val="nil"/>
              <w:right w:val="nil"/>
            </w:tcBorders>
            <w:shd w:val="clear" w:color="auto" w:fill="auto"/>
            <w:noWrap/>
            <w:vAlign w:val="bottom"/>
            <w:hideMark/>
          </w:tcPr>
          <w:p w14:paraId="4C8DE568"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lastRenderedPageBreak/>
              <w:t>R</w:t>
            </w:r>
            <w:r w:rsidRPr="008B4188">
              <w:rPr>
                <w:rFonts w:ascii="Garamond" w:eastAsia="Times New Roman" w:hAnsi="Garamond" w:cs="Calibri"/>
                <w:color w:val="000000"/>
              </w:rPr>
              <w:t>ussia</w:t>
            </w:r>
          </w:p>
        </w:tc>
        <w:tc>
          <w:tcPr>
            <w:tcW w:w="1020" w:type="dxa"/>
            <w:tcBorders>
              <w:top w:val="nil"/>
              <w:left w:val="nil"/>
              <w:bottom w:val="nil"/>
              <w:right w:val="nil"/>
            </w:tcBorders>
            <w:shd w:val="clear" w:color="auto" w:fill="auto"/>
            <w:noWrap/>
            <w:vAlign w:val="bottom"/>
            <w:hideMark/>
          </w:tcPr>
          <w:p w14:paraId="7AA6A1F7"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65A0831B"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2013</w:t>
            </w:r>
          </w:p>
        </w:tc>
      </w:tr>
      <w:tr w:rsidR="00376AC8" w:rsidRPr="000D32CD" w14:paraId="56AD4A6C" w14:textId="77777777" w:rsidTr="00A15EBA">
        <w:trPr>
          <w:trHeight w:val="300"/>
        </w:trPr>
        <w:tc>
          <w:tcPr>
            <w:tcW w:w="3742" w:type="dxa"/>
            <w:tcBorders>
              <w:top w:val="nil"/>
              <w:left w:val="nil"/>
              <w:bottom w:val="nil"/>
              <w:right w:val="nil"/>
            </w:tcBorders>
            <w:shd w:val="clear" w:color="auto" w:fill="auto"/>
            <w:noWrap/>
            <w:vAlign w:val="bottom"/>
            <w:hideMark/>
          </w:tcPr>
          <w:p w14:paraId="7B553A5A"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S</w:t>
            </w:r>
            <w:r w:rsidRPr="008B4188">
              <w:rPr>
                <w:rFonts w:ascii="Garamond" w:eastAsia="Times New Roman" w:hAnsi="Garamond" w:cs="Calibri"/>
                <w:color w:val="000000"/>
              </w:rPr>
              <w:t>an</w:t>
            </w:r>
            <w:r>
              <w:rPr>
                <w:rFonts w:ascii="Garamond" w:eastAsia="Times New Roman" w:hAnsi="Garamond" w:cs="Calibri"/>
                <w:color w:val="000000"/>
              </w:rPr>
              <w:t xml:space="preserve"> M</w:t>
            </w:r>
            <w:r w:rsidRPr="008B4188">
              <w:rPr>
                <w:rFonts w:ascii="Garamond" w:eastAsia="Times New Roman" w:hAnsi="Garamond" w:cs="Calibri"/>
                <w:color w:val="000000"/>
              </w:rPr>
              <w:t>arino</w:t>
            </w:r>
          </w:p>
        </w:tc>
        <w:tc>
          <w:tcPr>
            <w:tcW w:w="1020" w:type="dxa"/>
            <w:tcBorders>
              <w:top w:val="nil"/>
              <w:left w:val="nil"/>
              <w:bottom w:val="nil"/>
              <w:right w:val="nil"/>
            </w:tcBorders>
            <w:shd w:val="clear" w:color="auto" w:fill="auto"/>
            <w:noWrap/>
            <w:vAlign w:val="bottom"/>
            <w:hideMark/>
          </w:tcPr>
          <w:p w14:paraId="0FAC8E27"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69D62098"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2012</w:t>
            </w:r>
          </w:p>
        </w:tc>
      </w:tr>
      <w:tr w:rsidR="00376AC8" w:rsidRPr="000D32CD" w14:paraId="66DC9E24" w14:textId="77777777" w:rsidTr="00A15EBA">
        <w:trPr>
          <w:trHeight w:val="300"/>
        </w:trPr>
        <w:tc>
          <w:tcPr>
            <w:tcW w:w="3742" w:type="dxa"/>
            <w:tcBorders>
              <w:top w:val="nil"/>
              <w:left w:val="nil"/>
              <w:bottom w:val="nil"/>
              <w:right w:val="nil"/>
            </w:tcBorders>
            <w:shd w:val="clear" w:color="auto" w:fill="auto"/>
            <w:noWrap/>
            <w:vAlign w:val="bottom"/>
            <w:hideMark/>
          </w:tcPr>
          <w:p w14:paraId="510CFDF4"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S</w:t>
            </w:r>
            <w:r w:rsidRPr="008B4188">
              <w:rPr>
                <w:rFonts w:ascii="Garamond" w:eastAsia="Times New Roman" w:hAnsi="Garamond" w:cs="Calibri"/>
                <w:color w:val="000000"/>
              </w:rPr>
              <w:t>erbia</w:t>
            </w:r>
          </w:p>
        </w:tc>
        <w:tc>
          <w:tcPr>
            <w:tcW w:w="1020" w:type="dxa"/>
            <w:tcBorders>
              <w:top w:val="nil"/>
              <w:left w:val="nil"/>
              <w:bottom w:val="nil"/>
              <w:right w:val="nil"/>
            </w:tcBorders>
            <w:shd w:val="clear" w:color="auto" w:fill="auto"/>
            <w:noWrap/>
            <w:vAlign w:val="bottom"/>
            <w:hideMark/>
          </w:tcPr>
          <w:p w14:paraId="7A7768FB"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2000</w:t>
            </w:r>
          </w:p>
        </w:tc>
        <w:tc>
          <w:tcPr>
            <w:tcW w:w="1020" w:type="dxa"/>
            <w:tcBorders>
              <w:top w:val="nil"/>
              <w:left w:val="nil"/>
              <w:bottom w:val="nil"/>
              <w:right w:val="nil"/>
            </w:tcBorders>
            <w:shd w:val="clear" w:color="auto" w:fill="auto"/>
            <w:noWrap/>
            <w:vAlign w:val="bottom"/>
            <w:hideMark/>
          </w:tcPr>
          <w:p w14:paraId="5203623D"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2016</w:t>
            </w:r>
          </w:p>
        </w:tc>
      </w:tr>
      <w:tr w:rsidR="00376AC8" w:rsidRPr="000D32CD" w14:paraId="7B1962F4" w14:textId="77777777" w:rsidTr="00A15EBA">
        <w:trPr>
          <w:trHeight w:val="300"/>
        </w:trPr>
        <w:tc>
          <w:tcPr>
            <w:tcW w:w="3742" w:type="dxa"/>
            <w:tcBorders>
              <w:top w:val="nil"/>
              <w:left w:val="nil"/>
              <w:bottom w:val="nil"/>
              <w:right w:val="nil"/>
            </w:tcBorders>
            <w:shd w:val="clear" w:color="auto" w:fill="auto"/>
            <w:noWrap/>
            <w:vAlign w:val="bottom"/>
            <w:hideMark/>
          </w:tcPr>
          <w:p w14:paraId="38ABBF11"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S</w:t>
            </w:r>
            <w:r w:rsidRPr="008B4188">
              <w:rPr>
                <w:rFonts w:ascii="Garamond" w:eastAsia="Times New Roman" w:hAnsi="Garamond" w:cs="Calibri"/>
                <w:color w:val="000000"/>
              </w:rPr>
              <w:t>lovakia</w:t>
            </w:r>
          </w:p>
        </w:tc>
        <w:tc>
          <w:tcPr>
            <w:tcW w:w="1020" w:type="dxa"/>
            <w:tcBorders>
              <w:top w:val="nil"/>
              <w:left w:val="nil"/>
              <w:bottom w:val="nil"/>
              <w:right w:val="nil"/>
            </w:tcBorders>
            <w:shd w:val="clear" w:color="auto" w:fill="auto"/>
            <w:noWrap/>
            <w:vAlign w:val="bottom"/>
            <w:hideMark/>
          </w:tcPr>
          <w:p w14:paraId="2FCDCFE9"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1996</w:t>
            </w:r>
          </w:p>
        </w:tc>
        <w:tc>
          <w:tcPr>
            <w:tcW w:w="1020" w:type="dxa"/>
            <w:tcBorders>
              <w:top w:val="nil"/>
              <w:left w:val="nil"/>
              <w:bottom w:val="nil"/>
              <w:right w:val="nil"/>
            </w:tcBorders>
            <w:shd w:val="clear" w:color="auto" w:fill="auto"/>
            <w:noWrap/>
            <w:vAlign w:val="bottom"/>
            <w:hideMark/>
          </w:tcPr>
          <w:p w14:paraId="05ADE43B"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2016</w:t>
            </w:r>
          </w:p>
        </w:tc>
      </w:tr>
      <w:tr w:rsidR="00376AC8" w:rsidRPr="000D32CD" w14:paraId="64C7F7D8" w14:textId="77777777" w:rsidTr="00A15EBA">
        <w:trPr>
          <w:trHeight w:val="300"/>
        </w:trPr>
        <w:tc>
          <w:tcPr>
            <w:tcW w:w="3742" w:type="dxa"/>
            <w:tcBorders>
              <w:top w:val="nil"/>
              <w:left w:val="nil"/>
              <w:bottom w:val="nil"/>
              <w:right w:val="nil"/>
            </w:tcBorders>
            <w:shd w:val="clear" w:color="auto" w:fill="auto"/>
            <w:noWrap/>
            <w:vAlign w:val="bottom"/>
            <w:hideMark/>
          </w:tcPr>
          <w:p w14:paraId="17F61B56"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S</w:t>
            </w:r>
            <w:r w:rsidRPr="008B4188">
              <w:rPr>
                <w:rFonts w:ascii="Garamond" w:eastAsia="Times New Roman" w:hAnsi="Garamond" w:cs="Calibri"/>
                <w:color w:val="000000"/>
              </w:rPr>
              <w:t>lovenia</w:t>
            </w:r>
          </w:p>
        </w:tc>
        <w:tc>
          <w:tcPr>
            <w:tcW w:w="1020" w:type="dxa"/>
            <w:tcBorders>
              <w:top w:val="nil"/>
              <w:left w:val="nil"/>
              <w:bottom w:val="nil"/>
              <w:right w:val="nil"/>
            </w:tcBorders>
            <w:shd w:val="clear" w:color="auto" w:fill="auto"/>
            <w:noWrap/>
            <w:vAlign w:val="bottom"/>
            <w:hideMark/>
          </w:tcPr>
          <w:p w14:paraId="57836CE9"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1994</w:t>
            </w:r>
          </w:p>
        </w:tc>
        <w:tc>
          <w:tcPr>
            <w:tcW w:w="1020" w:type="dxa"/>
            <w:tcBorders>
              <w:top w:val="nil"/>
              <w:left w:val="nil"/>
              <w:bottom w:val="nil"/>
              <w:right w:val="nil"/>
            </w:tcBorders>
            <w:shd w:val="clear" w:color="auto" w:fill="auto"/>
            <w:noWrap/>
            <w:vAlign w:val="bottom"/>
            <w:hideMark/>
          </w:tcPr>
          <w:p w14:paraId="67F60919"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2016</w:t>
            </w:r>
          </w:p>
        </w:tc>
      </w:tr>
      <w:tr w:rsidR="00376AC8" w:rsidRPr="000D32CD" w14:paraId="1AAD860B" w14:textId="77777777" w:rsidTr="00A15EBA">
        <w:trPr>
          <w:trHeight w:val="300"/>
        </w:trPr>
        <w:tc>
          <w:tcPr>
            <w:tcW w:w="3742" w:type="dxa"/>
            <w:tcBorders>
              <w:top w:val="nil"/>
              <w:left w:val="nil"/>
              <w:bottom w:val="nil"/>
              <w:right w:val="nil"/>
            </w:tcBorders>
            <w:shd w:val="clear" w:color="auto" w:fill="auto"/>
            <w:noWrap/>
            <w:vAlign w:val="bottom"/>
            <w:hideMark/>
          </w:tcPr>
          <w:p w14:paraId="667C0BA8"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S</w:t>
            </w:r>
            <w:r w:rsidRPr="008B4188">
              <w:rPr>
                <w:rFonts w:ascii="Garamond" w:eastAsia="Times New Roman" w:hAnsi="Garamond" w:cs="Calibri"/>
                <w:color w:val="000000"/>
              </w:rPr>
              <w:t>pain</w:t>
            </w:r>
          </w:p>
        </w:tc>
        <w:tc>
          <w:tcPr>
            <w:tcW w:w="1020" w:type="dxa"/>
            <w:tcBorders>
              <w:top w:val="nil"/>
              <w:left w:val="nil"/>
              <w:bottom w:val="nil"/>
              <w:right w:val="nil"/>
            </w:tcBorders>
            <w:shd w:val="clear" w:color="auto" w:fill="auto"/>
            <w:noWrap/>
            <w:vAlign w:val="bottom"/>
            <w:hideMark/>
          </w:tcPr>
          <w:p w14:paraId="3FD82557"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621D575D"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2016</w:t>
            </w:r>
          </w:p>
        </w:tc>
      </w:tr>
      <w:tr w:rsidR="00376AC8" w:rsidRPr="000D32CD" w14:paraId="1B970BE6" w14:textId="77777777" w:rsidTr="00A15EBA">
        <w:trPr>
          <w:trHeight w:val="300"/>
        </w:trPr>
        <w:tc>
          <w:tcPr>
            <w:tcW w:w="3742" w:type="dxa"/>
            <w:tcBorders>
              <w:top w:val="nil"/>
              <w:left w:val="nil"/>
              <w:bottom w:val="nil"/>
              <w:right w:val="nil"/>
            </w:tcBorders>
            <w:shd w:val="clear" w:color="auto" w:fill="auto"/>
            <w:noWrap/>
            <w:vAlign w:val="bottom"/>
            <w:hideMark/>
          </w:tcPr>
          <w:p w14:paraId="0DFC261F"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S</w:t>
            </w:r>
            <w:r w:rsidRPr="008B4188">
              <w:rPr>
                <w:rFonts w:ascii="Garamond" w:eastAsia="Times New Roman" w:hAnsi="Garamond" w:cs="Calibri"/>
                <w:color w:val="000000"/>
              </w:rPr>
              <w:t>weden</w:t>
            </w:r>
          </w:p>
        </w:tc>
        <w:tc>
          <w:tcPr>
            <w:tcW w:w="1020" w:type="dxa"/>
            <w:tcBorders>
              <w:top w:val="nil"/>
              <w:left w:val="nil"/>
              <w:bottom w:val="nil"/>
              <w:right w:val="nil"/>
            </w:tcBorders>
            <w:shd w:val="clear" w:color="auto" w:fill="auto"/>
            <w:noWrap/>
            <w:vAlign w:val="bottom"/>
            <w:hideMark/>
          </w:tcPr>
          <w:p w14:paraId="1D4F29BD"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0100ED2A"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2016</w:t>
            </w:r>
          </w:p>
        </w:tc>
      </w:tr>
      <w:tr w:rsidR="00376AC8" w:rsidRPr="000D32CD" w14:paraId="6EAEE50F" w14:textId="77777777" w:rsidTr="00A15EBA">
        <w:trPr>
          <w:trHeight w:val="300"/>
        </w:trPr>
        <w:tc>
          <w:tcPr>
            <w:tcW w:w="3742" w:type="dxa"/>
            <w:tcBorders>
              <w:top w:val="nil"/>
              <w:left w:val="nil"/>
              <w:bottom w:val="nil"/>
              <w:right w:val="nil"/>
            </w:tcBorders>
            <w:shd w:val="clear" w:color="auto" w:fill="auto"/>
            <w:noWrap/>
            <w:vAlign w:val="bottom"/>
            <w:hideMark/>
          </w:tcPr>
          <w:p w14:paraId="0CB02D68"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S</w:t>
            </w:r>
            <w:r w:rsidRPr="008B4188">
              <w:rPr>
                <w:rFonts w:ascii="Garamond" w:eastAsia="Times New Roman" w:hAnsi="Garamond" w:cs="Calibri"/>
                <w:color w:val="000000"/>
              </w:rPr>
              <w:t>witzerla</w:t>
            </w:r>
            <w:r>
              <w:rPr>
                <w:rFonts w:ascii="Garamond" w:eastAsia="Times New Roman" w:hAnsi="Garamond" w:cs="Calibri"/>
                <w:color w:val="000000"/>
              </w:rPr>
              <w:t>nd</w:t>
            </w:r>
          </w:p>
        </w:tc>
        <w:tc>
          <w:tcPr>
            <w:tcW w:w="1020" w:type="dxa"/>
            <w:tcBorders>
              <w:top w:val="nil"/>
              <w:left w:val="nil"/>
              <w:bottom w:val="nil"/>
              <w:right w:val="nil"/>
            </w:tcBorders>
            <w:shd w:val="clear" w:color="auto" w:fill="auto"/>
            <w:noWrap/>
            <w:vAlign w:val="bottom"/>
            <w:hideMark/>
          </w:tcPr>
          <w:p w14:paraId="5DCAAC42"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1960</w:t>
            </w:r>
          </w:p>
        </w:tc>
        <w:tc>
          <w:tcPr>
            <w:tcW w:w="1020" w:type="dxa"/>
            <w:tcBorders>
              <w:top w:val="nil"/>
              <w:left w:val="nil"/>
              <w:bottom w:val="nil"/>
              <w:right w:val="nil"/>
            </w:tcBorders>
            <w:shd w:val="clear" w:color="auto" w:fill="auto"/>
            <w:noWrap/>
            <w:vAlign w:val="bottom"/>
            <w:hideMark/>
          </w:tcPr>
          <w:p w14:paraId="433F4E62"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2016</w:t>
            </w:r>
          </w:p>
        </w:tc>
      </w:tr>
      <w:tr w:rsidR="00376AC8" w:rsidRPr="000D32CD" w14:paraId="7704B384" w14:textId="77777777" w:rsidTr="00A15EBA">
        <w:trPr>
          <w:trHeight w:val="300"/>
        </w:trPr>
        <w:tc>
          <w:tcPr>
            <w:tcW w:w="3742" w:type="dxa"/>
            <w:tcBorders>
              <w:top w:val="nil"/>
              <w:left w:val="nil"/>
              <w:bottom w:val="nil"/>
              <w:right w:val="nil"/>
            </w:tcBorders>
            <w:shd w:val="clear" w:color="auto" w:fill="auto"/>
            <w:noWrap/>
            <w:vAlign w:val="bottom"/>
            <w:hideMark/>
          </w:tcPr>
          <w:p w14:paraId="46965A06"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T</w:t>
            </w:r>
            <w:r w:rsidRPr="008B4188">
              <w:rPr>
                <w:rFonts w:ascii="Garamond" w:eastAsia="Times New Roman" w:hAnsi="Garamond" w:cs="Calibri"/>
                <w:color w:val="000000"/>
              </w:rPr>
              <w:t>urkey</w:t>
            </w:r>
          </w:p>
        </w:tc>
        <w:tc>
          <w:tcPr>
            <w:tcW w:w="1020" w:type="dxa"/>
            <w:tcBorders>
              <w:top w:val="nil"/>
              <w:left w:val="nil"/>
              <w:bottom w:val="nil"/>
              <w:right w:val="nil"/>
            </w:tcBorders>
            <w:shd w:val="clear" w:color="auto" w:fill="auto"/>
            <w:noWrap/>
            <w:vAlign w:val="bottom"/>
            <w:hideMark/>
          </w:tcPr>
          <w:p w14:paraId="11086F79"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2004</w:t>
            </w:r>
          </w:p>
        </w:tc>
        <w:tc>
          <w:tcPr>
            <w:tcW w:w="1020" w:type="dxa"/>
            <w:tcBorders>
              <w:top w:val="nil"/>
              <w:left w:val="nil"/>
              <w:bottom w:val="nil"/>
              <w:right w:val="nil"/>
            </w:tcBorders>
            <w:shd w:val="clear" w:color="auto" w:fill="auto"/>
            <w:noWrap/>
            <w:vAlign w:val="bottom"/>
            <w:hideMark/>
          </w:tcPr>
          <w:p w14:paraId="0BA93FE4"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2016</w:t>
            </w:r>
          </w:p>
        </w:tc>
      </w:tr>
      <w:tr w:rsidR="00376AC8" w:rsidRPr="000D32CD" w14:paraId="6EAE8943" w14:textId="77777777" w:rsidTr="00A15EBA">
        <w:trPr>
          <w:trHeight w:val="300"/>
        </w:trPr>
        <w:tc>
          <w:tcPr>
            <w:tcW w:w="3742" w:type="dxa"/>
            <w:tcBorders>
              <w:top w:val="nil"/>
              <w:left w:val="nil"/>
              <w:bottom w:val="nil"/>
              <w:right w:val="nil"/>
            </w:tcBorders>
            <w:shd w:val="clear" w:color="auto" w:fill="auto"/>
            <w:noWrap/>
            <w:vAlign w:val="bottom"/>
            <w:hideMark/>
          </w:tcPr>
          <w:p w14:paraId="0A67B6CF"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U</w:t>
            </w:r>
            <w:r w:rsidRPr="008B4188">
              <w:rPr>
                <w:rFonts w:ascii="Garamond" w:eastAsia="Times New Roman" w:hAnsi="Garamond" w:cs="Calibri"/>
                <w:color w:val="000000"/>
              </w:rPr>
              <w:t>kraine</w:t>
            </w:r>
          </w:p>
        </w:tc>
        <w:tc>
          <w:tcPr>
            <w:tcW w:w="1020" w:type="dxa"/>
            <w:tcBorders>
              <w:top w:val="nil"/>
              <w:left w:val="nil"/>
              <w:bottom w:val="nil"/>
              <w:right w:val="nil"/>
            </w:tcBorders>
            <w:shd w:val="clear" w:color="auto" w:fill="auto"/>
            <w:noWrap/>
            <w:vAlign w:val="bottom"/>
            <w:hideMark/>
          </w:tcPr>
          <w:p w14:paraId="47DCCD62"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2005</w:t>
            </w:r>
          </w:p>
        </w:tc>
        <w:tc>
          <w:tcPr>
            <w:tcW w:w="1020" w:type="dxa"/>
            <w:tcBorders>
              <w:top w:val="nil"/>
              <w:left w:val="nil"/>
              <w:bottom w:val="nil"/>
              <w:right w:val="nil"/>
            </w:tcBorders>
            <w:shd w:val="clear" w:color="auto" w:fill="auto"/>
            <w:noWrap/>
            <w:vAlign w:val="bottom"/>
            <w:hideMark/>
          </w:tcPr>
          <w:p w14:paraId="7CC00C8D"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2015</w:t>
            </w:r>
          </w:p>
        </w:tc>
      </w:tr>
      <w:tr w:rsidR="00376AC8" w:rsidRPr="000D32CD" w14:paraId="56373614" w14:textId="77777777" w:rsidTr="00A15EBA">
        <w:trPr>
          <w:trHeight w:val="300"/>
        </w:trPr>
        <w:tc>
          <w:tcPr>
            <w:tcW w:w="3742" w:type="dxa"/>
            <w:tcBorders>
              <w:top w:val="nil"/>
              <w:left w:val="nil"/>
              <w:right w:val="nil"/>
            </w:tcBorders>
            <w:shd w:val="clear" w:color="auto" w:fill="auto"/>
            <w:noWrap/>
            <w:vAlign w:val="bottom"/>
            <w:hideMark/>
          </w:tcPr>
          <w:p w14:paraId="38D4BBE9"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U</w:t>
            </w:r>
            <w:r w:rsidRPr="008B4188">
              <w:rPr>
                <w:rFonts w:ascii="Garamond" w:eastAsia="Times New Roman" w:hAnsi="Garamond" w:cs="Calibri"/>
                <w:color w:val="000000"/>
              </w:rPr>
              <w:t>nited</w:t>
            </w:r>
            <w:r>
              <w:rPr>
                <w:rFonts w:ascii="Garamond" w:eastAsia="Times New Roman" w:hAnsi="Garamond" w:cs="Calibri"/>
                <w:color w:val="000000"/>
              </w:rPr>
              <w:t xml:space="preserve"> K</w:t>
            </w:r>
            <w:r w:rsidRPr="008B4188">
              <w:rPr>
                <w:rFonts w:ascii="Garamond" w:eastAsia="Times New Roman" w:hAnsi="Garamond" w:cs="Calibri"/>
                <w:color w:val="000000"/>
              </w:rPr>
              <w:t>in</w:t>
            </w:r>
            <w:r>
              <w:rPr>
                <w:rFonts w:ascii="Garamond" w:eastAsia="Times New Roman" w:hAnsi="Garamond" w:cs="Calibri"/>
                <w:color w:val="000000"/>
              </w:rPr>
              <w:t>gdom</w:t>
            </w:r>
          </w:p>
        </w:tc>
        <w:tc>
          <w:tcPr>
            <w:tcW w:w="1020" w:type="dxa"/>
            <w:tcBorders>
              <w:top w:val="nil"/>
              <w:left w:val="nil"/>
              <w:right w:val="nil"/>
            </w:tcBorders>
            <w:shd w:val="clear" w:color="auto" w:fill="auto"/>
            <w:noWrap/>
            <w:vAlign w:val="bottom"/>
            <w:hideMark/>
          </w:tcPr>
          <w:p w14:paraId="5439BB20"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1973</w:t>
            </w:r>
          </w:p>
        </w:tc>
        <w:tc>
          <w:tcPr>
            <w:tcW w:w="1020" w:type="dxa"/>
            <w:tcBorders>
              <w:top w:val="nil"/>
              <w:left w:val="nil"/>
              <w:right w:val="nil"/>
            </w:tcBorders>
            <w:shd w:val="clear" w:color="auto" w:fill="auto"/>
            <w:noWrap/>
            <w:vAlign w:val="bottom"/>
            <w:hideMark/>
          </w:tcPr>
          <w:p w14:paraId="45CCA087"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2016</w:t>
            </w:r>
          </w:p>
        </w:tc>
      </w:tr>
      <w:tr w:rsidR="00376AC8" w:rsidRPr="000D32CD" w14:paraId="60FADF1C" w14:textId="77777777" w:rsidTr="00A15EBA">
        <w:trPr>
          <w:trHeight w:val="300"/>
        </w:trPr>
        <w:tc>
          <w:tcPr>
            <w:tcW w:w="3742" w:type="dxa"/>
            <w:tcBorders>
              <w:top w:val="nil"/>
              <w:left w:val="nil"/>
              <w:bottom w:val="single" w:sz="4" w:space="0" w:color="auto"/>
              <w:right w:val="nil"/>
            </w:tcBorders>
            <w:shd w:val="clear" w:color="auto" w:fill="auto"/>
            <w:noWrap/>
            <w:vAlign w:val="bottom"/>
            <w:hideMark/>
          </w:tcPr>
          <w:p w14:paraId="1F2291B5" w14:textId="77777777" w:rsidR="00376AC8" w:rsidRPr="008B4188" w:rsidRDefault="00376AC8" w:rsidP="00A15EBA">
            <w:pPr>
              <w:spacing w:after="0" w:line="240" w:lineRule="auto"/>
              <w:rPr>
                <w:rFonts w:ascii="Garamond" w:eastAsia="Times New Roman" w:hAnsi="Garamond" w:cs="Calibri"/>
                <w:color w:val="000000"/>
              </w:rPr>
            </w:pPr>
            <w:r>
              <w:rPr>
                <w:rFonts w:ascii="Garamond" w:eastAsia="Times New Roman" w:hAnsi="Garamond" w:cs="Calibri"/>
                <w:color w:val="000000"/>
              </w:rPr>
              <w:t>W</w:t>
            </w:r>
            <w:r w:rsidRPr="000D32CD">
              <w:rPr>
                <w:rFonts w:ascii="Garamond" w:eastAsia="Times New Roman" w:hAnsi="Garamond" w:cs="Calibri"/>
                <w:color w:val="000000"/>
              </w:rPr>
              <w:t xml:space="preserve">estern </w:t>
            </w:r>
            <w:r>
              <w:rPr>
                <w:rFonts w:ascii="Garamond" w:eastAsia="Times New Roman" w:hAnsi="Garamond" w:cs="Calibri"/>
                <w:color w:val="000000"/>
              </w:rPr>
              <w:t>Germany</w:t>
            </w:r>
          </w:p>
        </w:tc>
        <w:tc>
          <w:tcPr>
            <w:tcW w:w="1020" w:type="dxa"/>
            <w:tcBorders>
              <w:top w:val="nil"/>
              <w:left w:val="nil"/>
              <w:bottom w:val="single" w:sz="4" w:space="0" w:color="auto"/>
              <w:right w:val="nil"/>
            </w:tcBorders>
            <w:shd w:val="clear" w:color="auto" w:fill="auto"/>
            <w:noWrap/>
            <w:vAlign w:val="bottom"/>
            <w:hideMark/>
          </w:tcPr>
          <w:p w14:paraId="0C3C8A93"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1960</w:t>
            </w:r>
          </w:p>
        </w:tc>
        <w:tc>
          <w:tcPr>
            <w:tcW w:w="1020" w:type="dxa"/>
            <w:tcBorders>
              <w:top w:val="nil"/>
              <w:left w:val="nil"/>
              <w:bottom w:val="single" w:sz="4" w:space="0" w:color="auto"/>
              <w:right w:val="nil"/>
            </w:tcBorders>
            <w:shd w:val="clear" w:color="auto" w:fill="auto"/>
            <w:noWrap/>
            <w:vAlign w:val="bottom"/>
            <w:hideMark/>
          </w:tcPr>
          <w:p w14:paraId="099CD743" w14:textId="77777777" w:rsidR="00376AC8" w:rsidRPr="008B4188" w:rsidRDefault="00376AC8" w:rsidP="00A15EBA">
            <w:pPr>
              <w:spacing w:after="0" w:line="240" w:lineRule="auto"/>
              <w:jc w:val="right"/>
              <w:rPr>
                <w:rFonts w:ascii="Garamond" w:eastAsia="Times New Roman" w:hAnsi="Garamond" w:cs="Calibri"/>
                <w:color w:val="000000"/>
              </w:rPr>
            </w:pPr>
            <w:r w:rsidRPr="008B4188">
              <w:rPr>
                <w:rFonts w:ascii="Garamond" w:eastAsia="Times New Roman" w:hAnsi="Garamond" w:cs="Calibri"/>
                <w:color w:val="000000"/>
              </w:rPr>
              <w:t>1990</w:t>
            </w:r>
          </w:p>
        </w:tc>
      </w:tr>
    </w:tbl>
    <w:p w14:paraId="3E9584D3" w14:textId="6CF1452F" w:rsidR="00376AC8" w:rsidRPr="00376AC8" w:rsidRDefault="00D11565" w:rsidP="00D11565">
      <w:pPr>
        <w:jc w:val="both"/>
        <w:rPr>
          <w:rFonts w:ascii="Garamond" w:hAnsi="Garamond"/>
          <w:b/>
        </w:rPr>
      </w:pPr>
      <w:r w:rsidRPr="00D11565">
        <w:rPr>
          <w:rFonts w:ascii="Garamond" w:hAnsi="Garamond"/>
          <w:i/>
          <w:iCs/>
        </w:rPr>
        <w:t>Note:</w:t>
      </w:r>
      <w:r w:rsidRPr="00D11565">
        <w:rPr>
          <w:rFonts w:ascii="Garamond" w:hAnsi="Garamond"/>
        </w:rPr>
        <w:t xml:space="preserve"> </w:t>
      </w:r>
      <w:r w:rsidR="00376AC8" w:rsidRPr="00376AC8">
        <w:rPr>
          <w:rFonts w:ascii="Garamond" w:hAnsi="Garamond"/>
        </w:rPr>
        <w:t xml:space="preserve">Countries entry to and exit from the database follows exogenous political agreements. Countries that have split over this time period are usually countries from the former Soviet </w:t>
      </w:r>
      <w:r w:rsidR="00376AC8" w:rsidRPr="00D11565">
        <w:rPr>
          <w:rFonts w:ascii="Garamond" w:hAnsi="Garamond"/>
        </w:rPr>
        <w:t>bloc</w:t>
      </w:r>
      <w:r w:rsidR="00376AC8" w:rsidRPr="00376AC8">
        <w:rPr>
          <w:rFonts w:ascii="Garamond" w:hAnsi="Garamond"/>
        </w:rPr>
        <w:t xml:space="preserve"> and former Yugoslavia. These countries enter the Eurostat database after they split. The database includes Western Germany from 1960 to 1990, while from 1991 it includes the unified Germany. Countries names in Table B.1 are those used in the Eurostat database.</w:t>
      </w:r>
    </w:p>
    <w:p w14:paraId="33C9FE53" w14:textId="4385292F" w:rsidR="00322F75" w:rsidRDefault="00322F75">
      <w:r>
        <w:br w:type="page"/>
      </w:r>
    </w:p>
    <w:p w14:paraId="584E6430" w14:textId="6595461C" w:rsidR="00322F75" w:rsidRDefault="00322F75" w:rsidP="00322F75">
      <w:pPr>
        <w:pStyle w:val="Titolo1"/>
      </w:pPr>
      <w:r>
        <w:lastRenderedPageBreak/>
        <w:t>Appendix C</w:t>
      </w:r>
      <w:r w:rsidRPr="00102AAF">
        <w:t xml:space="preserve">: </w:t>
      </w:r>
      <w:r w:rsidR="00BC57EA" w:rsidRPr="00BC57EA">
        <w:t>Leave-one-out analysis</w:t>
      </w:r>
    </w:p>
    <w:p w14:paraId="6689D05B" w14:textId="77777777" w:rsidR="00376AC8" w:rsidRDefault="00376AC8" w:rsidP="00376AC8"/>
    <w:p w14:paraId="7EDCAD81" w14:textId="77777777" w:rsidR="00BC57EA" w:rsidRDefault="00BC57EA" w:rsidP="00BC57EA">
      <w:pPr>
        <w:jc w:val="center"/>
        <w:rPr>
          <w:rFonts w:ascii="Garamond" w:hAnsi="Garamond"/>
          <w:b/>
          <w:bCs/>
          <w:sz w:val="24"/>
          <w:szCs w:val="24"/>
        </w:rPr>
      </w:pPr>
    </w:p>
    <w:p w14:paraId="72F93BB3" w14:textId="301DE248" w:rsidR="00BC57EA" w:rsidRPr="00AB17C3" w:rsidRDefault="00BC57EA" w:rsidP="00BC57EA">
      <w:pPr>
        <w:jc w:val="center"/>
        <w:rPr>
          <w:rFonts w:ascii="Garamond" w:hAnsi="Garamond"/>
          <w:b/>
          <w:bCs/>
          <w:sz w:val="24"/>
          <w:szCs w:val="24"/>
        </w:rPr>
      </w:pPr>
      <w:r w:rsidRPr="00AB17C3">
        <w:rPr>
          <w:rFonts w:ascii="Garamond" w:hAnsi="Garamond"/>
          <w:b/>
          <w:bCs/>
          <w:sz w:val="24"/>
          <w:szCs w:val="24"/>
        </w:rPr>
        <w:t xml:space="preserve">Figure </w:t>
      </w:r>
      <w:r>
        <w:rPr>
          <w:rFonts w:ascii="Garamond" w:hAnsi="Garamond"/>
          <w:b/>
          <w:bCs/>
          <w:sz w:val="24"/>
          <w:szCs w:val="24"/>
        </w:rPr>
        <w:t>C</w:t>
      </w:r>
      <w:r w:rsidRPr="00AB17C3">
        <w:rPr>
          <w:rFonts w:ascii="Garamond" w:hAnsi="Garamond"/>
          <w:b/>
          <w:bCs/>
          <w:sz w:val="24"/>
          <w:szCs w:val="24"/>
        </w:rPr>
        <w:t>.</w:t>
      </w:r>
      <w:r>
        <w:rPr>
          <w:rFonts w:ascii="Garamond" w:hAnsi="Garamond"/>
          <w:b/>
          <w:bCs/>
          <w:sz w:val="24"/>
          <w:szCs w:val="24"/>
        </w:rPr>
        <w:t xml:space="preserve">1 </w:t>
      </w:r>
      <w:r w:rsidRPr="00AB17C3">
        <w:rPr>
          <w:rFonts w:ascii="Garamond" w:hAnsi="Garamond"/>
          <w:sz w:val="24"/>
          <w:szCs w:val="24"/>
        </w:rPr>
        <w:t>Leave-one-out analysis</w:t>
      </w:r>
      <w:r>
        <w:rPr>
          <w:rFonts w:ascii="Garamond" w:hAnsi="Garamond"/>
          <w:sz w:val="24"/>
          <w:szCs w:val="24"/>
        </w:rPr>
        <w:t>.</w:t>
      </w:r>
    </w:p>
    <w:p w14:paraId="5E743C62" w14:textId="77777777" w:rsidR="00BC57EA" w:rsidRDefault="00BC57EA" w:rsidP="00BC57EA">
      <w:pPr>
        <w:keepNext/>
        <w:spacing w:line="360" w:lineRule="auto"/>
        <w:jc w:val="center"/>
        <w:rPr>
          <w:rFonts w:ascii="Garamond" w:hAnsi="Garamond"/>
          <w:sz w:val="20"/>
          <w:szCs w:val="20"/>
        </w:rPr>
      </w:pPr>
      <w:r>
        <w:rPr>
          <w:rFonts w:ascii="Garamond" w:hAnsi="Garamond"/>
          <w:noProof/>
          <w:sz w:val="20"/>
          <w:szCs w:val="20"/>
        </w:rPr>
        <w:drawing>
          <wp:inline distT="0" distB="0" distL="0" distR="0" wp14:anchorId="4B95B899" wp14:editId="49D798D4">
            <wp:extent cx="4444779" cy="3233387"/>
            <wp:effectExtent l="0" t="0" r="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 one out - fig 2.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42935" cy="3232045"/>
                    </a:xfrm>
                    <a:prstGeom prst="rect">
                      <a:avLst/>
                    </a:prstGeom>
                  </pic:spPr>
                </pic:pic>
              </a:graphicData>
            </a:graphic>
          </wp:inline>
        </w:drawing>
      </w:r>
    </w:p>
    <w:p w14:paraId="2C3D6D45" w14:textId="77777777" w:rsidR="00BC57EA" w:rsidRPr="00ED0E7C" w:rsidRDefault="00BC57EA" w:rsidP="00BC57EA">
      <w:pPr>
        <w:keepNext/>
        <w:spacing w:line="240" w:lineRule="auto"/>
        <w:ind w:left="720"/>
        <w:jc w:val="both"/>
        <w:rPr>
          <w:rFonts w:ascii="Garamond" w:hAnsi="Garamond"/>
          <w:sz w:val="20"/>
          <w:szCs w:val="20"/>
        </w:rPr>
      </w:pPr>
      <w:r w:rsidRPr="00ED0E7C">
        <w:rPr>
          <w:rFonts w:ascii="Garamond" w:hAnsi="Garamond"/>
          <w:i/>
          <w:iCs/>
          <w:sz w:val="20"/>
          <w:szCs w:val="20"/>
        </w:rPr>
        <w:t>Note</w:t>
      </w:r>
      <w:r w:rsidRPr="00ED0E7C">
        <w:rPr>
          <w:rFonts w:ascii="Garamond" w:hAnsi="Garamond"/>
          <w:sz w:val="20"/>
          <w:szCs w:val="20"/>
        </w:rPr>
        <w:t>: The figure plots the parameter estimates alongside 95% confidence intervals of the</w:t>
      </w:r>
      <w:r w:rsidRPr="00ED0E7C">
        <w:t xml:space="preserve"> </w:t>
      </w:r>
      <w:r w:rsidRPr="00ED0E7C">
        <w:rPr>
          <w:rFonts w:ascii="Garamond" w:hAnsi="Garamond"/>
          <w:sz w:val="20"/>
          <w:szCs w:val="20"/>
        </w:rPr>
        <w:t>leave-one-out analysis which estimates Equation (</w:t>
      </w:r>
      <w:r>
        <w:rPr>
          <w:rFonts w:ascii="Garamond" w:hAnsi="Garamond"/>
          <w:sz w:val="20"/>
          <w:szCs w:val="20"/>
        </w:rPr>
        <w:t>1</w:t>
      </w:r>
      <w:r w:rsidRPr="00ED0E7C">
        <w:rPr>
          <w:rFonts w:ascii="Garamond" w:hAnsi="Garamond"/>
          <w:sz w:val="20"/>
          <w:szCs w:val="20"/>
        </w:rPr>
        <w:t xml:space="preserve">) by omitting one Country at time. The red </w:t>
      </w:r>
      <w:r>
        <w:rPr>
          <w:rFonts w:ascii="Garamond" w:hAnsi="Garamond"/>
          <w:sz w:val="20"/>
          <w:szCs w:val="20"/>
        </w:rPr>
        <w:t>diamond</w:t>
      </w:r>
      <w:r w:rsidRPr="00ED0E7C">
        <w:rPr>
          <w:rFonts w:ascii="Garamond" w:hAnsi="Garamond"/>
          <w:sz w:val="20"/>
          <w:szCs w:val="20"/>
        </w:rPr>
        <w:t>/line refers to the baseline estimate with no omitted Country.</w:t>
      </w:r>
    </w:p>
    <w:p w14:paraId="7C1DEE9B" w14:textId="6298114D" w:rsidR="00322F75" w:rsidRPr="00C93678" w:rsidRDefault="00322F75" w:rsidP="00C93678">
      <w:pPr>
        <w:spacing w:line="360" w:lineRule="auto"/>
        <w:rPr>
          <w:rFonts w:ascii="Garamond" w:hAnsi="Garamond"/>
          <w:sz w:val="24"/>
          <w:szCs w:val="24"/>
        </w:rPr>
      </w:pPr>
    </w:p>
    <w:sectPr w:rsidR="00322F75" w:rsidRPr="00C93678" w:rsidSect="00D96ED2">
      <w:foot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596A7" w14:textId="77777777" w:rsidR="00621358" w:rsidRDefault="00621358" w:rsidP="00A24D9B">
      <w:pPr>
        <w:spacing w:after="0" w:line="240" w:lineRule="auto"/>
      </w:pPr>
      <w:r>
        <w:separator/>
      </w:r>
    </w:p>
  </w:endnote>
  <w:endnote w:type="continuationSeparator" w:id="0">
    <w:p w14:paraId="072B5412" w14:textId="77777777" w:rsidR="00621358" w:rsidRDefault="00621358" w:rsidP="00A2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006863"/>
      <w:docPartObj>
        <w:docPartGallery w:val="Page Numbers (Bottom of Page)"/>
        <w:docPartUnique/>
      </w:docPartObj>
    </w:sdtPr>
    <w:sdtEndPr>
      <w:rPr>
        <w:noProof/>
      </w:rPr>
    </w:sdtEndPr>
    <w:sdtContent>
      <w:p w14:paraId="28F41F9D" w14:textId="5D606625" w:rsidR="00BC57EA" w:rsidRDefault="00BC57EA">
        <w:pPr>
          <w:pStyle w:val="Pidipagina"/>
          <w:jc w:val="center"/>
        </w:pPr>
        <w:r>
          <w:fldChar w:fldCharType="begin"/>
        </w:r>
        <w:r>
          <w:instrText xml:space="preserve"> PAGE   \* MERGEFORMAT </w:instrText>
        </w:r>
        <w:r>
          <w:fldChar w:fldCharType="separate"/>
        </w:r>
        <w:r w:rsidR="00C93678">
          <w:rPr>
            <w:noProof/>
          </w:rPr>
          <w:t>14</w:t>
        </w:r>
        <w:r>
          <w:rPr>
            <w:noProof/>
          </w:rPr>
          <w:fldChar w:fldCharType="end"/>
        </w:r>
      </w:p>
    </w:sdtContent>
  </w:sdt>
  <w:p w14:paraId="02C14080" w14:textId="77777777" w:rsidR="00BC57EA" w:rsidRDefault="00BC57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8C12" w14:textId="77777777" w:rsidR="00621358" w:rsidRDefault="00621358" w:rsidP="00A24D9B">
      <w:pPr>
        <w:spacing w:after="0" w:line="240" w:lineRule="auto"/>
      </w:pPr>
      <w:r>
        <w:separator/>
      </w:r>
    </w:p>
  </w:footnote>
  <w:footnote w:type="continuationSeparator" w:id="0">
    <w:p w14:paraId="7944E5CF" w14:textId="77777777" w:rsidR="00621358" w:rsidRDefault="00621358" w:rsidP="00A24D9B">
      <w:pPr>
        <w:spacing w:after="0" w:line="240" w:lineRule="auto"/>
      </w:pPr>
      <w:r>
        <w:continuationSeparator/>
      </w:r>
    </w:p>
  </w:footnote>
  <w:footnote w:id="1">
    <w:p w14:paraId="4E6CA644" w14:textId="5935FD56" w:rsidR="00BC57EA" w:rsidRPr="00C93D61" w:rsidRDefault="00BC57EA" w:rsidP="001D1328">
      <w:pPr>
        <w:pStyle w:val="Testonotaapidipagina"/>
        <w:jc w:val="both"/>
      </w:pPr>
      <w:r w:rsidRPr="00486C31">
        <w:rPr>
          <w:rStyle w:val="Rimandonotaapidipagina"/>
        </w:rPr>
        <w:footnoteRef/>
      </w:r>
      <w:r>
        <w:t xml:space="preserve"> </w:t>
      </w:r>
      <w:r>
        <w:rPr>
          <w:rFonts w:ascii="Garamond" w:hAnsi="Garamond"/>
        </w:rPr>
        <w:t>That is, eight and nine months after the month when the tournament started, which gives nine and ten months of gestation respectively.</w:t>
      </w:r>
    </w:p>
  </w:footnote>
  <w:footnote w:id="2">
    <w:p w14:paraId="05312F8C" w14:textId="194B396B" w:rsidR="00BC57EA" w:rsidRPr="001D1328" w:rsidRDefault="00BC57EA" w:rsidP="001D1328">
      <w:pPr>
        <w:pStyle w:val="Testonotaapidipagina"/>
        <w:jc w:val="both"/>
        <w:rPr>
          <w:rFonts w:ascii="Garamond" w:hAnsi="Garamond"/>
        </w:rPr>
      </w:pPr>
      <w:r w:rsidRPr="00486C31">
        <w:rPr>
          <w:rStyle w:val="Rimandonotaapidipagina"/>
        </w:rPr>
        <w:footnoteRef/>
      </w:r>
      <w:r>
        <w:t xml:space="preserve"> </w:t>
      </w:r>
      <w:r w:rsidRPr="001D1328">
        <w:rPr>
          <w:rFonts w:ascii="Garamond" w:hAnsi="Garamond"/>
        </w:rPr>
        <w:t xml:space="preserve">This is probably due to the lack of information on </w:t>
      </w:r>
      <w:r w:rsidRPr="001D1328">
        <w:rPr>
          <w:rFonts w:ascii="Garamond" w:hAnsi="Garamond"/>
          <w:i/>
        </w:rPr>
        <w:t>daily</w:t>
      </w:r>
      <w:r w:rsidRPr="001D1328">
        <w:rPr>
          <w:rFonts w:ascii="Garamond" w:hAnsi="Garamond"/>
        </w:rPr>
        <w:t xml:space="preserve"> births.</w:t>
      </w:r>
      <w:r w:rsidRPr="00307C71">
        <w:t xml:space="preserve"> </w:t>
      </w:r>
      <w:r w:rsidRPr="001D1328">
        <w:rPr>
          <w:rFonts w:ascii="Garamond" w:hAnsi="Garamond"/>
        </w:rPr>
        <w:t xml:space="preserve">Lower conception </w:t>
      </w:r>
      <w:r w:rsidRPr="00307C71">
        <w:rPr>
          <w:rFonts w:ascii="Garamond" w:hAnsi="Garamond"/>
        </w:rPr>
        <w:t>rate</w:t>
      </w:r>
      <w:r>
        <w:rPr>
          <w:rFonts w:ascii="Garamond" w:hAnsi="Garamond"/>
        </w:rPr>
        <w:t xml:space="preserve"> at the end of the</w:t>
      </w:r>
      <w:r w:rsidRPr="001D1328">
        <w:rPr>
          <w:rFonts w:ascii="Garamond" w:hAnsi="Garamond"/>
        </w:rPr>
        <w:t xml:space="preserve"> month </w:t>
      </w:r>
      <w:r>
        <w:rPr>
          <w:rFonts w:ascii="Garamond" w:hAnsi="Garamond"/>
        </w:rPr>
        <w:t xml:space="preserve">when the tournament started </w:t>
      </w:r>
      <w:r w:rsidRPr="001D1328">
        <w:rPr>
          <w:rFonts w:ascii="Garamond" w:hAnsi="Garamond"/>
        </w:rPr>
        <w:t>might reflect into lower birth</w:t>
      </w:r>
      <w:r>
        <w:rPr>
          <w:rFonts w:ascii="Garamond" w:hAnsi="Garamond"/>
        </w:rPr>
        <w:t xml:space="preserve"> rates</w:t>
      </w:r>
      <w:r w:rsidRPr="001D1328">
        <w:rPr>
          <w:rFonts w:ascii="Garamond" w:hAnsi="Garamond"/>
        </w:rPr>
        <w:t xml:space="preserve"> </w:t>
      </w:r>
      <w:r>
        <w:rPr>
          <w:rFonts w:ascii="Garamond" w:hAnsi="Garamond"/>
        </w:rPr>
        <w:t xml:space="preserve">about </w:t>
      </w:r>
      <w:r w:rsidRPr="001D1328">
        <w:rPr>
          <w:rFonts w:ascii="Garamond" w:hAnsi="Garamond"/>
        </w:rPr>
        <w:t xml:space="preserve">ten months </w:t>
      </w:r>
      <w:r>
        <w:rPr>
          <w:rFonts w:ascii="Garamond" w:hAnsi="Garamond"/>
        </w:rPr>
        <w:t>later</w:t>
      </w:r>
      <w:r w:rsidRPr="001D1328">
        <w:rPr>
          <w:rFonts w:ascii="Garamond" w:hAnsi="Garamond"/>
        </w:rPr>
        <w:t>, that is,</w:t>
      </w:r>
      <w:r>
        <w:rPr>
          <w:rFonts w:ascii="Garamond" w:hAnsi="Garamond"/>
        </w:rPr>
        <w:t xml:space="preserve"> between ten and</w:t>
      </w:r>
      <w:r w:rsidRPr="001D1328">
        <w:rPr>
          <w:rFonts w:ascii="Garamond" w:hAnsi="Garamond"/>
        </w:rPr>
        <w:t xml:space="preserve"> eleven months after the beginning of the tournament</w:t>
      </w:r>
      <w:r>
        <w:rPr>
          <w:rFonts w:ascii="Garamond" w:hAnsi="Garamond"/>
        </w:rPr>
        <w:t>.</w:t>
      </w:r>
    </w:p>
  </w:footnote>
  <w:footnote w:id="3">
    <w:p w14:paraId="0291C2FD" w14:textId="08C7F71E" w:rsidR="00BC57EA" w:rsidRPr="003D366A" w:rsidRDefault="00BC57EA" w:rsidP="003D366A">
      <w:pPr>
        <w:jc w:val="both"/>
        <w:rPr>
          <w:rFonts w:ascii="Garamond" w:hAnsi="Garamond"/>
        </w:rPr>
      </w:pPr>
      <w:r w:rsidRPr="00486C31">
        <w:rPr>
          <w:rStyle w:val="Rimandonotaapidipagina"/>
        </w:rPr>
        <w:footnoteRef/>
      </w:r>
      <w:r w:rsidRPr="003D366A">
        <w:rPr>
          <w:rFonts w:ascii="Garamond" w:hAnsi="Garamond"/>
        </w:rPr>
        <w:t xml:space="preserve"> </w:t>
      </w:r>
      <w:r w:rsidRPr="00376AC8">
        <w:rPr>
          <w:rFonts w:ascii="Garamond" w:hAnsi="Garamond"/>
          <w:sz w:val="20"/>
          <w:szCs w:val="20"/>
        </w:rPr>
        <w:t>For example, let us say that Italy participated to 20 international competitions, so we have 20 ELO scores for Italy; we randomly reassign these 20 ELO scores across the 20 Italian appearances in these competitions.</w:t>
      </w:r>
    </w:p>
  </w:footnote>
  <w:footnote w:id="4">
    <w:p w14:paraId="09F007E9" w14:textId="043819CF" w:rsidR="00BC57EA" w:rsidRPr="008F15ED" w:rsidRDefault="00BC57EA">
      <w:pPr>
        <w:pStyle w:val="Testonotaapidipagina"/>
        <w:rPr>
          <w:rFonts w:ascii="Garamond" w:hAnsi="Garamond"/>
          <w:sz w:val="22"/>
          <w:szCs w:val="22"/>
        </w:rPr>
      </w:pPr>
      <w:r w:rsidRPr="00486C31">
        <w:rPr>
          <w:rStyle w:val="Rimandonotaapidipagina"/>
        </w:rPr>
        <w:footnoteRef/>
      </w:r>
      <w:r w:rsidRPr="008F15ED">
        <w:rPr>
          <w:rFonts w:ascii="Garamond" w:hAnsi="Garamond"/>
          <w:sz w:val="22"/>
          <w:szCs w:val="22"/>
        </w:rPr>
        <w:t xml:space="preserve"> </w:t>
      </w:r>
      <w:r w:rsidRPr="00376AC8">
        <w:rPr>
          <w:rFonts w:ascii="Garamond" w:hAnsi="Garamond"/>
        </w:rPr>
        <w:t>Historically, also World Cups outside of Europe scheduled matches at times corresponding to late afternoon/night in Europe (e.g., the US and Brazil World Cups).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D37D1"/>
    <w:multiLevelType w:val="hybridMultilevel"/>
    <w:tmpl w:val="106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CxMDEytDQ3NbM0N7dU0lEKTi0uzszPAykwqwUApNTLjSwAAAA="/>
  </w:docVars>
  <w:rsids>
    <w:rsidRoot w:val="007209BA"/>
    <w:rsid w:val="00001573"/>
    <w:rsid w:val="00002D59"/>
    <w:rsid w:val="0001109E"/>
    <w:rsid w:val="00011AA3"/>
    <w:rsid w:val="00026659"/>
    <w:rsid w:val="00032585"/>
    <w:rsid w:val="00035CE9"/>
    <w:rsid w:val="00036520"/>
    <w:rsid w:val="00044F49"/>
    <w:rsid w:val="0006303D"/>
    <w:rsid w:val="0007184C"/>
    <w:rsid w:val="000861F6"/>
    <w:rsid w:val="000951D5"/>
    <w:rsid w:val="000A5C62"/>
    <w:rsid w:val="000B35E2"/>
    <w:rsid w:val="000B3974"/>
    <w:rsid w:val="000C1BD3"/>
    <w:rsid w:val="000C2BD4"/>
    <w:rsid w:val="000C7B39"/>
    <w:rsid w:val="000D32CD"/>
    <w:rsid w:val="000E09E6"/>
    <w:rsid w:val="000E4ACB"/>
    <w:rsid w:val="000F761F"/>
    <w:rsid w:val="00102449"/>
    <w:rsid w:val="00102AAF"/>
    <w:rsid w:val="001243CA"/>
    <w:rsid w:val="0012518C"/>
    <w:rsid w:val="00125348"/>
    <w:rsid w:val="00130B4C"/>
    <w:rsid w:val="00137652"/>
    <w:rsid w:val="00146172"/>
    <w:rsid w:val="00147ADA"/>
    <w:rsid w:val="00147E76"/>
    <w:rsid w:val="001512AF"/>
    <w:rsid w:val="00156061"/>
    <w:rsid w:val="0016493A"/>
    <w:rsid w:val="00165B46"/>
    <w:rsid w:val="00167866"/>
    <w:rsid w:val="00170BA1"/>
    <w:rsid w:val="001770CF"/>
    <w:rsid w:val="00177D67"/>
    <w:rsid w:val="001833EE"/>
    <w:rsid w:val="00184A43"/>
    <w:rsid w:val="00184DBC"/>
    <w:rsid w:val="001A335E"/>
    <w:rsid w:val="001A70B7"/>
    <w:rsid w:val="001B613E"/>
    <w:rsid w:val="001B6C94"/>
    <w:rsid w:val="001D1328"/>
    <w:rsid w:val="001D3705"/>
    <w:rsid w:val="001D397A"/>
    <w:rsid w:val="001E0F89"/>
    <w:rsid w:val="001E59D0"/>
    <w:rsid w:val="001F3165"/>
    <w:rsid w:val="001F35E4"/>
    <w:rsid w:val="001F7115"/>
    <w:rsid w:val="0020722A"/>
    <w:rsid w:val="00221022"/>
    <w:rsid w:val="0022344E"/>
    <w:rsid w:val="00227BEE"/>
    <w:rsid w:val="002341DA"/>
    <w:rsid w:val="002578DA"/>
    <w:rsid w:val="0028017D"/>
    <w:rsid w:val="00281471"/>
    <w:rsid w:val="00295CD5"/>
    <w:rsid w:val="00296909"/>
    <w:rsid w:val="002B5A45"/>
    <w:rsid w:val="002D25D7"/>
    <w:rsid w:val="002D706C"/>
    <w:rsid w:val="002E1003"/>
    <w:rsid w:val="00303008"/>
    <w:rsid w:val="00307C71"/>
    <w:rsid w:val="00322F75"/>
    <w:rsid w:val="003503CC"/>
    <w:rsid w:val="003503F1"/>
    <w:rsid w:val="00354F6F"/>
    <w:rsid w:val="00356560"/>
    <w:rsid w:val="00362DFF"/>
    <w:rsid w:val="003651CF"/>
    <w:rsid w:val="00370BB6"/>
    <w:rsid w:val="00376AC8"/>
    <w:rsid w:val="00382989"/>
    <w:rsid w:val="0039632E"/>
    <w:rsid w:val="00397C61"/>
    <w:rsid w:val="003A3D3E"/>
    <w:rsid w:val="003C18C0"/>
    <w:rsid w:val="003D366A"/>
    <w:rsid w:val="003D46E9"/>
    <w:rsid w:val="003E1842"/>
    <w:rsid w:val="003F3B6F"/>
    <w:rsid w:val="00401428"/>
    <w:rsid w:val="00402DD1"/>
    <w:rsid w:val="00420280"/>
    <w:rsid w:val="00424FA9"/>
    <w:rsid w:val="00427A99"/>
    <w:rsid w:val="0043513B"/>
    <w:rsid w:val="00436D96"/>
    <w:rsid w:val="00446207"/>
    <w:rsid w:val="00456E6F"/>
    <w:rsid w:val="00461C26"/>
    <w:rsid w:val="00463029"/>
    <w:rsid w:val="004677CC"/>
    <w:rsid w:val="004721D2"/>
    <w:rsid w:val="0048226F"/>
    <w:rsid w:val="004865CF"/>
    <w:rsid w:val="00486C31"/>
    <w:rsid w:val="004952AF"/>
    <w:rsid w:val="004956A2"/>
    <w:rsid w:val="00496BFC"/>
    <w:rsid w:val="004A343B"/>
    <w:rsid w:val="004A7553"/>
    <w:rsid w:val="004B310F"/>
    <w:rsid w:val="004B3B1F"/>
    <w:rsid w:val="004B4E1D"/>
    <w:rsid w:val="004C07F4"/>
    <w:rsid w:val="004C1FB5"/>
    <w:rsid w:val="004C326A"/>
    <w:rsid w:val="004E32D9"/>
    <w:rsid w:val="004F04F8"/>
    <w:rsid w:val="004F071B"/>
    <w:rsid w:val="0050048E"/>
    <w:rsid w:val="00500C0E"/>
    <w:rsid w:val="005037CF"/>
    <w:rsid w:val="005077E3"/>
    <w:rsid w:val="00520D78"/>
    <w:rsid w:val="00524229"/>
    <w:rsid w:val="00534F2D"/>
    <w:rsid w:val="00555CE2"/>
    <w:rsid w:val="0056492B"/>
    <w:rsid w:val="00565E66"/>
    <w:rsid w:val="00592786"/>
    <w:rsid w:val="005949EF"/>
    <w:rsid w:val="005A06A1"/>
    <w:rsid w:val="005A5F0F"/>
    <w:rsid w:val="005B0B18"/>
    <w:rsid w:val="005B206C"/>
    <w:rsid w:val="005B5D9A"/>
    <w:rsid w:val="005B6210"/>
    <w:rsid w:val="005C4D61"/>
    <w:rsid w:val="005D5A8F"/>
    <w:rsid w:val="005E3467"/>
    <w:rsid w:val="00621358"/>
    <w:rsid w:val="00633862"/>
    <w:rsid w:val="00635C3A"/>
    <w:rsid w:val="0064179F"/>
    <w:rsid w:val="006426F0"/>
    <w:rsid w:val="00661D1E"/>
    <w:rsid w:val="006670BB"/>
    <w:rsid w:val="006748A7"/>
    <w:rsid w:val="00676911"/>
    <w:rsid w:val="00680B64"/>
    <w:rsid w:val="0068552E"/>
    <w:rsid w:val="006A2DC6"/>
    <w:rsid w:val="006A5349"/>
    <w:rsid w:val="006A7A37"/>
    <w:rsid w:val="006C1AD2"/>
    <w:rsid w:val="006C4B39"/>
    <w:rsid w:val="006D31A4"/>
    <w:rsid w:val="006D3288"/>
    <w:rsid w:val="006D5619"/>
    <w:rsid w:val="006E38BB"/>
    <w:rsid w:val="006E4DA8"/>
    <w:rsid w:val="006E5597"/>
    <w:rsid w:val="006F0ADF"/>
    <w:rsid w:val="006F117D"/>
    <w:rsid w:val="006F1F7C"/>
    <w:rsid w:val="006F3001"/>
    <w:rsid w:val="006F37ED"/>
    <w:rsid w:val="006F3E75"/>
    <w:rsid w:val="006F4A10"/>
    <w:rsid w:val="00702B2D"/>
    <w:rsid w:val="00705D94"/>
    <w:rsid w:val="0071383A"/>
    <w:rsid w:val="00716F17"/>
    <w:rsid w:val="007209BA"/>
    <w:rsid w:val="00727F1A"/>
    <w:rsid w:val="007378B2"/>
    <w:rsid w:val="00744FFB"/>
    <w:rsid w:val="007467B7"/>
    <w:rsid w:val="00751306"/>
    <w:rsid w:val="007704ED"/>
    <w:rsid w:val="0078317B"/>
    <w:rsid w:val="00783561"/>
    <w:rsid w:val="0079079D"/>
    <w:rsid w:val="0079169C"/>
    <w:rsid w:val="00797A99"/>
    <w:rsid w:val="007A72C0"/>
    <w:rsid w:val="007A7FF7"/>
    <w:rsid w:val="007B22BB"/>
    <w:rsid w:val="007C0053"/>
    <w:rsid w:val="007C6AB5"/>
    <w:rsid w:val="007D5ED3"/>
    <w:rsid w:val="007E3204"/>
    <w:rsid w:val="007E515C"/>
    <w:rsid w:val="007F0877"/>
    <w:rsid w:val="007F70BA"/>
    <w:rsid w:val="00830009"/>
    <w:rsid w:val="00834B00"/>
    <w:rsid w:val="008500F2"/>
    <w:rsid w:val="008569B2"/>
    <w:rsid w:val="00865E22"/>
    <w:rsid w:val="008A7DF5"/>
    <w:rsid w:val="008B4188"/>
    <w:rsid w:val="008B54FF"/>
    <w:rsid w:val="008C0964"/>
    <w:rsid w:val="008D5485"/>
    <w:rsid w:val="008D7DAA"/>
    <w:rsid w:val="008E10C6"/>
    <w:rsid w:val="008E2BA2"/>
    <w:rsid w:val="008E6E78"/>
    <w:rsid w:val="008F15ED"/>
    <w:rsid w:val="008F7310"/>
    <w:rsid w:val="009060F3"/>
    <w:rsid w:val="00923055"/>
    <w:rsid w:val="00923446"/>
    <w:rsid w:val="009246CE"/>
    <w:rsid w:val="00956190"/>
    <w:rsid w:val="009614B1"/>
    <w:rsid w:val="00962DD2"/>
    <w:rsid w:val="00993D96"/>
    <w:rsid w:val="009A29AD"/>
    <w:rsid w:val="009C7A34"/>
    <w:rsid w:val="009D7F63"/>
    <w:rsid w:val="009E2C7C"/>
    <w:rsid w:val="009F0861"/>
    <w:rsid w:val="009F2D98"/>
    <w:rsid w:val="009F768E"/>
    <w:rsid w:val="00A15EBA"/>
    <w:rsid w:val="00A229E6"/>
    <w:rsid w:val="00A24D9B"/>
    <w:rsid w:val="00A31CD3"/>
    <w:rsid w:val="00A374BE"/>
    <w:rsid w:val="00A427B1"/>
    <w:rsid w:val="00A443BE"/>
    <w:rsid w:val="00A47110"/>
    <w:rsid w:val="00A6762D"/>
    <w:rsid w:val="00A731F2"/>
    <w:rsid w:val="00A82888"/>
    <w:rsid w:val="00A93B59"/>
    <w:rsid w:val="00AB17C3"/>
    <w:rsid w:val="00AB62C8"/>
    <w:rsid w:val="00AB6F83"/>
    <w:rsid w:val="00AB7A04"/>
    <w:rsid w:val="00AC0BAE"/>
    <w:rsid w:val="00AC1065"/>
    <w:rsid w:val="00AD6AF8"/>
    <w:rsid w:val="00AE11C0"/>
    <w:rsid w:val="00AE240D"/>
    <w:rsid w:val="00AF3E5A"/>
    <w:rsid w:val="00AF5D59"/>
    <w:rsid w:val="00B07D71"/>
    <w:rsid w:val="00B11BB2"/>
    <w:rsid w:val="00B17B8A"/>
    <w:rsid w:val="00B20228"/>
    <w:rsid w:val="00B20BDD"/>
    <w:rsid w:val="00B30233"/>
    <w:rsid w:val="00B41B12"/>
    <w:rsid w:val="00B41D3D"/>
    <w:rsid w:val="00B436C9"/>
    <w:rsid w:val="00B522D6"/>
    <w:rsid w:val="00B52C09"/>
    <w:rsid w:val="00B52C77"/>
    <w:rsid w:val="00B52EDF"/>
    <w:rsid w:val="00B6033D"/>
    <w:rsid w:val="00B8390A"/>
    <w:rsid w:val="00B84999"/>
    <w:rsid w:val="00B85973"/>
    <w:rsid w:val="00B8658A"/>
    <w:rsid w:val="00B911E5"/>
    <w:rsid w:val="00BA1EC6"/>
    <w:rsid w:val="00BB3F28"/>
    <w:rsid w:val="00BC57EA"/>
    <w:rsid w:val="00BD5916"/>
    <w:rsid w:val="00BD72A1"/>
    <w:rsid w:val="00BE17AA"/>
    <w:rsid w:val="00BE574B"/>
    <w:rsid w:val="00BF0F69"/>
    <w:rsid w:val="00BF2395"/>
    <w:rsid w:val="00C01621"/>
    <w:rsid w:val="00C07030"/>
    <w:rsid w:val="00C120AC"/>
    <w:rsid w:val="00C15A62"/>
    <w:rsid w:val="00C16E7B"/>
    <w:rsid w:val="00C25724"/>
    <w:rsid w:val="00C26374"/>
    <w:rsid w:val="00C33225"/>
    <w:rsid w:val="00C437CE"/>
    <w:rsid w:val="00C50751"/>
    <w:rsid w:val="00C53CEC"/>
    <w:rsid w:val="00C61926"/>
    <w:rsid w:val="00C635F6"/>
    <w:rsid w:val="00C7345D"/>
    <w:rsid w:val="00C8113A"/>
    <w:rsid w:val="00C856B1"/>
    <w:rsid w:val="00C93678"/>
    <w:rsid w:val="00C93D61"/>
    <w:rsid w:val="00CA512E"/>
    <w:rsid w:val="00CB63D7"/>
    <w:rsid w:val="00CC09F7"/>
    <w:rsid w:val="00CC6BB5"/>
    <w:rsid w:val="00CC7DBE"/>
    <w:rsid w:val="00CD4DB2"/>
    <w:rsid w:val="00CF52E0"/>
    <w:rsid w:val="00CF5C2B"/>
    <w:rsid w:val="00CF619E"/>
    <w:rsid w:val="00D11565"/>
    <w:rsid w:val="00D12315"/>
    <w:rsid w:val="00D13AA1"/>
    <w:rsid w:val="00D20E50"/>
    <w:rsid w:val="00D35892"/>
    <w:rsid w:val="00D438F7"/>
    <w:rsid w:val="00D445F2"/>
    <w:rsid w:val="00D55376"/>
    <w:rsid w:val="00D73403"/>
    <w:rsid w:val="00D76CB2"/>
    <w:rsid w:val="00D96ED2"/>
    <w:rsid w:val="00DC1605"/>
    <w:rsid w:val="00DC4E35"/>
    <w:rsid w:val="00DD4E2D"/>
    <w:rsid w:val="00DE5901"/>
    <w:rsid w:val="00E05D09"/>
    <w:rsid w:val="00E06128"/>
    <w:rsid w:val="00E12D90"/>
    <w:rsid w:val="00E20F8D"/>
    <w:rsid w:val="00E25058"/>
    <w:rsid w:val="00E31C83"/>
    <w:rsid w:val="00E41352"/>
    <w:rsid w:val="00E41994"/>
    <w:rsid w:val="00E43C3B"/>
    <w:rsid w:val="00E44225"/>
    <w:rsid w:val="00E4494E"/>
    <w:rsid w:val="00E52C97"/>
    <w:rsid w:val="00E55570"/>
    <w:rsid w:val="00E56ED3"/>
    <w:rsid w:val="00E60AD4"/>
    <w:rsid w:val="00E642D8"/>
    <w:rsid w:val="00E65E65"/>
    <w:rsid w:val="00E7664A"/>
    <w:rsid w:val="00E8190C"/>
    <w:rsid w:val="00E843FB"/>
    <w:rsid w:val="00E94D29"/>
    <w:rsid w:val="00E97E91"/>
    <w:rsid w:val="00EA7BB6"/>
    <w:rsid w:val="00EB45B0"/>
    <w:rsid w:val="00EC54A8"/>
    <w:rsid w:val="00ED0E7C"/>
    <w:rsid w:val="00ED1868"/>
    <w:rsid w:val="00ED5E33"/>
    <w:rsid w:val="00ED6E6B"/>
    <w:rsid w:val="00EE3582"/>
    <w:rsid w:val="00F0265A"/>
    <w:rsid w:val="00F1213C"/>
    <w:rsid w:val="00F17328"/>
    <w:rsid w:val="00F227FF"/>
    <w:rsid w:val="00F23AC1"/>
    <w:rsid w:val="00F3157B"/>
    <w:rsid w:val="00F54C86"/>
    <w:rsid w:val="00F57DC2"/>
    <w:rsid w:val="00F6251A"/>
    <w:rsid w:val="00F72621"/>
    <w:rsid w:val="00F76F1D"/>
    <w:rsid w:val="00F83DDC"/>
    <w:rsid w:val="00FB18FF"/>
    <w:rsid w:val="00FB7964"/>
    <w:rsid w:val="00FC18AC"/>
    <w:rsid w:val="00FC364B"/>
    <w:rsid w:val="00FD0D8D"/>
    <w:rsid w:val="00FE1422"/>
    <w:rsid w:val="00FE5BF0"/>
    <w:rsid w:val="00FF3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888"/>
  </w:style>
  <w:style w:type="paragraph" w:styleId="Titolo1">
    <w:name w:val="heading 1"/>
    <w:basedOn w:val="Normale"/>
    <w:next w:val="Normale"/>
    <w:link w:val="Titolo1Carattere"/>
    <w:uiPriority w:val="9"/>
    <w:qFormat/>
    <w:rsid w:val="00165B46"/>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Titolo2">
    <w:name w:val="heading 2"/>
    <w:basedOn w:val="Normale"/>
    <w:next w:val="Normale"/>
    <w:link w:val="Titolo2Carattere"/>
    <w:uiPriority w:val="9"/>
    <w:unhideWhenUsed/>
    <w:qFormat/>
    <w:rsid w:val="00165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5B46"/>
    <w:rPr>
      <w:rFonts w:ascii="Times New Roman" w:eastAsiaTheme="majorEastAsia" w:hAnsi="Times New Roman" w:cstheme="majorBidi"/>
      <w:b/>
      <w:color w:val="000000" w:themeColor="text1"/>
      <w:sz w:val="32"/>
      <w:szCs w:val="32"/>
    </w:rPr>
  </w:style>
  <w:style w:type="character" w:customStyle="1" w:styleId="Titolo2Carattere">
    <w:name w:val="Titolo 2 Carattere"/>
    <w:basedOn w:val="Carpredefinitoparagrafo"/>
    <w:link w:val="Titolo2"/>
    <w:uiPriority w:val="9"/>
    <w:rsid w:val="00165B46"/>
    <w:rPr>
      <w:rFonts w:asciiTheme="majorHAnsi" w:eastAsiaTheme="majorEastAsia" w:hAnsiTheme="majorHAnsi" w:cstheme="majorBidi"/>
      <w:color w:val="2F5496" w:themeColor="accent1" w:themeShade="BF"/>
      <w:sz w:val="26"/>
      <w:szCs w:val="26"/>
    </w:rPr>
  </w:style>
  <w:style w:type="character" w:styleId="Testosegnaposto">
    <w:name w:val="Placeholder Text"/>
    <w:basedOn w:val="Carpredefinitoparagrafo"/>
    <w:uiPriority w:val="99"/>
    <w:semiHidden/>
    <w:rsid w:val="006F4A10"/>
    <w:rPr>
      <w:color w:val="808080"/>
    </w:rPr>
  </w:style>
  <w:style w:type="paragraph" w:styleId="Testofumetto">
    <w:name w:val="Balloon Text"/>
    <w:basedOn w:val="Normale"/>
    <w:link w:val="TestofumettoCarattere"/>
    <w:uiPriority w:val="99"/>
    <w:semiHidden/>
    <w:unhideWhenUsed/>
    <w:rsid w:val="002234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344E"/>
    <w:rPr>
      <w:rFonts w:ascii="Segoe UI" w:hAnsi="Segoe UI" w:cs="Segoe UI"/>
      <w:sz w:val="18"/>
      <w:szCs w:val="18"/>
    </w:rPr>
  </w:style>
  <w:style w:type="table" w:styleId="Grigliatabella">
    <w:name w:val="Table Grid"/>
    <w:basedOn w:val="Tabellanormale"/>
    <w:uiPriority w:val="39"/>
    <w:rsid w:val="004C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A24D9B"/>
    <w:rPr>
      <w:vertAlign w:val="superscript"/>
    </w:rPr>
  </w:style>
  <w:style w:type="character" w:styleId="Rimandocommento">
    <w:name w:val="annotation reference"/>
    <w:basedOn w:val="Carpredefinitoparagrafo"/>
    <w:uiPriority w:val="99"/>
    <w:semiHidden/>
    <w:unhideWhenUsed/>
    <w:rsid w:val="005E3467"/>
    <w:rPr>
      <w:sz w:val="16"/>
      <w:szCs w:val="16"/>
    </w:rPr>
  </w:style>
  <w:style w:type="paragraph" w:styleId="Testocommento">
    <w:name w:val="annotation text"/>
    <w:basedOn w:val="Normale"/>
    <w:link w:val="TestocommentoCarattere"/>
    <w:uiPriority w:val="99"/>
    <w:unhideWhenUsed/>
    <w:rsid w:val="005E3467"/>
    <w:pPr>
      <w:spacing w:before="240" w:after="0" w:line="240" w:lineRule="auto"/>
      <w:ind w:firstLine="720"/>
      <w:contextualSpacing/>
      <w:jc w:val="both"/>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5E3467"/>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semiHidden/>
    <w:unhideWhenUsed/>
    <w:rsid w:val="00FF38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F3887"/>
    <w:rPr>
      <w:sz w:val="20"/>
      <w:szCs w:val="20"/>
    </w:rPr>
  </w:style>
  <w:style w:type="paragraph" w:styleId="Soggettocommento">
    <w:name w:val="annotation subject"/>
    <w:basedOn w:val="Testocommento"/>
    <w:next w:val="Testocommento"/>
    <w:link w:val="SoggettocommentoCarattere"/>
    <w:uiPriority w:val="99"/>
    <w:semiHidden/>
    <w:unhideWhenUsed/>
    <w:rsid w:val="00F1213C"/>
    <w:pPr>
      <w:spacing w:before="0" w:after="160"/>
      <w:ind w:firstLine="0"/>
      <w:contextualSpacing w:val="0"/>
      <w:jc w:val="left"/>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1213C"/>
    <w:rPr>
      <w:rFonts w:ascii="Times New Roman" w:eastAsia="Times New Roman" w:hAnsi="Times New Roman" w:cs="Times New Roman"/>
      <w:b/>
      <w:bCs/>
      <w:sz w:val="20"/>
      <w:szCs w:val="20"/>
    </w:rPr>
  </w:style>
  <w:style w:type="character" w:styleId="Collegamentoipertestuale">
    <w:name w:val="Hyperlink"/>
    <w:basedOn w:val="Carpredefinitoparagrafo"/>
    <w:uiPriority w:val="99"/>
    <w:unhideWhenUsed/>
    <w:rsid w:val="00A731F2"/>
    <w:rPr>
      <w:color w:val="0563C1" w:themeColor="hyperlink"/>
      <w:u w:val="single"/>
    </w:rPr>
  </w:style>
  <w:style w:type="character" w:customStyle="1" w:styleId="UnresolvedMention1">
    <w:name w:val="Unresolved Mention1"/>
    <w:basedOn w:val="Carpredefinitoparagrafo"/>
    <w:uiPriority w:val="99"/>
    <w:semiHidden/>
    <w:unhideWhenUsed/>
    <w:rsid w:val="00A731F2"/>
    <w:rPr>
      <w:color w:val="605E5C"/>
      <w:shd w:val="clear" w:color="auto" w:fill="E1DFDD"/>
    </w:rPr>
  </w:style>
  <w:style w:type="paragraph" w:styleId="Intestazione">
    <w:name w:val="header"/>
    <w:basedOn w:val="Normale"/>
    <w:link w:val="IntestazioneCarattere"/>
    <w:uiPriority w:val="99"/>
    <w:unhideWhenUsed/>
    <w:rsid w:val="00D96ED2"/>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96ED2"/>
  </w:style>
  <w:style w:type="paragraph" w:styleId="Pidipagina">
    <w:name w:val="footer"/>
    <w:basedOn w:val="Normale"/>
    <w:link w:val="PidipaginaCarattere"/>
    <w:uiPriority w:val="99"/>
    <w:unhideWhenUsed/>
    <w:rsid w:val="00D96ED2"/>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96ED2"/>
  </w:style>
  <w:style w:type="paragraph" w:styleId="Revisione">
    <w:name w:val="Revision"/>
    <w:hidden/>
    <w:uiPriority w:val="99"/>
    <w:semiHidden/>
    <w:rsid w:val="009614B1"/>
    <w:pPr>
      <w:spacing w:after="0" w:line="240" w:lineRule="auto"/>
    </w:pPr>
  </w:style>
  <w:style w:type="character" w:styleId="Collegamentovisitato">
    <w:name w:val="FollowedHyperlink"/>
    <w:basedOn w:val="Carpredefinitoparagrafo"/>
    <w:uiPriority w:val="99"/>
    <w:semiHidden/>
    <w:unhideWhenUsed/>
    <w:rsid w:val="00446207"/>
    <w:rPr>
      <w:color w:val="954F72" w:themeColor="followedHyperlink"/>
      <w:u w:val="single"/>
    </w:rPr>
  </w:style>
  <w:style w:type="table" w:customStyle="1" w:styleId="TableGridLight1">
    <w:name w:val="Table Grid Light1"/>
    <w:basedOn w:val="Tabellanormale"/>
    <w:uiPriority w:val="40"/>
    <w:rsid w:val="00AB17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Carpredefinitoparagrafo"/>
    <w:uiPriority w:val="99"/>
    <w:semiHidden/>
    <w:unhideWhenUsed/>
    <w:rsid w:val="00102AAF"/>
    <w:rPr>
      <w:color w:val="605E5C"/>
      <w:shd w:val="clear" w:color="auto" w:fill="E1DFDD"/>
    </w:rPr>
  </w:style>
  <w:style w:type="paragraph" w:styleId="Didascalia">
    <w:name w:val="caption"/>
    <w:basedOn w:val="Normale"/>
    <w:next w:val="Normale"/>
    <w:uiPriority w:val="35"/>
    <w:unhideWhenUsed/>
    <w:qFormat/>
    <w:rsid w:val="00ED0E7C"/>
    <w:pPr>
      <w:spacing w:after="200" w:line="240" w:lineRule="auto"/>
    </w:pPr>
    <w:rPr>
      <w:i/>
      <w:iCs/>
      <w:color w:val="44546A" w:themeColor="text2"/>
      <w:sz w:val="18"/>
      <w:szCs w:val="18"/>
    </w:rPr>
  </w:style>
  <w:style w:type="character" w:styleId="Rimandonotadichiusura">
    <w:name w:val="endnote reference"/>
    <w:basedOn w:val="Carpredefinitoparagrafo"/>
    <w:uiPriority w:val="99"/>
    <w:semiHidden/>
    <w:unhideWhenUsed/>
    <w:rsid w:val="00486C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888"/>
  </w:style>
  <w:style w:type="paragraph" w:styleId="Titolo1">
    <w:name w:val="heading 1"/>
    <w:basedOn w:val="Normale"/>
    <w:next w:val="Normale"/>
    <w:link w:val="Titolo1Carattere"/>
    <w:uiPriority w:val="9"/>
    <w:qFormat/>
    <w:rsid w:val="00165B46"/>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Titolo2">
    <w:name w:val="heading 2"/>
    <w:basedOn w:val="Normale"/>
    <w:next w:val="Normale"/>
    <w:link w:val="Titolo2Carattere"/>
    <w:uiPriority w:val="9"/>
    <w:unhideWhenUsed/>
    <w:qFormat/>
    <w:rsid w:val="00165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5B46"/>
    <w:rPr>
      <w:rFonts w:ascii="Times New Roman" w:eastAsiaTheme="majorEastAsia" w:hAnsi="Times New Roman" w:cstheme="majorBidi"/>
      <w:b/>
      <w:color w:val="000000" w:themeColor="text1"/>
      <w:sz w:val="32"/>
      <w:szCs w:val="32"/>
    </w:rPr>
  </w:style>
  <w:style w:type="character" w:customStyle="1" w:styleId="Titolo2Carattere">
    <w:name w:val="Titolo 2 Carattere"/>
    <w:basedOn w:val="Carpredefinitoparagrafo"/>
    <w:link w:val="Titolo2"/>
    <w:uiPriority w:val="9"/>
    <w:rsid w:val="00165B46"/>
    <w:rPr>
      <w:rFonts w:asciiTheme="majorHAnsi" w:eastAsiaTheme="majorEastAsia" w:hAnsiTheme="majorHAnsi" w:cstheme="majorBidi"/>
      <w:color w:val="2F5496" w:themeColor="accent1" w:themeShade="BF"/>
      <w:sz w:val="26"/>
      <w:szCs w:val="26"/>
    </w:rPr>
  </w:style>
  <w:style w:type="character" w:styleId="Testosegnaposto">
    <w:name w:val="Placeholder Text"/>
    <w:basedOn w:val="Carpredefinitoparagrafo"/>
    <w:uiPriority w:val="99"/>
    <w:semiHidden/>
    <w:rsid w:val="006F4A10"/>
    <w:rPr>
      <w:color w:val="808080"/>
    </w:rPr>
  </w:style>
  <w:style w:type="paragraph" w:styleId="Testofumetto">
    <w:name w:val="Balloon Text"/>
    <w:basedOn w:val="Normale"/>
    <w:link w:val="TestofumettoCarattere"/>
    <w:uiPriority w:val="99"/>
    <w:semiHidden/>
    <w:unhideWhenUsed/>
    <w:rsid w:val="002234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344E"/>
    <w:rPr>
      <w:rFonts w:ascii="Segoe UI" w:hAnsi="Segoe UI" w:cs="Segoe UI"/>
      <w:sz w:val="18"/>
      <w:szCs w:val="18"/>
    </w:rPr>
  </w:style>
  <w:style w:type="table" w:styleId="Grigliatabella">
    <w:name w:val="Table Grid"/>
    <w:basedOn w:val="Tabellanormale"/>
    <w:uiPriority w:val="39"/>
    <w:rsid w:val="004C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A24D9B"/>
    <w:rPr>
      <w:vertAlign w:val="superscript"/>
    </w:rPr>
  </w:style>
  <w:style w:type="character" w:styleId="Rimandocommento">
    <w:name w:val="annotation reference"/>
    <w:basedOn w:val="Carpredefinitoparagrafo"/>
    <w:uiPriority w:val="99"/>
    <w:semiHidden/>
    <w:unhideWhenUsed/>
    <w:rsid w:val="005E3467"/>
    <w:rPr>
      <w:sz w:val="16"/>
      <w:szCs w:val="16"/>
    </w:rPr>
  </w:style>
  <w:style w:type="paragraph" w:styleId="Testocommento">
    <w:name w:val="annotation text"/>
    <w:basedOn w:val="Normale"/>
    <w:link w:val="TestocommentoCarattere"/>
    <w:uiPriority w:val="99"/>
    <w:unhideWhenUsed/>
    <w:rsid w:val="005E3467"/>
    <w:pPr>
      <w:spacing w:before="240" w:after="0" w:line="240" w:lineRule="auto"/>
      <w:ind w:firstLine="720"/>
      <w:contextualSpacing/>
      <w:jc w:val="both"/>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5E3467"/>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semiHidden/>
    <w:unhideWhenUsed/>
    <w:rsid w:val="00FF38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F3887"/>
    <w:rPr>
      <w:sz w:val="20"/>
      <w:szCs w:val="20"/>
    </w:rPr>
  </w:style>
  <w:style w:type="paragraph" w:styleId="Soggettocommento">
    <w:name w:val="annotation subject"/>
    <w:basedOn w:val="Testocommento"/>
    <w:next w:val="Testocommento"/>
    <w:link w:val="SoggettocommentoCarattere"/>
    <w:uiPriority w:val="99"/>
    <w:semiHidden/>
    <w:unhideWhenUsed/>
    <w:rsid w:val="00F1213C"/>
    <w:pPr>
      <w:spacing w:before="0" w:after="160"/>
      <w:ind w:firstLine="0"/>
      <w:contextualSpacing w:val="0"/>
      <w:jc w:val="left"/>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1213C"/>
    <w:rPr>
      <w:rFonts w:ascii="Times New Roman" w:eastAsia="Times New Roman" w:hAnsi="Times New Roman" w:cs="Times New Roman"/>
      <w:b/>
      <w:bCs/>
      <w:sz w:val="20"/>
      <w:szCs w:val="20"/>
    </w:rPr>
  </w:style>
  <w:style w:type="character" w:styleId="Collegamentoipertestuale">
    <w:name w:val="Hyperlink"/>
    <w:basedOn w:val="Carpredefinitoparagrafo"/>
    <w:uiPriority w:val="99"/>
    <w:unhideWhenUsed/>
    <w:rsid w:val="00A731F2"/>
    <w:rPr>
      <w:color w:val="0563C1" w:themeColor="hyperlink"/>
      <w:u w:val="single"/>
    </w:rPr>
  </w:style>
  <w:style w:type="character" w:customStyle="1" w:styleId="UnresolvedMention1">
    <w:name w:val="Unresolved Mention1"/>
    <w:basedOn w:val="Carpredefinitoparagrafo"/>
    <w:uiPriority w:val="99"/>
    <w:semiHidden/>
    <w:unhideWhenUsed/>
    <w:rsid w:val="00A731F2"/>
    <w:rPr>
      <w:color w:val="605E5C"/>
      <w:shd w:val="clear" w:color="auto" w:fill="E1DFDD"/>
    </w:rPr>
  </w:style>
  <w:style w:type="paragraph" w:styleId="Intestazione">
    <w:name w:val="header"/>
    <w:basedOn w:val="Normale"/>
    <w:link w:val="IntestazioneCarattere"/>
    <w:uiPriority w:val="99"/>
    <w:unhideWhenUsed/>
    <w:rsid w:val="00D96ED2"/>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96ED2"/>
  </w:style>
  <w:style w:type="paragraph" w:styleId="Pidipagina">
    <w:name w:val="footer"/>
    <w:basedOn w:val="Normale"/>
    <w:link w:val="PidipaginaCarattere"/>
    <w:uiPriority w:val="99"/>
    <w:unhideWhenUsed/>
    <w:rsid w:val="00D96ED2"/>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96ED2"/>
  </w:style>
  <w:style w:type="paragraph" w:styleId="Revisione">
    <w:name w:val="Revision"/>
    <w:hidden/>
    <w:uiPriority w:val="99"/>
    <w:semiHidden/>
    <w:rsid w:val="009614B1"/>
    <w:pPr>
      <w:spacing w:after="0" w:line="240" w:lineRule="auto"/>
    </w:pPr>
  </w:style>
  <w:style w:type="character" w:styleId="Collegamentovisitato">
    <w:name w:val="FollowedHyperlink"/>
    <w:basedOn w:val="Carpredefinitoparagrafo"/>
    <w:uiPriority w:val="99"/>
    <w:semiHidden/>
    <w:unhideWhenUsed/>
    <w:rsid w:val="00446207"/>
    <w:rPr>
      <w:color w:val="954F72" w:themeColor="followedHyperlink"/>
      <w:u w:val="single"/>
    </w:rPr>
  </w:style>
  <w:style w:type="table" w:customStyle="1" w:styleId="TableGridLight1">
    <w:name w:val="Table Grid Light1"/>
    <w:basedOn w:val="Tabellanormale"/>
    <w:uiPriority w:val="40"/>
    <w:rsid w:val="00AB17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Carpredefinitoparagrafo"/>
    <w:uiPriority w:val="99"/>
    <w:semiHidden/>
    <w:unhideWhenUsed/>
    <w:rsid w:val="00102AAF"/>
    <w:rPr>
      <w:color w:val="605E5C"/>
      <w:shd w:val="clear" w:color="auto" w:fill="E1DFDD"/>
    </w:rPr>
  </w:style>
  <w:style w:type="paragraph" w:styleId="Didascalia">
    <w:name w:val="caption"/>
    <w:basedOn w:val="Normale"/>
    <w:next w:val="Normale"/>
    <w:uiPriority w:val="35"/>
    <w:unhideWhenUsed/>
    <w:qFormat/>
    <w:rsid w:val="00ED0E7C"/>
    <w:pPr>
      <w:spacing w:after="200" w:line="240" w:lineRule="auto"/>
    </w:pPr>
    <w:rPr>
      <w:i/>
      <w:iCs/>
      <w:color w:val="44546A" w:themeColor="text2"/>
      <w:sz w:val="18"/>
      <w:szCs w:val="18"/>
    </w:rPr>
  </w:style>
  <w:style w:type="character" w:styleId="Rimandonotadichiusura">
    <w:name w:val="endnote reference"/>
    <w:basedOn w:val="Carpredefinitoparagrafo"/>
    <w:uiPriority w:val="99"/>
    <w:semiHidden/>
    <w:unhideWhenUsed/>
    <w:rsid w:val="00486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4813">
      <w:bodyDiv w:val="1"/>
      <w:marLeft w:val="0"/>
      <w:marRight w:val="0"/>
      <w:marTop w:val="0"/>
      <w:marBottom w:val="0"/>
      <w:divBdr>
        <w:top w:val="none" w:sz="0" w:space="0" w:color="auto"/>
        <w:left w:val="none" w:sz="0" w:space="0" w:color="auto"/>
        <w:bottom w:val="none" w:sz="0" w:space="0" w:color="auto"/>
        <w:right w:val="none" w:sz="0" w:space="0" w:color="auto"/>
      </w:divBdr>
      <w:divsChild>
        <w:div w:id="1644000128">
          <w:marLeft w:val="0"/>
          <w:marRight w:val="0"/>
          <w:marTop w:val="0"/>
          <w:marBottom w:val="0"/>
          <w:divBdr>
            <w:top w:val="none" w:sz="0" w:space="0" w:color="auto"/>
            <w:left w:val="none" w:sz="0" w:space="0" w:color="auto"/>
            <w:bottom w:val="none" w:sz="0" w:space="0" w:color="auto"/>
            <w:right w:val="none" w:sz="0" w:space="0" w:color="auto"/>
          </w:divBdr>
        </w:div>
      </w:divsChild>
    </w:div>
    <w:div w:id="1173959169">
      <w:bodyDiv w:val="1"/>
      <w:marLeft w:val="0"/>
      <w:marRight w:val="0"/>
      <w:marTop w:val="0"/>
      <w:marBottom w:val="0"/>
      <w:divBdr>
        <w:top w:val="none" w:sz="0" w:space="0" w:color="auto"/>
        <w:left w:val="none" w:sz="0" w:space="0" w:color="auto"/>
        <w:bottom w:val="none" w:sz="0" w:space="0" w:color="auto"/>
        <w:right w:val="none" w:sz="0" w:space="0" w:color="auto"/>
      </w:divBdr>
    </w:div>
    <w:div w:id="16810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ncipe@ese.eur.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umarco@tulan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incipe@ese.eur.nl" TargetMode="External"/><Relationship Id="rId4" Type="http://schemas.microsoft.com/office/2007/relationships/stylesWithEffects" Target="stylesWithEffects.xml"/><Relationship Id="rId9" Type="http://schemas.openxmlformats.org/officeDocument/2006/relationships/hyperlink" Target="mailto:lfumarco@tulane.edu" TargetMode="Externa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4E3B-C816-4DFB-8009-0C0C5D9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3144</Words>
  <Characters>17927</Characters>
  <Application>Microsoft Office Word</Application>
  <DocSecurity>0</DocSecurity>
  <Lines>149</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Erasmus Universiteit</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Principe</dc:creator>
  <cp:lastModifiedBy>Luca Fumarco</cp:lastModifiedBy>
  <cp:revision>3</cp:revision>
  <cp:lastPrinted>2021-06-06T20:16:00Z</cp:lastPrinted>
  <dcterms:created xsi:type="dcterms:W3CDTF">2021-07-15T13:48:00Z</dcterms:created>
  <dcterms:modified xsi:type="dcterms:W3CDTF">2021-07-15T14:10:00Z</dcterms:modified>
</cp:coreProperties>
</file>