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D3FB" w14:textId="5C5D42D1" w:rsidR="008A1F6A" w:rsidRDefault="008A1F6A" w:rsidP="00F231F1">
      <w:pPr>
        <w:spacing w:after="0" w:line="276" w:lineRule="auto"/>
        <w:jc w:val="center"/>
        <w:rPr>
          <w:rFonts w:ascii="Times New Roman" w:eastAsiaTheme="minorHAnsi" w:hAnsi="Times New Roman" w:cs="Times New Roman"/>
          <w:b/>
          <w:bCs/>
          <w:sz w:val="28"/>
          <w:szCs w:val="28"/>
        </w:rPr>
      </w:pPr>
      <w:r w:rsidRPr="008A1F6A">
        <w:rPr>
          <w:rFonts w:ascii="Times New Roman" w:eastAsiaTheme="minorHAnsi" w:hAnsi="Times New Roman" w:cs="Times New Roman"/>
          <w:b/>
          <w:bCs/>
          <w:sz w:val="28"/>
          <w:szCs w:val="28"/>
        </w:rPr>
        <w:t>Using COVID-19 Vaccination as a Resilience Strategy for the Tourism</w:t>
      </w:r>
      <w:r>
        <w:rPr>
          <w:rFonts w:ascii="Times New Roman" w:eastAsiaTheme="minorHAnsi" w:hAnsi="Times New Roman" w:cs="Times New Roman"/>
          <w:b/>
          <w:bCs/>
          <w:sz w:val="28"/>
          <w:szCs w:val="28"/>
        </w:rPr>
        <w:t xml:space="preserve"> </w:t>
      </w:r>
      <w:r w:rsidRPr="008A1F6A">
        <w:rPr>
          <w:rFonts w:ascii="Times New Roman" w:eastAsiaTheme="minorHAnsi" w:hAnsi="Times New Roman" w:cs="Times New Roman"/>
          <w:b/>
          <w:bCs/>
          <w:sz w:val="28"/>
          <w:szCs w:val="28"/>
        </w:rPr>
        <w:t>Sector – Evidence from Serbia</w:t>
      </w:r>
      <w:r>
        <w:rPr>
          <w:rFonts w:ascii="Times New Roman" w:eastAsiaTheme="minorHAnsi" w:hAnsi="Times New Roman" w:cs="Times New Roman"/>
          <w:b/>
          <w:bCs/>
          <w:sz w:val="28"/>
          <w:szCs w:val="28"/>
        </w:rPr>
        <w:br/>
      </w:r>
    </w:p>
    <w:p w14:paraId="1656E1A8" w14:textId="5AA3D276" w:rsidR="00131B66" w:rsidRPr="00131B66" w:rsidRDefault="00131B66" w:rsidP="00131B66">
      <w:pPr>
        <w:spacing w:after="0" w:line="480" w:lineRule="auto"/>
        <w:rPr>
          <w:rFonts w:ascii="Times New Roman" w:eastAsia="Times New Roman" w:hAnsi="Times New Roman" w:cs="Times New Roman"/>
          <w:sz w:val="24"/>
          <w:szCs w:val="24"/>
          <w:lang w:val="en-GB" w:eastAsia="en-GB"/>
        </w:rPr>
      </w:pPr>
      <w:r w:rsidRPr="00131B66">
        <w:rPr>
          <w:rFonts w:ascii="Times New Roman" w:eastAsia="Times New Roman" w:hAnsi="Times New Roman" w:cs="Times New Roman"/>
          <w:sz w:val="24"/>
          <w:szCs w:val="24"/>
          <w:lang w:val="en-GB" w:eastAsia="en-GB"/>
        </w:rPr>
        <w:t>Ing. Du</w:t>
      </w:r>
      <w:r w:rsidRPr="00131B66">
        <w:rPr>
          <w:rFonts w:ascii="Times New Roman" w:eastAsia="Times New Roman" w:hAnsi="Times New Roman" w:cs="Times New Roman"/>
          <w:sz w:val="24"/>
          <w:szCs w:val="24"/>
          <w:lang w:val="bs-Latn-BA" w:eastAsia="en-GB"/>
        </w:rPr>
        <w:t>šan Mladenović Ph.</w:t>
      </w:r>
      <w:proofErr w:type="gramStart"/>
      <w:r w:rsidRPr="00131B66">
        <w:rPr>
          <w:rFonts w:ascii="Times New Roman" w:eastAsia="Times New Roman" w:hAnsi="Times New Roman" w:cs="Times New Roman"/>
          <w:sz w:val="24"/>
          <w:szCs w:val="24"/>
          <w:lang w:val="bs-Latn-BA" w:eastAsia="en-GB"/>
        </w:rPr>
        <w:t>D.</w:t>
      </w:r>
      <w:r w:rsidRPr="00131B66">
        <w:rPr>
          <w:rFonts w:ascii="Times New Roman" w:eastAsia="Times New Roman" w:hAnsi="Times New Roman" w:cs="Times New Roman"/>
          <w:sz w:val="24"/>
          <w:szCs w:val="24"/>
          <w:vertAlign w:val="superscript"/>
          <w:lang w:val="bs-Latn-BA" w:eastAsia="en-GB"/>
        </w:rPr>
        <w:t>a</w:t>
      </w:r>
      <w:proofErr w:type="gramEnd"/>
      <w:r w:rsidRPr="00131B66">
        <w:rPr>
          <w:rFonts w:ascii="Times New Roman" w:eastAsia="Times New Roman" w:hAnsi="Times New Roman" w:cs="Times New Roman"/>
          <w:sz w:val="24"/>
          <w:szCs w:val="24"/>
          <w:vertAlign w:val="superscript"/>
          <w:lang w:val="bs-Latn-BA" w:eastAsia="en-GB"/>
        </w:rPr>
        <w:t xml:space="preserve"> </w:t>
      </w:r>
      <w:r w:rsidRPr="00131B66">
        <w:rPr>
          <w:rFonts w:ascii="Times New Roman" w:eastAsia="Times New Roman" w:hAnsi="Times New Roman" w:cs="Times New Roman"/>
          <w:sz w:val="24"/>
          <w:szCs w:val="24"/>
          <w:lang w:val="en-GB" w:eastAsia="en-GB"/>
        </w:rPr>
        <w:t xml:space="preserve">; Ph.D. </w:t>
      </w:r>
      <w:proofErr w:type="spellStart"/>
      <w:r w:rsidRPr="00131B66">
        <w:rPr>
          <w:rFonts w:ascii="Times New Roman" w:eastAsia="Times New Roman" w:hAnsi="Times New Roman" w:cs="Times New Roman"/>
          <w:sz w:val="24"/>
          <w:szCs w:val="24"/>
          <w:lang w:val="en-GB" w:eastAsia="en-GB"/>
        </w:rPr>
        <w:t>Visar</w:t>
      </w:r>
      <w:proofErr w:type="spellEnd"/>
      <w:r w:rsidRPr="00131B66">
        <w:rPr>
          <w:rFonts w:ascii="Times New Roman" w:eastAsia="Times New Roman" w:hAnsi="Times New Roman" w:cs="Times New Roman"/>
          <w:sz w:val="24"/>
          <w:szCs w:val="24"/>
          <w:lang w:val="en-GB" w:eastAsia="en-GB"/>
        </w:rPr>
        <w:t xml:space="preserve"> </w:t>
      </w:r>
      <w:proofErr w:type="spellStart"/>
      <w:r w:rsidRPr="00131B66">
        <w:rPr>
          <w:rFonts w:ascii="Times New Roman" w:eastAsia="Times New Roman" w:hAnsi="Times New Roman" w:cs="Times New Roman"/>
          <w:sz w:val="24"/>
          <w:szCs w:val="24"/>
          <w:lang w:val="en-GB" w:eastAsia="en-GB"/>
        </w:rPr>
        <w:t>Rrustemi</w:t>
      </w:r>
      <w:proofErr w:type="spellEnd"/>
      <w:r w:rsidRPr="00131B66">
        <w:rPr>
          <w:rFonts w:ascii="Times New Roman" w:eastAsia="Times New Roman" w:hAnsi="Times New Roman" w:cs="Times New Roman"/>
          <w:sz w:val="24"/>
          <w:szCs w:val="24"/>
          <w:vertAlign w:val="superscript"/>
          <w:lang w:val="bs-Latn-BA" w:eastAsia="en-GB"/>
        </w:rPr>
        <w:t>b</w:t>
      </w:r>
      <w:r w:rsidRPr="00131B66">
        <w:rPr>
          <w:rFonts w:ascii="Times New Roman" w:eastAsia="Times New Roman" w:hAnsi="Times New Roman" w:cs="Times New Roman"/>
          <w:sz w:val="24"/>
          <w:szCs w:val="24"/>
          <w:lang w:val="bs-Latn-BA" w:eastAsia="en-GB"/>
        </w:rPr>
        <w:t>; Ph.D. Emmanuel Mogaji</w:t>
      </w:r>
      <w:r w:rsidRPr="00131B66">
        <w:rPr>
          <w:rFonts w:ascii="Times New Roman" w:eastAsia="Times New Roman" w:hAnsi="Times New Roman" w:cs="Times New Roman"/>
          <w:sz w:val="24"/>
          <w:szCs w:val="24"/>
          <w:vertAlign w:val="superscript"/>
          <w:lang w:val="bs-Latn-BA" w:eastAsia="en-GB"/>
        </w:rPr>
        <w:t>c</w:t>
      </w:r>
    </w:p>
    <w:p w14:paraId="1E1BAA19" w14:textId="77777777" w:rsidR="00131B66" w:rsidRPr="00131B66" w:rsidRDefault="00131B66" w:rsidP="00131B66">
      <w:pPr>
        <w:spacing w:before="240" w:after="0" w:line="360" w:lineRule="auto"/>
        <w:rPr>
          <w:rFonts w:ascii="Times New Roman" w:eastAsia="Times New Roman" w:hAnsi="Times New Roman" w:cs="Times New Roman"/>
          <w:sz w:val="24"/>
          <w:szCs w:val="24"/>
          <w:lang w:val="en-GB" w:eastAsia="en-GB"/>
        </w:rPr>
      </w:pPr>
      <w:r w:rsidRPr="00131B66">
        <w:rPr>
          <w:rFonts w:ascii="Times New Roman" w:eastAsia="Times New Roman" w:hAnsi="Times New Roman" w:cs="Times New Roman"/>
          <w:sz w:val="24"/>
          <w:szCs w:val="24"/>
          <w:vertAlign w:val="superscript"/>
          <w:lang w:val="en-GB" w:eastAsia="en-GB"/>
        </w:rPr>
        <w:t>a</w:t>
      </w:r>
      <w:r w:rsidRPr="00131B66">
        <w:rPr>
          <w:rFonts w:ascii="Times New Roman" w:eastAsia="Times New Roman" w:hAnsi="Times New Roman" w:cs="Times New Roman"/>
          <w:sz w:val="24"/>
          <w:szCs w:val="24"/>
          <w:lang w:val="en-GB" w:eastAsia="en-GB"/>
        </w:rPr>
        <w:t xml:space="preserve"> Department of Corporate Economy; Faculty of Economics and Administration; Masaryk University; </w:t>
      </w:r>
      <w:proofErr w:type="spellStart"/>
      <w:r w:rsidRPr="00131B66">
        <w:rPr>
          <w:rFonts w:ascii="Times New Roman" w:eastAsia="Times New Roman" w:hAnsi="Times New Roman" w:cs="Times New Roman"/>
          <w:sz w:val="24"/>
          <w:szCs w:val="24"/>
          <w:lang w:val="en-GB" w:eastAsia="en-GB"/>
        </w:rPr>
        <w:t>Lipova</w:t>
      </w:r>
      <w:proofErr w:type="spellEnd"/>
      <w:r w:rsidRPr="00131B66">
        <w:rPr>
          <w:rFonts w:ascii="Times New Roman" w:eastAsia="Times New Roman" w:hAnsi="Times New Roman" w:cs="Times New Roman"/>
          <w:sz w:val="24"/>
          <w:szCs w:val="24"/>
          <w:lang w:val="en-GB" w:eastAsia="en-GB"/>
        </w:rPr>
        <w:t xml:space="preserve"> 41a; 602 00; Brno-</w:t>
      </w:r>
      <w:proofErr w:type="spellStart"/>
      <w:r w:rsidRPr="00131B66">
        <w:rPr>
          <w:rFonts w:ascii="Times New Roman" w:eastAsia="Times New Roman" w:hAnsi="Times New Roman" w:cs="Times New Roman"/>
          <w:sz w:val="24"/>
          <w:szCs w:val="24"/>
          <w:lang w:val="en-GB" w:eastAsia="en-GB"/>
        </w:rPr>
        <w:t>Pisárky</w:t>
      </w:r>
      <w:proofErr w:type="spellEnd"/>
      <w:r w:rsidRPr="00131B66">
        <w:rPr>
          <w:rFonts w:ascii="Times New Roman" w:eastAsia="Times New Roman" w:hAnsi="Times New Roman" w:cs="Times New Roman"/>
          <w:sz w:val="24"/>
          <w:szCs w:val="24"/>
          <w:lang w:val="en-GB" w:eastAsia="en-GB"/>
        </w:rPr>
        <w:t xml:space="preserve">; Czech Republic; </w:t>
      </w:r>
      <w:hyperlink r:id="rId7" w:history="1">
        <w:r w:rsidRPr="00131B66">
          <w:rPr>
            <w:rFonts w:ascii="Times New Roman" w:eastAsia="Times New Roman" w:hAnsi="Times New Roman" w:cs="Times New Roman"/>
            <w:sz w:val="24"/>
            <w:szCs w:val="24"/>
            <w:lang w:val="en-GB" w:eastAsia="en-GB"/>
          </w:rPr>
          <w:t>www.econ.muni.cz</w:t>
        </w:r>
      </w:hyperlink>
      <w:r w:rsidRPr="00131B66">
        <w:rPr>
          <w:rFonts w:ascii="Times New Roman" w:eastAsia="Times New Roman" w:hAnsi="Times New Roman" w:cs="Times New Roman"/>
          <w:sz w:val="24"/>
          <w:szCs w:val="24"/>
          <w:lang w:val="en-GB" w:eastAsia="en-GB"/>
        </w:rPr>
        <w:t>; ORCID: 0000-0001-5101-2181; dusan.mladenovic@econ.muni.com</w:t>
      </w:r>
      <w:r w:rsidRPr="00131B66">
        <w:rPr>
          <w:rFonts w:ascii="Times New Roman" w:eastAsia="Times New Roman" w:hAnsi="Times New Roman" w:cs="Times New Roman"/>
          <w:sz w:val="24"/>
          <w:szCs w:val="24"/>
          <w:vertAlign w:val="superscript"/>
          <w:lang w:val="en-GB" w:eastAsia="en-GB"/>
        </w:rPr>
        <w:footnoteReference w:id="1"/>
      </w:r>
    </w:p>
    <w:p w14:paraId="2659402C" w14:textId="77777777" w:rsidR="00131B66" w:rsidRPr="00131B66" w:rsidRDefault="00131B66" w:rsidP="00131B66">
      <w:pPr>
        <w:spacing w:before="240" w:after="0" w:line="360" w:lineRule="auto"/>
        <w:rPr>
          <w:rFonts w:ascii="Times New Roman" w:eastAsia="Times New Roman" w:hAnsi="Times New Roman" w:cs="Times New Roman"/>
          <w:sz w:val="24"/>
          <w:szCs w:val="24"/>
          <w:lang w:val="en-GB" w:eastAsia="en-GB"/>
        </w:rPr>
      </w:pPr>
      <w:r w:rsidRPr="00131B66">
        <w:rPr>
          <w:rFonts w:ascii="Times New Roman" w:eastAsia="Times New Roman" w:hAnsi="Times New Roman" w:cs="Times New Roman"/>
          <w:sz w:val="24"/>
          <w:szCs w:val="24"/>
          <w:vertAlign w:val="superscript"/>
          <w:lang w:val="en-GB" w:eastAsia="en-GB"/>
        </w:rPr>
        <w:t xml:space="preserve">b </w:t>
      </w:r>
      <w:r w:rsidRPr="00131B66">
        <w:rPr>
          <w:rFonts w:ascii="Times New Roman" w:eastAsia="Times New Roman" w:hAnsi="Times New Roman" w:cs="Times New Roman"/>
          <w:sz w:val="24"/>
          <w:szCs w:val="24"/>
          <w:lang w:val="en-GB" w:eastAsia="en-GB"/>
        </w:rPr>
        <w:t xml:space="preserve">Faculty of Economics; University of </w:t>
      </w:r>
      <w:proofErr w:type="spellStart"/>
      <w:r w:rsidRPr="00131B66">
        <w:rPr>
          <w:rFonts w:ascii="Times New Roman" w:eastAsia="Times New Roman" w:hAnsi="Times New Roman" w:cs="Times New Roman"/>
          <w:sz w:val="24"/>
          <w:szCs w:val="24"/>
          <w:lang w:val="en-GB" w:eastAsia="en-GB"/>
        </w:rPr>
        <w:t>Prishtina</w:t>
      </w:r>
      <w:proofErr w:type="spellEnd"/>
      <w:r w:rsidRPr="00131B66">
        <w:rPr>
          <w:rFonts w:ascii="Times New Roman" w:eastAsia="Times New Roman" w:hAnsi="Times New Roman" w:cs="Times New Roman"/>
          <w:sz w:val="24"/>
          <w:szCs w:val="24"/>
          <w:lang w:val="en-GB" w:eastAsia="en-GB"/>
        </w:rPr>
        <w:t xml:space="preserve">; </w:t>
      </w:r>
      <w:proofErr w:type="spellStart"/>
      <w:r w:rsidRPr="00131B66">
        <w:rPr>
          <w:rFonts w:ascii="Times New Roman" w:eastAsia="Times New Roman" w:hAnsi="Times New Roman" w:cs="Times New Roman"/>
          <w:sz w:val="24"/>
          <w:szCs w:val="24"/>
          <w:lang w:val="en-GB" w:eastAsia="en-GB"/>
        </w:rPr>
        <w:t>Agim</w:t>
      </w:r>
      <w:proofErr w:type="spellEnd"/>
      <w:r w:rsidRPr="00131B66">
        <w:rPr>
          <w:rFonts w:ascii="Times New Roman" w:eastAsia="Times New Roman" w:hAnsi="Times New Roman" w:cs="Times New Roman"/>
          <w:sz w:val="24"/>
          <w:szCs w:val="24"/>
          <w:lang w:val="en-GB" w:eastAsia="en-GB"/>
        </w:rPr>
        <w:t xml:space="preserve"> </w:t>
      </w:r>
      <w:proofErr w:type="spellStart"/>
      <w:r w:rsidRPr="00131B66">
        <w:rPr>
          <w:rFonts w:ascii="Times New Roman" w:eastAsia="Times New Roman" w:hAnsi="Times New Roman" w:cs="Times New Roman"/>
          <w:sz w:val="24"/>
          <w:szCs w:val="24"/>
          <w:lang w:val="en-GB" w:eastAsia="en-GB"/>
        </w:rPr>
        <w:t>Ramadani</w:t>
      </w:r>
      <w:proofErr w:type="spellEnd"/>
      <w:r w:rsidRPr="00131B66">
        <w:rPr>
          <w:rFonts w:ascii="Times New Roman" w:eastAsia="Times New Roman" w:hAnsi="Times New Roman" w:cs="Times New Roman"/>
          <w:sz w:val="24"/>
          <w:szCs w:val="24"/>
          <w:lang w:val="en-GB" w:eastAsia="en-GB"/>
        </w:rPr>
        <w:t xml:space="preserve">; 10000; </w:t>
      </w:r>
      <w:proofErr w:type="spellStart"/>
      <w:r w:rsidRPr="00131B66">
        <w:rPr>
          <w:rFonts w:ascii="Times New Roman" w:eastAsia="Times New Roman" w:hAnsi="Times New Roman" w:cs="Times New Roman"/>
          <w:sz w:val="24"/>
          <w:szCs w:val="24"/>
          <w:lang w:val="en-GB" w:eastAsia="en-GB"/>
        </w:rPr>
        <w:t>Pri</w:t>
      </w:r>
      <w:proofErr w:type="spellEnd"/>
      <w:r w:rsidRPr="00131B66">
        <w:rPr>
          <w:rFonts w:ascii="Times New Roman" w:eastAsia="Times New Roman" w:hAnsi="Times New Roman" w:cs="Times New Roman"/>
          <w:sz w:val="24"/>
          <w:szCs w:val="24"/>
          <w:lang w:val="sr-Latn-RS" w:eastAsia="en-GB"/>
        </w:rPr>
        <w:t>shtina; Kosovo</w:t>
      </w:r>
      <w:r w:rsidRPr="00131B66">
        <w:rPr>
          <w:rFonts w:ascii="Times New Roman" w:eastAsia="Times New Roman" w:hAnsi="Times New Roman" w:cs="Times New Roman"/>
          <w:sz w:val="24"/>
          <w:szCs w:val="24"/>
          <w:lang w:val="en-GB" w:eastAsia="en-GB"/>
        </w:rPr>
        <w:t xml:space="preserve">; </w:t>
      </w:r>
      <w:hyperlink r:id="rId8" w:history="1">
        <w:r w:rsidRPr="00F231F1">
          <w:rPr>
            <w:rFonts w:ascii="Times New Roman" w:eastAsia="Times New Roman" w:hAnsi="Times New Roman" w:cs="Times New Roman"/>
            <w:sz w:val="24"/>
            <w:szCs w:val="24"/>
            <w:lang w:val="en-GB" w:eastAsia="en-GB"/>
          </w:rPr>
          <w:t>www.ekonomiku.uni-pr.edu</w:t>
        </w:r>
      </w:hyperlink>
      <w:r w:rsidRPr="00F231F1">
        <w:rPr>
          <w:rFonts w:ascii="Times New Roman" w:eastAsia="Times New Roman" w:hAnsi="Times New Roman" w:cs="Times New Roman"/>
          <w:sz w:val="24"/>
          <w:szCs w:val="24"/>
          <w:lang w:val="en-GB" w:eastAsia="en-GB"/>
        </w:rPr>
        <w:t>;</w:t>
      </w:r>
      <w:r w:rsidRPr="00131B66">
        <w:rPr>
          <w:rFonts w:ascii="Times New Roman" w:eastAsia="Times New Roman" w:hAnsi="Times New Roman" w:cs="Times New Roman"/>
          <w:sz w:val="24"/>
          <w:szCs w:val="24"/>
          <w:lang w:val="en-GB" w:eastAsia="en-GB"/>
        </w:rPr>
        <w:t xml:space="preserve"> ORCID: 0000-0002-6064-310X; </w:t>
      </w:r>
      <w:hyperlink r:id="rId9" w:history="1">
        <w:r w:rsidRPr="00F231F1">
          <w:rPr>
            <w:rFonts w:ascii="Times New Roman" w:eastAsia="Times New Roman" w:hAnsi="Times New Roman" w:cs="Times New Roman"/>
            <w:sz w:val="24"/>
            <w:szCs w:val="24"/>
            <w:lang w:val="en-GB" w:eastAsia="en-GB"/>
          </w:rPr>
          <w:t>visar.rrustemi@uni-pr.edu</w:t>
        </w:r>
      </w:hyperlink>
    </w:p>
    <w:p w14:paraId="48FFAF93" w14:textId="77777777" w:rsidR="00131B66" w:rsidRPr="00131B66" w:rsidRDefault="00131B66" w:rsidP="00131B66">
      <w:pPr>
        <w:spacing w:before="240" w:after="0" w:line="360" w:lineRule="auto"/>
        <w:rPr>
          <w:rFonts w:ascii="Times New Roman" w:eastAsia="Times New Roman" w:hAnsi="Times New Roman" w:cs="Times New Roman"/>
          <w:sz w:val="24"/>
          <w:szCs w:val="24"/>
          <w:lang w:val="en-GB" w:eastAsia="en-GB"/>
        </w:rPr>
      </w:pPr>
      <w:proofErr w:type="spellStart"/>
      <w:r w:rsidRPr="00131B66">
        <w:rPr>
          <w:rFonts w:ascii="Times New Roman" w:eastAsia="Times New Roman" w:hAnsi="Times New Roman" w:cs="Times New Roman"/>
          <w:sz w:val="24"/>
          <w:szCs w:val="24"/>
          <w:vertAlign w:val="superscript"/>
          <w:lang w:val="en-GB" w:eastAsia="en-GB"/>
        </w:rPr>
        <w:t>c</w:t>
      </w:r>
      <w:r w:rsidRPr="00131B66">
        <w:rPr>
          <w:rFonts w:ascii="Times New Roman" w:eastAsia="Times New Roman" w:hAnsi="Times New Roman" w:cs="Times New Roman"/>
          <w:sz w:val="24"/>
          <w:szCs w:val="24"/>
          <w:lang w:val="en-GB" w:eastAsia="en-GB"/>
        </w:rPr>
        <w:t>School</w:t>
      </w:r>
      <w:proofErr w:type="spellEnd"/>
      <w:r w:rsidRPr="00131B66">
        <w:rPr>
          <w:rFonts w:ascii="Times New Roman" w:eastAsia="Times New Roman" w:hAnsi="Times New Roman" w:cs="Times New Roman"/>
          <w:sz w:val="24"/>
          <w:szCs w:val="24"/>
          <w:lang w:val="en-GB" w:eastAsia="en-GB"/>
        </w:rPr>
        <w:t xml:space="preserve"> of Marketing, Events, and Tourism; Faculty of Business; The University of Greenwich; QA248 Maritime Greenwich Campus, London SE10 9LS; United Kingdom; ORCID: 0000-0003-0544-4842; e.o.mogaji@greenwich.ac.uk</w:t>
      </w:r>
    </w:p>
    <w:p w14:paraId="13FF8135" w14:textId="536CEF2C" w:rsidR="00131B66" w:rsidRPr="00131B66" w:rsidRDefault="00131B66" w:rsidP="00131B66">
      <w:pPr>
        <w:spacing w:before="360" w:after="300" w:line="360" w:lineRule="auto"/>
        <w:ind w:left="720" w:right="567"/>
        <w:rPr>
          <w:rFonts w:ascii="Times New Roman" w:eastAsia="Times New Roman" w:hAnsi="Times New Roman" w:cs="Times New Roman"/>
          <w:b/>
          <w:bCs/>
          <w:szCs w:val="24"/>
          <w:lang w:val="en-GB" w:eastAsia="en-GB"/>
        </w:rPr>
      </w:pPr>
      <w:r w:rsidRPr="00131B66">
        <w:rPr>
          <w:rFonts w:ascii="Times New Roman" w:eastAsia="Times New Roman" w:hAnsi="Times New Roman" w:cs="Times New Roman"/>
          <w:b/>
          <w:bCs/>
          <w:szCs w:val="24"/>
          <w:lang w:val="en-GB" w:eastAsia="en-GB"/>
        </w:rPr>
        <w:t xml:space="preserve">Abstract: </w:t>
      </w:r>
      <w:r w:rsidR="008A1F6A" w:rsidRPr="008A1F6A">
        <w:rPr>
          <w:rFonts w:ascii="Times New Roman" w:eastAsia="Times New Roman" w:hAnsi="Times New Roman" w:cs="Times New Roman"/>
          <w:szCs w:val="24"/>
          <w:lang w:val="en-GB" w:eastAsia="en-GB"/>
        </w:rPr>
        <w:t xml:space="preserve">This short communication discusses the inflow of foreign tourists during the current pandemic and its interplay with the wide-scale administration of COVID-19 vaccines in Serbia. It focuses on the country’s provision </w:t>
      </w:r>
      <w:proofErr w:type="gramStart"/>
      <w:r w:rsidR="008A1F6A" w:rsidRPr="008A1F6A">
        <w:rPr>
          <w:rFonts w:ascii="Times New Roman" w:eastAsia="Times New Roman" w:hAnsi="Times New Roman" w:cs="Times New Roman"/>
          <w:szCs w:val="24"/>
          <w:lang w:val="en-GB" w:eastAsia="en-GB"/>
        </w:rPr>
        <w:t>of  free</w:t>
      </w:r>
      <w:proofErr w:type="gramEnd"/>
      <w:r w:rsidR="008A1F6A" w:rsidRPr="008A1F6A">
        <w:rPr>
          <w:rFonts w:ascii="Times New Roman" w:eastAsia="Times New Roman" w:hAnsi="Times New Roman" w:cs="Times New Roman"/>
          <w:szCs w:val="24"/>
          <w:lang w:val="en-GB" w:eastAsia="en-GB"/>
        </w:rPr>
        <w:t>-of-charge vaccines to inbound tourists (primarily from Bosnia and Herzegovina, Montenegro, North Macedonia, Albania, and Croatia). As a result, the tourism sector experienced a boost in tourist arrivals and overnight stays across the country, which contradicts the trend in the tourism industry and is, potentially, an effective resilience strategy. Nevertheless, it remains to be seen how long the given effect will last and what the major benefits for stakeholders will be.</w:t>
      </w:r>
    </w:p>
    <w:p w14:paraId="4C0C89D2" w14:textId="2DB8734E" w:rsidR="00131B66" w:rsidRPr="00131B66" w:rsidRDefault="00131B66" w:rsidP="00131B66">
      <w:pPr>
        <w:spacing w:before="360" w:after="300" w:line="360" w:lineRule="auto"/>
        <w:ind w:left="720" w:right="567"/>
        <w:rPr>
          <w:rFonts w:ascii="Times New Roman" w:eastAsia="Times New Roman" w:hAnsi="Times New Roman" w:cs="Times New Roman"/>
          <w:szCs w:val="24"/>
          <w:lang w:val="en-GB" w:eastAsia="en-GB"/>
        </w:rPr>
      </w:pPr>
      <w:r w:rsidRPr="00131B66">
        <w:rPr>
          <w:rFonts w:ascii="Times New Roman" w:eastAsia="Times New Roman" w:hAnsi="Times New Roman" w:cs="Times New Roman"/>
          <w:b/>
          <w:szCs w:val="24"/>
          <w:lang w:val="en-GB" w:eastAsia="en-GB"/>
        </w:rPr>
        <w:t>Keywords:</w:t>
      </w:r>
      <w:r w:rsidRPr="00131B66">
        <w:rPr>
          <w:rFonts w:ascii="Times New Roman" w:eastAsia="Times New Roman" w:hAnsi="Times New Roman" w:cs="Times New Roman"/>
          <w:szCs w:val="24"/>
          <w:lang w:val="en-GB" w:eastAsia="en-GB"/>
        </w:rPr>
        <w:t xml:space="preserve"> </w:t>
      </w:r>
      <w:r w:rsidR="008A1F6A" w:rsidRPr="008A1F6A">
        <w:rPr>
          <w:rFonts w:ascii="Times New Roman" w:eastAsia="Times New Roman" w:hAnsi="Times New Roman" w:cs="Times New Roman"/>
          <w:szCs w:val="24"/>
          <w:lang w:eastAsia="en-GB"/>
        </w:rPr>
        <w:t>Serbia, COVID-19, vaccination, overnight stays, inbound tourists, resilience strategies</w:t>
      </w:r>
    </w:p>
    <w:p w14:paraId="181026A4" w14:textId="77777777" w:rsidR="00131B66" w:rsidRPr="00131B66" w:rsidRDefault="00131B66" w:rsidP="00131B66">
      <w:pPr>
        <w:keepNext/>
        <w:spacing w:before="360" w:after="60" w:line="360" w:lineRule="auto"/>
        <w:ind w:right="567"/>
        <w:contextualSpacing/>
        <w:outlineLvl w:val="0"/>
        <w:rPr>
          <w:rFonts w:ascii="Times New Roman" w:eastAsia="Times New Roman" w:hAnsi="Times New Roman" w:cs="Arial"/>
          <w:b/>
          <w:bCs/>
          <w:kern w:val="32"/>
          <w:sz w:val="24"/>
          <w:szCs w:val="32"/>
          <w:lang w:val="en-GB" w:eastAsia="en-GB"/>
        </w:rPr>
      </w:pPr>
      <w:r w:rsidRPr="00131B66">
        <w:rPr>
          <w:rFonts w:ascii="Times New Roman" w:eastAsia="Times New Roman" w:hAnsi="Times New Roman" w:cs="Arial"/>
          <w:b/>
          <w:bCs/>
          <w:kern w:val="32"/>
          <w:sz w:val="24"/>
          <w:szCs w:val="32"/>
          <w:lang w:val="en-GB" w:eastAsia="en-GB"/>
        </w:rPr>
        <w:t xml:space="preserve">Disclosure Statement </w:t>
      </w:r>
    </w:p>
    <w:p w14:paraId="3EA723E4" w14:textId="77777777" w:rsidR="00131B66" w:rsidRPr="00131B66" w:rsidRDefault="00131B66" w:rsidP="007667F5">
      <w:pPr>
        <w:widowControl w:val="0"/>
        <w:spacing w:before="240" w:after="0" w:line="360" w:lineRule="auto"/>
        <w:rPr>
          <w:rFonts w:ascii="Times New Roman" w:eastAsia="Times New Roman" w:hAnsi="Times New Roman" w:cs="Times New Roman"/>
          <w:sz w:val="24"/>
          <w:szCs w:val="24"/>
          <w:lang w:val="en-GB" w:eastAsia="en-GB"/>
        </w:rPr>
      </w:pPr>
      <w:r w:rsidRPr="00131B66">
        <w:rPr>
          <w:rFonts w:ascii="Times New Roman" w:eastAsia="Times New Roman" w:hAnsi="Times New Roman" w:cs="Times New Roman"/>
          <w:sz w:val="24"/>
          <w:szCs w:val="24"/>
          <w:lang w:val="en-GB" w:eastAsia="en-GB"/>
        </w:rPr>
        <w:t xml:space="preserve">Authors certify that they do not have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w:t>
      </w:r>
      <w:r w:rsidRPr="00131B66">
        <w:rPr>
          <w:rFonts w:ascii="Times New Roman" w:eastAsia="Times New Roman" w:hAnsi="Times New Roman" w:cs="Times New Roman"/>
          <w:sz w:val="24"/>
          <w:szCs w:val="24"/>
          <w:lang w:val="en-GB" w:eastAsia="en-GB"/>
        </w:rPr>
        <w:lastRenderedPageBreak/>
        <w:t>(such as personal or professional relationships, affiliations, knowledge or beliefs) in the subject matter or materials discussed in this manuscript.</w:t>
      </w:r>
    </w:p>
    <w:p w14:paraId="2D18B227" w14:textId="77777777" w:rsidR="00131B66" w:rsidRPr="00131B66" w:rsidRDefault="00131B66" w:rsidP="007667F5">
      <w:pPr>
        <w:keepNext/>
        <w:spacing w:before="360" w:after="60" w:line="360" w:lineRule="auto"/>
        <w:ind w:right="567"/>
        <w:contextualSpacing/>
        <w:outlineLvl w:val="0"/>
        <w:rPr>
          <w:rFonts w:ascii="Times New Roman" w:eastAsia="Times New Roman" w:hAnsi="Times New Roman" w:cs="Arial"/>
          <w:b/>
          <w:bCs/>
          <w:kern w:val="32"/>
          <w:sz w:val="24"/>
          <w:szCs w:val="32"/>
          <w:lang w:val="en-GB" w:eastAsia="en-GB"/>
        </w:rPr>
      </w:pPr>
      <w:r w:rsidRPr="00131B66">
        <w:rPr>
          <w:rFonts w:ascii="Times New Roman" w:eastAsia="Times New Roman" w:hAnsi="Times New Roman" w:cs="Arial"/>
          <w:b/>
          <w:bCs/>
          <w:kern w:val="32"/>
          <w:sz w:val="24"/>
          <w:szCs w:val="32"/>
          <w:lang w:val="en-GB" w:eastAsia="en-GB"/>
        </w:rPr>
        <w:t>Funding</w:t>
      </w:r>
    </w:p>
    <w:p w14:paraId="6E4629D1" w14:textId="23F34856" w:rsidR="007667F5" w:rsidRPr="007667F5" w:rsidRDefault="007667F5" w:rsidP="007667F5">
      <w:pPr>
        <w:spacing w:line="360" w:lineRule="auto"/>
        <w:rPr>
          <w:rFonts w:ascii="Times New Roman" w:hAnsi="Times New Roman" w:cs="Times New Roman"/>
          <w:lang w:val="en-GB" w:eastAsia="en-GB"/>
        </w:rPr>
      </w:pPr>
      <w:r w:rsidRPr="007667F5">
        <w:rPr>
          <w:rFonts w:ascii="Times New Roman" w:hAnsi="Times New Roman" w:cs="Times New Roman"/>
          <w:lang w:val="en-GB" w:eastAsia="en-GB"/>
        </w:rPr>
        <w:t xml:space="preserve">This work was partially supported by the </w:t>
      </w:r>
      <w:r w:rsidRPr="007667F5">
        <w:rPr>
          <w:rFonts w:ascii="Times New Roman" w:hAnsi="Times New Roman" w:cs="Times New Roman"/>
          <w:lang w:val="en-GB" w:eastAsia="en-GB"/>
        </w:rPr>
        <w:t>Masaryk University Grant Agency (GAMU</w:t>
      </w:r>
      <w:r w:rsidRPr="007667F5">
        <w:rPr>
          <w:rFonts w:ascii="Times New Roman" w:hAnsi="Times New Roman" w:cs="Times New Roman"/>
          <w:lang w:val="en-GB" w:eastAsia="en-GB"/>
        </w:rPr>
        <w:t xml:space="preserve">) in </w:t>
      </w:r>
      <w:r w:rsidRPr="007667F5">
        <w:rPr>
          <w:rFonts w:ascii="Times New Roman" w:hAnsi="Times New Roman" w:cs="Times New Roman"/>
          <w:lang w:val="en-GB" w:eastAsia="en-GB"/>
        </w:rPr>
        <w:t>Czech Republic</w:t>
      </w:r>
      <w:r w:rsidRPr="007667F5">
        <w:rPr>
          <w:rFonts w:ascii="Times New Roman" w:hAnsi="Times New Roman" w:cs="Times New Roman"/>
          <w:lang w:val="en-GB" w:eastAsia="en-GB"/>
        </w:rPr>
        <w:t xml:space="preserve"> under the grant number: MUNI/A/1262/2020.</w:t>
      </w:r>
    </w:p>
    <w:p w14:paraId="27739D06" w14:textId="77777777" w:rsidR="00131B66" w:rsidRPr="00131B66" w:rsidRDefault="00131B66" w:rsidP="007667F5">
      <w:pPr>
        <w:keepNext/>
        <w:spacing w:before="360" w:after="60" w:line="360" w:lineRule="auto"/>
        <w:ind w:right="567"/>
        <w:contextualSpacing/>
        <w:outlineLvl w:val="0"/>
        <w:rPr>
          <w:rFonts w:ascii="Times New Roman" w:eastAsia="Times New Roman" w:hAnsi="Times New Roman" w:cs="Arial"/>
          <w:b/>
          <w:bCs/>
          <w:kern w:val="32"/>
          <w:sz w:val="24"/>
          <w:szCs w:val="32"/>
          <w:lang w:val="en-GB" w:eastAsia="en-GB"/>
        </w:rPr>
      </w:pPr>
      <w:r w:rsidRPr="00131B66">
        <w:rPr>
          <w:rFonts w:ascii="Times New Roman" w:eastAsia="Times New Roman" w:hAnsi="Times New Roman" w:cs="Arial"/>
          <w:b/>
          <w:bCs/>
          <w:kern w:val="32"/>
          <w:sz w:val="24"/>
          <w:szCs w:val="32"/>
          <w:lang w:val="en-GB" w:eastAsia="en-GB"/>
        </w:rPr>
        <w:t>Acknowledgments</w:t>
      </w:r>
    </w:p>
    <w:p w14:paraId="498ABC89" w14:textId="195BB431" w:rsidR="00131B66" w:rsidRDefault="00131B66" w:rsidP="00F231F1">
      <w:pPr>
        <w:rPr>
          <w:rFonts w:ascii="Times New Roman" w:eastAsia="Times New Roman" w:hAnsi="Times New Roman" w:cs="Times New Roman"/>
          <w:b/>
          <w:sz w:val="28"/>
          <w:szCs w:val="28"/>
        </w:rPr>
      </w:pPr>
      <w:r w:rsidRPr="00131B66">
        <w:rPr>
          <w:rFonts w:ascii="Times New Roman" w:eastAsia="Times New Roman" w:hAnsi="Times New Roman" w:cs="Times New Roman"/>
          <w:sz w:val="24"/>
          <w:szCs w:val="24"/>
          <w:lang w:val="en-GB" w:eastAsia="en-GB"/>
        </w:rPr>
        <w:t>None</w:t>
      </w:r>
    </w:p>
    <w:p w14:paraId="580B1ADD" w14:textId="77777777" w:rsidR="00131B66" w:rsidRDefault="00131B6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1A36F1A" w14:textId="77777777" w:rsidR="00113F27" w:rsidRDefault="00113F27" w:rsidP="00113F27">
      <w:pPr>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lastRenderedPageBreak/>
        <w:t xml:space="preserve">Using COVID-19 Vaccination as a Resilience Strategy for the Tourism Sector – Evidence from Serbia </w:t>
      </w:r>
    </w:p>
    <w:p w14:paraId="35EA0D44" w14:textId="77777777" w:rsidR="00113F27" w:rsidRDefault="00113F27" w:rsidP="00113F27">
      <w:pPr>
        <w:pStyle w:val="Head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6F0BB4DB" w14:textId="77777777" w:rsidR="00113F27" w:rsidRDefault="00113F27" w:rsidP="00113F2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short communication discusses the inflow of foreign tourists during the current pandemic and its interplay with the wide-scale administration of COVID-19 vaccines in Serbia. It focuses on the country’s provision of free-of-charge vaccines to inbound tourists (primarily from Bosnia and Herzegovina, Montenegro, North Macedonia, Albania, and Croatia). As a result, the tourism sector experienced a boost in tourist arrivals and overnight stays across the country, which contradicts the trend in the tourism industry and is, potentially, an effective resilience strategy. Nevertheless, it remains to be seen how long the given effect will last and what the major benefits for stakeholders will be.</w:t>
      </w:r>
    </w:p>
    <w:p w14:paraId="2F261684" w14:textId="77777777" w:rsidR="00113F27" w:rsidRDefault="00113F27" w:rsidP="00113F27">
      <w:pPr>
        <w:pStyle w:val="Head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Keywords</w:t>
      </w:r>
    </w:p>
    <w:p w14:paraId="633AA197" w14:textId="77777777" w:rsidR="00113F27" w:rsidRDefault="00113F27" w:rsidP="00113F27">
      <w:pPr>
        <w:rPr>
          <w:rFonts w:ascii="Times New Roman" w:eastAsia="Times New Roman" w:hAnsi="Times New Roman" w:cs="Times New Roman"/>
          <w:sz w:val="24"/>
          <w:szCs w:val="24"/>
        </w:rPr>
      </w:pPr>
      <w:r>
        <w:rPr>
          <w:rFonts w:ascii="Times New Roman" w:eastAsia="Times New Roman" w:hAnsi="Times New Roman" w:cs="Times New Roman"/>
          <w:sz w:val="24"/>
          <w:szCs w:val="24"/>
        </w:rPr>
        <w:t>Serbia, COVID-19, vaccination, overnight stays, inbound tourists, resilience strategies</w:t>
      </w:r>
    </w:p>
    <w:p w14:paraId="5B55FD50" w14:textId="77777777" w:rsidR="00113F27" w:rsidRDefault="00113F27" w:rsidP="00113F27">
      <w:pPr>
        <w:pStyle w:val="Heading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0CE3CFA4" w14:textId="77777777" w:rsidR="00113F27" w:rsidRDefault="00113F27" w:rsidP="00113F27"/>
    <w:p w14:paraId="1AA1776F" w14:textId="77777777" w:rsidR="00113F27" w:rsidRPr="003D0E75" w:rsidRDefault="00113F27" w:rsidP="00113F27">
      <w:pPr>
        <w:spacing w:line="360" w:lineRule="auto"/>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COVID-19 has </w:t>
      </w:r>
      <w:r w:rsidRPr="003D0E75">
        <w:rPr>
          <w:rFonts w:ascii="Times New Roman" w:eastAsia="Times New Roman" w:hAnsi="Times New Roman" w:cs="Times New Roman"/>
          <w:sz w:val="24"/>
          <w:szCs w:val="24"/>
        </w:rPr>
        <w:t>severely disrupted the tourism industry throughout the world and called into question the sector’s resilience to extreme events. Not only have the most renowned tourist destinations been affected, but the tourism sectors of emerging economies have reported a sharp decline in inbound tourist arrivals and overnight stays. A post-pandemic upturn is to be expected, but it is hard to predict what the sector will look like afterwards or what kind of resilience strategies are likely to be employed (Khan et al.</w:t>
      </w:r>
      <w:r>
        <w:rPr>
          <w:rFonts w:ascii="Times New Roman" w:eastAsia="Times New Roman" w:hAnsi="Times New Roman" w:cs="Times New Roman"/>
          <w:sz w:val="24"/>
          <w:szCs w:val="24"/>
        </w:rPr>
        <w:t>,</w:t>
      </w:r>
      <w:r w:rsidRPr="003D0E75">
        <w:rPr>
          <w:rFonts w:ascii="Times New Roman" w:eastAsia="Times New Roman" w:hAnsi="Times New Roman" w:cs="Times New Roman"/>
          <w:sz w:val="24"/>
          <w:szCs w:val="24"/>
        </w:rPr>
        <w:t xml:space="preserve"> 2021). Industry considers a resilience strategy a crisis management tool implying activities that lead to the emergence of stronger entities effectively able to respond to extreme events, in which the whole array of stakeholders is involved in terms of their composition, execution, and evaluation (</w:t>
      </w:r>
      <w:proofErr w:type="spellStart"/>
      <w:r w:rsidRPr="003D0E75">
        <w:rPr>
          <w:rFonts w:ascii="Times New Roman" w:eastAsia="Times New Roman" w:hAnsi="Times New Roman" w:cs="Times New Roman"/>
          <w:sz w:val="24"/>
          <w:szCs w:val="24"/>
        </w:rPr>
        <w:t>Traskevich</w:t>
      </w:r>
      <w:proofErr w:type="spellEnd"/>
      <w:r w:rsidRPr="003D0E75">
        <w:rPr>
          <w:rFonts w:ascii="Times New Roman" w:eastAsia="Times New Roman" w:hAnsi="Times New Roman" w:cs="Times New Roman"/>
          <w:sz w:val="24"/>
          <w:szCs w:val="24"/>
        </w:rPr>
        <w:t xml:space="preserve"> &amp; </w:t>
      </w:r>
      <w:proofErr w:type="spellStart"/>
      <w:r w:rsidRPr="003D0E75">
        <w:rPr>
          <w:rFonts w:ascii="Times New Roman" w:eastAsia="Times New Roman" w:hAnsi="Times New Roman" w:cs="Times New Roman"/>
          <w:sz w:val="24"/>
          <w:szCs w:val="24"/>
        </w:rPr>
        <w:t>Fontanari</w:t>
      </w:r>
      <w:proofErr w:type="spellEnd"/>
      <w:r w:rsidRPr="003D0E75">
        <w:rPr>
          <w:rFonts w:ascii="Times New Roman" w:eastAsia="Times New Roman" w:hAnsi="Times New Roman" w:cs="Times New Roman"/>
          <w:sz w:val="24"/>
          <w:szCs w:val="24"/>
        </w:rPr>
        <w:t xml:space="preserve">, 2021). Given the uncertain nature of the current pandemic and its overall impact, it remains to be seen how individual authorities and affected stakeholders will respond. </w:t>
      </w:r>
    </w:p>
    <w:p w14:paraId="3F6FA149" w14:textId="77777777" w:rsidR="00113F27" w:rsidRPr="003D0E75"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The first signs of recovery appeared with the initial attempts to administer wide-scale vaccination of populations (Wang et al.</w:t>
      </w:r>
      <w:r>
        <w:rPr>
          <w:rFonts w:ascii="Times New Roman" w:eastAsia="Times New Roman" w:hAnsi="Times New Roman" w:cs="Times New Roman"/>
          <w:sz w:val="24"/>
          <w:szCs w:val="24"/>
        </w:rPr>
        <w:t>,</w:t>
      </w:r>
      <w:r w:rsidRPr="003D0E75">
        <w:rPr>
          <w:rFonts w:ascii="Times New Roman" w:eastAsia="Times New Roman" w:hAnsi="Times New Roman" w:cs="Times New Roman"/>
          <w:sz w:val="24"/>
          <w:szCs w:val="24"/>
        </w:rPr>
        <w:t xml:space="preserve"> 2021). In this respect, some countries performed better than others, in that they succeeded in vaccinating a substantial proportion of their citizens, whereas others were confronted with acute problems. In this regard, Serbia emerged with credit. It performed better than most of the EU and neighboring countries and was among the top three countries in the world in terms of percentage of population vaccinated (Our World in Data, 2021). It offered its citizens four vaccines (Pfizer-BioNTech, Oxford-</w:t>
      </w:r>
      <w:r w:rsidRPr="003D0E75">
        <w:rPr>
          <w:rFonts w:ascii="Times New Roman" w:eastAsia="Times New Roman" w:hAnsi="Times New Roman" w:cs="Times New Roman"/>
          <w:sz w:val="24"/>
          <w:szCs w:val="24"/>
        </w:rPr>
        <w:lastRenderedPageBreak/>
        <w:t>AstraZeneca, Sinopharm, and Sputnik V). At a certain point, there was a lack of interest on the part of its citizens to have the vaccination (Holt, 2021). Generous invitations were made to neighboring countries</w:t>
      </w:r>
      <w:r w:rsidRPr="003D0E75">
        <w:rPr>
          <w:rStyle w:val="FootnoteReference"/>
        </w:rPr>
        <w:footnoteReference w:id="2"/>
      </w:r>
      <w:r w:rsidRPr="003D0E75">
        <w:rPr>
          <w:rFonts w:ascii="Times New Roman" w:eastAsia="Times New Roman" w:hAnsi="Times New Roman" w:cs="Times New Roman"/>
          <w:sz w:val="24"/>
          <w:szCs w:val="24"/>
        </w:rPr>
        <w:t>, whose citizens were not subject to travel restrictions. While some countries were struggling to secure enough doses of vaccines, the Serbian government was struggling to increase the vaccination rate among the population. Therefore, in an official address, the Serbian prime minister invited foreign citizens to be vaccinated in Serbia, which, intentionally or not, triggered a series of events that led to a partial and temporary stabilization of the tourism sector and an increase in the inflow of tourists.</w:t>
      </w:r>
    </w:p>
    <w:p w14:paraId="388B3DB2" w14:textId="77777777" w:rsidR="00113F27" w:rsidRPr="003D0E75"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 xml:space="preserve">This unexpected invitation culminated in five weeks in March and April with the arrival of an estimated 60,000 </w:t>
      </w:r>
      <w:r w:rsidRPr="003D0E75">
        <w:rPr>
          <w:rFonts w:ascii="Times New Roman" w:eastAsia="Times New Roman" w:hAnsi="Times New Roman" w:cs="Times New Roman"/>
          <w:i/>
          <w:sz w:val="24"/>
          <w:szCs w:val="24"/>
        </w:rPr>
        <w:t>vaccine-tourists</w:t>
      </w:r>
      <w:r w:rsidRPr="003D0E75">
        <w:rPr>
          <w:rStyle w:val="FootnoteReference"/>
        </w:rPr>
        <w:footnoteReference w:id="3"/>
      </w:r>
      <w:r w:rsidRPr="003D0E75">
        <w:rPr>
          <w:rFonts w:ascii="Times New Roman" w:eastAsia="Times New Roman" w:hAnsi="Times New Roman" w:cs="Times New Roman"/>
          <w:sz w:val="24"/>
          <w:szCs w:val="24"/>
        </w:rPr>
        <w:t xml:space="preserve"> to receive their first dose of vaccine (Associated Press, 2021; CNN, 2021). On average, they spent two and a half days in various cities close to their vaccination centers and probably spent an average of 35 EUR per day (Statistical Office of the Republic of Serbia, 2021), thereby making a significant contribution to the country’s struggling tourism sector. Moreover, this indicated a potential way out of the difficult situation.</w:t>
      </w:r>
    </w:p>
    <w:p w14:paraId="50CA96C7" w14:textId="77777777" w:rsidR="00113F27" w:rsidRPr="003D0E75"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This short communication reflects on the impact of the provision of free-of-charge COVID-19 vaccines to overnight and inbound tourists in the context of the government’s proactive measure to stabilize the tourism sector. We follow up on still open questions to investigate the factors that may contribute to a more resilient tourism sector in the post-COVID-19 era (Sharma et al.</w:t>
      </w:r>
      <w:r>
        <w:rPr>
          <w:rFonts w:ascii="Times New Roman" w:eastAsia="Times New Roman" w:hAnsi="Times New Roman" w:cs="Times New Roman"/>
          <w:sz w:val="24"/>
          <w:szCs w:val="24"/>
        </w:rPr>
        <w:t>,</w:t>
      </w:r>
      <w:r w:rsidRPr="003D0E75">
        <w:rPr>
          <w:rFonts w:ascii="Times New Roman" w:eastAsia="Times New Roman" w:hAnsi="Times New Roman" w:cs="Times New Roman"/>
          <w:sz w:val="24"/>
          <w:szCs w:val="24"/>
        </w:rPr>
        <w:t xml:space="preserve"> 2021) and to explore how the experience of the current pandemic may be put to good use in the future (Ioannides &amp; </w:t>
      </w:r>
      <w:proofErr w:type="spellStart"/>
      <w:r w:rsidRPr="003D0E75">
        <w:rPr>
          <w:rFonts w:ascii="Times New Roman" w:eastAsia="Times New Roman" w:hAnsi="Times New Roman" w:cs="Times New Roman"/>
          <w:sz w:val="24"/>
          <w:szCs w:val="24"/>
        </w:rPr>
        <w:t>Gyim´othy</w:t>
      </w:r>
      <w:proofErr w:type="spellEnd"/>
      <w:r w:rsidRPr="003D0E75">
        <w:rPr>
          <w:rFonts w:ascii="Times New Roman" w:eastAsia="Times New Roman" w:hAnsi="Times New Roman" w:cs="Times New Roman"/>
          <w:sz w:val="24"/>
          <w:szCs w:val="24"/>
        </w:rPr>
        <w:t>, 2020).</w:t>
      </w:r>
    </w:p>
    <w:p w14:paraId="07072437" w14:textId="77777777" w:rsidR="00113F27" w:rsidRPr="003D0E75" w:rsidRDefault="00113F27" w:rsidP="00113F27">
      <w:pPr>
        <w:pStyle w:val="Heading1"/>
        <w:rPr>
          <w:rFonts w:ascii="Times New Roman" w:eastAsia="Times New Roman" w:hAnsi="Times New Roman" w:cs="Times New Roman"/>
          <w:b/>
          <w:color w:val="000000"/>
          <w:sz w:val="24"/>
          <w:szCs w:val="24"/>
        </w:rPr>
      </w:pPr>
      <w:r w:rsidRPr="003D0E75">
        <w:rPr>
          <w:rFonts w:ascii="Times New Roman" w:eastAsia="Times New Roman" w:hAnsi="Times New Roman" w:cs="Times New Roman"/>
          <w:b/>
          <w:color w:val="000000"/>
          <w:sz w:val="24"/>
          <w:szCs w:val="24"/>
        </w:rPr>
        <w:t>Methodology</w:t>
      </w:r>
    </w:p>
    <w:p w14:paraId="3805163E" w14:textId="77777777" w:rsidR="00113F27" w:rsidRPr="003D0E75" w:rsidRDefault="00113F27" w:rsidP="00113F27"/>
    <w:p w14:paraId="36330E35" w14:textId="77777777" w:rsidR="00113F27" w:rsidRPr="003D0E75" w:rsidRDefault="00113F27" w:rsidP="00113F27">
      <w:pPr>
        <w:spacing w:line="360" w:lineRule="auto"/>
      </w:pPr>
      <w:r w:rsidRPr="003D0E75">
        <w:rPr>
          <w:rFonts w:ascii="Times New Roman" w:eastAsia="Times New Roman" w:hAnsi="Times New Roman" w:cs="Times New Roman"/>
          <w:sz w:val="24"/>
          <w:szCs w:val="24"/>
        </w:rPr>
        <w:t xml:space="preserve">This is essentially an archival study, as the analyses and conclusions are largely based on secondary data sources </w:t>
      </w:r>
      <w:r>
        <w:rPr>
          <w:rFonts w:ascii="Times New Roman" w:eastAsia="Times New Roman" w:hAnsi="Times New Roman" w:cs="Times New Roman"/>
          <w:sz w:val="24"/>
          <w:szCs w:val="24"/>
        </w:rPr>
        <w:t>(</w:t>
      </w:r>
      <w:r w:rsidRPr="003D0E75">
        <w:rPr>
          <w:rFonts w:ascii="Times New Roman" w:eastAsia="Times New Roman" w:hAnsi="Times New Roman" w:cs="Times New Roman"/>
          <w:sz w:val="24"/>
          <w:szCs w:val="24"/>
        </w:rPr>
        <w:t>i.e.</w:t>
      </w:r>
      <w:r>
        <w:rPr>
          <w:rFonts w:ascii="Times New Roman" w:eastAsia="Times New Roman" w:hAnsi="Times New Roman" w:cs="Times New Roman"/>
          <w:sz w:val="24"/>
          <w:szCs w:val="24"/>
        </w:rPr>
        <w:t>,</w:t>
      </w:r>
      <w:r w:rsidRPr="003D0E75">
        <w:rPr>
          <w:rFonts w:ascii="Times New Roman" w:eastAsia="Times New Roman" w:hAnsi="Times New Roman" w:cs="Times New Roman"/>
          <w:sz w:val="24"/>
          <w:szCs w:val="24"/>
        </w:rPr>
        <w:t xml:space="preserve"> the Statistical Office of the Republic of Serbia, press portals, and open data portals (ourworldindata.org; data.gov.rs). The retrieved data are in the form of news releases, datasets, and statistical reports. The monthly reported data that was subject to analyses are for the period between February and June of 2021 (five observations in total). To examine the interplay between the independent variable (free-of-charge vaccination – VAC), and the dependent variables (foreign arrivals – FOR, and overnight stays – OVE), we used </w:t>
      </w:r>
      <w:r w:rsidRPr="003D0E75">
        <w:rPr>
          <w:rFonts w:ascii="Times New Roman" w:eastAsia="Times New Roman" w:hAnsi="Times New Roman" w:cs="Times New Roman"/>
          <w:sz w:val="24"/>
          <w:szCs w:val="24"/>
        </w:rPr>
        <w:lastRenderedPageBreak/>
        <w:t>regression analyses. To ensure that data was suitable for regression analyses and the necessary assumptions were valid (e.g., normality, multicollinearity, collinearity, linear relation between variables), we performed a sequence of pre-checks, as suggested by Field (2013).</w:t>
      </w:r>
    </w:p>
    <w:p w14:paraId="5FB4DE3E" w14:textId="77777777" w:rsidR="00113F27" w:rsidRPr="003D0E75"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We focused on the case of Serbia, as, at that time, it was the only country in the world that was offering excess logistical capacity and COVID-19 vaccines to foreign nationals.  It was therefore a unique environment for observing the adverse COVID-19 influence on the tourism sector and the influence of a resilience strategy. During the observed months, no “stay-at-home” orders or movement restrictions were in force in Serbia.</w:t>
      </w:r>
    </w:p>
    <w:p w14:paraId="38BEEC4E" w14:textId="77777777" w:rsidR="00113F27" w:rsidRPr="003D0E75" w:rsidRDefault="00113F27" w:rsidP="00113F27">
      <w:pPr>
        <w:pStyle w:val="Heading1"/>
        <w:rPr>
          <w:rFonts w:ascii="Times New Roman" w:eastAsia="Times New Roman" w:hAnsi="Times New Roman" w:cs="Times New Roman"/>
          <w:b/>
          <w:color w:val="000000"/>
          <w:sz w:val="24"/>
          <w:szCs w:val="24"/>
        </w:rPr>
      </w:pPr>
      <w:r w:rsidRPr="003D0E75">
        <w:rPr>
          <w:rFonts w:ascii="Times New Roman" w:eastAsia="Times New Roman" w:hAnsi="Times New Roman" w:cs="Times New Roman"/>
          <w:b/>
          <w:color w:val="000000"/>
          <w:sz w:val="24"/>
          <w:szCs w:val="24"/>
        </w:rPr>
        <w:t>Findings and Discussion</w:t>
      </w:r>
    </w:p>
    <w:p w14:paraId="0F7C48E0" w14:textId="77777777" w:rsidR="00113F27" w:rsidRPr="003D0E75" w:rsidRDefault="00113F27" w:rsidP="00113F27"/>
    <w:p w14:paraId="2E04795D" w14:textId="77777777" w:rsidR="00113F27" w:rsidRPr="00F65727"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 xml:space="preserve">The consolidated data (Figure 1) indicate a heavy reliance on tourists from the observed countries </w:t>
      </w:r>
      <w:proofErr w:type="gramStart"/>
      <w:r w:rsidRPr="003D0E75">
        <w:rPr>
          <w:rFonts w:ascii="Times New Roman" w:eastAsia="Times New Roman" w:hAnsi="Times New Roman" w:cs="Times New Roman"/>
          <w:sz w:val="24"/>
          <w:szCs w:val="24"/>
        </w:rPr>
        <w:t>with regard to</w:t>
      </w:r>
      <w:proofErr w:type="gramEnd"/>
      <w:r w:rsidRPr="003D0E75">
        <w:rPr>
          <w:rFonts w:ascii="Times New Roman" w:eastAsia="Times New Roman" w:hAnsi="Times New Roman" w:cs="Times New Roman"/>
          <w:sz w:val="24"/>
          <w:szCs w:val="24"/>
        </w:rPr>
        <w:t xml:space="preserve"> the total number of tourists who visited Serbia in the period February to June 2021. In March and April, almost all tourist visits and overnight stays were related to vaccine tourism (98% and 95%). For comparison, in the corresponding period in 2019 (we excluded 2020 due to the huge decrease in numbers caused by COVID-19), the proportions stood at a modest 25-30%.</w:t>
      </w:r>
      <w:r w:rsidRPr="00F65727">
        <w:rPr>
          <w:rFonts w:ascii="Times New Roman" w:eastAsia="Times New Roman" w:hAnsi="Times New Roman" w:cs="Times New Roman"/>
          <w:sz w:val="24"/>
          <w:szCs w:val="24"/>
        </w:rPr>
        <w:t xml:space="preserve"> </w:t>
      </w:r>
    </w:p>
    <w:p w14:paraId="7CB0C344" w14:textId="77777777" w:rsidR="00113F27" w:rsidRPr="00F65727" w:rsidRDefault="00113F27" w:rsidP="00113F27">
      <w:pPr>
        <w:rPr>
          <w:rFonts w:ascii="Times New Roman" w:eastAsia="Times New Roman" w:hAnsi="Times New Roman" w:cs="Times New Roman"/>
          <w:sz w:val="24"/>
          <w:szCs w:val="24"/>
        </w:rPr>
      </w:pPr>
      <w:bookmarkStart w:id="1" w:name="_Hlk86836130"/>
      <w:r w:rsidRPr="00F65727">
        <w:rPr>
          <w:rFonts w:ascii="Times New Roman" w:eastAsia="Times New Roman" w:hAnsi="Times New Roman" w:cs="Times New Roman"/>
          <w:sz w:val="24"/>
          <w:szCs w:val="24"/>
        </w:rPr>
        <w:t>Figure 1</w:t>
      </w:r>
      <w:r>
        <w:rPr>
          <w:rFonts w:ascii="Times New Roman" w:eastAsia="Times New Roman" w:hAnsi="Times New Roman" w:cs="Times New Roman"/>
          <w:sz w:val="24"/>
          <w:szCs w:val="24"/>
        </w:rPr>
        <w:t xml:space="preserve"> goes about here.</w:t>
      </w:r>
    </w:p>
    <w:bookmarkEnd w:id="1"/>
    <w:p w14:paraId="244009C8" w14:textId="77777777" w:rsidR="00113F27" w:rsidRPr="003D0E75"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Although there was a marked negative trend in overall foreign arrivals and overnight stays, a positive factor was the significant number of inbound tourists visiting from the surrounding countries (Bosnia and Herzegovina, Albania, Croatia, North Macedonia, and Montenegro) (Al Jazeera, 2021; CNN, 2021). This can be explained by the visiting friends and relatives (VFR) segment that is considered a strong demand generator (González-Gómez &amp; Otero-</w:t>
      </w:r>
      <w:proofErr w:type="spellStart"/>
      <w:r w:rsidRPr="003D0E75">
        <w:rPr>
          <w:rFonts w:ascii="Times New Roman" w:eastAsia="Times New Roman" w:hAnsi="Times New Roman" w:cs="Times New Roman"/>
          <w:sz w:val="24"/>
          <w:szCs w:val="24"/>
        </w:rPr>
        <w:t>Giráldez</w:t>
      </w:r>
      <w:proofErr w:type="spellEnd"/>
      <w:r w:rsidRPr="003D0E75">
        <w:rPr>
          <w:rFonts w:ascii="Times New Roman" w:eastAsia="Times New Roman" w:hAnsi="Times New Roman" w:cs="Times New Roman"/>
          <w:sz w:val="24"/>
          <w:szCs w:val="24"/>
        </w:rPr>
        <w:t>, 2020). Moreover, the VFR segment was the first to respond to the invitation for free-of-charge vaccination. An additional fact that potentially contributed to this short-term inflow of tourists is the liberal entry conditions,</w:t>
      </w:r>
      <w:r w:rsidRPr="003D0E75">
        <w:rPr>
          <w:rStyle w:val="FootnoteReference"/>
        </w:rPr>
        <w:footnoteReference w:id="4"/>
      </w:r>
      <w:r w:rsidRPr="003D0E75">
        <w:rPr>
          <w:rFonts w:ascii="Times New Roman" w:eastAsia="Times New Roman" w:hAnsi="Times New Roman" w:cs="Times New Roman"/>
          <w:sz w:val="24"/>
          <w:szCs w:val="24"/>
        </w:rPr>
        <w:t xml:space="preserve"> with no restrictions for citizens of the neighboring countries (Ministry of Foreign Affairs, 2021).</w:t>
      </w:r>
    </w:p>
    <w:p w14:paraId="47C3FDB8" w14:textId="77777777" w:rsidR="00113F27" w:rsidRPr="003D0E75"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In statistical terms, the results indicate that both variables are positively influenced and predicted by the free provision of vaccines (models’ statistics: adjusted R</w:t>
      </w:r>
      <w:r w:rsidRPr="003D0E75">
        <w:rPr>
          <w:rFonts w:ascii="Times New Roman" w:eastAsia="Times New Roman" w:hAnsi="Times New Roman" w:cs="Times New Roman"/>
          <w:sz w:val="24"/>
          <w:szCs w:val="24"/>
          <w:vertAlign w:val="superscript"/>
        </w:rPr>
        <w:t>2</w:t>
      </w:r>
      <w:r w:rsidRPr="003D0E75">
        <w:rPr>
          <w:rFonts w:ascii="Times New Roman" w:eastAsia="Times New Roman" w:hAnsi="Times New Roman" w:cs="Times New Roman"/>
          <w:sz w:val="24"/>
          <w:szCs w:val="24"/>
        </w:rPr>
        <w:t xml:space="preserve">: 55.12/34.89, Standard Error: 1.24/1.57; Durbin-Watson: 2.13/1.89). We found statistical evidence that the free-of-charge provision of vaccines (VAC) had a considerably positive influence on foreign </w:t>
      </w:r>
      <w:r w:rsidRPr="003D0E75">
        <w:rPr>
          <w:rFonts w:ascii="Times New Roman" w:eastAsia="Times New Roman" w:hAnsi="Times New Roman" w:cs="Times New Roman"/>
          <w:sz w:val="24"/>
          <w:szCs w:val="24"/>
        </w:rPr>
        <w:lastRenderedPageBreak/>
        <w:t>tourist arrivals (FOR) in the observed period (β=+3.66; p&lt;0.001). This indicates that the opportunity to receive a needed vaccine was the major and strong motivation to visit Serbia in the observed period. In addition, the outputs indicate that the VAC variable also influenced overnight stays during the given time window (β=+1.89; p&lt;0.001). Although the predictive power is somewhat weaker than in the case of foreign arrivals, vaccination also undeniably influenced the number of overnight stays in Serbia. This can be attributed to the fact that some of those who took up the offer of vaccination made one-day journeys to vaccination sites in Serbia. This is practically possible given the size of the VFR segment, the geographical proximity, and the good traffic connections to most of the neighboring countries. We may therefore conclude that the proactive resilience measure taken by authorities had a positive impact on short-run developments in terms of foreign tourist arrivals and overnight stays.</w:t>
      </w:r>
    </w:p>
    <w:p w14:paraId="44E9614C" w14:textId="77777777" w:rsidR="00113F27" w:rsidRPr="00F65727" w:rsidRDefault="00113F27" w:rsidP="00113F27">
      <w:pPr>
        <w:spacing w:line="360" w:lineRule="auto"/>
        <w:rPr>
          <w:rFonts w:ascii="Times New Roman" w:eastAsia="Times New Roman" w:hAnsi="Times New Roman" w:cs="Times New Roman"/>
          <w:sz w:val="24"/>
          <w:szCs w:val="24"/>
        </w:rPr>
      </w:pPr>
      <w:r w:rsidRPr="003D0E75">
        <w:rPr>
          <w:rFonts w:ascii="Times New Roman" w:eastAsia="Times New Roman" w:hAnsi="Times New Roman" w:cs="Times New Roman"/>
          <w:sz w:val="24"/>
          <w:szCs w:val="24"/>
        </w:rPr>
        <w:t>Whilst it had a significant effect on tourist arrivals and overnight stays, in a broader strategic sense, free-of-charge vaccination can be seen as an example of a resilience measure to sustain the wellbeing of the tourism sector in the short term (while composing various measures to deal with the extreme event (Alonso et al., 2020)). Given the negative consequences of COVID-19 (Lew, 2020), the tool to stop the disease can be seen as a means of increasing resource inflow (</w:t>
      </w:r>
      <w:proofErr w:type="spellStart"/>
      <w:r w:rsidRPr="003D0E75">
        <w:rPr>
          <w:rFonts w:ascii="Times New Roman" w:eastAsia="Times New Roman" w:hAnsi="Times New Roman" w:cs="Times New Roman"/>
          <w:sz w:val="24"/>
          <w:szCs w:val="24"/>
        </w:rPr>
        <w:t>Bartik</w:t>
      </w:r>
      <w:proofErr w:type="spellEnd"/>
      <w:r w:rsidRPr="003D0E75">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w:t>
      </w:r>
      <w:r w:rsidRPr="003D0E75">
        <w:rPr>
          <w:rFonts w:ascii="Times New Roman" w:eastAsia="Times New Roman" w:hAnsi="Times New Roman" w:cs="Times New Roman"/>
          <w:sz w:val="24"/>
          <w:szCs w:val="24"/>
        </w:rPr>
        <w:t xml:space="preserve"> 2020) and generating security in the tourism sector, which gradually leads to a regional restart of tourism. This also indicates future sectoral</w:t>
      </w:r>
      <w:r w:rsidRPr="00F65727">
        <w:rPr>
          <w:rFonts w:ascii="Times New Roman" w:eastAsia="Times New Roman" w:hAnsi="Times New Roman" w:cs="Times New Roman"/>
          <w:sz w:val="24"/>
          <w:szCs w:val="24"/>
        </w:rPr>
        <w:t xml:space="preserve"> transformation opportunities (e.g.</w:t>
      </w:r>
      <w:r>
        <w:rPr>
          <w:rFonts w:ascii="Times New Roman" w:eastAsia="Times New Roman" w:hAnsi="Times New Roman" w:cs="Times New Roman"/>
          <w:sz w:val="24"/>
          <w:szCs w:val="24"/>
        </w:rPr>
        <w:t>,</w:t>
      </w:r>
      <w:r w:rsidRPr="00F65727">
        <w:rPr>
          <w:rFonts w:ascii="Times New Roman" w:eastAsia="Times New Roman" w:hAnsi="Times New Roman" w:cs="Times New Roman"/>
          <w:sz w:val="24"/>
          <w:szCs w:val="24"/>
        </w:rPr>
        <w:t xml:space="preserve"> medical tourism). </w:t>
      </w:r>
      <w:r>
        <w:rPr>
          <w:rFonts w:ascii="Times New Roman" w:eastAsia="Times New Roman" w:hAnsi="Times New Roman" w:cs="Times New Roman"/>
          <w:sz w:val="24"/>
          <w:szCs w:val="24"/>
        </w:rPr>
        <w:t>Moreover</w:t>
      </w:r>
      <w:r w:rsidRPr="00F65727">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 xml:space="preserve">has </w:t>
      </w:r>
      <w:r w:rsidRPr="00F65727">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d</w:t>
      </w:r>
      <w:r w:rsidRPr="00F65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some </w:t>
      </w:r>
      <w:r w:rsidRPr="00F65727">
        <w:rPr>
          <w:rFonts w:ascii="Times New Roman" w:eastAsia="Times New Roman" w:hAnsi="Times New Roman" w:cs="Times New Roman"/>
          <w:sz w:val="24"/>
          <w:szCs w:val="24"/>
        </w:rPr>
        <w:t xml:space="preserve">invaluable lessons. Firstly, </w:t>
      </w:r>
      <w:r>
        <w:rPr>
          <w:rFonts w:ascii="Times New Roman" w:eastAsia="Times New Roman" w:hAnsi="Times New Roman" w:cs="Times New Roman"/>
          <w:sz w:val="24"/>
          <w:szCs w:val="24"/>
        </w:rPr>
        <w:t>this</w:t>
      </w:r>
      <w:r w:rsidRPr="00F65727">
        <w:rPr>
          <w:rFonts w:ascii="Times New Roman" w:eastAsia="Times New Roman" w:hAnsi="Times New Roman" w:cs="Times New Roman"/>
          <w:sz w:val="24"/>
          <w:szCs w:val="24"/>
        </w:rPr>
        <w:t xml:space="preserve"> risky approach proved to be an effective resilience measure </w:t>
      </w:r>
      <w:r>
        <w:rPr>
          <w:rFonts w:ascii="Times New Roman" w:eastAsia="Times New Roman" w:hAnsi="Times New Roman" w:cs="Times New Roman"/>
          <w:sz w:val="24"/>
          <w:szCs w:val="24"/>
        </w:rPr>
        <w:t>that</w:t>
      </w:r>
      <w:r w:rsidRPr="00F65727">
        <w:rPr>
          <w:rFonts w:ascii="Times New Roman" w:eastAsia="Times New Roman" w:hAnsi="Times New Roman" w:cs="Times New Roman"/>
          <w:sz w:val="24"/>
          <w:szCs w:val="24"/>
        </w:rPr>
        <w:t xml:space="preserve"> turn</w:t>
      </w:r>
      <w:r>
        <w:rPr>
          <w:rFonts w:ascii="Times New Roman" w:eastAsia="Times New Roman" w:hAnsi="Times New Roman" w:cs="Times New Roman"/>
          <w:sz w:val="24"/>
          <w:szCs w:val="24"/>
        </w:rPr>
        <w:t>ed</w:t>
      </w:r>
      <w:r w:rsidRPr="00F65727">
        <w:rPr>
          <w:rFonts w:ascii="Times New Roman" w:eastAsia="Times New Roman" w:hAnsi="Times New Roman" w:cs="Times New Roman"/>
          <w:sz w:val="24"/>
          <w:szCs w:val="24"/>
        </w:rPr>
        <w:t xml:space="preserve"> around the outlook for the tourism sector in the first half of 2021. With this anchoring, scenario-based approaches (with various levels of risk-taking) can be developed to mitigate the effects of extreme non-recurring events in the future. Historically, the tourism sector </w:t>
      </w:r>
      <w:r>
        <w:rPr>
          <w:rFonts w:ascii="Times New Roman" w:eastAsia="Times New Roman" w:hAnsi="Times New Roman" w:cs="Times New Roman"/>
          <w:sz w:val="24"/>
          <w:szCs w:val="24"/>
        </w:rPr>
        <w:t>has been</w:t>
      </w:r>
      <w:r w:rsidRPr="00F65727">
        <w:rPr>
          <w:rFonts w:ascii="Times New Roman" w:eastAsia="Times New Roman" w:hAnsi="Times New Roman" w:cs="Times New Roman"/>
          <w:sz w:val="24"/>
          <w:szCs w:val="24"/>
        </w:rPr>
        <w:t xml:space="preserve"> rather quick to normalize after similar events (e.g.</w:t>
      </w:r>
      <w:r>
        <w:rPr>
          <w:rFonts w:ascii="Times New Roman" w:eastAsia="Times New Roman" w:hAnsi="Times New Roman" w:cs="Times New Roman"/>
          <w:sz w:val="24"/>
          <w:szCs w:val="24"/>
        </w:rPr>
        <w:t>,</w:t>
      </w:r>
      <w:r w:rsidRPr="00F65727">
        <w:rPr>
          <w:rFonts w:ascii="Times New Roman" w:eastAsia="Times New Roman" w:hAnsi="Times New Roman" w:cs="Times New Roman"/>
          <w:sz w:val="24"/>
          <w:szCs w:val="24"/>
        </w:rPr>
        <w:t xml:space="preserve"> Ebola, MERS, SARS, etc.), </w:t>
      </w:r>
      <w:r>
        <w:rPr>
          <w:rFonts w:ascii="Times New Roman" w:eastAsia="Times New Roman" w:hAnsi="Times New Roman" w:cs="Times New Roman"/>
          <w:sz w:val="24"/>
          <w:szCs w:val="24"/>
        </w:rPr>
        <w:t>but the</w:t>
      </w:r>
      <w:r w:rsidRPr="00F65727">
        <w:rPr>
          <w:rFonts w:ascii="Times New Roman" w:eastAsia="Times New Roman" w:hAnsi="Times New Roman" w:cs="Times New Roman"/>
          <w:sz w:val="24"/>
          <w:szCs w:val="24"/>
        </w:rPr>
        <w:t xml:space="preserve"> major difference with COVID-19 </w:t>
      </w:r>
      <w:r>
        <w:rPr>
          <w:rFonts w:ascii="Times New Roman" w:eastAsia="Times New Roman" w:hAnsi="Times New Roman" w:cs="Times New Roman"/>
          <w:sz w:val="24"/>
          <w:szCs w:val="24"/>
        </w:rPr>
        <w:t>has been</w:t>
      </w:r>
      <w:r w:rsidRPr="00F65727">
        <w:rPr>
          <w:rFonts w:ascii="Times New Roman" w:eastAsia="Times New Roman" w:hAnsi="Times New Roman" w:cs="Times New Roman"/>
          <w:sz w:val="24"/>
          <w:szCs w:val="24"/>
        </w:rPr>
        <w:t xml:space="preserve"> the scale and </w:t>
      </w:r>
      <w:r>
        <w:rPr>
          <w:rFonts w:ascii="Times New Roman" w:eastAsia="Times New Roman" w:hAnsi="Times New Roman" w:cs="Times New Roman"/>
          <w:sz w:val="24"/>
          <w:szCs w:val="24"/>
        </w:rPr>
        <w:t>duration</w:t>
      </w:r>
      <w:r w:rsidRPr="00F65727">
        <w:rPr>
          <w:rFonts w:ascii="Times New Roman" w:eastAsia="Times New Roman" w:hAnsi="Times New Roman" w:cs="Times New Roman"/>
          <w:sz w:val="24"/>
          <w:szCs w:val="24"/>
        </w:rPr>
        <w:t xml:space="preserve"> of the crisis. </w:t>
      </w:r>
      <w:r>
        <w:rPr>
          <w:rFonts w:ascii="Times New Roman" w:eastAsia="Times New Roman" w:hAnsi="Times New Roman" w:cs="Times New Roman"/>
          <w:sz w:val="24"/>
          <w:szCs w:val="24"/>
        </w:rPr>
        <w:t>Secondly</w:t>
      </w:r>
      <w:r w:rsidRPr="00F65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measure</w:t>
      </w:r>
      <w:r w:rsidRPr="00F65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had</w:t>
      </w:r>
      <w:r w:rsidRPr="00F65727">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positive</w:t>
      </w:r>
      <w:r w:rsidRPr="00F65727">
        <w:rPr>
          <w:rFonts w:ascii="Times New Roman" w:eastAsia="Times New Roman" w:hAnsi="Times New Roman" w:cs="Times New Roman"/>
          <w:sz w:val="24"/>
          <w:szCs w:val="24"/>
        </w:rPr>
        <w:t xml:space="preserve"> promotional </w:t>
      </w:r>
      <w:r>
        <w:rPr>
          <w:rFonts w:ascii="Times New Roman" w:eastAsia="Times New Roman" w:hAnsi="Times New Roman" w:cs="Times New Roman"/>
          <w:sz w:val="24"/>
          <w:szCs w:val="24"/>
        </w:rPr>
        <w:t>impact</w:t>
      </w:r>
      <w:r w:rsidRPr="00F6572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has </w:t>
      </w:r>
      <w:r w:rsidRPr="00F65727">
        <w:rPr>
          <w:rFonts w:ascii="Times New Roman" w:eastAsia="Times New Roman" w:hAnsi="Times New Roman" w:cs="Times New Roman"/>
          <w:sz w:val="24"/>
          <w:szCs w:val="24"/>
        </w:rPr>
        <w:t>positively influenced the destination image and reputation of the country. The government can leverage this to conceptualize promotional campaigns around the idea of solidarity, flexibility, agility, and the “good-neighbor” mantra.</w:t>
      </w:r>
    </w:p>
    <w:p w14:paraId="48467833" w14:textId="77777777" w:rsidR="00113F27" w:rsidRPr="00F65727" w:rsidRDefault="00113F27" w:rsidP="00113F2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addressing</w:t>
      </w:r>
      <w:r w:rsidRPr="00F65727">
        <w:rPr>
          <w:rFonts w:ascii="Times New Roman" w:eastAsia="Times New Roman" w:hAnsi="Times New Roman" w:cs="Times New Roman"/>
          <w:sz w:val="24"/>
          <w:szCs w:val="24"/>
        </w:rPr>
        <w:t xml:space="preserve"> the limitations of this short communication, we </w:t>
      </w:r>
      <w:r>
        <w:rPr>
          <w:rFonts w:ascii="Times New Roman" w:eastAsia="Times New Roman" w:hAnsi="Times New Roman" w:cs="Times New Roman"/>
          <w:sz w:val="24"/>
          <w:szCs w:val="24"/>
        </w:rPr>
        <w:t>make</w:t>
      </w:r>
      <w:r w:rsidRPr="00F65727">
        <w:rPr>
          <w:rFonts w:ascii="Times New Roman" w:eastAsia="Times New Roman" w:hAnsi="Times New Roman" w:cs="Times New Roman"/>
          <w:sz w:val="24"/>
          <w:szCs w:val="24"/>
        </w:rPr>
        <w:t xml:space="preserve"> three recommendations for future studies: (1) given the variance explained by the model, it can be expected that other factors </w:t>
      </w:r>
      <w:r>
        <w:rPr>
          <w:rFonts w:ascii="Times New Roman" w:eastAsia="Times New Roman" w:hAnsi="Times New Roman" w:cs="Times New Roman"/>
          <w:sz w:val="24"/>
          <w:szCs w:val="24"/>
        </w:rPr>
        <w:t xml:space="preserve">also </w:t>
      </w:r>
      <w:r w:rsidRPr="00F65727">
        <w:rPr>
          <w:rFonts w:ascii="Times New Roman" w:eastAsia="Times New Roman" w:hAnsi="Times New Roman" w:cs="Times New Roman"/>
          <w:sz w:val="24"/>
          <w:szCs w:val="24"/>
        </w:rPr>
        <w:t xml:space="preserve">influenced the short-term increase in </w:t>
      </w:r>
      <w:r>
        <w:rPr>
          <w:rFonts w:ascii="Times New Roman" w:eastAsia="Times New Roman" w:hAnsi="Times New Roman" w:cs="Times New Roman"/>
          <w:sz w:val="24"/>
          <w:szCs w:val="24"/>
        </w:rPr>
        <w:t xml:space="preserve">the </w:t>
      </w:r>
      <w:r w:rsidRPr="00F65727">
        <w:rPr>
          <w:rFonts w:ascii="Times New Roman" w:eastAsia="Times New Roman" w:hAnsi="Times New Roman" w:cs="Times New Roman"/>
          <w:sz w:val="24"/>
          <w:szCs w:val="24"/>
        </w:rPr>
        <w:t xml:space="preserve">observed variables (e.g. VFR, liberal entry conditions, fear, etc.), (2) </w:t>
      </w:r>
      <w:r>
        <w:rPr>
          <w:rFonts w:ascii="Times New Roman" w:eastAsia="Times New Roman" w:hAnsi="Times New Roman" w:cs="Times New Roman"/>
          <w:sz w:val="24"/>
          <w:szCs w:val="24"/>
        </w:rPr>
        <w:t>a</w:t>
      </w:r>
      <w:r w:rsidRPr="00F65727">
        <w:rPr>
          <w:rFonts w:ascii="Times New Roman" w:eastAsia="Times New Roman" w:hAnsi="Times New Roman" w:cs="Times New Roman"/>
          <w:sz w:val="24"/>
          <w:szCs w:val="24"/>
        </w:rPr>
        <w:t xml:space="preserve"> longer time-series </w:t>
      </w:r>
      <w:r>
        <w:rPr>
          <w:rFonts w:ascii="Times New Roman" w:eastAsia="Times New Roman" w:hAnsi="Times New Roman" w:cs="Times New Roman"/>
          <w:sz w:val="24"/>
          <w:szCs w:val="24"/>
        </w:rPr>
        <w:t xml:space="preserve">should be used </w:t>
      </w:r>
      <w:r w:rsidRPr="00F65727">
        <w:rPr>
          <w:rFonts w:ascii="Times New Roman" w:eastAsia="Times New Roman" w:hAnsi="Times New Roman" w:cs="Times New Roman"/>
          <w:sz w:val="24"/>
          <w:szCs w:val="24"/>
        </w:rPr>
        <w:t xml:space="preserve">as a base for </w:t>
      </w:r>
      <w:r>
        <w:rPr>
          <w:rFonts w:ascii="Times New Roman" w:eastAsia="Times New Roman" w:hAnsi="Times New Roman" w:cs="Times New Roman"/>
          <w:sz w:val="24"/>
          <w:szCs w:val="24"/>
        </w:rPr>
        <w:t xml:space="preserve">the </w:t>
      </w:r>
      <w:r w:rsidRPr="00F65727">
        <w:rPr>
          <w:rFonts w:ascii="Times New Roman" w:eastAsia="Times New Roman" w:hAnsi="Times New Roman" w:cs="Times New Roman"/>
          <w:sz w:val="24"/>
          <w:szCs w:val="24"/>
        </w:rPr>
        <w:t xml:space="preserve">analyses </w:t>
      </w:r>
      <w:r w:rsidRPr="00F65727">
        <w:rPr>
          <w:rFonts w:ascii="Times New Roman" w:eastAsia="Times New Roman" w:hAnsi="Times New Roman" w:cs="Times New Roman"/>
          <w:sz w:val="24"/>
          <w:szCs w:val="24"/>
        </w:rPr>
        <w:lastRenderedPageBreak/>
        <w:t>and more advanced statistical approaches (e.g. cointegration analysis)</w:t>
      </w:r>
      <w:r>
        <w:rPr>
          <w:rFonts w:ascii="Times New Roman" w:eastAsia="Times New Roman" w:hAnsi="Times New Roman" w:cs="Times New Roman"/>
          <w:sz w:val="24"/>
          <w:szCs w:val="24"/>
        </w:rPr>
        <w:t xml:space="preserve"> should be employed</w:t>
      </w:r>
      <w:r w:rsidRPr="00F65727">
        <w:rPr>
          <w:rFonts w:ascii="Times New Roman" w:eastAsia="Times New Roman" w:hAnsi="Times New Roman" w:cs="Times New Roman"/>
          <w:sz w:val="24"/>
          <w:szCs w:val="24"/>
        </w:rPr>
        <w:t xml:space="preserve"> to avoid spurious conclusions, (3)</w:t>
      </w:r>
      <w:r>
        <w:rPr>
          <w:rFonts w:ascii="Times New Roman" w:eastAsia="Times New Roman" w:hAnsi="Times New Roman" w:cs="Times New Roman"/>
          <w:sz w:val="24"/>
          <w:szCs w:val="24"/>
        </w:rPr>
        <w:t xml:space="preserve"> </w:t>
      </w:r>
      <w:r w:rsidRPr="00F65727">
        <w:rPr>
          <w:rFonts w:ascii="Times New Roman" w:eastAsia="Times New Roman" w:hAnsi="Times New Roman" w:cs="Times New Roman"/>
          <w:sz w:val="24"/>
          <w:szCs w:val="24"/>
        </w:rPr>
        <w:t xml:space="preserve">a quantitative or qualitative study </w:t>
      </w:r>
      <w:r>
        <w:rPr>
          <w:rFonts w:ascii="Times New Roman" w:eastAsia="Times New Roman" w:hAnsi="Times New Roman" w:cs="Times New Roman"/>
          <w:sz w:val="24"/>
          <w:szCs w:val="24"/>
        </w:rPr>
        <w:t xml:space="preserve">should be performed </w:t>
      </w:r>
      <w:r w:rsidRPr="00F65727">
        <w:rPr>
          <w:rFonts w:ascii="Times New Roman" w:eastAsia="Times New Roman" w:hAnsi="Times New Roman" w:cs="Times New Roman"/>
          <w:sz w:val="24"/>
          <w:szCs w:val="24"/>
        </w:rPr>
        <w:t xml:space="preserve">to empirically verify the motives of incoming tourists (e.g. </w:t>
      </w:r>
      <w:r>
        <w:rPr>
          <w:rFonts w:ascii="Times New Roman" w:eastAsia="Times New Roman" w:hAnsi="Times New Roman" w:cs="Times New Roman"/>
          <w:sz w:val="24"/>
          <w:szCs w:val="24"/>
        </w:rPr>
        <w:t xml:space="preserve">a </w:t>
      </w:r>
      <w:r w:rsidRPr="00F65727">
        <w:rPr>
          <w:rFonts w:ascii="Times New Roman" w:eastAsia="Times New Roman" w:hAnsi="Times New Roman" w:cs="Times New Roman"/>
          <w:sz w:val="24"/>
          <w:szCs w:val="24"/>
        </w:rPr>
        <w:t xml:space="preserve">survey, semi-structured interviews, web-scraping, etc.) and </w:t>
      </w:r>
      <w:r>
        <w:rPr>
          <w:rFonts w:ascii="Times New Roman" w:eastAsia="Times New Roman" w:hAnsi="Times New Roman" w:cs="Times New Roman"/>
          <w:sz w:val="24"/>
          <w:szCs w:val="24"/>
        </w:rPr>
        <w:t xml:space="preserve">their </w:t>
      </w:r>
      <w:r w:rsidRPr="00F65727">
        <w:rPr>
          <w:rFonts w:ascii="Times New Roman" w:eastAsia="Times New Roman" w:hAnsi="Times New Roman" w:cs="Times New Roman"/>
          <w:sz w:val="24"/>
          <w:szCs w:val="24"/>
        </w:rPr>
        <w:t xml:space="preserve">perception of </w:t>
      </w:r>
      <w:r>
        <w:rPr>
          <w:rFonts w:ascii="Times New Roman" w:eastAsia="Times New Roman" w:hAnsi="Times New Roman" w:cs="Times New Roman"/>
          <w:sz w:val="24"/>
          <w:szCs w:val="24"/>
        </w:rPr>
        <w:t xml:space="preserve">the </w:t>
      </w:r>
      <w:r w:rsidRPr="00F65727">
        <w:rPr>
          <w:rFonts w:ascii="Times New Roman" w:eastAsia="Times New Roman" w:hAnsi="Times New Roman" w:cs="Times New Roman"/>
          <w:sz w:val="24"/>
          <w:szCs w:val="24"/>
        </w:rPr>
        <w:t xml:space="preserve">image </w:t>
      </w:r>
      <w:r>
        <w:rPr>
          <w:rFonts w:ascii="Times New Roman" w:eastAsia="Times New Roman" w:hAnsi="Times New Roman" w:cs="Times New Roman"/>
          <w:sz w:val="24"/>
          <w:szCs w:val="24"/>
        </w:rPr>
        <w:t xml:space="preserve">of the </w:t>
      </w:r>
      <w:r w:rsidRPr="00F65727">
        <w:rPr>
          <w:rFonts w:ascii="Times New Roman" w:eastAsia="Times New Roman" w:hAnsi="Times New Roman" w:cs="Times New Roman"/>
          <w:sz w:val="24"/>
          <w:szCs w:val="24"/>
        </w:rPr>
        <w:t>destination (pre and post COVID-19).</w:t>
      </w:r>
    </w:p>
    <w:p w14:paraId="527E2354" w14:textId="77777777" w:rsidR="00113F27" w:rsidRPr="00F65727" w:rsidRDefault="00113F27" w:rsidP="00113F27">
      <w:pPr>
        <w:pStyle w:val="Heading1"/>
        <w:rPr>
          <w:rFonts w:ascii="Times New Roman" w:eastAsia="Times New Roman" w:hAnsi="Times New Roman" w:cs="Times New Roman"/>
          <w:b/>
          <w:color w:val="000000"/>
          <w:sz w:val="24"/>
          <w:szCs w:val="24"/>
        </w:rPr>
      </w:pPr>
      <w:r w:rsidRPr="00F65727">
        <w:rPr>
          <w:rFonts w:ascii="Times New Roman" w:eastAsia="Times New Roman" w:hAnsi="Times New Roman" w:cs="Times New Roman"/>
          <w:b/>
          <w:color w:val="000000"/>
          <w:sz w:val="24"/>
          <w:szCs w:val="24"/>
        </w:rPr>
        <w:t>Conclusion</w:t>
      </w:r>
    </w:p>
    <w:p w14:paraId="4C1E2F72" w14:textId="77777777" w:rsidR="00113F27" w:rsidRPr="00F65727" w:rsidRDefault="00113F27" w:rsidP="00113F27"/>
    <w:p w14:paraId="3D0F11C4" w14:textId="77777777" w:rsidR="00113F27" w:rsidRPr="00F65727" w:rsidRDefault="00113F27" w:rsidP="00113F2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kinds of</w:t>
      </w:r>
      <w:r w:rsidRPr="00F65727">
        <w:rPr>
          <w:rFonts w:ascii="Times New Roman" w:eastAsia="Times New Roman" w:hAnsi="Times New Roman" w:cs="Times New Roman"/>
          <w:sz w:val="24"/>
          <w:szCs w:val="24"/>
        </w:rPr>
        <w:t xml:space="preserve"> industries </w:t>
      </w:r>
      <w:r>
        <w:rPr>
          <w:rFonts w:ascii="Times New Roman" w:eastAsia="Times New Roman" w:hAnsi="Times New Roman" w:cs="Times New Roman"/>
          <w:sz w:val="24"/>
          <w:szCs w:val="24"/>
        </w:rPr>
        <w:t>have sought</w:t>
      </w:r>
      <w:r w:rsidRPr="00F65727">
        <w:rPr>
          <w:rFonts w:ascii="Times New Roman" w:eastAsia="Times New Roman" w:hAnsi="Times New Roman" w:cs="Times New Roman"/>
          <w:sz w:val="24"/>
          <w:szCs w:val="24"/>
        </w:rPr>
        <w:t xml:space="preserve"> government support </w:t>
      </w:r>
      <w:r>
        <w:rPr>
          <w:rFonts w:ascii="Times New Roman" w:eastAsia="Times New Roman" w:hAnsi="Times New Roman" w:cs="Times New Roman"/>
          <w:sz w:val="24"/>
          <w:szCs w:val="24"/>
        </w:rPr>
        <w:t>during the</w:t>
      </w:r>
      <w:r w:rsidRPr="00F65727">
        <w:rPr>
          <w:rFonts w:ascii="Times New Roman" w:eastAsia="Times New Roman" w:hAnsi="Times New Roman" w:cs="Times New Roman"/>
          <w:sz w:val="24"/>
          <w:szCs w:val="24"/>
        </w:rPr>
        <w:t xml:space="preserve"> COVID-19 </w:t>
      </w:r>
      <w:r>
        <w:rPr>
          <w:rFonts w:ascii="Times New Roman" w:eastAsia="Times New Roman" w:hAnsi="Times New Roman" w:cs="Times New Roman"/>
          <w:sz w:val="24"/>
          <w:szCs w:val="24"/>
        </w:rPr>
        <w:t>pandemic</w:t>
      </w:r>
      <w:r w:rsidRPr="00F65727">
        <w:rPr>
          <w:rFonts w:ascii="Times New Roman" w:eastAsia="Times New Roman" w:hAnsi="Times New Roman" w:cs="Times New Roman"/>
          <w:sz w:val="24"/>
          <w:szCs w:val="24"/>
        </w:rPr>
        <w:t xml:space="preserve"> and tourism </w:t>
      </w:r>
      <w:r>
        <w:rPr>
          <w:rFonts w:ascii="Times New Roman" w:eastAsia="Times New Roman" w:hAnsi="Times New Roman" w:cs="Times New Roman"/>
          <w:sz w:val="24"/>
          <w:szCs w:val="24"/>
        </w:rPr>
        <w:t>has been</w:t>
      </w:r>
      <w:r w:rsidRPr="00F65727">
        <w:rPr>
          <w:rFonts w:ascii="Times New Roman" w:eastAsia="Times New Roman" w:hAnsi="Times New Roman" w:cs="Times New Roman"/>
          <w:sz w:val="24"/>
          <w:szCs w:val="24"/>
        </w:rPr>
        <w:t xml:space="preserve"> no </w:t>
      </w:r>
      <w:r w:rsidRPr="003D0E75">
        <w:rPr>
          <w:rFonts w:ascii="Times New Roman" w:eastAsia="Times New Roman" w:hAnsi="Times New Roman" w:cs="Times New Roman"/>
          <w:sz w:val="24"/>
          <w:szCs w:val="24"/>
        </w:rPr>
        <w:t>exception. Normally, external governmental measures are in form of tax relief, consultation, subsidies, etc. (Sharma et al.</w:t>
      </w:r>
      <w:r>
        <w:rPr>
          <w:rFonts w:ascii="Times New Roman" w:eastAsia="Times New Roman" w:hAnsi="Times New Roman" w:cs="Times New Roman"/>
          <w:sz w:val="24"/>
          <w:szCs w:val="24"/>
        </w:rPr>
        <w:t>,</w:t>
      </w:r>
      <w:r w:rsidRPr="003D0E75">
        <w:rPr>
          <w:rFonts w:ascii="Times New Roman" w:eastAsia="Times New Roman" w:hAnsi="Times New Roman" w:cs="Times New Roman"/>
          <w:sz w:val="24"/>
          <w:szCs w:val="24"/>
        </w:rPr>
        <w:t xml:space="preserve"> 2021). The decision to offer free COVID-19 vaccines to the citizens of its neighbors led to a short-term boost in tourist arrivals and overnight stays. While this was a unique attempt to increase the sector’s short-term resilience to the crisis, this strategy has revealed promising development opportunities for the future and has assisted the tourism sector during this volatile period (Pappas, 2021). By harvesting the benefits of this proactive resilience measure, stakeholders can attempt to position Serbia</w:t>
      </w:r>
      <w:r w:rsidRPr="00F65727">
        <w:rPr>
          <w:rFonts w:ascii="Times New Roman" w:eastAsia="Times New Roman" w:hAnsi="Times New Roman" w:cs="Times New Roman"/>
          <w:sz w:val="24"/>
          <w:szCs w:val="24"/>
        </w:rPr>
        <w:t xml:space="preserve"> as an agile, credible, and competent service provide</w:t>
      </w:r>
      <w:r>
        <w:rPr>
          <w:rFonts w:ascii="Times New Roman" w:eastAsia="Times New Roman" w:hAnsi="Times New Roman" w:cs="Times New Roman"/>
          <w:sz w:val="24"/>
          <w:szCs w:val="24"/>
        </w:rPr>
        <w:t>r</w:t>
      </w:r>
      <w:r w:rsidRPr="00F65727">
        <w:rPr>
          <w:rFonts w:ascii="Times New Roman" w:eastAsia="Times New Roman" w:hAnsi="Times New Roman" w:cs="Times New Roman"/>
          <w:sz w:val="24"/>
          <w:szCs w:val="24"/>
        </w:rPr>
        <w:t xml:space="preserve"> in the health tourism domain in </w:t>
      </w:r>
      <w:r>
        <w:rPr>
          <w:rFonts w:ascii="Times New Roman" w:eastAsia="Times New Roman" w:hAnsi="Times New Roman" w:cs="Times New Roman"/>
          <w:sz w:val="24"/>
          <w:szCs w:val="24"/>
        </w:rPr>
        <w:t>the</w:t>
      </w:r>
      <w:r w:rsidRPr="00F65727">
        <w:rPr>
          <w:rFonts w:ascii="Times New Roman" w:eastAsia="Times New Roman" w:hAnsi="Times New Roman" w:cs="Times New Roman"/>
          <w:sz w:val="24"/>
          <w:szCs w:val="24"/>
        </w:rPr>
        <w:t xml:space="preserve"> post-COVID-19 era. This would require a strategic shift that involve</w:t>
      </w:r>
      <w:r>
        <w:rPr>
          <w:rFonts w:ascii="Times New Roman" w:eastAsia="Times New Roman" w:hAnsi="Times New Roman" w:cs="Times New Roman"/>
          <w:sz w:val="24"/>
          <w:szCs w:val="24"/>
        </w:rPr>
        <w:t>s</w:t>
      </w:r>
      <w:r w:rsidRPr="00F65727">
        <w:rPr>
          <w:rFonts w:ascii="Times New Roman" w:eastAsia="Times New Roman" w:hAnsi="Times New Roman" w:cs="Times New Roman"/>
          <w:sz w:val="24"/>
          <w:szCs w:val="24"/>
        </w:rPr>
        <w:t xml:space="preserve"> all stakeholders (e.g., local authorities, health care service providers, local businesses, etc.). </w:t>
      </w:r>
      <w:r>
        <w:rPr>
          <w:rFonts w:ascii="Times New Roman" w:eastAsia="Times New Roman" w:hAnsi="Times New Roman" w:cs="Times New Roman"/>
          <w:sz w:val="24"/>
          <w:szCs w:val="24"/>
        </w:rPr>
        <w:t>It is important to note that the</w:t>
      </w:r>
      <w:r w:rsidRPr="00F65727">
        <w:rPr>
          <w:rFonts w:ascii="Times New Roman" w:eastAsia="Times New Roman" w:hAnsi="Times New Roman" w:cs="Times New Roman"/>
          <w:sz w:val="24"/>
          <w:szCs w:val="24"/>
        </w:rPr>
        <w:t xml:space="preserve"> authorities executed this strategy without </w:t>
      </w:r>
      <w:r>
        <w:rPr>
          <w:rFonts w:ascii="Times New Roman" w:eastAsia="Times New Roman" w:hAnsi="Times New Roman" w:cs="Times New Roman"/>
          <w:sz w:val="24"/>
          <w:szCs w:val="24"/>
        </w:rPr>
        <w:t xml:space="preserve">any </w:t>
      </w:r>
      <w:r w:rsidRPr="00F65727">
        <w:rPr>
          <w:rFonts w:ascii="Times New Roman" w:eastAsia="Times New Roman" w:hAnsi="Times New Roman" w:cs="Times New Roman"/>
          <w:sz w:val="24"/>
          <w:szCs w:val="24"/>
        </w:rPr>
        <w:t>major complications</w:t>
      </w:r>
      <w:r>
        <w:rPr>
          <w:rFonts w:ascii="Times New Roman" w:eastAsia="Times New Roman" w:hAnsi="Times New Roman" w:cs="Times New Roman"/>
          <w:sz w:val="24"/>
          <w:szCs w:val="24"/>
        </w:rPr>
        <w:t>, thereby</w:t>
      </w:r>
      <w:r w:rsidRPr="00F65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demonstrating their </w:t>
      </w:r>
      <w:r w:rsidRPr="00F65727">
        <w:rPr>
          <w:rFonts w:ascii="Times New Roman" w:eastAsia="Times New Roman" w:hAnsi="Times New Roman" w:cs="Times New Roman"/>
          <w:sz w:val="24"/>
          <w:szCs w:val="24"/>
        </w:rPr>
        <w:t xml:space="preserve">ability to deal with similar extreme events in the future and reassuring stakeholders of </w:t>
      </w:r>
      <w:r>
        <w:rPr>
          <w:rFonts w:ascii="Times New Roman" w:eastAsia="Times New Roman" w:hAnsi="Times New Roman" w:cs="Times New Roman"/>
          <w:sz w:val="24"/>
          <w:szCs w:val="24"/>
        </w:rPr>
        <w:t xml:space="preserve">their ability </w:t>
      </w:r>
      <w:r w:rsidRPr="00F65727">
        <w:rPr>
          <w:rFonts w:ascii="Times New Roman" w:eastAsia="Times New Roman" w:hAnsi="Times New Roman" w:cs="Times New Roman"/>
          <w:sz w:val="24"/>
          <w:szCs w:val="24"/>
        </w:rPr>
        <w:t xml:space="preserve">to compose effective resilience </w:t>
      </w:r>
      <w:r>
        <w:rPr>
          <w:rFonts w:ascii="Times New Roman" w:eastAsia="Times New Roman" w:hAnsi="Times New Roman" w:cs="Times New Roman"/>
          <w:sz w:val="24"/>
          <w:szCs w:val="24"/>
        </w:rPr>
        <w:t>measures</w:t>
      </w:r>
      <w:r w:rsidRPr="00F65727">
        <w:rPr>
          <w:rFonts w:ascii="Times New Roman" w:eastAsia="Times New Roman" w:hAnsi="Times New Roman" w:cs="Times New Roman"/>
          <w:sz w:val="24"/>
          <w:szCs w:val="24"/>
        </w:rPr>
        <w:t xml:space="preserve"> to ensure stability.</w:t>
      </w:r>
    </w:p>
    <w:p w14:paraId="06294E85" w14:textId="77777777" w:rsidR="00113F27" w:rsidRPr="00F65727" w:rsidRDefault="00113F27" w:rsidP="00113F27">
      <w:pPr>
        <w:spacing w:line="360" w:lineRule="auto"/>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Although </w:t>
      </w:r>
      <w:r>
        <w:rPr>
          <w:rFonts w:ascii="Times New Roman" w:eastAsia="Times New Roman" w:hAnsi="Times New Roman" w:cs="Times New Roman"/>
          <w:sz w:val="24"/>
          <w:szCs w:val="24"/>
        </w:rPr>
        <w:t xml:space="preserve">the </w:t>
      </w:r>
      <w:r w:rsidRPr="00F65727">
        <w:rPr>
          <w:rFonts w:ascii="Times New Roman" w:eastAsia="Times New Roman" w:hAnsi="Times New Roman" w:cs="Times New Roman"/>
          <w:sz w:val="24"/>
          <w:szCs w:val="24"/>
        </w:rPr>
        <w:t xml:space="preserve">findings do not directly </w:t>
      </w:r>
      <w:r>
        <w:rPr>
          <w:rFonts w:ascii="Times New Roman" w:eastAsia="Times New Roman" w:hAnsi="Times New Roman" w:cs="Times New Roman"/>
          <w:sz w:val="24"/>
          <w:szCs w:val="24"/>
        </w:rPr>
        <w:t>address</w:t>
      </w:r>
      <w:r w:rsidRPr="00F65727">
        <w:rPr>
          <w:rFonts w:ascii="Times New Roman" w:eastAsia="Times New Roman" w:hAnsi="Times New Roman" w:cs="Times New Roman"/>
          <w:sz w:val="24"/>
          <w:szCs w:val="24"/>
        </w:rPr>
        <w:t xml:space="preserve"> the influence of vaccination in the long </w:t>
      </w:r>
      <w:r>
        <w:rPr>
          <w:rFonts w:ascii="Times New Roman" w:eastAsia="Times New Roman" w:hAnsi="Times New Roman" w:cs="Times New Roman"/>
          <w:sz w:val="24"/>
          <w:szCs w:val="24"/>
        </w:rPr>
        <w:t>run</w:t>
      </w:r>
      <w:r w:rsidRPr="00F65727">
        <w:rPr>
          <w:rFonts w:ascii="Times New Roman" w:eastAsia="Times New Roman" w:hAnsi="Times New Roman" w:cs="Times New Roman"/>
          <w:sz w:val="24"/>
          <w:szCs w:val="24"/>
        </w:rPr>
        <w:t xml:space="preserve">, they indicate a set of potential implications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the</w:t>
      </w:r>
      <w:r w:rsidRPr="00F65727">
        <w:rPr>
          <w:rFonts w:ascii="Times New Roman" w:eastAsia="Times New Roman" w:hAnsi="Times New Roman" w:cs="Times New Roman"/>
          <w:sz w:val="24"/>
          <w:szCs w:val="24"/>
        </w:rPr>
        <w:t xml:space="preserve"> destination image, changes in tourist perceptions, and the transformative potential of the tourism sector. </w:t>
      </w:r>
    </w:p>
    <w:p w14:paraId="79B5EE46" w14:textId="77777777" w:rsidR="00113F27" w:rsidRPr="00F65727" w:rsidRDefault="00113F27" w:rsidP="00113F27">
      <w:pPr>
        <w:spacing w:line="360" w:lineRule="auto"/>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conclusion</w:t>
      </w:r>
      <w:r w:rsidRPr="00F65727">
        <w:rPr>
          <w:rFonts w:ascii="Times New Roman" w:eastAsia="Times New Roman" w:hAnsi="Times New Roman" w:cs="Times New Roman"/>
          <w:sz w:val="24"/>
          <w:szCs w:val="24"/>
        </w:rPr>
        <w:t xml:space="preserve">, a better understanding of </w:t>
      </w:r>
      <w:r>
        <w:rPr>
          <w:rFonts w:ascii="Times New Roman" w:eastAsia="Times New Roman" w:hAnsi="Times New Roman" w:cs="Times New Roman"/>
          <w:sz w:val="24"/>
          <w:szCs w:val="24"/>
        </w:rPr>
        <w:t>the</w:t>
      </w:r>
      <w:r w:rsidRPr="00F65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primary motivations for</w:t>
      </w:r>
      <w:r w:rsidRPr="00F65727">
        <w:rPr>
          <w:rFonts w:ascii="Times New Roman" w:eastAsia="Times New Roman" w:hAnsi="Times New Roman" w:cs="Times New Roman"/>
          <w:sz w:val="24"/>
          <w:szCs w:val="24"/>
        </w:rPr>
        <w:t xml:space="preserve"> visiting Serbia in the observed period is </w:t>
      </w:r>
      <w:r>
        <w:rPr>
          <w:rFonts w:ascii="Times New Roman" w:eastAsia="Times New Roman" w:hAnsi="Times New Roman" w:cs="Times New Roman"/>
          <w:sz w:val="24"/>
          <w:szCs w:val="24"/>
        </w:rPr>
        <w:t xml:space="preserve">necessary </w:t>
      </w:r>
      <w:proofErr w:type="gramStart"/>
      <w:r>
        <w:rPr>
          <w:rFonts w:ascii="Times New Roman" w:eastAsia="Times New Roman" w:hAnsi="Times New Roman" w:cs="Times New Roman"/>
          <w:sz w:val="24"/>
          <w:szCs w:val="24"/>
        </w:rPr>
        <w:t>in order</w:t>
      </w:r>
      <w:r w:rsidRPr="00F65727">
        <w:rPr>
          <w:rFonts w:ascii="Times New Roman" w:eastAsia="Times New Roman" w:hAnsi="Times New Roman" w:cs="Times New Roman"/>
          <w:sz w:val="24"/>
          <w:szCs w:val="24"/>
        </w:rPr>
        <w:t xml:space="preserve"> to</w:t>
      </w:r>
      <w:proofErr w:type="gramEnd"/>
      <w:r w:rsidRPr="00F65727">
        <w:rPr>
          <w:rFonts w:ascii="Times New Roman" w:eastAsia="Times New Roman" w:hAnsi="Times New Roman" w:cs="Times New Roman"/>
          <w:sz w:val="24"/>
          <w:szCs w:val="24"/>
        </w:rPr>
        <w:t xml:space="preserve"> fully comprehend the effect of the resilience approach </w:t>
      </w:r>
      <w:r>
        <w:rPr>
          <w:rFonts w:ascii="Times New Roman" w:eastAsia="Times New Roman" w:hAnsi="Times New Roman" w:cs="Times New Roman"/>
          <w:sz w:val="24"/>
          <w:szCs w:val="24"/>
        </w:rPr>
        <w:t xml:space="preserve">taken by the Serbian </w:t>
      </w:r>
      <w:r w:rsidRPr="00F65727">
        <w:rPr>
          <w:rFonts w:ascii="Times New Roman" w:eastAsia="Times New Roman" w:hAnsi="Times New Roman" w:cs="Times New Roman"/>
          <w:sz w:val="24"/>
          <w:szCs w:val="24"/>
        </w:rPr>
        <w:t>government.</w:t>
      </w:r>
    </w:p>
    <w:p w14:paraId="3E8A14DB" w14:textId="77777777" w:rsidR="003F4921" w:rsidRPr="00F65727" w:rsidRDefault="001118AE" w:rsidP="00113F27">
      <w:pPr>
        <w:spacing w:line="360" w:lineRule="auto"/>
        <w:rPr>
          <w:rFonts w:ascii="Times New Roman" w:eastAsia="Times New Roman" w:hAnsi="Times New Roman" w:cs="Times New Roman"/>
          <w:b/>
          <w:color w:val="000000"/>
          <w:sz w:val="24"/>
          <w:szCs w:val="24"/>
        </w:rPr>
      </w:pPr>
      <w:bookmarkStart w:id="2" w:name="_heading=h.30j0zll" w:colFirst="0" w:colLast="0"/>
      <w:bookmarkStart w:id="3" w:name="_heading=h.1fob9te" w:colFirst="0" w:colLast="0"/>
      <w:bookmarkEnd w:id="2"/>
      <w:bookmarkEnd w:id="3"/>
      <w:r w:rsidRPr="00F65727">
        <w:rPr>
          <w:rFonts w:ascii="Times New Roman" w:eastAsia="Times New Roman" w:hAnsi="Times New Roman" w:cs="Times New Roman"/>
          <w:b/>
          <w:color w:val="000000"/>
          <w:sz w:val="24"/>
          <w:szCs w:val="24"/>
        </w:rPr>
        <w:t>References</w:t>
      </w:r>
    </w:p>
    <w:p w14:paraId="396B2BEB"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Associated Press (2021). Foreigners flock to Serbia to get coronavirus vaccine shots. Retrieved June 16, 2021, from https://apnews.com/article/belgrade-serbia-montenegro-coronavirus-pandemic-aleksandar-vucic-72e3d00f7f0197a848208c6925bc5924</w:t>
      </w:r>
    </w:p>
    <w:p w14:paraId="5F809C6D"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lastRenderedPageBreak/>
        <w:t>Al Jazeera (2021). Serbia vaccinates thousands of foreigners against COVID-19. Retrieved June 16, 2021, from https://www.aljazeera.com/news/2021/3/28/serbia-vaccinates-thousands-of-foreigners-over-weekend</w:t>
      </w:r>
    </w:p>
    <w:p w14:paraId="63FDFB6E"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Alonso, A. D., </w:t>
      </w:r>
      <w:proofErr w:type="spellStart"/>
      <w:r w:rsidRPr="00F65727">
        <w:rPr>
          <w:rFonts w:ascii="Times New Roman" w:eastAsia="Times New Roman" w:hAnsi="Times New Roman" w:cs="Times New Roman"/>
          <w:sz w:val="24"/>
          <w:szCs w:val="24"/>
        </w:rPr>
        <w:t>Kok</w:t>
      </w:r>
      <w:proofErr w:type="spellEnd"/>
      <w:r w:rsidRPr="00F65727">
        <w:rPr>
          <w:rFonts w:ascii="Times New Roman" w:eastAsia="Times New Roman" w:hAnsi="Times New Roman" w:cs="Times New Roman"/>
          <w:sz w:val="24"/>
          <w:szCs w:val="24"/>
        </w:rPr>
        <w:t xml:space="preserve">, S. K., </w:t>
      </w:r>
      <w:proofErr w:type="spellStart"/>
      <w:r w:rsidRPr="00F65727">
        <w:rPr>
          <w:rFonts w:ascii="Times New Roman" w:eastAsia="Times New Roman" w:hAnsi="Times New Roman" w:cs="Times New Roman"/>
          <w:sz w:val="24"/>
          <w:szCs w:val="24"/>
        </w:rPr>
        <w:t>Bressan</w:t>
      </w:r>
      <w:proofErr w:type="spellEnd"/>
      <w:r w:rsidRPr="00F65727">
        <w:rPr>
          <w:rFonts w:ascii="Times New Roman" w:eastAsia="Times New Roman" w:hAnsi="Times New Roman" w:cs="Times New Roman"/>
          <w:sz w:val="24"/>
          <w:szCs w:val="24"/>
        </w:rPr>
        <w:t xml:space="preserve">, A., O’Shea, M., </w:t>
      </w:r>
      <w:proofErr w:type="spellStart"/>
      <w:r w:rsidRPr="00F65727">
        <w:rPr>
          <w:rFonts w:ascii="Times New Roman" w:eastAsia="Times New Roman" w:hAnsi="Times New Roman" w:cs="Times New Roman"/>
          <w:sz w:val="24"/>
          <w:szCs w:val="24"/>
        </w:rPr>
        <w:t>Sakellarios</w:t>
      </w:r>
      <w:proofErr w:type="spellEnd"/>
      <w:r w:rsidRPr="00F65727">
        <w:rPr>
          <w:rFonts w:ascii="Times New Roman" w:eastAsia="Times New Roman" w:hAnsi="Times New Roman" w:cs="Times New Roman"/>
          <w:sz w:val="24"/>
          <w:szCs w:val="24"/>
        </w:rPr>
        <w:t xml:space="preserve">, N., </w:t>
      </w:r>
      <w:proofErr w:type="spellStart"/>
      <w:r w:rsidRPr="00F65727">
        <w:rPr>
          <w:rFonts w:ascii="Times New Roman" w:eastAsia="Times New Roman" w:hAnsi="Times New Roman" w:cs="Times New Roman"/>
          <w:sz w:val="24"/>
          <w:szCs w:val="24"/>
        </w:rPr>
        <w:t>Koresis</w:t>
      </w:r>
      <w:proofErr w:type="spellEnd"/>
      <w:r w:rsidRPr="00F65727">
        <w:rPr>
          <w:rFonts w:ascii="Times New Roman" w:eastAsia="Times New Roman" w:hAnsi="Times New Roman" w:cs="Times New Roman"/>
          <w:sz w:val="24"/>
          <w:szCs w:val="24"/>
        </w:rPr>
        <w:t xml:space="preserve">, A., ... &amp; </w:t>
      </w:r>
      <w:proofErr w:type="spellStart"/>
      <w:r w:rsidRPr="00F65727">
        <w:rPr>
          <w:rFonts w:ascii="Times New Roman" w:eastAsia="Times New Roman" w:hAnsi="Times New Roman" w:cs="Times New Roman"/>
          <w:sz w:val="24"/>
          <w:szCs w:val="24"/>
        </w:rPr>
        <w:t>Santoni</w:t>
      </w:r>
      <w:proofErr w:type="spellEnd"/>
      <w:r w:rsidRPr="00F65727">
        <w:rPr>
          <w:rFonts w:ascii="Times New Roman" w:eastAsia="Times New Roman" w:hAnsi="Times New Roman" w:cs="Times New Roman"/>
          <w:sz w:val="24"/>
          <w:szCs w:val="24"/>
        </w:rPr>
        <w:t>, L. J. (2020). COVID-19, aftermath, impacts, and hospitality firms: An international perspective. International Journal of Hospitality Management, 91, 102654 doi.org/10.1016/j.ijhm.2020.102654</w:t>
      </w:r>
    </w:p>
    <w:p w14:paraId="21A39224" w14:textId="77777777" w:rsidR="00E01328" w:rsidRPr="00F65727" w:rsidRDefault="00E01328" w:rsidP="00E01328">
      <w:pPr>
        <w:rPr>
          <w:rFonts w:ascii="Times New Roman" w:eastAsia="Times New Roman" w:hAnsi="Times New Roman" w:cs="Times New Roman"/>
          <w:sz w:val="24"/>
          <w:szCs w:val="24"/>
        </w:rPr>
      </w:pPr>
      <w:proofErr w:type="spellStart"/>
      <w:r w:rsidRPr="00F65727">
        <w:rPr>
          <w:rFonts w:ascii="Times New Roman" w:eastAsia="Times New Roman" w:hAnsi="Times New Roman" w:cs="Times New Roman"/>
          <w:sz w:val="24"/>
          <w:szCs w:val="24"/>
        </w:rPr>
        <w:t>Bartik</w:t>
      </w:r>
      <w:proofErr w:type="spellEnd"/>
      <w:r w:rsidRPr="00F65727">
        <w:rPr>
          <w:rFonts w:ascii="Times New Roman" w:eastAsia="Times New Roman" w:hAnsi="Times New Roman" w:cs="Times New Roman"/>
          <w:sz w:val="24"/>
          <w:szCs w:val="24"/>
        </w:rPr>
        <w:t xml:space="preserve">, A. W., Bertrand, M., Cullen, Z. B., </w:t>
      </w:r>
      <w:proofErr w:type="spellStart"/>
      <w:r w:rsidRPr="00F65727">
        <w:rPr>
          <w:rFonts w:ascii="Times New Roman" w:eastAsia="Times New Roman" w:hAnsi="Times New Roman" w:cs="Times New Roman"/>
          <w:sz w:val="24"/>
          <w:szCs w:val="24"/>
        </w:rPr>
        <w:t>Glaeser</w:t>
      </w:r>
      <w:proofErr w:type="spellEnd"/>
      <w:r w:rsidRPr="00F65727">
        <w:rPr>
          <w:rFonts w:ascii="Times New Roman" w:eastAsia="Times New Roman" w:hAnsi="Times New Roman" w:cs="Times New Roman"/>
          <w:sz w:val="24"/>
          <w:szCs w:val="24"/>
        </w:rPr>
        <w:t>, E. L., Luca, M., &amp; Stanton, C. T. (2020). How are small businesses adjusting to COVID-19? Early evidence from a survey (No. w26989). National Bureau of Economic Research.</w:t>
      </w:r>
    </w:p>
    <w:p w14:paraId="1B2A2721"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CNN (2021). This man's country offers free vaccines to foreigners. Retrieved July 09, 2021, from https://www.youtube.com/watch?v=6s-V6-COIcA&amp;ab_channel=CNN</w:t>
      </w:r>
    </w:p>
    <w:p w14:paraId="3B2BCB5F"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Field, A. (2013). Discovering statistics using IBM SPSS statistics. Sage.</w:t>
      </w:r>
    </w:p>
    <w:p w14:paraId="1A25BFB3"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González-Gómez, M., &amp; Otero-</w:t>
      </w:r>
      <w:proofErr w:type="spellStart"/>
      <w:r w:rsidRPr="00F65727">
        <w:rPr>
          <w:rFonts w:ascii="Times New Roman" w:eastAsia="Times New Roman" w:hAnsi="Times New Roman" w:cs="Times New Roman"/>
          <w:sz w:val="24"/>
          <w:szCs w:val="24"/>
        </w:rPr>
        <w:t>Giráldez</w:t>
      </w:r>
      <w:proofErr w:type="spellEnd"/>
      <w:r w:rsidRPr="00F65727">
        <w:rPr>
          <w:rFonts w:ascii="Times New Roman" w:eastAsia="Times New Roman" w:hAnsi="Times New Roman" w:cs="Times New Roman"/>
          <w:sz w:val="24"/>
          <w:szCs w:val="24"/>
        </w:rPr>
        <w:t>, M. S. (2020). Interaction between low-cost airlines and international tourism demand in destinations with the large diaspora. The case of Northern Portugal. Journal of Policy Research in Tourism, Leisure and Events, 1-13. doi.org/10.1080/19407963.2020.1823399</w:t>
      </w:r>
    </w:p>
    <w:p w14:paraId="3537F4BE"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Holt, E. (2021). Serbia begins paying citizens to receive a COVID-19 vaccine. The Lancet, 397(10287), 1793. doi.org/10.1016/S0140-6736(21)01097-7</w:t>
      </w:r>
    </w:p>
    <w:p w14:paraId="3EB4F823" w14:textId="77777777" w:rsidR="00C71591" w:rsidRPr="00F65727" w:rsidRDefault="00C71591"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Ioannides, D., &amp; </w:t>
      </w:r>
      <w:proofErr w:type="spellStart"/>
      <w:r w:rsidRPr="00F65727">
        <w:rPr>
          <w:rFonts w:ascii="Times New Roman" w:eastAsia="Times New Roman" w:hAnsi="Times New Roman" w:cs="Times New Roman"/>
          <w:sz w:val="24"/>
          <w:szCs w:val="24"/>
        </w:rPr>
        <w:t>Gyimóthy</w:t>
      </w:r>
      <w:proofErr w:type="spellEnd"/>
      <w:r w:rsidRPr="00F65727">
        <w:rPr>
          <w:rFonts w:ascii="Times New Roman" w:eastAsia="Times New Roman" w:hAnsi="Times New Roman" w:cs="Times New Roman"/>
          <w:sz w:val="24"/>
          <w:szCs w:val="24"/>
        </w:rPr>
        <w:t>, S. (2020). The COVID-19 crisis as an opportunity for escaping the unsustainable global tourism path. Tourism Geographies, 22(3), 624-632.</w:t>
      </w:r>
    </w:p>
    <w:p w14:paraId="3FA02BC2"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Lew, A.A. (2020). The global consciousness path to sustainable tourism: a perspective paper. Tourism Review. 75(1), 69-75. doi.org/10.1108/TR-07-2019-0291</w:t>
      </w:r>
    </w:p>
    <w:p w14:paraId="7EBB9188"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Khan, A., Bibi, S., </w:t>
      </w:r>
      <w:proofErr w:type="spellStart"/>
      <w:r w:rsidRPr="00F65727">
        <w:rPr>
          <w:rFonts w:ascii="Times New Roman" w:eastAsia="Times New Roman" w:hAnsi="Times New Roman" w:cs="Times New Roman"/>
          <w:sz w:val="24"/>
          <w:szCs w:val="24"/>
        </w:rPr>
        <w:t>Lyu</w:t>
      </w:r>
      <w:proofErr w:type="spellEnd"/>
      <w:r w:rsidRPr="00F65727">
        <w:rPr>
          <w:rFonts w:ascii="Times New Roman" w:eastAsia="Times New Roman" w:hAnsi="Times New Roman" w:cs="Times New Roman"/>
          <w:sz w:val="24"/>
          <w:szCs w:val="24"/>
        </w:rPr>
        <w:t>, J., Latif, A., &amp; Lorenzo, A. (2021). COVID-19 and sectoral employment trends: assessing resilience in the US leisure and hospitality industry. Current Issues in Tourism, 24(7), 952-969.</w:t>
      </w:r>
    </w:p>
    <w:p w14:paraId="7CCB095C"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Ministry of Foreign Affairs – Republic of Serbia (2021). Entry Regime for Foreign Citizens, Citizens of Republic of Serbia, Staff of Foreign Diplomatic-Consular Missions and Offices of International Organizations. Retrieved July 21, 2021, from </w:t>
      </w:r>
      <w:hyperlink r:id="rId10" w:history="1">
        <w:r w:rsidR="00C71591" w:rsidRPr="00F65727">
          <w:rPr>
            <w:rStyle w:val="Hyperlink"/>
            <w:rFonts w:ascii="Times New Roman" w:eastAsia="Times New Roman" w:hAnsi="Times New Roman" w:cs="Times New Roman"/>
            <w:sz w:val="24"/>
            <w:szCs w:val="24"/>
          </w:rPr>
          <w:t>https://www.mfa.gov.rs/en/citizens/travel-serbia/covid-19-entry-requirements</w:t>
        </w:r>
      </w:hyperlink>
    </w:p>
    <w:p w14:paraId="14331179" w14:textId="77777777" w:rsidR="00C71591" w:rsidRPr="00F65727" w:rsidRDefault="00C71591"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Sharma, G. D., Thomas, A., &amp; Paul, J. (2021). Reviving tourism industry post-COVID-19: A resilience-based framework. Tourism management perspectives, 37, 100786.</w:t>
      </w:r>
    </w:p>
    <w:p w14:paraId="06321CF6"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Statistical Office of Republic of Serbia (2021). Tourist Turnover – April 2021. Retrieved July 08, 2021, from https://www.stat.gov.rs/en-us/vesti/20210630-turisticki-promet-maj-2021/?s=2202</w:t>
      </w:r>
    </w:p>
    <w:p w14:paraId="4B8DC037"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Pappas, N. (2021). COVID19: Holiday intentions during a pandemic. Tourism Management, 84, 104287. doi.org/10.1016/j.tourman.2021.104287</w:t>
      </w:r>
    </w:p>
    <w:p w14:paraId="1813D653" w14:textId="77777777" w:rsidR="00E01328" w:rsidRPr="00F65727" w:rsidRDefault="00E01328" w:rsidP="00E01328">
      <w:pPr>
        <w:rPr>
          <w:rFonts w:ascii="Times New Roman" w:eastAsia="Times New Roman" w:hAnsi="Times New Roman" w:cs="Times New Roman"/>
          <w:sz w:val="24"/>
          <w:szCs w:val="24"/>
        </w:rPr>
      </w:pPr>
      <w:proofErr w:type="spellStart"/>
      <w:r w:rsidRPr="00F65727">
        <w:rPr>
          <w:rFonts w:ascii="Times New Roman" w:eastAsia="Times New Roman" w:hAnsi="Times New Roman" w:cs="Times New Roman"/>
          <w:sz w:val="24"/>
          <w:szCs w:val="24"/>
        </w:rPr>
        <w:lastRenderedPageBreak/>
        <w:t>Traskevich</w:t>
      </w:r>
      <w:proofErr w:type="spellEnd"/>
      <w:r w:rsidRPr="00F65727">
        <w:rPr>
          <w:rFonts w:ascii="Times New Roman" w:eastAsia="Times New Roman" w:hAnsi="Times New Roman" w:cs="Times New Roman"/>
          <w:sz w:val="24"/>
          <w:szCs w:val="24"/>
        </w:rPr>
        <w:t xml:space="preserve">, A., &amp; </w:t>
      </w:r>
      <w:proofErr w:type="spellStart"/>
      <w:r w:rsidRPr="00F65727">
        <w:rPr>
          <w:rFonts w:ascii="Times New Roman" w:eastAsia="Times New Roman" w:hAnsi="Times New Roman" w:cs="Times New Roman"/>
          <w:sz w:val="24"/>
          <w:szCs w:val="24"/>
        </w:rPr>
        <w:t>Fontanari</w:t>
      </w:r>
      <w:proofErr w:type="spellEnd"/>
      <w:r w:rsidRPr="00F65727">
        <w:rPr>
          <w:rFonts w:ascii="Times New Roman" w:eastAsia="Times New Roman" w:hAnsi="Times New Roman" w:cs="Times New Roman"/>
          <w:sz w:val="24"/>
          <w:szCs w:val="24"/>
        </w:rPr>
        <w:t>, M. (2021). Tourism potentials in post-COVID19: The concept of destination resilience for advanced sustainable management in tourism. Tourism Planning &amp; Development, 1-25. doi.org/10.1080/21568316.2021.1894599</w:t>
      </w:r>
    </w:p>
    <w:p w14:paraId="4C11E78C" w14:textId="77777777" w:rsidR="00E01328" w:rsidRPr="00F65727"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Our World in Data (2021). Coronavirus (COVID-19) Vaccinations. Retrieved June 15, 2021, from https://ourworldindata.org/covid-vaccinations</w:t>
      </w:r>
    </w:p>
    <w:p w14:paraId="65ECC4F1" w14:textId="7B046EEC" w:rsidR="00E82C1B" w:rsidRDefault="00E01328" w:rsidP="00E01328">
      <w:pPr>
        <w:rPr>
          <w:rFonts w:ascii="Times New Roman" w:eastAsia="Times New Roman" w:hAnsi="Times New Roman" w:cs="Times New Roman"/>
          <w:sz w:val="24"/>
          <w:szCs w:val="24"/>
        </w:rPr>
      </w:pPr>
      <w:r w:rsidRPr="00F65727">
        <w:rPr>
          <w:rFonts w:ascii="Times New Roman" w:eastAsia="Times New Roman" w:hAnsi="Times New Roman" w:cs="Times New Roman"/>
          <w:sz w:val="24"/>
          <w:szCs w:val="24"/>
        </w:rPr>
        <w:t xml:space="preserve">Wang, M., </w:t>
      </w:r>
      <w:proofErr w:type="spellStart"/>
      <w:r w:rsidRPr="00F65727">
        <w:rPr>
          <w:rFonts w:ascii="Times New Roman" w:eastAsia="Times New Roman" w:hAnsi="Times New Roman" w:cs="Times New Roman"/>
          <w:sz w:val="24"/>
          <w:szCs w:val="24"/>
        </w:rPr>
        <w:t>Kunasekaran</w:t>
      </w:r>
      <w:proofErr w:type="spellEnd"/>
      <w:r w:rsidRPr="00F65727">
        <w:rPr>
          <w:rFonts w:ascii="Times New Roman" w:eastAsia="Times New Roman" w:hAnsi="Times New Roman" w:cs="Times New Roman"/>
          <w:sz w:val="24"/>
          <w:szCs w:val="24"/>
        </w:rPr>
        <w:t xml:space="preserve">, P., &amp; </w:t>
      </w:r>
      <w:proofErr w:type="spellStart"/>
      <w:r w:rsidRPr="00F65727">
        <w:rPr>
          <w:rFonts w:ascii="Times New Roman" w:eastAsia="Times New Roman" w:hAnsi="Times New Roman" w:cs="Times New Roman"/>
          <w:sz w:val="24"/>
          <w:szCs w:val="24"/>
        </w:rPr>
        <w:t>Rasoolimanesh</w:t>
      </w:r>
      <w:proofErr w:type="spellEnd"/>
      <w:r w:rsidRPr="00F65727">
        <w:rPr>
          <w:rFonts w:ascii="Times New Roman" w:eastAsia="Times New Roman" w:hAnsi="Times New Roman" w:cs="Times New Roman"/>
          <w:sz w:val="24"/>
          <w:szCs w:val="24"/>
        </w:rPr>
        <w:t xml:space="preserve">, S. M. (2021). What influences people’s willingness to receive the COVID-19 vaccine for international </w:t>
      </w:r>
      <w:proofErr w:type="gramStart"/>
      <w:r w:rsidRPr="00F65727">
        <w:rPr>
          <w:rFonts w:ascii="Times New Roman" w:eastAsia="Times New Roman" w:hAnsi="Times New Roman" w:cs="Times New Roman"/>
          <w:sz w:val="24"/>
          <w:szCs w:val="24"/>
        </w:rPr>
        <w:t>travel?.</w:t>
      </w:r>
      <w:proofErr w:type="gramEnd"/>
      <w:r w:rsidRPr="00F65727">
        <w:rPr>
          <w:rFonts w:ascii="Times New Roman" w:eastAsia="Times New Roman" w:hAnsi="Times New Roman" w:cs="Times New Roman"/>
          <w:sz w:val="24"/>
          <w:szCs w:val="24"/>
        </w:rPr>
        <w:t xml:space="preserve"> Current Issues in Tourism, 1-6. doi.org/10.1080/13683500.2021.1929874</w:t>
      </w:r>
    </w:p>
    <w:p w14:paraId="74204506" w14:textId="77777777" w:rsidR="00E82C1B" w:rsidRDefault="00E82C1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504E999" w14:textId="26B4E9AF" w:rsidR="00E82C1B" w:rsidRPr="00F65727" w:rsidRDefault="00E82C1B" w:rsidP="00E82C1B">
      <w:pPr>
        <w:rPr>
          <w:rFonts w:ascii="Times New Roman" w:eastAsia="Times New Roman" w:hAnsi="Times New Roman" w:cs="Times New Roman"/>
          <w:sz w:val="24"/>
          <w:szCs w:val="24"/>
        </w:rPr>
      </w:pPr>
      <w:r w:rsidRPr="00F65727">
        <w:rPr>
          <w:noProof/>
          <w:lang w:val="en-GB" w:eastAsia="en-GB"/>
        </w:rPr>
        <w:lastRenderedPageBreak/>
        <w:drawing>
          <wp:anchor distT="0" distB="0" distL="114300" distR="114300" simplePos="0" relativeHeight="251660288" behindDoc="0" locked="0" layoutInCell="1" allowOverlap="1" wp14:anchorId="78825424" wp14:editId="3AE2E6CF">
            <wp:simplePos x="0" y="0"/>
            <wp:positionH relativeFrom="margin">
              <wp:posOffset>19050</wp:posOffset>
            </wp:positionH>
            <wp:positionV relativeFrom="paragraph">
              <wp:posOffset>748030</wp:posOffset>
            </wp:positionV>
            <wp:extent cx="5581015" cy="3340100"/>
            <wp:effectExtent l="19050" t="0" r="19685" b="0"/>
            <wp:wrapSquare wrapText="bothSides" distT="0" distB="0" distL="114300" distR="1143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F65727">
        <w:rPr>
          <w:rFonts w:ascii="Times New Roman" w:eastAsia="Times New Roman" w:hAnsi="Times New Roman" w:cs="Times New Roman"/>
          <w:sz w:val="24"/>
          <w:szCs w:val="24"/>
        </w:rPr>
        <w:t xml:space="preserve">Figure 1 Inbound </w:t>
      </w:r>
      <w:r>
        <w:rPr>
          <w:rFonts w:ascii="Times New Roman" w:eastAsia="Times New Roman" w:hAnsi="Times New Roman" w:cs="Times New Roman"/>
          <w:sz w:val="24"/>
          <w:szCs w:val="24"/>
        </w:rPr>
        <w:t>t</w:t>
      </w:r>
      <w:r w:rsidRPr="00F65727">
        <w:rPr>
          <w:rFonts w:ascii="Times New Roman" w:eastAsia="Times New Roman" w:hAnsi="Times New Roman" w:cs="Times New Roman"/>
          <w:sz w:val="24"/>
          <w:szCs w:val="24"/>
        </w:rPr>
        <w:t xml:space="preserve">ourists from </w:t>
      </w:r>
      <w:r>
        <w:rPr>
          <w:rFonts w:ascii="Times New Roman" w:eastAsia="Times New Roman" w:hAnsi="Times New Roman" w:cs="Times New Roman"/>
          <w:sz w:val="24"/>
          <w:szCs w:val="24"/>
        </w:rPr>
        <w:t>the o</w:t>
      </w:r>
      <w:r w:rsidRPr="00F65727">
        <w:rPr>
          <w:rFonts w:ascii="Times New Roman" w:eastAsia="Times New Roman" w:hAnsi="Times New Roman" w:cs="Times New Roman"/>
          <w:sz w:val="24"/>
          <w:szCs w:val="24"/>
        </w:rPr>
        <w:t xml:space="preserve">bserved </w:t>
      </w:r>
      <w:r>
        <w:rPr>
          <w:rFonts w:ascii="Times New Roman" w:eastAsia="Times New Roman" w:hAnsi="Times New Roman" w:cs="Times New Roman"/>
          <w:sz w:val="24"/>
          <w:szCs w:val="24"/>
        </w:rPr>
        <w:t>countries</w:t>
      </w:r>
      <w:r w:rsidRPr="00F65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 proportion of</w:t>
      </w:r>
      <w:r w:rsidRPr="00F657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F65727">
        <w:rPr>
          <w:rFonts w:ascii="Times New Roman" w:eastAsia="Times New Roman" w:hAnsi="Times New Roman" w:cs="Times New Roman"/>
          <w:sz w:val="24"/>
          <w:szCs w:val="24"/>
        </w:rPr>
        <w:t xml:space="preserve">otal </w:t>
      </w:r>
      <w:r>
        <w:rPr>
          <w:rFonts w:ascii="Times New Roman" w:eastAsia="Times New Roman" w:hAnsi="Times New Roman" w:cs="Times New Roman"/>
          <w:sz w:val="24"/>
          <w:szCs w:val="24"/>
        </w:rPr>
        <w:t>n</w:t>
      </w:r>
      <w:r w:rsidRPr="00F65727">
        <w:rPr>
          <w:rFonts w:ascii="Times New Roman" w:eastAsia="Times New Roman" w:hAnsi="Times New Roman" w:cs="Times New Roman"/>
          <w:sz w:val="24"/>
          <w:szCs w:val="24"/>
        </w:rPr>
        <w:t xml:space="preserve">umber of </w:t>
      </w:r>
      <w:r>
        <w:rPr>
          <w:rFonts w:ascii="Times New Roman" w:eastAsia="Times New Roman" w:hAnsi="Times New Roman" w:cs="Times New Roman"/>
          <w:sz w:val="24"/>
          <w:szCs w:val="24"/>
        </w:rPr>
        <w:t>f</w:t>
      </w:r>
      <w:r w:rsidRPr="00F65727">
        <w:rPr>
          <w:rFonts w:ascii="Times New Roman" w:eastAsia="Times New Roman" w:hAnsi="Times New Roman" w:cs="Times New Roman"/>
          <w:sz w:val="24"/>
          <w:szCs w:val="24"/>
        </w:rPr>
        <w:t xml:space="preserve">oreign </w:t>
      </w:r>
      <w:r>
        <w:rPr>
          <w:rFonts w:ascii="Times New Roman" w:eastAsia="Times New Roman" w:hAnsi="Times New Roman" w:cs="Times New Roman"/>
          <w:sz w:val="24"/>
          <w:szCs w:val="24"/>
        </w:rPr>
        <w:t>a</w:t>
      </w:r>
      <w:r w:rsidRPr="00F65727">
        <w:rPr>
          <w:rFonts w:ascii="Times New Roman" w:eastAsia="Times New Roman" w:hAnsi="Times New Roman" w:cs="Times New Roman"/>
          <w:sz w:val="24"/>
          <w:szCs w:val="24"/>
        </w:rPr>
        <w:t xml:space="preserve">rrivals and </w:t>
      </w:r>
      <w:r>
        <w:rPr>
          <w:rFonts w:ascii="Times New Roman" w:eastAsia="Times New Roman" w:hAnsi="Times New Roman" w:cs="Times New Roman"/>
          <w:sz w:val="24"/>
          <w:szCs w:val="24"/>
        </w:rPr>
        <w:t>o</w:t>
      </w:r>
      <w:r w:rsidRPr="00F65727">
        <w:rPr>
          <w:rFonts w:ascii="Times New Roman" w:eastAsia="Times New Roman" w:hAnsi="Times New Roman" w:cs="Times New Roman"/>
          <w:sz w:val="24"/>
          <w:szCs w:val="24"/>
        </w:rPr>
        <w:t>vernight</w:t>
      </w:r>
      <w:r>
        <w:rPr>
          <w:rFonts w:ascii="Times New Roman" w:eastAsia="Times New Roman" w:hAnsi="Times New Roman" w:cs="Times New Roman"/>
          <w:sz w:val="24"/>
          <w:szCs w:val="24"/>
        </w:rPr>
        <w:t xml:space="preserve"> stays</w:t>
      </w:r>
      <w:r w:rsidRPr="00F65727">
        <w:rPr>
          <w:rFonts w:ascii="Times New Roman" w:eastAsia="Times New Roman" w:hAnsi="Times New Roman" w:cs="Times New Roman"/>
          <w:sz w:val="24"/>
          <w:szCs w:val="24"/>
        </w:rPr>
        <w:t xml:space="preserve"> for 2019 and 2021 (Source: Statistical Office of </w:t>
      </w:r>
      <w:r>
        <w:rPr>
          <w:rFonts w:ascii="Times New Roman" w:eastAsia="Times New Roman" w:hAnsi="Times New Roman" w:cs="Times New Roman"/>
          <w:sz w:val="24"/>
          <w:szCs w:val="24"/>
        </w:rPr>
        <w:t xml:space="preserve">the </w:t>
      </w:r>
      <w:r w:rsidRPr="00F65727">
        <w:rPr>
          <w:rFonts w:ascii="Times New Roman" w:eastAsia="Times New Roman" w:hAnsi="Times New Roman" w:cs="Times New Roman"/>
          <w:sz w:val="24"/>
          <w:szCs w:val="24"/>
        </w:rPr>
        <w:t>Republic of Serbia, 2021)</w:t>
      </w:r>
    </w:p>
    <w:p w14:paraId="613CF80A" w14:textId="77777777" w:rsidR="003F4921" w:rsidRDefault="003F4921" w:rsidP="00E01328">
      <w:pPr>
        <w:rPr>
          <w:rFonts w:ascii="Times New Roman" w:eastAsia="Times New Roman" w:hAnsi="Times New Roman" w:cs="Times New Roman"/>
          <w:sz w:val="24"/>
          <w:szCs w:val="24"/>
        </w:rPr>
      </w:pPr>
    </w:p>
    <w:sectPr w:rsidR="003F4921" w:rsidSect="0010497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9363" w14:textId="77777777" w:rsidR="00763867" w:rsidRDefault="00763867">
      <w:pPr>
        <w:spacing w:after="0" w:line="240" w:lineRule="auto"/>
      </w:pPr>
      <w:r>
        <w:separator/>
      </w:r>
    </w:p>
  </w:endnote>
  <w:endnote w:type="continuationSeparator" w:id="0">
    <w:p w14:paraId="57EAAC62" w14:textId="77777777" w:rsidR="00763867" w:rsidRDefault="0076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8963" w14:textId="77777777" w:rsidR="00763867" w:rsidRDefault="00763867">
      <w:pPr>
        <w:spacing w:after="0" w:line="240" w:lineRule="auto"/>
      </w:pPr>
      <w:r>
        <w:separator/>
      </w:r>
    </w:p>
  </w:footnote>
  <w:footnote w:type="continuationSeparator" w:id="0">
    <w:p w14:paraId="19A3D8D2" w14:textId="77777777" w:rsidR="00763867" w:rsidRDefault="00763867">
      <w:pPr>
        <w:spacing w:after="0" w:line="240" w:lineRule="auto"/>
      </w:pPr>
      <w:r>
        <w:continuationSeparator/>
      </w:r>
    </w:p>
  </w:footnote>
  <w:footnote w:id="1">
    <w:p w14:paraId="6E1C7A70" w14:textId="77777777" w:rsidR="00131B66" w:rsidRPr="00964652" w:rsidRDefault="00131B66" w:rsidP="00131B66">
      <w:pPr>
        <w:pStyle w:val="FootnoteText"/>
        <w:rPr>
          <w:rFonts w:ascii="Times New Roman" w:hAnsi="Times New Roman" w:cs="Times New Roman"/>
          <w:lang w:val="sr-Latn-RS"/>
        </w:rPr>
      </w:pPr>
      <w:r w:rsidRPr="00964652">
        <w:rPr>
          <w:rStyle w:val="FootnoteReference"/>
          <w:rFonts w:ascii="Times New Roman" w:hAnsi="Times New Roman" w:cs="Times New Roman"/>
        </w:rPr>
        <w:footnoteRef/>
      </w:r>
      <w:r w:rsidRPr="00964652">
        <w:rPr>
          <w:rFonts w:ascii="Times New Roman" w:hAnsi="Times New Roman" w:cs="Times New Roman"/>
        </w:rPr>
        <w:t xml:space="preserve"> </w:t>
      </w:r>
      <w:r w:rsidRPr="00964652">
        <w:rPr>
          <w:rFonts w:ascii="Times New Roman" w:hAnsi="Times New Roman" w:cs="Times New Roman"/>
          <w:lang w:val="sr-Latn-RS"/>
        </w:rPr>
        <w:t>Corresponding author.</w:t>
      </w:r>
    </w:p>
  </w:footnote>
  <w:footnote w:id="2">
    <w:p w14:paraId="5382E8D7" w14:textId="77777777" w:rsidR="00113F27" w:rsidRDefault="00113F27" w:rsidP="00113F2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D0E75">
        <w:rPr>
          <w:rStyle w:val="FootnoteReference"/>
        </w:rPr>
        <w:footnoteRef/>
      </w:r>
      <w:r>
        <w:rPr>
          <w:rFonts w:ascii="Times New Roman" w:eastAsia="Times New Roman" w:hAnsi="Times New Roman" w:cs="Times New Roman"/>
          <w:color w:val="000000"/>
          <w:sz w:val="20"/>
          <w:szCs w:val="20"/>
        </w:rPr>
        <w:t xml:space="preserve"> This was reported by Al Jazeera, New York Times, CNN, AP, and others.</w:t>
      </w:r>
    </w:p>
  </w:footnote>
  <w:footnote w:id="3">
    <w:p w14:paraId="602B7238" w14:textId="77777777" w:rsidR="00113F27" w:rsidRDefault="00113F27" w:rsidP="00113F2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D0E75">
        <w:rPr>
          <w:rStyle w:val="FootnoteReference"/>
        </w:rPr>
        <w:footnoteRef/>
      </w:r>
      <w:r>
        <w:rPr>
          <w:rFonts w:ascii="Times New Roman" w:eastAsia="Times New Roman" w:hAnsi="Times New Roman" w:cs="Times New Roman"/>
          <w:color w:val="000000"/>
          <w:sz w:val="20"/>
          <w:szCs w:val="20"/>
        </w:rPr>
        <w:t xml:space="preserve"> This term was used by the local media.</w:t>
      </w:r>
    </w:p>
  </w:footnote>
  <w:footnote w:id="4">
    <w:p w14:paraId="7DC9C0AE" w14:textId="77777777" w:rsidR="00113F27" w:rsidRDefault="00113F27" w:rsidP="00113F2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3D0E75">
        <w:rPr>
          <w:rStyle w:val="FootnoteReference"/>
        </w:rPr>
        <w:footnoteRef/>
      </w:r>
      <w:r>
        <w:rPr>
          <w:rFonts w:ascii="Times New Roman" w:eastAsia="Times New Roman" w:hAnsi="Times New Roman" w:cs="Times New Roman"/>
          <w:color w:val="000000"/>
          <w:sz w:val="20"/>
          <w:szCs w:val="20"/>
        </w:rPr>
        <w:t xml:space="preserve"> One example is that thousands of Indian nationals travelled to Serbia to spend </w:t>
      </w:r>
      <w:r>
        <w:rPr>
          <w:rFonts w:ascii="Times New Roman" w:eastAsia="Times New Roman" w:hAnsi="Times New Roman" w:cs="Times New Roman"/>
          <w:sz w:val="20"/>
          <w:szCs w:val="20"/>
        </w:rPr>
        <w:t>two weeks of mandatory</w:t>
      </w:r>
      <w:r>
        <w:rPr>
          <w:rFonts w:ascii="Times New Roman" w:eastAsia="Times New Roman" w:hAnsi="Times New Roman" w:cs="Times New Roman"/>
          <w:color w:val="000000"/>
          <w:sz w:val="20"/>
          <w:szCs w:val="20"/>
        </w:rPr>
        <w:t xml:space="preserve"> quarantine before proceeding to their final destinations in Western countries.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7Y0MjM0MDA0MDdW0lEKTi0uzszPAykwqwUA0lrwbCwAAAA="/>
  </w:docVars>
  <w:rsids>
    <w:rsidRoot w:val="003F4921"/>
    <w:rsid w:val="00013EC8"/>
    <w:rsid w:val="00044833"/>
    <w:rsid w:val="0007118D"/>
    <w:rsid w:val="000A7BFB"/>
    <w:rsid w:val="000D50BF"/>
    <w:rsid w:val="000E1E19"/>
    <w:rsid w:val="00104971"/>
    <w:rsid w:val="001118AE"/>
    <w:rsid w:val="00113F27"/>
    <w:rsid w:val="0013153F"/>
    <w:rsid w:val="00131B66"/>
    <w:rsid w:val="001B7A92"/>
    <w:rsid w:val="00271BED"/>
    <w:rsid w:val="0027611B"/>
    <w:rsid w:val="002D3F92"/>
    <w:rsid w:val="002D73C6"/>
    <w:rsid w:val="003263E2"/>
    <w:rsid w:val="0033012E"/>
    <w:rsid w:val="00377A23"/>
    <w:rsid w:val="003D0E75"/>
    <w:rsid w:val="003D2F99"/>
    <w:rsid w:val="003F4921"/>
    <w:rsid w:val="004255C3"/>
    <w:rsid w:val="004347C6"/>
    <w:rsid w:val="00435289"/>
    <w:rsid w:val="0043620A"/>
    <w:rsid w:val="00485584"/>
    <w:rsid w:val="004B266D"/>
    <w:rsid w:val="00523853"/>
    <w:rsid w:val="005850E9"/>
    <w:rsid w:val="005B4DE9"/>
    <w:rsid w:val="005D2E47"/>
    <w:rsid w:val="00666A3F"/>
    <w:rsid w:val="00675816"/>
    <w:rsid w:val="006B62D7"/>
    <w:rsid w:val="006E7FE0"/>
    <w:rsid w:val="00747CD7"/>
    <w:rsid w:val="00763867"/>
    <w:rsid w:val="007667F5"/>
    <w:rsid w:val="00776962"/>
    <w:rsid w:val="007841BE"/>
    <w:rsid w:val="007B5BFB"/>
    <w:rsid w:val="0086117C"/>
    <w:rsid w:val="008A1F6A"/>
    <w:rsid w:val="008D3C1E"/>
    <w:rsid w:val="008F21A2"/>
    <w:rsid w:val="00923AD7"/>
    <w:rsid w:val="00955E0A"/>
    <w:rsid w:val="009701E5"/>
    <w:rsid w:val="00973600"/>
    <w:rsid w:val="0098441C"/>
    <w:rsid w:val="009E053F"/>
    <w:rsid w:val="00A1090B"/>
    <w:rsid w:val="00A36740"/>
    <w:rsid w:val="00A85197"/>
    <w:rsid w:val="00B25CC2"/>
    <w:rsid w:val="00B42038"/>
    <w:rsid w:val="00B876FC"/>
    <w:rsid w:val="00BA4CCC"/>
    <w:rsid w:val="00C108B4"/>
    <w:rsid w:val="00C44708"/>
    <w:rsid w:val="00C71591"/>
    <w:rsid w:val="00C95FC6"/>
    <w:rsid w:val="00CB44C6"/>
    <w:rsid w:val="00CB4756"/>
    <w:rsid w:val="00CD60F5"/>
    <w:rsid w:val="00D01EB8"/>
    <w:rsid w:val="00D027A5"/>
    <w:rsid w:val="00D039D2"/>
    <w:rsid w:val="00D67E72"/>
    <w:rsid w:val="00D9054C"/>
    <w:rsid w:val="00DA457D"/>
    <w:rsid w:val="00DB0B6D"/>
    <w:rsid w:val="00DD6F95"/>
    <w:rsid w:val="00E01328"/>
    <w:rsid w:val="00E14C5C"/>
    <w:rsid w:val="00E82C1B"/>
    <w:rsid w:val="00F231F1"/>
    <w:rsid w:val="00F32489"/>
    <w:rsid w:val="00F4346A"/>
    <w:rsid w:val="00F63837"/>
    <w:rsid w:val="00F65727"/>
    <w:rsid w:val="00F76D04"/>
    <w:rsid w:val="00F87BE0"/>
    <w:rsid w:val="00F90453"/>
    <w:rsid w:val="00FF1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B916"/>
  <w15:docId w15:val="{3D4D9C88-85F6-459F-8E7D-4E9685A3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71"/>
  </w:style>
  <w:style w:type="paragraph" w:styleId="Heading1">
    <w:name w:val="heading 1"/>
    <w:basedOn w:val="Normal"/>
    <w:next w:val="Normal"/>
    <w:link w:val="Heading1Char"/>
    <w:uiPriority w:val="9"/>
    <w:qFormat/>
    <w:rsid w:val="00855F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rsid w:val="00104971"/>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04971"/>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04971"/>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04971"/>
    <w:pPr>
      <w:keepNext/>
      <w:keepLines/>
      <w:spacing w:before="220" w:after="40"/>
      <w:outlineLvl w:val="4"/>
    </w:pPr>
    <w:rPr>
      <w:b/>
    </w:rPr>
  </w:style>
  <w:style w:type="paragraph" w:styleId="Heading6">
    <w:name w:val="heading 6"/>
    <w:basedOn w:val="Normal"/>
    <w:next w:val="Normal"/>
    <w:uiPriority w:val="9"/>
    <w:semiHidden/>
    <w:unhideWhenUsed/>
    <w:qFormat/>
    <w:rsid w:val="0010497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04971"/>
    <w:pPr>
      <w:keepNext/>
      <w:keepLines/>
      <w:spacing w:before="480" w:after="120"/>
    </w:pPr>
    <w:rPr>
      <w:b/>
      <w:sz w:val="72"/>
      <w:szCs w:val="72"/>
    </w:rPr>
  </w:style>
  <w:style w:type="character" w:styleId="CommentReference">
    <w:name w:val="annotation reference"/>
    <w:basedOn w:val="DefaultParagraphFont"/>
    <w:uiPriority w:val="99"/>
    <w:semiHidden/>
    <w:unhideWhenUsed/>
    <w:rsid w:val="006965BC"/>
    <w:rPr>
      <w:sz w:val="16"/>
      <w:szCs w:val="16"/>
    </w:rPr>
  </w:style>
  <w:style w:type="paragraph" w:styleId="CommentText">
    <w:name w:val="annotation text"/>
    <w:basedOn w:val="Normal"/>
    <w:link w:val="CommentTextChar"/>
    <w:uiPriority w:val="99"/>
    <w:semiHidden/>
    <w:unhideWhenUsed/>
    <w:rsid w:val="006965BC"/>
    <w:pPr>
      <w:spacing w:line="240" w:lineRule="auto"/>
    </w:pPr>
    <w:rPr>
      <w:sz w:val="20"/>
      <w:szCs w:val="20"/>
    </w:rPr>
  </w:style>
  <w:style w:type="character" w:customStyle="1" w:styleId="CommentTextChar">
    <w:name w:val="Comment Text Char"/>
    <w:basedOn w:val="DefaultParagraphFont"/>
    <w:link w:val="CommentText"/>
    <w:uiPriority w:val="99"/>
    <w:semiHidden/>
    <w:rsid w:val="006965BC"/>
    <w:rPr>
      <w:sz w:val="20"/>
      <w:szCs w:val="20"/>
    </w:rPr>
  </w:style>
  <w:style w:type="paragraph" w:styleId="CommentSubject">
    <w:name w:val="annotation subject"/>
    <w:basedOn w:val="CommentText"/>
    <w:next w:val="CommentText"/>
    <w:link w:val="CommentSubjectChar"/>
    <w:uiPriority w:val="99"/>
    <w:semiHidden/>
    <w:unhideWhenUsed/>
    <w:rsid w:val="006965BC"/>
    <w:rPr>
      <w:b/>
      <w:bCs/>
    </w:rPr>
  </w:style>
  <w:style w:type="character" w:customStyle="1" w:styleId="CommentSubjectChar">
    <w:name w:val="Comment Subject Char"/>
    <w:basedOn w:val="CommentTextChar"/>
    <w:link w:val="CommentSubject"/>
    <w:uiPriority w:val="99"/>
    <w:semiHidden/>
    <w:rsid w:val="006965BC"/>
    <w:rPr>
      <w:b/>
      <w:bCs/>
      <w:sz w:val="20"/>
      <w:szCs w:val="20"/>
    </w:rPr>
  </w:style>
  <w:style w:type="paragraph" w:styleId="Revision">
    <w:name w:val="Revision"/>
    <w:hidden/>
    <w:uiPriority w:val="99"/>
    <w:semiHidden/>
    <w:rsid w:val="006965BC"/>
    <w:pPr>
      <w:spacing w:after="0" w:line="240" w:lineRule="auto"/>
    </w:pPr>
  </w:style>
  <w:style w:type="character" w:customStyle="1" w:styleId="Heading1Char">
    <w:name w:val="Heading 1 Char"/>
    <w:basedOn w:val="DefaultParagraphFont"/>
    <w:link w:val="Heading1"/>
    <w:uiPriority w:val="9"/>
    <w:rsid w:val="00855FE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101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1FF"/>
    <w:rPr>
      <w:sz w:val="20"/>
      <w:szCs w:val="20"/>
    </w:rPr>
  </w:style>
  <w:style w:type="character" w:styleId="FootnoteReference">
    <w:name w:val="footnote reference"/>
    <w:basedOn w:val="DefaultParagraphFont"/>
    <w:uiPriority w:val="99"/>
    <w:semiHidden/>
    <w:unhideWhenUsed/>
    <w:rsid w:val="001011FF"/>
    <w:rPr>
      <w:vertAlign w:val="superscript"/>
    </w:rPr>
  </w:style>
  <w:style w:type="table" w:styleId="TableGrid">
    <w:name w:val="Table Grid"/>
    <w:basedOn w:val="TableNormal"/>
    <w:uiPriority w:val="39"/>
    <w:rsid w:val="0046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5BC8"/>
    <w:rPr>
      <w:color w:val="0563C1" w:themeColor="hyperlink"/>
      <w:u w:val="single"/>
    </w:rPr>
  </w:style>
  <w:style w:type="character" w:customStyle="1" w:styleId="UnresolvedMention1">
    <w:name w:val="Unresolved Mention1"/>
    <w:basedOn w:val="DefaultParagraphFont"/>
    <w:uiPriority w:val="99"/>
    <w:semiHidden/>
    <w:unhideWhenUsed/>
    <w:rsid w:val="00725BC8"/>
    <w:rPr>
      <w:color w:val="605E5C"/>
      <w:shd w:val="clear" w:color="auto" w:fill="E1DFDD"/>
    </w:rPr>
  </w:style>
  <w:style w:type="table" w:customStyle="1" w:styleId="TableGridLight1">
    <w:name w:val="Table Grid Light1"/>
    <w:basedOn w:val="TableNormal"/>
    <w:uiPriority w:val="40"/>
    <w:rsid w:val="00F74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552E33"/>
    <w:pPr>
      <w:ind w:left="720"/>
      <w:contextualSpacing/>
    </w:pPr>
  </w:style>
  <w:style w:type="paragraph" w:styleId="Subtitle">
    <w:name w:val="Subtitle"/>
    <w:basedOn w:val="Normal"/>
    <w:next w:val="Normal"/>
    <w:uiPriority w:val="11"/>
    <w:qFormat/>
    <w:rsid w:val="00104971"/>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301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4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038"/>
    <w:rPr>
      <w:rFonts w:ascii="Tahoma" w:hAnsi="Tahoma" w:cs="Tahoma"/>
      <w:sz w:val="16"/>
      <w:szCs w:val="16"/>
    </w:rPr>
  </w:style>
  <w:style w:type="character" w:styleId="EndnoteReference">
    <w:name w:val="endnote reference"/>
    <w:basedOn w:val="DefaultParagraphFont"/>
    <w:uiPriority w:val="99"/>
    <w:semiHidden/>
    <w:unhideWhenUsed/>
    <w:rsid w:val="003D0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konomiku.uni-pr.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n.mun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yperlink" Target="https://www.mfa.gov.rs/en/citizens/travel-serbia/covid-19-entry-requirements" TargetMode="External"/><Relationship Id="rId4" Type="http://schemas.openxmlformats.org/officeDocument/2006/relationships/webSettings" Target="webSettings.xml"/><Relationship Id="rId9" Type="http://schemas.openxmlformats.org/officeDocument/2006/relationships/hyperlink" Target="mailto:visar.rrustemi@uni-pr.ed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636257920826436E-2"/>
          <c:y val="0.15426633933115808"/>
          <c:w val="0.89360145086030984"/>
          <c:h val="0.77351831021122319"/>
        </c:manualLayout>
      </c:layout>
      <c:lineChart>
        <c:grouping val="standard"/>
        <c:varyColors val="0"/>
        <c:ser>
          <c:idx val="0"/>
          <c:order val="0"/>
          <c:tx>
            <c:strRef>
              <c:f>Sheet1!$B$1</c:f>
              <c:strCache>
                <c:ptCount val="1"/>
                <c:pt idx="0">
                  <c:v>Foreign Arrivals 2019</c:v>
                </c:pt>
              </c:strCache>
            </c:strRef>
          </c:tx>
          <c:spPr>
            <a:ln w="38100" cap="flat" cmpd="dbl" algn="ctr">
              <a:solidFill>
                <a:schemeClr val="accent1"/>
              </a:solidFill>
              <a:miter lim="800000"/>
            </a:ln>
            <a:effectLst/>
          </c:spPr>
          <c:marker>
            <c:symbol val="none"/>
          </c:marker>
          <c:dLbls>
            <c:dLbl>
              <c:idx val="2"/>
              <c:layout>
                <c:manualLayout>
                  <c:x val="-3.6619930382718054E-2"/>
                  <c:y val="3.57356899641444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A5-49BE-98BC-5A6559A48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February</c:v>
                </c:pt>
                <c:pt idx="1">
                  <c:v>March</c:v>
                </c:pt>
                <c:pt idx="2">
                  <c:v>April</c:v>
                </c:pt>
                <c:pt idx="3">
                  <c:v>May</c:v>
                </c:pt>
                <c:pt idx="4">
                  <c:v>June</c:v>
                </c:pt>
              </c:strCache>
            </c:strRef>
          </c:cat>
          <c:val>
            <c:numRef>
              <c:f>Sheet1!$B$2:$B$6</c:f>
              <c:numCache>
                <c:formatCode>0%</c:formatCode>
                <c:ptCount val="5"/>
                <c:pt idx="0">
                  <c:v>0.28000000000000008</c:v>
                </c:pt>
                <c:pt idx="1">
                  <c:v>0.30000000000000032</c:v>
                </c:pt>
                <c:pt idx="2">
                  <c:v>0.25</c:v>
                </c:pt>
                <c:pt idx="3">
                  <c:v>0.26</c:v>
                </c:pt>
                <c:pt idx="4">
                  <c:v>0.2</c:v>
                </c:pt>
              </c:numCache>
            </c:numRef>
          </c:val>
          <c:smooth val="0"/>
          <c:extLst>
            <c:ext xmlns:c16="http://schemas.microsoft.com/office/drawing/2014/chart" uri="{C3380CC4-5D6E-409C-BE32-E72D297353CC}">
              <c16:uniqueId val="{00000001-43A5-49BE-98BC-5A6559A48CA0}"/>
            </c:ext>
          </c:extLst>
        </c:ser>
        <c:ser>
          <c:idx val="1"/>
          <c:order val="1"/>
          <c:tx>
            <c:strRef>
              <c:f>Sheet1!$C$1</c:f>
              <c:strCache>
                <c:ptCount val="1"/>
                <c:pt idx="0">
                  <c:v>Overnight sts 2019</c:v>
                </c:pt>
              </c:strCache>
            </c:strRef>
          </c:tx>
          <c:spPr>
            <a:ln w="38100" cap="flat" cmpd="dbl" algn="ctr">
              <a:solidFill>
                <a:schemeClr val="accent2"/>
              </a:solidFill>
              <a:miter lim="800000"/>
            </a:ln>
            <a:effectLst/>
          </c:spPr>
          <c:marker>
            <c:symbol val="none"/>
          </c:marker>
          <c:dLbls>
            <c:dLbl>
              <c:idx val="2"/>
              <c:layout>
                <c:manualLayout>
                  <c:x val="-3.6619930382718054E-2"/>
                  <c:y val="-8.07837612668272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A5-49BE-98BC-5A6559A48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February</c:v>
                </c:pt>
                <c:pt idx="1">
                  <c:v>March</c:v>
                </c:pt>
                <c:pt idx="2">
                  <c:v>April</c:v>
                </c:pt>
                <c:pt idx="3">
                  <c:v>May</c:v>
                </c:pt>
                <c:pt idx="4">
                  <c:v>June</c:v>
                </c:pt>
              </c:strCache>
            </c:strRef>
          </c:cat>
          <c:val>
            <c:numRef>
              <c:f>Sheet1!$C$2:$C$6</c:f>
              <c:numCache>
                <c:formatCode>0%</c:formatCode>
                <c:ptCount val="5"/>
                <c:pt idx="0">
                  <c:v>0.34000000000000008</c:v>
                </c:pt>
                <c:pt idx="1">
                  <c:v>0.26</c:v>
                </c:pt>
                <c:pt idx="2">
                  <c:v>0.25</c:v>
                </c:pt>
                <c:pt idx="3">
                  <c:v>0.27</c:v>
                </c:pt>
                <c:pt idx="4">
                  <c:v>0.28000000000000008</c:v>
                </c:pt>
              </c:numCache>
            </c:numRef>
          </c:val>
          <c:smooth val="0"/>
          <c:extLst>
            <c:ext xmlns:c16="http://schemas.microsoft.com/office/drawing/2014/chart" uri="{C3380CC4-5D6E-409C-BE32-E72D297353CC}">
              <c16:uniqueId val="{00000003-43A5-49BE-98BC-5A6559A48CA0}"/>
            </c:ext>
          </c:extLst>
        </c:ser>
        <c:ser>
          <c:idx val="2"/>
          <c:order val="2"/>
          <c:tx>
            <c:strRef>
              <c:f>Sheet1!$D$1</c:f>
              <c:strCache>
                <c:ptCount val="1"/>
                <c:pt idx="0">
                  <c:v>Foreign Arrivals 2021</c:v>
                </c:pt>
              </c:strCache>
            </c:strRef>
          </c:tx>
          <c:spPr>
            <a:ln w="38100" cap="flat" cmpd="dbl" algn="ctr">
              <a:solidFill>
                <a:schemeClr val="accent3"/>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February</c:v>
                </c:pt>
                <c:pt idx="1">
                  <c:v>March</c:v>
                </c:pt>
                <c:pt idx="2">
                  <c:v>April</c:v>
                </c:pt>
                <c:pt idx="3">
                  <c:v>May</c:v>
                </c:pt>
                <c:pt idx="4">
                  <c:v>June</c:v>
                </c:pt>
              </c:strCache>
            </c:strRef>
          </c:cat>
          <c:val>
            <c:numRef>
              <c:f>Sheet1!$D$2:$D$6</c:f>
              <c:numCache>
                <c:formatCode>0%</c:formatCode>
                <c:ptCount val="5"/>
                <c:pt idx="0">
                  <c:v>0.27</c:v>
                </c:pt>
                <c:pt idx="1">
                  <c:v>0.98</c:v>
                </c:pt>
                <c:pt idx="2">
                  <c:v>0.95000000000000062</c:v>
                </c:pt>
                <c:pt idx="3">
                  <c:v>0.86000000000000065</c:v>
                </c:pt>
                <c:pt idx="4">
                  <c:v>0.52</c:v>
                </c:pt>
              </c:numCache>
            </c:numRef>
          </c:val>
          <c:smooth val="0"/>
          <c:extLst>
            <c:ext xmlns:c16="http://schemas.microsoft.com/office/drawing/2014/chart" uri="{C3380CC4-5D6E-409C-BE32-E72D297353CC}">
              <c16:uniqueId val="{00000004-43A5-49BE-98BC-5A6559A48CA0}"/>
            </c:ext>
          </c:extLst>
        </c:ser>
        <c:ser>
          <c:idx val="3"/>
          <c:order val="3"/>
          <c:tx>
            <c:strRef>
              <c:f>Sheet1!$E$1</c:f>
              <c:strCache>
                <c:ptCount val="1"/>
                <c:pt idx="0">
                  <c:v>Overnight sts 2021</c:v>
                </c:pt>
              </c:strCache>
            </c:strRef>
          </c:tx>
          <c:spPr>
            <a:ln w="38100" cap="flat" cmpd="dbl" algn="ctr">
              <a:solidFill>
                <a:schemeClr val="accent4"/>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February</c:v>
                </c:pt>
                <c:pt idx="1">
                  <c:v>March</c:v>
                </c:pt>
                <c:pt idx="2">
                  <c:v>April</c:v>
                </c:pt>
                <c:pt idx="3">
                  <c:v>May</c:v>
                </c:pt>
                <c:pt idx="4">
                  <c:v>June</c:v>
                </c:pt>
              </c:strCache>
            </c:strRef>
          </c:cat>
          <c:val>
            <c:numRef>
              <c:f>Sheet1!$E$2:$E$6</c:f>
              <c:numCache>
                <c:formatCode>0%</c:formatCode>
                <c:ptCount val="5"/>
                <c:pt idx="0">
                  <c:v>0.18000000000000019</c:v>
                </c:pt>
                <c:pt idx="1">
                  <c:v>0.70000000000000062</c:v>
                </c:pt>
                <c:pt idx="2">
                  <c:v>0.72000000000000064</c:v>
                </c:pt>
                <c:pt idx="3">
                  <c:v>0.61000000000000065</c:v>
                </c:pt>
                <c:pt idx="4">
                  <c:v>0.46</c:v>
                </c:pt>
              </c:numCache>
            </c:numRef>
          </c:val>
          <c:smooth val="0"/>
          <c:extLst>
            <c:ext xmlns:c16="http://schemas.microsoft.com/office/drawing/2014/chart" uri="{C3380CC4-5D6E-409C-BE32-E72D297353CC}">
              <c16:uniqueId val="{00000005-43A5-49BE-98BC-5A6559A48CA0}"/>
            </c:ext>
          </c:extLst>
        </c:ser>
        <c:dLbls>
          <c:showLegendKey val="0"/>
          <c:showVal val="1"/>
          <c:showCatName val="0"/>
          <c:showSerName val="0"/>
          <c:showPercent val="0"/>
          <c:showBubbleSize val="0"/>
        </c:dLbls>
        <c:smooth val="0"/>
        <c:axId val="135896448"/>
        <c:axId val="139060736"/>
      </c:lineChart>
      <c:catAx>
        <c:axId val="135896448"/>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out"/>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60736"/>
        <c:crosses val="autoZero"/>
        <c:auto val="1"/>
        <c:lblAlgn val="ctr"/>
        <c:lblOffset val="100"/>
        <c:noMultiLvlLbl val="0"/>
      </c:catAx>
      <c:valAx>
        <c:axId val="139060736"/>
        <c:scaling>
          <c:orientation val="minMax"/>
          <c:max val="1"/>
        </c:scaling>
        <c:delete val="0"/>
        <c:axPos val="l"/>
        <c:majorGridlines>
          <c:spPr>
            <a:ln w="9525" cap="flat" cmpd="sng" algn="ctr">
              <a:solidFill>
                <a:schemeClr val="tx1">
                  <a:lumMod val="15000"/>
                  <a:lumOff val="85000"/>
                  <a:alpha val="32000"/>
                </a:schemeClr>
              </a:solidFill>
              <a:round/>
            </a:ln>
            <a:effectLst/>
          </c:spPr>
        </c:majorGridlines>
        <c:numFmt formatCode="0%" sourceLinked="1"/>
        <c:majorTickMark val="out"/>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896448"/>
        <c:crosses val="autoZero"/>
        <c:crossBetween val="between"/>
      </c:valAx>
      <c:spPr>
        <a:noFill/>
        <a:ln>
          <a:noFill/>
        </a:ln>
        <a:effectLst/>
      </c:spPr>
    </c:plotArea>
    <c:legend>
      <c:legendPos val="t"/>
      <c:layout>
        <c:manualLayout>
          <c:xMode val="edge"/>
          <c:yMode val="edge"/>
          <c:x val="8.2863165726331525E-2"/>
          <c:y val="2.2552151851155798E-2"/>
          <c:w val="0.9"/>
          <c:h val="6.696475440569930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t+D+qgQDH8HAvvA1plJ2N5o7g==">AMUW2mUJHruSV5FA1qKi31w48xzvqMTOOGQrbuVdHvslgrKB+nTRvGlKRYGuEkK4y00Kdz0YOB0DI/drs0VRNHFgK7CE3DI8kgbAME73Wb9V7WAh3+pkXHNfxeOCh19B17ErAZk0DbVdpsIqUhMxuHCI2xY2oXMtJA==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2703</Words>
  <Characters>16192</Characters>
  <Application>Microsoft Office Word</Application>
  <DocSecurity>0</DocSecurity>
  <Lines>241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Mladenović Dušan</dc:creator>
  <cp:lastModifiedBy>Dušan Mladenović</cp:lastModifiedBy>
  <cp:revision>4</cp:revision>
  <dcterms:created xsi:type="dcterms:W3CDTF">2021-11-03T11:49:00Z</dcterms:created>
  <dcterms:modified xsi:type="dcterms:W3CDTF">2021-11-04T09:51:00Z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