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985E" w14:textId="77777777" w:rsidR="00E13DB6" w:rsidRPr="00BE5613" w:rsidRDefault="00E13DB6" w:rsidP="00AA45FA">
      <w:pPr>
        <w:spacing w:line="480" w:lineRule="auto"/>
        <w:jc w:val="center"/>
        <w:rPr>
          <w:b/>
        </w:rPr>
      </w:pPr>
      <w:bookmarkStart w:id="0" w:name="_Hlk66025498"/>
      <w:r w:rsidRPr="00BE5613">
        <w:rPr>
          <w:b/>
        </w:rPr>
        <w:t xml:space="preserve">Factors </w:t>
      </w:r>
      <w:r w:rsidR="00E041CF" w:rsidRPr="00BE5613">
        <w:rPr>
          <w:b/>
        </w:rPr>
        <w:t xml:space="preserve">Influencing Performance </w:t>
      </w:r>
      <w:r w:rsidRPr="00BE5613">
        <w:rPr>
          <w:b/>
        </w:rPr>
        <w:t>in Municipal Solid Waste Management — a Case Study of Czech Municipalities</w:t>
      </w:r>
    </w:p>
    <w:bookmarkEnd w:id="0"/>
    <w:p w14:paraId="626245F5" w14:textId="77777777" w:rsidR="00E13DB6" w:rsidRPr="00BE5613" w:rsidRDefault="00E13DB6" w:rsidP="00AA45FA"/>
    <w:p w14:paraId="6F22B2D9" w14:textId="77777777" w:rsidR="00E13DB6" w:rsidRPr="00BE5613" w:rsidRDefault="00E13DB6" w:rsidP="00AA45FA">
      <w:pPr>
        <w:jc w:val="center"/>
        <w:rPr>
          <w:vertAlign w:val="superscript"/>
        </w:rPr>
      </w:pPr>
      <w:r w:rsidRPr="00BE5613">
        <w:t>Michal Struk</w:t>
      </w:r>
      <w:r w:rsidRPr="00BE5613">
        <w:rPr>
          <w:vertAlign w:val="superscript"/>
        </w:rPr>
        <w:t>1,2</w:t>
      </w:r>
      <w:r w:rsidRPr="00BE5613">
        <w:t xml:space="preserve"> – Martin Boďa</w:t>
      </w:r>
      <w:r w:rsidRPr="00BE5613">
        <w:rPr>
          <w:vertAlign w:val="superscript"/>
        </w:rPr>
        <w:t>3,4</w:t>
      </w:r>
    </w:p>
    <w:p w14:paraId="21342FC9" w14:textId="77777777" w:rsidR="00E13DB6" w:rsidRPr="00BE5613" w:rsidRDefault="004A4D2D" w:rsidP="00AA45FA">
      <w:pPr>
        <w:jc w:val="center"/>
      </w:pPr>
      <w:hyperlink r:id="rId7" w:history="1">
        <w:r w:rsidR="00E13DB6" w:rsidRPr="00BE5613">
          <w:t>struk@muni.cz</w:t>
        </w:r>
      </w:hyperlink>
      <w:r w:rsidR="00E13DB6" w:rsidRPr="00BE5613">
        <w:t xml:space="preserve"> – martin.boda@outlook.com</w:t>
      </w:r>
    </w:p>
    <w:p w14:paraId="6A19FCB9" w14:textId="77777777" w:rsidR="00E13DB6" w:rsidRPr="00BE5613" w:rsidRDefault="00E13DB6" w:rsidP="00AA45FA">
      <w:pPr>
        <w:jc w:val="center"/>
        <w:rPr>
          <w:vertAlign w:val="superscript"/>
        </w:rPr>
      </w:pPr>
    </w:p>
    <w:p w14:paraId="020122B9" w14:textId="77777777" w:rsidR="00E13DB6" w:rsidRPr="00BE5613" w:rsidRDefault="00E13DB6" w:rsidP="00AA45FA">
      <w:pPr>
        <w:ind w:left="142" w:hanging="142"/>
        <w:jc w:val="both"/>
      </w:pPr>
      <w:r w:rsidRPr="00BE5613">
        <w:rPr>
          <w:vertAlign w:val="superscript"/>
        </w:rPr>
        <w:t>1</w:t>
      </w:r>
      <w:r w:rsidRPr="00BE5613">
        <w:t xml:space="preserve"> </w:t>
      </w:r>
      <w:r w:rsidRPr="00BE5613">
        <w:tab/>
        <w:t>Masaryk University in Brno, Faculty of Economics and Admi</w:t>
      </w:r>
      <w:r w:rsidR="00E041CF" w:rsidRPr="00BE5613">
        <w:t xml:space="preserve">nistration, </w:t>
      </w:r>
      <w:proofErr w:type="spellStart"/>
      <w:r w:rsidR="00E041CF" w:rsidRPr="00BE5613">
        <w:t>Lipová</w:t>
      </w:r>
      <w:proofErr w:type="spellEnd"/>
      <w:r w:rsidR="00E041CF" w:rsidRPr="00BE5613">
        <w:t xml:space="preserve"> 41a, 602 00 </w:t>
      </w:r>
      <w:r w:rsidRPr="00BE5613">
        <w:t>Brno, Czech Republic</w:t>
      </w:r>
    </w:p>
    <w:p w14:paraId="009DBAB3" w14:textId="77777777" w:rsidR="00E13DB6" w:rsidRPr="00BE5613" w:rsidRDefault="00E13DB6" w:rsidP="00AA45FA">
      <w:pPr>
        <w:ind w:left="142" w:hanging="142"/>
        <w:jc w:val="both"/>
      </w:pPr>
      <w:r w:rsidRPr="00BE5613">
        <w:rPr>
          <w:vertAlign w:val="superscript"/>
        </w:rPr>
        <w:t>2</w:t>
      </w:r>
      <w:r w:rsidRPr="00BE5613">
        <w:t xml:space="preserve"> </w:t>
      </w:r>
      <w:r w:rsidRPr="00BE5613">
        <w:tab/>
        <w:t xml:space="preserve">Jan Evangelista </w:t>
      </w:r>
      <w:proofErr w:type="spellStart"/>
      <w:r w:rsidRPr="00BE5613">
        <w:t>Purkyně</w:t>
      </w:r>
      <w:proofErr w:type="spellEnd"/>
      <w:r w:rsidRPr="00BE5613">
        <w:t xml:space="preserve"> University in </w:t>
      </w:r>
      <w:proofErr w:type="spellStart"/>
      <w:r w:rsidRPr="00BE5613">
        <w:t>Ústí</w:t>
      </w:r>
      <w:proofErr w:type="spellEnd"/>
      <w:r w:rsidRPr="00BE5613">
        <w:t> </w:t>
      </w:r>
      <w:proofErr w:type="spellStart"/>
      <w:r w:rsidRPr="00BE5613">
        <w:t>nad</w:t>
      </w:r>
      <w:proofErr w:type="spellEnd"/>
      <w:r w:rsidRPr="00BE5613">
        <w:t xml:space="preserve"> Labem, Faculty of Social and Economic</w:t>
      </w:r>
      <w:r w:rsidR="00E041CF" w:rsidRPr="00BE5613">
        <w:t xml:space="preserve"> Studies, </w:t>
      </w:r>
      <w:proofErr w:type="spellStart"/>
      <w:r w:rsidR="00E041CF" w:rsidRPr="00BE5613">
        <w:t>Pasteurova</w:t>
      </w:r>
      <w:proofErr w:type="spellEnd"/>
      <w:r w:rsidR="00E041CF" w:rsidRPr="00BE5613">
        <w:t xml:space="preserve"> 1, 400 96 </w:t>
      </w:r>
      <w:proofErr w:type="spellStart"/>
      <w:r w:rsidRPr="00BE5613">
        <w:t>Ústí</w:t>
      </w:r>
      <w:proofErr w:type="spellEnd"/>
      <w:r w:rsidRPr="00BE5613">
        <w:t xml:space="preserve"> </w:t>
      </w:r>
      <w:proofErr w:type="spellStart"/>
      <w:r w:rsidRPr="00BE5613">
        <w:t>nad</w:t>
      </w:r>
      <w:proofErr w:type="spellEnd"/>
      <w:r w:rsidRPr="00BE5613">
        <w:t xml:space="preserve"> Labem, Czech Republic</w:t>
      </w:r>
    </w:p>
    <w:p w14:paraId="3E100DF1" w14:textId="77777777" w:rsidR="00E13DB6" w:rsidRPr="00BE5613" w:rsidRDefault="00E13DB6" w:rsidP="00AA45FA">
      <w:pPr>
        <w:ind w:left="142" w:hanging="142"/>
        <w:jc w:val="both"/>
      </w:pPr>
      <w:r w:rsidRPr="00BE5613">
        <w:rPr>
          <w:vertAlign w:val="superscript"/>
        </w:rPr>
        <w:t>3</w:t>
      </w:r>
      <w:r w:rsidRPr="00BE5613">
        <w:t xml:space="preserve"> Matej Bel University in </w:t>
      </w:r>
      <w:proofErr w:type="spellStart"/>
      <w:r w:rsidRPr="00BE5613">
        <w:t>Banská</w:t>
      </w:r>
      <w:proofErr w:type="spellEnd"/>
      <w:r w:rsidRPr="00BE5613">
        <w:t xml:space="preserve"> </w:t>
      </w:r>
      <w:proofErr w:type="spellStart"/>
      <w:r w:rsidRPr="00BE5613">
        <w:t>Bystrica</w:t>
      </w:r>
      <w:proofErr w:type="spellEnd"/>
      <w:r w:rsidRPr="00BE5613">
        <w:t>, Faculty of Ec</w:t>
      </w:r>
      <w:r w:rsidR="00E041CF" w:rsidRPr="00BE5613">
        <w:t xml:space="preserve">onomics, </w:t>
      </w:r>
      <w:proofErr w:type="spellStart"/>
      <w:r w:rsidR="00E041CF" w:rsidRPr="00BE5613">
        <w:t>Tajovského</w:t>
      </w:r>
      <w:proofErr w:type="spellEnd"/>
      <w:r w:rsidR="00E041CF" w:rsidRPr="00BE5613">
        <w:t xml:space="preserve"> 10, 975 90 </w:t>
      </w:r>
      <w:proofErr w:type="spellStart"/>
      <w:r w:rsidRPr="00BE5613">
        <w:t>Banská</w:t>
      </w:r>
      <w:proofErr w:type="spellEnd"/>
      <w:r w:rsidRPr="00BE5613">
        <w:t xml:space="preserve"> </w:t>
      </w:r>
      <w:proofErr w:type="spellStart"/>
      <w:r w:rsidRPr="00BE5613">
        <w:t>Bystrica</w:t>
      </w:r>
      <w:proofErr w:type="spellEnd"/>
      <w:r w:rsidRPr="00BE5613">
        <w:t>, Slovak Republic</w:t>
      </w:r>
    </w:p>
    <w:p w14:paraId="08F3A7C5" w14:textId="77777777" w:rsidR="00E13DB6" w:rsidRPr="00BE5613" w:rsidRDefault="00E13DB6" w:rsidP="00AA45FA">
      <w:pPr>
        <w:ind w:left="142" w:hanging="142"/>
        <w:jc w:val="both"/>
      </w:pPr>
      <w:r w:rsidRPr="00BE5613">
        <w:rPr>
          <w:vertAlign w:val="superscript"/>
        </w:rPr>
        <w:t>4</w:t>
      </w:r>
      <w:r w:rsidRPr="00BE5613">
        <w:t xml:space="preserve"> Jan Evangelista </w:t>
      </w:r>
      <w:proofErr w:type="spellStart"/>
      <w:r w:rsidRPr="00BE5613">
        <w:t>Purkyně</w:t>
      </w:r>
      <w:proofErr w:type="spellEnd"/>
      <w:r w:rsidRPr="00BE5613">
        <w:t xml:space="preserve"> University in </w:t>
      </w:r>
      <w:proofErr w:type="spellStart"/>
      <w:r w:rsidRPr="00BE5613">
        <w:t>Ústí</w:t>
      </w:r>
      <w:proofErr w:type="spellEnd"/>
      <w:r w:rsidRPr="00BE5613">
        <w:t> </w:t>
      </w:r>
      <w:proofErr w:type="spellStart"/>
      <w:r w:rsidRPr="00BE5613">
        <w:t>nad</w:t>
      </w:r>
      <w:proofErr w:type="spellEnd"/>
      <w:r w:rsidRPr="00BE5613">
        <w:t xml:space="preserve"> Labem, Faculty of Natural S</w:t>
      </w:r>
      <w:r w:rsidR="00E041CF" w:rsidRPr="00BE5613">
        <w:t xml:space="preserve">ciences, </w:t>
      </w:r>
      <w:proofErr w:type="spellStart"/>
      <w:r w:rsidR="00E041CF" w:rsidRPr="00BE5613">
        <w:t>Pasteurova</w:t>
      </w:r>
      <w:proofErr w:type="spellEnd"/>
      <w:r w:rsidR="00E041CF" w:rsidRPr="00BE5613">
        <w:t xml:space="preserve"> 15, 400 96 </w:t>
      </w:r>
      <w:proofErr w:type="spellStart"/>
      <w:r w:rsidRPr="00BE5613">
        <w:t>Ústí</w:t>
      </w:r>
      <w:proofErr w:type="spellEnd"/>
      <w:r w:rsidRPr="00BE5613">
        <w:t xml:space="preserve"> </w:t>
      </w:r>
      <w:proofErr w:type="spellStart"/>
      <w:r w:rsidRPr="00BE5613">
        <w:t>nad</w:t>
      </w:r>
      <w:proofErr w:type="spellEnd"/>
      <w:r w:rsidRPr="00BE5613">
        <w:t xml:space="preserve"> Labem, Czech Republic</w:t>
      </w:r>
    </w:p>
    <w:p w14:paraId="0677F368" w14:textId="77777777" w:rsidR="00E13DB6" w:rsidRPr="00BE5613" w:rsidRDefault="00E13DB6" w:rsidP="00AA45FA">
      <w:pPr>
        <w:rPr>
          <w:b/>
        </w:rPr>
      </w:pPr>
    </w:p>
    <w:p w14:paraId="42C19128" w14:textId="77777777" w:rsidR="00E13DB6" w:rsidRPr="00BE5613" w:rsidRDefault="00E13DB6" w:rsidP="00AA45FA">
      <w:pPr>
        <w:spacing w:line="480" w:lineRule="auto"/>
        <w:rPr>
          <w:b/>
        </w:rPr>
      </w:pPr>
      <w:r w:rsidRPr="00BE5613">
        <w:rPr>
          <w:b/>
        </w:rPr>
        <w:t>Abstract</w:t>
      </w:r>
    </w:p>
    <w:p w14:paraId="16EA8419" w14:textId="77777777" w:rsidR="00E13DB6" w:rsidRPr="00BE5613" w:rsidRDefault="00E13DB6" w:rsidP="00AA45FA">
      <w:pPr>
        <w:spacing w:line="480" w:lineRule="auto"/>
        <w:jc w:val="both"/>
      </w:pPr>
      <w:r w:rsidRPr="00BE5613">
        <w:t xml:space="preserve">The study presents research focused on factors influencing performance in municipal solid waste management (MSWM) at the level of individual municipalities in the Czech Republic. Czech municipalities </w:t>
      </w:r>
      <w:r w:rsidR="001C4EDA" w:rsidRPr="00BE5613">
        <w:t>possess</w:t>
      </w:r>
      <w:r w:rsidRPr="00BE5613">
        <w:t xml:space="preserve"> a specific municipal structure </w:t>
      </w:r>
      <w:r w:rsidR="00E041CF" w:rsidRPr="00BE5613">
        <w:t xml:space="preserve">that is </w:t>
      </w:r>
      <w:r w:rsidRPr="00BE5613">
        <w:t xml:space="preserve">characteristic of high fragmentation, in which municipalities spatially resemble conglomerates. </w:t>
      </w:r>
      <w:proofErr w:type="gramStart"/>
      <w:r w:rsidRPr="00BE5613">
        <w:t>In spite of</w:t>
      </w:r>
      <w:proofErr w:type="gramEnd"/>
      <w:r w:rsidRPr="00BE5613">
        <w:t xml:space="preserve"> their typically small size, they cling to their own independence and are thus willing to assume full responsibilities in MSWM. In recognition that expenditure o</w:t>
      </w:r>
      <w:r w:rsidR="00E041CF" w:rsidRPr="00BE5613">
        <w:t xml:space="preserve">n </w:t>
      </w:r>
      <w:r w:rsidRPr="00BE5613">
        <w:t>MSWM is the primary concern to municipalities and that there are secondary environmental interests in waste separation, four</w:t>
      </w:r>
      <w:r w:rsidR="00E041CF" w:rsidRPr="00BE5613">
        <w:t xml:space="preserve"> alternative</w:t>
      </w:r>
      <w:r w:rsidRPr="00BE5613">
        <w:t xml:space="preserve"> models of </w:t>
      </w:r>
      <w:r w:rsidR="00E041CF" w:rsidRPr="00BE5613">
        <w:t>waste management service</w:t>
      </w:r>
      <w:r w:rsidR="00527938" w:rsidRPr="00BE5613">
        <w:t xml:space="preserve"> production</w:t>
      </w:r>
      <w:r w:rsidR="00E041CF" w:rsidRPr="00BE5613">
        <w:t xml:space="preserve"> </w:t>
      </w:r>
      <w:r w:rsidRPr="00BE5613">
        <w:t>are considered for a sample of 470 Czech municipalities</w:t>
      </w:r>
      <w:r w:rsidR="004F4875" w:rsidRPr="00BE5613">
        <w:t xml:space="preserve"> that capture performance from different standpoints</w:t>
      </w:r>
      <w:r w:rsidRPr="00BE5613">
        <w:t xml:space="preserve">. </w:t>
      </w:r>
      <w:r w:rsidR="00E041CF" w:rsidRPr="00BE5613">
        <w:t xml:space="preserve">Performance in MSWM is </w:t>
      </w:r>
      <w:r w:rsidR="00F26E03" w:rsidRPr="00BE5613">
        <w:t>assessed</w:t>
      </w:r>
      <w:r w:rsidRPr="00BE5613">
        <w:t xml:space="preserve"> </w:t>
      </w:r>
      <w:r w:rsidR="00E041CF" w:rsidRPr="00BE5613">
        <w:t>by dint</w:t>
      </w:r>
      <w:r w:rsidRPr="00BE5613">
        <w:t xml:space="preserve"> </w:t>
      </w:r>
      <w:r w:rsidR="00E041CF" w:rsidRPr="00BE5613">
        <w:t xml:space="preserve">of </w:t>
      </w:r>
      <w:r w:rsidRPr="00BE5613">
        <w:t>data envelopment analysis (DEA)</w:t>
      </w:r>
      <w:r w:rsidR="001C4EDA" w:rsidRPr="00BE5613">
        <w:t>.</w:t>
      </w:r>
      <w:r w:rsidRPr="00BE5613">
        <w:t xml:space="preserve"> Full frontiers are </w:t>
      </w:r>
      <w:r w:rsidR="004F4875" w:rsidRPr="00BE5613">
        <w:t>employed</w:t>
      </w:r>
      <w:r w:rsidRPr="00BE5613">
        <w:t xml:space="preserve"> simultaneously with order-</w:t>
      </w:r>
      <w:r w:rsidRPr="00BE5613">
        <w:rPr>
          <w:i/>
        </w:rPr>
        <w:t>m</w:t>
      </w:r>
      <w:r w:rsidRPr="00BE5613">
        <w:t xml:space="preserve"> partial frontiers and resulting unconditional-to-conditional scores are investigated for the influence of </w:t>
      </w:r>
      <w:r w:rsidR="00F26E03" w:rsidRPr="00BE5613">
        <w:t xml:space="preserve">twelve </w:t>
      </w:r>
      <w:r w:rsidRPr="00BE5613">
        <w:t xml:space="preserve">contextual factors describing operating conditions of MSWM. </w:t>
      </w:r>
      <w:r w:rsidR="00F26E03" w:rsidRPr="00BE5613">
        <w:t xml:space="preserve">The analysis accounts for the fact that in this case the twelve contextual factors are found non-separable from the </w:t>
      </w:r>
      <w:r w:rsidR="004F4875" w:rsidRPr="00BE5613">
        <w:t>process</w:t>
      </w:r>
      <w:r w:rsidR="00F26E03" w:rsidRPr="00BE5613">
        <w:t xml:space="preserve"> underpinning the provision of MSWM. </w:t>
      </w:r>
      <w:r w:rsidRPr="00BE5613">
        <w:t xml:space="preserve">It is revealed that performance in MSWM improves with </w:t>
      </w:r>
      <w:r w:rsidR="00F26E03" w:rsidRPr="00BE5613">
        <w:t xml:space="preserve">the </w:t>
      </w:r>
      <w:r w:rsidRPr="00BE5613">
        <w:t xml:space="preserve">availability of recycling consolidation facilities, but programs inciting waste separation or green waste </w:t>
      </w:r>
      <w:r w:rsidRPr="00BE5613">
        <w:lastRenderedPageBreak/>
        <w:t xml:space="preserve">collection do not bring about the anticipated effect. The findings are instrumental in planning of MSWM and equip municipalities with policy advice that </w:t>
      </w:r>
      <w:r w:rsidR="00E041CF" w:rsidRPr="00BE5613">
        <w:t xml:space="preserve">is </w:t>
      </w:r>
      <w:r w:rsidRPr="00BE5613">
        <w:t xml:space="preserve">useful in improving performance in MSWM and </w:t>
      </w:r>
      <w:r w:rsidR="00AC794D" w:rsidRPr="00BE5613">
        <w:t>subsequently</w:t>
      </w:r>
      <w:r w:rsidR="00F26E03" w:rsidRPr="00BE5613">
        <w:t xml:space="preserve"> in</w:t>
      </w:r>
      <w:r w:rsidR="00AC794D" w:rsidRPr="00BE5613">
        <w:t xml:space="preserve"> reaching</w:t>
      </w:r>
      <w:r w:rsidRPr="00BE5613">
        <w:t xml:space="preserve"> ever stricter environmental targets requested over time at both national and international levels</w:t>
      </w:r>
      <w:r w:rsidR="00AC794D" w:rsidRPr="00BE5613">
        <w:t xml:space="preserve"> translated to a municipal level</w:t>
      </w:r>
      <w:r w:rsidRPr="00BE5613">
        <w:t>.</w:t>
      </w:r>
    </w:p>
    <w:p w14:paraId="3DDA8162" w14:textId="77777777" w:rsidR="00E13DB6" w:rsidRPr="00BE5613" w:rsidRDefault="00E13DB6" w:rsidP="00AA45FA">
      <w:pPr>
        <w:spacing w:line="480" w:lineRule="auto"/>
        <w:jc w:val="both"/>
      </w:pPr>
      <w:r w:rsidRPr="00BE5613">
        <w:rPr>
          <w:b/>
        </w:rPr>
        <w:t>Keywords:</w:t>
      </w:r>
      <w:r w:rsidRPr="00BE5613">
        <w:t xml:space="preserve"> municipal waste; separation; municipal expenditure; performance; </w:t>
      </w:r>
      <w:r w:rsidR="00AC794D" w:rsidRPr="00BE5613">
        <w:t xml:space="preserve">efficiency analysis; </w:t>
      </w:r>
      <w:r w:rsidRPr="00BE5613">
        <w:t>data envelopment analysis</w:t>
      </w:r>
    </w:p>
    <w:p w14:paraId="02A25F54" w14:textId="77777777" w:rsidR="00AA45FA" w:rsidRPr="00BE5613" w:rsidRDefault="00AA45FA" w:rsidP="00AA45FA">
      <w:pPr>
        <w:spacing w:line="480" w:lineRule="auto"/>
        <w:jc w:val="both"/>
      </w:pPr>
    </w:p>
    <w:p w14:paraId="2A2FBB03" w14:textId="77777777" w:rsidR="00E13DB6" w:rsidRPr="00BE5613" w:rsidRDefault="00E13DB6" w:rsidP="00AA45FA">
      <w:pPr>
        <w:spacing w:line="480" w:lineRule="auto"/>
        <w:rPr>
          <w:b/>
        </w:rPr>
      </w:pPr>
      <w:r w:rsidRPr="00BE5613">
        <w:rPr>
          <w:b/>
        </w:rPr>
        <w:t>1. Introduction</w:t>
      </w:r>
    </w:p>
    <w:p w14:paraId="04261CFD" w14:textId="77777777" w:rsidR="00E13DB6" w:rsidRPr="00BE5613" w:rsidRDefault="00E13DB6" w:rsidP="00AA45FA">
      <w:pPr>
        <w:spacing w:line="480" w:lineRule="auto"/>
        <w:ind w:firstLine="567"/>
        <w:jc w:val="both"/>
      </w:pPr>
      <w:r w:rsidRPr="00BE5613">
        <w:t xml:space="preserve">Municipal solid waste management (MSWM) represents a common service provided by the public sector in developed countries worldwide. Gradually, as people became more environmentally conscious, more and more demands have been raised on the public sector </w:t>
      </w:r>
      <w:proofErr w:type="gramStart"/>
      <w:r w:rsidRPr="00BE5613">
        <w:t>in order to</w:t>
      </w:r>
      <w:proofErr w:type="gramEnd"/>
      <w:r w:rsidRPr="00BE5613">
        <w:t xml:space="preserve"> secure an appropriate level of service in this sphere. In the case of the European Union (EU) and more generally Europe, larger attention to the issue of waste management (WM) can be traced </w:t>
      </w:r>
      <w:r w:rsidR="004F4875" w:rsidRPr="00BE5613">
        <w:t xml:space="preserve">back </w:t>
      </w:r>
      <w:r w:rsidRPr="00BE5613">
        <w:t xml:space="preserve">to the second half of the 20th century, especially with the introduction of EU regulations in the late 1990s. Since </w:t>
      </w:r>
      <w:proofErr w:type="gramStart"/>
      <w:r w:rsidRPr="00BE5613">
        <w:t>then</w:t>
      </w:r>
      <w:proofErr w:type="gramEnd"/>
      <w:r w:rsidRPr="00BE5613">
        <w:t xml:space="preserve"> the global trend for waste treatment has shifted towards incineration and recycling instead of landfilling (</w:t>
      </w:r>
      <w:proofErr w:type="spellStart"/>
      <w:r w:rsidRPr="00BE5613">
        <w:t>Mazzanti</w:t>
      </w:r>
      <w:proofErr w:type="spellEnd"/>
      <w:r w:rsidRPr="00BE5613">
        <w:t xml:space="preserve"> and </w:t>
      </w:r>
      <w:proofErr w:type="spellStart"/>
      <w:r w:rsidRPr="00BE5613">
        <w:t>Zoboli</w:t>
      </w:r>
      <w:proofErr w:type="spellEnd"/>
      <w:r w:rsidRPr="00BE5613">
        <w:t>, 2008).</w:t>
      </w:r>
    </w:p>
    <w:p w14:paraId="4532D78C" w14:textId="77777777" w:rsidR="00E13DB6" w:rsidRPr="00BE5613" w:rsidRDefault="00E13DB6" w:rsidP="00AA45FA">
      <w:pPr>
        <w:spacing w:line="480" w:lineRule="auto"/>
        <w:ind w:firstLine="567"/>
        <w:jc w:val="both"/>
      </w:pPr>
      <w:r w:rsidRPr="00BE5613">
        <w:t xml:space="preserve">In the Czech Republic, MSWM began to ignite interest in the 1990s along with the transition towards the market economy after 40 years of the Socialist regime. During the Socialist era, MSWM was generally not perceived as something of much importance, and the dominant way of dealing with any kind of municipal waste was landfilling. However, since the late 1990s and especially with the Czech Republic becoming a member of the EU in 2004, the situation regarding MSWM </w:t>
      </w:r>
      <w:r w:rsidR="004F4875" w:rsidRPr="00BE5613">
        <w:t>has</w:t>
      </w:r>
      <w:r w:rsidRPr="00BE5613">
        <w:t xml:space="preserve"> improved notably</w:t>
      </w:r>
      <w:r w:rsidR="004F4875" w:rsidRPr="00BE5613">
        <w:t>,</w:t>
      </w:r>
      <w:r w:rsidRPr="00BE5613">
        <w:t xml:space="preserve"> and issues of availability of infrastructure and technical aspects of waste treatment have come to the forefront. As a result, municipal waste treatment represented by a combination of landfilling, incineration, </w:t>
      </w:r>
      <w:proofErr w:type="gramStart"/>
      <w:r w:rsidRPr="00BE5613">
        <w:t>recycling</w:t>
      </w:r>
      <w:proofErr w:type="gramEnd"/>
      <w:r w:rsidRPr="00BE5613">
        <w:t xml:space="preserve"> </w:t>
      </w:r>
      <w:r w:rsidRPr="00BE5613">
        <w:lastRenderedPageBreak/>
        <w:t>and composting has improved gradually, albeit the Czech Republic</w:t>
      </w:r>
      <w:r w:rsidR="004F4875" w:rsidRPr="00BE5613">
        <w:t xml:space="preserve"> has remained</w:t>
      </w:r>
      <w:r w:rsidRPr="00BE5613">
        <w:t xml:space="preserve"> in overall waste treatment even more than a decade after entering the EU still amongst the bottom half of performers </w:t>
      </w:r>
      <w:r w:rsidR="00DB3CAE" w:rsidRPr="00BE5613">
        <w:t>in</w:t>
      </w:r>
      <w:r w:rsidRPr="00BE5613">
        <w:t xml:space="preserve"> the EU-27 (Castillo-</w:t>
      </w:r>
      <w:proofErr w:type="spellStart"/>
      <w:r w:rsidRPr="00BE5613">
        <w:t>Giménez</w:t>
      </w:r>
      <w:proofErr w:type="spellEnd"/>
      <w:r w:rsidRPr="00BE5613">
        <w:t xml:space="preserve"> et al., 2019a). Nevertheless, the observed trend is positive, and the performance of the Czech Republic in this area has been continuously crawling up the ranks.</w:t>
      </w:r>
    </w:p>
    <w:p w14:paraId="4A83F432" w14:textId="77777777" w:rsidR="00E13DB6" w:rsidRPr="00BE5613" w:rsidRDefault="00E13DB6" w:rsidP="00AA45FA">
      <w:pPr>
        <w:spacing w:line="480" w:lineRule="auto"/>
        <w:ind w:firstLine="567"/>
        <w:jc w:val="both"/>
      </w:pPr>
      <w:r w:rsidRPr="00BE5613">
        <w:t>The positive trend in waste treatment is defied by the trend in costs associated with MSWM, or municipal solid waste expenditure (MSWE). Spending on MSWM in Czech municipalities has been increasing remarkably since the advent of modern improvements in waste treatment. A poignant question here is, as with any other kind of public service, whether this expenditure is used efficiently (Førsund, 2013). By the reckoning of the authors, MSWE in the Czech Republic make up on average 2% of the annual municipal budget. Considering the variety of public services secured by a municipality together with municipal running costs, this number is much more significant than it might seem at first glance. In small Czech municipalities MSWE can amount to 10% of the annual budget, which makes the topic of performance in MSWM more pressing. In such cases, if the quantitative information about costs and produced services is available, examination of MSWM performance and its determining factors can lead to significant improvements in the overall level of public service delivery.</w:t>
      </w:r>
    </w:p>
    <w:p w14:paraId="433BEFF1" w14:textId="77777777" w:rsidR="00E13DB6" w:rsidRPr="00BE5613" w:rsidRDefault="00E13DB6" w:rsidP="00AA45FA">
      <w:pPr>
        <w:spacing w:line="480" w:lineRule="auto"/>
        <w:ind w:firstLine="567"/>
        <w:jc w:val="both"/>
      </w:pPr>
      <w:r w:rsidRPr="00BE5613">
        <w:t xml:space="preserve">This paper presents a case study of Czech municipalities and is concerned with assessing </w:t>
      </w:r>
      <w:r w:rsidR="00DB3CAE" w:rsidRPr="00BE5613">
        <w:t>their</w:t>
      </w:r>
      <w:r w:rsidRPr="00BE5613">
        <w:t xml:space="preserve"> performance in MSWM and factors that drive this performance. The sample of 470 municipalities in the South Moravian Region contains unique data for 2012 that were compiled partly from official statistics, but a substantial part comes from personal engagement in their collection. Performance in MSWM is approached from the perspective of efficiency, which is a term intensively employed in studies of this sort. A municipality is viewed as a unit that runs a process in which inputs are utilized in production of WM service. </w:t>
      </w:r>
      <w:r w:rsidRPr="00BE5613">
        <w:lastRenderedPageBreak/>
        <w:t xml:space="preserve">This requires a postulation of the production process with a statement of inputs and outputs as well as an identification of linkages. Technically speaking, efficiency is then the ability to generate a maximum of outputs at a minimal consumption of inputs. </w:t>
      </w:r>
      <w:proofErr w:type="gramStart"/>
      <w:r w:rsidRPr="00BE5613">
        <w:t>In an attempt to</w:t>
      </w:r>
      <w:proofErr w:type="gramEnd"/>
      <w:r w:rsidRPr="00BE5613">
        <w:t xml:space="preserve"> avoid discussions about a selection of inputs and outputs and to assure robustness, this paper builds on four alternative production models of WM service by Czech municipalities that are applied with data envelopment analysis (DEA). The models answer to different conflicting goals that Czech municipalities must pursue in MSWM, and differ thus in their philosophy, input-output </w:t>
      </w:r>
      <w:proofErr w:type="gramStart"/>
      <w:r w:rsidRPr="00BE5613">
        <w:t>specification</w:t>
      </w:r>
      <w:proofErr w:type="gramEnd"/>
      <w:r w:rsidRPr="00BE5613">
        <w:t xml:space="preserve"> and orientation. Yet, they balance two additional insights: (a) the minimization of MSWE that is the pivotal interest to municipal officials once the WM service is provided or secured (Models I, II, III) and (b) the minimization of residual waste that has its benefits in the form of various savings, but still is of a lateral interest to municipal officials (Models II, III, IV). Since no universal model is posited, it is not adequate to speak of efficiency. A looser and more generic term, performance, is used instead. Models I – IV are further augmented by twelve possible drivers of performance relevant to Czech municipalities, out of which nine are operational and three are urban factors. The list of candidate factors is based on a thorough literature review and interviews with municipal officials. A good knowledge of these factors and their effect upon performance in MSWM is indispensable for policy planning and evaluation at a municipal level. The first group of factors with a discretionary nature is related to the organization of waste collection, </w:t>
      </w:r>
      <w:proofErr w:type="gramStart"/>
      <w:r w:rsidRPr="00BE5613">
        <w:t>separation</w:t>
      </w:r>
      <w:proofErr w:type="gramEnd"/>
      <w:r w:rsidRPr="00BE5613">
        <w:t xml:space="preserve"> or disposal in individual municipalities, whereas the second group of factors outside the control of municipalities is related to residential land use. These factors are addressed here as contextual factors instead of a much commoner term, environmental factors, </w:t>
      </w:r>
      <w:proofErr w:type="gramStart"/>
      <w:r w:rsidRPr="00BE5613">
        <w:t>so as to</w:t>
      </w:r>
      <w:proofErr w:type="gramEnd"/>
      <w:r w:rsidRPr="00BE5613">
        <w:t xml:space="preserve"> rule out confusion with references to ecological aspects of the environment.</w:t>
      </w:r>
    </w:p>
    <w:p w14:paraId="6D70B8DB" w14:textId="77777777" w:rsidR="00E13DB6" w:rsidRPr="00BE5613" w:rsidRDefault="00E13DB6" w:rsidP="00AA45FA">
      <w:pPr>
        <w:spacing w:line="480" w:lineRule="auto"/>
        <w:ind w:firstLine="567"/>
        <w:jc w:val="both"/>
      </w:pPr>
      <w:r w:rsidRPr="00BE5613">
        <w:t>A classic approach to this kind of research is two-stage DEA popular with studies of municipal performance in WM (e. g., Simões et al., 2010; Benito-López et al., 2011; Salazar-</w:t>
      </w:r>
      <w:r w:rsidRPr="00BE5613">
        <w:lastRenderedPageBreak/>
        <w:t xml:space="preserve">Adams, 2021), be that the double bootstrap procedure of Simar and Wilson (2007) or traditional ordinary least squares regression of Banker and Natarajan (2008). This approach necessitates that a separability condition holds, which is refuted for each model by using the testing procedure of </w:t>
      </w:r>
      <w:proofErr w:type="spellStart"/>
      <w:r w:rsidRPr="00BE5613">
        <w:t>Daraio</w:t>
      </w:r>
      <w:proofErr w:type="spellEnd"/>
      <w:r w:rsidRPr="00BE5613">
        <w:t xml:space="preserve"> et al. (2018). Hence, the paper applies a newer approach of </w:t>
      </w:r>
      <w:proofErr w:type="spellStart"/>
      <w:r w:rsidRPr="00BE5613">
        <w:t>Daraio</w:t>
      </w:r>
      <w:proofErr w:type="spellEnd"/>
      <w:r w:rsidRPr="00BE5613">
        <w:t xml:space="preserve"> and Simar (2005, 2007) to identify and judge the effect of contextual variables upon performance in MSWM. This approach may be designated as unconditional-to-conditional (UTC) analysis since performance in MSWM is measured both unconditionally and conditionally upon contextual factors. In turn, ratios of conditional to unconditional scores are regressed non-parametrically upon contextual factors. Radial DEA estimators under the convexity constraint in the style of Banker et al. (1984) are used to obtain both conditional and unconditional scores under full frontiers as well order-</w:t>
      </w:r>
      <w:r w:rsidRPr="00BE5613">
        <w:rPr>
          <w:i/>
        </w:rPr>
        <w:t>m</w:t>
      </w:r>
      <w:r w:rsidRPr="00BE5613">
        <w:t xml:space="preserve"> partial frontiers. The latter has an advantage that it endorses the notion of robustness. A generalized additive model of Hastie and </w:t>
      </w:r>
      <w:proofErr w:type="spellStart"/>
      <w:r w:rsidRPr="00BE5613">
        <w:t>Tibshirani</w:t>
      </w:r>
      <w:proofErr w:type="spellEnd"/>
      <w:r w:rsidRPr="00BE5613">
        <w:t xml:space="preserve"> (1990) is employed in the second stage of UTC analysis. Example studies upon performance in MSWM that adopted UTC analysis are scanter and include just Ferreira et al. (2020). These studies and other studies situated in a similar arena of research (e.g., </w:t>
      </w:r>
      <w:r w:rsidR="00A959E7" w:rsidRPr="00BE5613">
        <w:t>De Witte</w:t>
      </w:r>
      <w:r w:rsidRPr="00BE5613">
        <w:t xml:space="preserve"> and </w:t>
      </w:r>
      <w:proofErr w:type="spellStart"/>
      <w:r w:rsidRPr="00BE5613">
        <w:t>Kortelainen</w:t>
      </w:r>
      <w:proofErr w:type="spellEnd"/>
      <w:r w:rsidRPr="00BE5613">
        <w:t xml:space="preserve">, 2013; Cordero, 2015, 2017) </w:t>
      </w:r>
      <w:proofErr w:type="gramStart"/>
      <w:r w:rsidRPr="00BE5613">
        <w:t>actually use</w:t>
      </w:r>
      <w:proofErr w:type="gramEnd"/>
      <w:r w:rsidRPr="00BE5613">
        <w:t xml:space="preserve"> the FDH estimator of </w:t>
      </w:r>
      <w:proofErr w:type="spellStart"/>
      <w:r w:rsidRPr="00BE5613">
        <w:t>Deprins</w:t>
      </w:r>
      <w:proofErr w:type="spellEnd"/>
      <w:r w:rsidRPr="00BE5613">
        <w:t xml:space="preserve"> et al. (1984), and not the familiar DEA estimator. </w:t>
      </w:r>
    </w:p>
    <w:p w14:paraId="18708E44" w14:textId="77777777" w:rsidR="00E13DB6" w:rsidRPr="00BE5613" w:rsidRDefault="00E13DB6" w:rsidP="00AA45FA">
      <w:pPr>
        <w:spacing w:line="480" w:lineRule="auto"/>
        <w:ind w:firstLine="567"/>
        <w:jc w:val="both"/>
      </w:pPr>
      <w:r w:rsidRPr="00BE5613">
        <w:t xml:space="preserve">Inspired by past efforts to measure performance in MSWM surveyed next in Section 2 and by a continuous need to improve MSWM, the goal of the paper is to examine performance in MSWM and to identify its drivers by using municipal data from the Czech Republic. Aside from gaining insights in terms of policy analysis and planning, the results add to the mosaic of performance factors in MSWM that varies across different territories with diverse economic, legislative, </w:t>
      </w:r>
      <w:proofErr w:type="gramStart"/>
      <w:r w:rsidRPr="00BE5613">
        <w:t>demographic</w:t>
      </w:r>
      <w:proofErr w:type="gramEnd"/>
      <w:r w:rsidRPr="00BE5613">
        <w:t xml:space="preserve"> or cultural set-ups. The novelties of the paper are several. First, this study is one of the very few studies concerned with performance in MSWM conducted for the Central and Eastern European region so far, representing a somewhat </w:t>
      </w:r>
      <w:r w:rsidRPr="00BE5613">
        <w:lastRenderedPageBreak/>
        <w:t xml:space="preserve">different environment compared to western countries. Second, the paper is centered upon Czech municipalities that are symptomatic of a highly fragmented municipal structure with a preponderance of very small municipalities, which in uncommon for western countries. Results of typical studies performed for western countries are not apt for smaller municipalities, whilst these results could bridge this gap. Third, the analysis considers for potential performance drivers original contextual variables, which have not been explored to date and are identified </w:t>
      </w:r>
      <w:proofErr w:type="gramStart"/>
      <w:r w:rsidRPr="00BE5613">
        <w:t>on the basis of</w:t>
      </w:r>
      <w:proofErr w:type="gramEnd"/>
      <w:r w:rsidRPr="00BE5613">
        <w:t xml:space="preserve"> subjective experience and judgment of municipal officials expressed during interviews or in electronic communication. Fourth, the effect of contextual variables is explored through UTC analysis with unconditional and conditional scores estimated by a radial DEA estimator in a convex technology, which contrasts with the practice of previous studies that employ the FDH estimator for simplification.</w:t>
      </w:r>
    </w:p>
    <w:p w14:paraId="310E7EFA" w14:textId="77777777" w:rsidR="00E13DB6" w:rsidRPr="00BE5613" w:rsidRDefault="00E13DB6" w:rsidP="00AA45FA">
      <w:pPr>
        <w:spacing w:line="480" w:lineRule="auto"/>
        <w:ind w:firstLine="567"/>
        <w:jc w:val="both"/>
      </w:pPr>
      <w:r w:rsidRPr="00BE5613">
        <w:t xml:space="preserve">The remainder of the paper is organized as follows. Section 2 provides a concise survey of relevant </w:t>
      </w:r>
      <w:proofErr w:type="gramStart"/>
      <w:r w:rsidRPr="00BE5613">
        <w:t>literature, and</w:t>
      </w:r>
      <w:proofErr w:type="gramEnd"/>
      <w:r w:rsidRPr="00BE5613">
        <w:t xml:space="preserve"> provides a brief overview of the MSWM framework in the Czech Republic. Section 3 explains the methodology, clarifies the methodological </w:t>
      </w:r>
      <w:proofErr w:type="gramStart"/>
      <w:r w:rsidRPr="00BE5613">
        <w:t>choices</w:t>
      </w:r>
      <w:proofErr w:type="gramEnd"/>
      <w:r w:rsidRPr="00BE5613">
        <w:t xml:space="preserve"> and describes the data set on Czech municipalities. Section 4 presents the results and discusses them. Finally, Section 5 provides concluding remarks, offers some policy </w:t>
      </w:r>
      <w:proofErr w:type="gramStart"/>
      <w:r w:rsidRPr="00BE5613">
        <w:t>implications</w:t>
      </w:r>
      <w:proofErr w:type="gramEnd"/>
      <w:r w:rsidRPr="00BE5613">
        <w:t xml:space="preserve"> and suggests direction of future research. </w:t>
      </w:r>
    </w:p>
    <w:p w14:paraId="142A001C" w14:textId="77777777" w:rsidR="00E13DB6" w:rsidRPr="00BE5613" w:rsidRDefault="00E13DB6" w:rsidP="00AA45FA">
      <w:pPr>
        <w:spacing w:line="480" w:lineRule="auto"/>
        <w:ind w:firstLine="567"/>
        <w:jc w:val="both"/>
      </w:pPr>
    </w:p>
    <w:p w14:paraId="2A52E9FF" w14:textId="77777777" w:rsidR="00E13DB6" w:rsidRPr="00BE5613" w:rsidRDefault="00E13DB6" w:rsidP="00AA45FA">
      <w:pPr>
        <w:spacing w:line="480" w:lineRule="auto"/>
        <w:rPr>
          <w:b/>
        </w:rPr>
      </w:pPr>
      <w:r w:rsidRPr="00BE5613">
        <w:rPr>
          <w:b/>
        </w:rPr>
        <w:t>2. Literature review on MSWM and Czech conditions</w:t>
      </w:r>
    </w:p>
    <w:p w14:paraId="49E79B7A" w14:textId="77777777" w:rsidR="00E13DB6" w:rsidRPr="00BE5613" w:rsidRDefault="00E13DB6" w:rsidP="00AA45FA">
      <w:pPr>
        <w:spacing w:line="480" w:lineRule="auto"/>
        <w:ind w:firstLine="567"/>
        <w:jc w:val="both"/>
      </w:pPr>
      <w:r w:rsidRPr="00BE5613">
        <w:t>This section consists of two subsections that explain the backdrop from which the paper draws. After a concise review of empirical research focusing upon MSWM (Subsection 2.1), the framework of MSWM in the Czech Republic is exposited.</w:t>
      </w:r>
    </w:p>
    <w:p w14:paraId="554467DE" w14:textId="77777777" w:rsidR="00AA45FA" w:rsidRPr="00BE5613" w:rsidRDefault="00AA45FA" w:rsidP="00AA45FA">
      <w:pPr>
        <w:spacing w:line="480" w:lineRule="auto"/>
        <w:ind w:firstLine="567"/>
        <w:jc w:val="both"/>
      </w:pPr>
    </w:p>
    <w:p w14:paraId="3C51939A" w14:textId="77777777" w:rsidR="00E13DB6" w:rsidRPr="00BE5613" w:rsidRDefault="00E13DB6" w:rsidP="00AA45FA">
      <w:pPr>
        <w:spacing w:line="480" w:lineRule="auto"/>
        <w:jc w:val="both"/>
      </w:pPr>
      <w:r w:rsidRPr="00BE5613">
        <w:t>2.1 Empirical research on MSWM</w:t>
      </w:r>
    </w:p>
    <w:p w14:paraId="209860A0" w14:textId="77777777" w:rsidR="00E13DB6" w:rsidRPr="00BE5613" w:rsidRDefault="00E13DB6" w:rsidP="00AA45FA">
      <w:pPr>
        <w:spacing w:line="480" w:lineRule="auto"/>
        <w:ind w:firstLine="567"/>
        <w:jc w:val="both"/>
      </w:pPr>
      <w:r w:rsidRPr="00BE5613">
        <w:lastRenderedPageBreak/>
        <w:t xml:space="preserve">Economic performance in the waste sector has been studied on numerous occasions, although dominantly for western countries. A review by Simões and Marques (2012) proves this point by summarizing and going through 107 relevant studies (78 being journal articles) published between 1965 and January 2011, with </w:t>
      </w:r>
      <w:proofErr w:type="gramStart"/>
      <w:r w:rsidRPr="00BE5613">
        <w:t>a majority of</w:t>
      </w:r>
      <w:proofErr w:type="gramEnd"/>
      <w:r w:rsidRPr="00BE5613">
        <w:t xml:space="preserve"> them emerging after 2000. These papers include simple costs analyses as well as both parametric and non-parametric efficiency-based approaches to performance evaluation that have become dominant in recent years. Besides categorization by the methods used and main issues addressed, chronological development is discussed as well. It should be highlighted that none of the papers reviewed by </w:t>
      </w:r>
      <w:proofErr w:type="gramStart"/>
      <w:r w:rsidRPr="00BE5613">
        <w:t>Simões</w:t>
      </w:r>
      <w:proofErr w:type="gramEnd"/>
      <w:r w:rsidRPr="00BE5613">
        <w:t xml:space="preserve"> and Marques (2012) focused upon a Central and Eastern European country, the Czech Republic not excluding. Since then, there has been a surge of interest in issues of MSWM in the Czech Republic (e.g., </w:t>
      </w:r>
      <w:proofErr w:type="spellStart"/>
      <w:r w:rsidRPr="00BE5613">
        <w:t>Šauer</w:t>
      </w:r>
      <w:proofErr w:type="spellEnd"/>
      <w:r w:rsidRPr="00BE5613">
        <w:t xml:space="preserve"> et al., 2008; </w:t>
      </w:r>
      <w:proofErr w:type="spellStart"/>
      <w:r w:rsidRPr="00BE5613">
        <w:t>Slavík</w:t>
      </w:r>
      <w:proofErr w:type="spellEnd"/>
      <w:r w:rsidRPr="00BE5613">
        <w:t xml:space="preserve"> and Pavel, 2013; Struk, 2017, 2018), although more recently in a comparative cross-country context (e.g., Castillo-</w:t>
      </w:r>
      <w:proofErr w:type="spellStart"/>
      <w:r w:rsidRPr="00BE5613">
        <w:t>Giménez</w:t>
      </w:r>
      <w:proofErr w:type="spellEnd"/>
      <w:r w:rsidRPr="00BE5613">
        <w:t xml:space="preserve"> et al., 2019a, 2019b; Martin and </w:t>
      </w:r>
      <w:proofErr w:type="spellStart"/>
      <w:r w:rsidRPr="00BE5613">
        <w:t>Puertas</w:t>
      </w:r>
      <w:proofErr w:type="spellEnd"/>
      <w:r w:rsidRPr="00BE5613">
        <w:t xml:space="preserve">, 2021; </w:t>
      </w:r>
      <w:proofErr w:type="spellStart"/>
      <w:r w:rsidRPr="00BE5613">
        <w:t>Riós</w:t>
      </w:r>
      <w:proofErr w:type="spellEnd"/>
      <w:r w:rsidRPr="00BE5613">
        <w:t xml:space="preserve"> and </w:t>
      </w:r>
      <w:proofErr w:type="spellStart"/>
      <w:r w:rsidRPr="00BE5613">
        <w:t>Picazo-Tadeo</w:t>
      </w:r>
      <w:proofErr w:type="spellEnd"/>
      <w:r w:rsidRPr="00BE5613">
        <w:t>, 2021).</w:t>
      </w:r>
    </w:p>
    <w:p w14:paraId="10BFA043" w14:textId="77777777" w:rsidR="00E13DB6" w:rsidRPr="00BE5613" w:rsidRDefault="00E13DB6" w:rsidP="00AA45FA">
      <w:pPr>
        <w:spacing w:line="480" w:lineRule="auto"/>
        <w:ind w:firstLine="567"/>
        <w:jc w:val="both"/>
      </w:pPr>
      <w:r w:rsidRPr="00BE5613">
        <w:t xml:space="preserve">Certainly, data envelopment analysis (DEA) in its variations is the most common method for performance assessment in MSWM as follows from the survey by Simões and Marques (2012) and applied work since then. Performance assessment of </w:t>
      </w:r>
      <w:r w:rsidR="00DB3CAE" w:rsidRPr="00BE5613">
        <w:t>WM</w:t>
      </w:r>
      <w:r w:rsidRPr="00BE5613">
        <w:t xml:space="preserve"> systems based on DEA has proceeded on two scales: national and municipal. In the group of cross-national studies, </w:t>
      </w:r>
      <w:proofErr w:type="spellStart"/>
      <w:r w:rsidRPr="00BE5613">
        <w:t>Halkos</w:t>
      </w:r>
      <w:proofErr w:type="spellEnd"/>
      <w:r w:rsidRPr="00BE5613">
        <w:t xml:space="preserve"> and </w:t>
      </w:r>
      <w:proofErr w:type="spellStart"/>
      <w:r w:rsidRPr="00BE5613">
        <w:t>Petrou</w:t>
      </w:r>
      <w:proofErr w:type="spellEnd"/>
      <w:r w:rsidRPr="00BE5613">
        <w:t xml:space="preserve"> (2019) compared the MSWM-related environmental efficiency of EU-28 countries using parameters like municipal solid waste generation, gross domestic product, population density and several types of emissions from waste. The results show (unsurprisingly) that countries with high recycling rates and low landfilling rates were rated as the most efficient. Castillo-</w:t>
      </w:r>
      <w:proofErr w:type="spellStart"/>
      <w:r w:rsidRPr="00BE5613">
        <w:t>Giménez</w:t>
      </w:r>
      <w:proofErr w:type="spellEnd"/>
      <w:r w:rsidRPr="00BE5613">
        <w:t xml:space="preserve"> et al. (2019a) created a composite indicator of performance in waste treatment for EU-27 countries during the period 1995–2016 with the conclusion that Central and Northern European countries have remain the best performers </w:t>
      </w:r>
      <w:proofErr w:type="gramStart"/>
      <w:r w:rsidRPr="00BE5613">
        <w:t>in spite of</w:t>
      </w:r>
      <w:proofErr w:type="gramEnd"/>
      <w:r w:rsidRPr="00BE5613">
        <w:t xml:space="preserve"> gradual convergence amongst all EU-27 countries. In another study Castillo-</w:t>
      </w:r>
      <w:proofErr w:type="spellStart"/>
      <w:r w:rsidRPr="00BE5613">
        <w:t>Giménez</w:t>
      </w:r>
      <w:proofErr w:type="spellEnd"/>
      <w:r w:rsidRPr="00BE5613">
        <w:t xml:space="preserve"> </w:t>
      </w:r>
      <w:r w:rsidRPr="00BE5613">
        <w:lastRenderedPageBreak/>
        <w:t xml:space="preserve">et al. (2019b) utilized data for the period 2015–2017 for EU-28 </w:t>
      </w:r>
      <w:proofErr w:type="gramStart"/>
      <w:r w:rsidRPr="00BE5613">
        <w:t>countries, and</w:t>
      </w:r>
      <w:proofErr w:type="gramEnd"/>
      <w:r w:rsidRPr="00BE5613">
        <w:t xml:space="preserve"> highlighted that one of the reasons for the outperformance of Northern and Central European countries over Eastern European ones lies in their ability to recycle and compost larger </w:t>
      </w:r>
      <w:r w:rsidR="00DB3CAE" w:rsidRPr="00BE5613">
        <w:t>portions</w:t>
      </w:r>
      <w:r w:rsidRPr="00BE5613">
        <w:t xml:space="preserve"> of waste. </w:t>
      </w:r>
      <w:proofErr w:type="spellStart"/>
      <w:r w:rsidRPr="00BE5613">
        <w:t>Giannakitsidou</w:t>
      </w:r>
      <w:proofErr w:type="spellEnd"/>
      <w:r w:rsidRPr="00BE5613">
        <w:t xml:space="preserve"> et al. (2020) then extended environmental performance comparisons at a national level by including circular economy criteria, </w:t>
      </w:r>
      <w:proofErr w:type="gramStart"/>
      <w:r w:rsidRPr="00BE5613">
        <w:t>taking into account</w:t>
      </w:r>
      <w:proofErr w:type="gramEnd"/>
      <w:r w:rsidRPr="00BE5613">
        <w:t xml:space="preserve"> not merely the waste recycling rate, but also the overall level of municipal waste generation. By doing so, several Western and Northern European countries with intensive recycling, but also extensive waste generation worsened their positions relative to countries with significantly lower levels of </w:t>
      </w:r>
      <w:r w:rsidR="00DB3CAE" w:rsidRPr="00BE5613">
        <w:t xml:space="preserve">overall </w:t>
      </w:r>
      <w:r w:rsidRPr="00BE5613">
        <w:t>municipal waste generation.</w:t>
      </w:r>
    </w:p>
    <w:p w14:paraId="2273DE6B" w14:textId="77777777" w:rsidR="00E13DB6" w:rsidRPr="00BE5613" w:rsidRDefault="00E13DB6" w:rsidP="00AA45FA">
      <w:pPr>
        <w:spacing w:line="480" w:lineRule="auto"/>
        <w:ind w:firstLine="567"/>
        <w:jc w:val="both"/>
      </w:pPr>
      <w:r w:rsidRPr="00BE5613">
        <w:t xml:space="preserve">However, studying waste management performance at a municipal level is </w:t>
      </w:r>
      <w:proofErr w:type="gramStart"/>
      <w:r w:rsidRPr="00BE5613">
        <w:t>in all likelihood</w:t>
      </w:r>
      <w:proofErr w:type="gramEnd"/>
      <w:r w:rsidRPr="00BE5613">
        <w:t xml:space="preserve"> more useful in revealing closer links between performance and related factors. In the group of municipal studies more emphasis is put on identification of factors that drive performance in MSWM. For instance, Kinnaman and Fullerton (1999) offered a broad overview of the trends in MSWM and its economy together with various factors that contribute to municipal waste generation, recycling and overall MSWM performance. Beigl et al. (2008) gave a systematic review of 45 modeling approaches to municipal solid waste generation and summarized effects of various municipal characteristics on MSWM performance. A different survey is by Pires et al. (2011) who conducted review of MSWM systems adopted in European countries. </w:t>
      </w:r>
      <w:proofErr w:type="gramStart"/>
      <w:r w:rsidRPr="00BE5613">
        <w:t>In order to</w:t>
      </w:r>
      <w:proofErr w:type="gramEnd"/>
      <w:r w:rsidRPr="00BE5613">
        <w:t xml:space="preserve"> explain heterogeneity amongst potential municipal driving factors, Lebersorger and Beigl (2011) employed regression analysis in examining the impact of more than 100 municipal indicators on municipal solid waste generation. More recent overviews of various performance drivers in waste collection services have been conducted by Guerrini et al. (2017), or Di Foggia and </w:t>
      </w:r>
      <w:proofErr w:type="spellStart"/>
      <w:r w:rsidRPr="00BE5613">
        <w:t>Beccarello</w:t>
      </w:r>
      <w:proofErr w:type="spellEnd"/>
      <w:r w:rsidRPr="00BE5613">
        <w:t xml:space="preserve"> (2020). In addition, a recent study by </w:t>
      </w:r>
      <w:proofErr w:type="spellStart"/>
      <w:r w:rsidRPr="00BE5613">
        <w:t>Rosecký</w:t>
      </w:r>
      <w:proofErr w:type="spellEnd"/>
      <w:r w:rsidRPr="00BE5613">
        <w:t xml:space="preserve"> et al. (2021) creates multiple models for waste generation at different territorial levels and identifies important influencing factors.</w:t>
      </w:r>
    </w:p>
    <w:p w14:paraId="52286B90" w14:textId="77777777" w:rsidR="00E13DB6" w:rsidRPr="00BE5613" w:rsidRDefault="00E13DB6" w:rsidP="00AA45FA">
      <w:pPr>
        <w:spacing w:line="480" w:lineRule="auto"/>
        <w:ind w:firstLine="567"/>
        <w:jc w:val="both"/>
      </w:pPr>
      <w:r w:rsidRPr="00BE5613">
        <w:lastRenderedPageBreak/>
        <w:t xml:space="preserve">When considering specifically research related to performance in MSWM at a municipal level, multiple studies are available namely from Italy (Guerrini et al., 2017; </w:t>
      </w:r>
      <w:proofErr w:type="spellStart"/>
      <w:r w:rsidRPr="00BE5613">
        <w:t>Sarra</w:t>
      </w:r>
      <w:proofErr w:type="spellEnd"/>
      <w:r w:rsidRPr="00BE5613">
        <w:t xml:space="preserve"> et al., 2017; </w:t>
      </w:r>
      <w:proofErr w:type="spellStart"/>
      <w:r w:rsidRPr="00BE5613">
        <w:t>Sarra</w:t>
      </w:r>
      <w:proofErr w:type="spellEnd"/>
      <w:r w:rsidRPr="00BE5613">
        <w:t xml:space="preserve"> et al., 2019; Romano et al., 2020; Romano and </w:t>
      </w:r>
      <w:proofErr w:type="spellStart"/>
      <w:r w:rsidRPr="00BE5613">
        <w:t>Molinos-Senante</w:t>
      </w:r>
      <w:proofErr w:type="spellEnd"/>
      <w:r w:rsidRPr="00BE5613">
        <w:t>, 2020; Gastaldi et al., 2020), Spain (García-Sánchez, 2008; Benito-López et al., 2011; Pérez-López et al., 2016; Díaz-Villavicencio et al., 2017; Pérez-López et al., 2018</w:t>
      </w:r>
      <w:r w:rsidR="005A0805" w:rsidRPr="00BE5613">
        <w:t>; Benito et al., 2021</w:t>
      </w:r>
      <w:r w:rsidRPr="00BE5613">
        <w:t>) and the Netherlands (De Jaeger et al., 2011; Rogge and De Jaeger, 2012, 2013). Some recent studies on MSWM performance outside Europe include Chile (</w:t>
      </w:r>
      <w:proofErr w:type="spellStart"/>
      <w:r w:rsidRPr="00BE5613">
        <w:t>Llanquileo-Melgarejo</w:t>
      </w:r>
      <w:proofErr w:type="spellEnd"/>
      <w:r w:rsidRPr="00BE5613">
        <w:t xml:space="preserve"> et al., 2021; </w:t>
      </w:r>
      <w:proofErr w:type="spellStart"/>
      <w:r w:rsidRPr="00BE5613">
        <w:t>Llanquileo-Melgarejo</w:t>
      </w:r>
      <w:proofErr w:type="spellEnd"/>
      <w:r w:rsidRPr="00BE5613">
        <w:t xml:space="preserve"> and </w:t>
      </w:r>
      <w:proofErr w:type="spellStart"/>
      <w:r w:rsidRPr="00BE5613">
        <w:t>Molinos-Senante</w:t>
      </w:r>
      <w:proofErr w:type="spellEnd"/>
      <w:r w:rsidRPr="00BE5613">
        <w:t>, 2021), China (Fan et al., 2020) or Mexico (Salazar-Adams, 2021). While some of these studies did not go beyond calculating overall DEA-based performance scores for examined municipalities, others also analyzed the influence of contextual variables such as population size and density, per capita income, education level, model of MSWM provider ownership or tourism level.</w:t>
      </w:r>
    </w:p>
    <w:p w14:paraId="73B35218" w14:textId="77777777" w:rsidR="00E13DB6" w:rsidRPr="00BE5613" w:rsidRDefault="00E13DB6" w:rsidP="00AA45FA">
      <w:pPr>
        <w:spacing w:line="480" w:lineRule="auto"/>
        <w:ind w:firstLine="567"/>
        <w:jc w:val="both"/>
      </w:pPr>
      <w:r w:rsidRPr="00BE5613">
        <w:t xml:space="preserve">Finally, two-stage DEA is a conventional method to ascertain and support the effect of possible drivers upon performance in MSWM. García-Sánchez (2008) explored MSWM efficiency of Spanish municipalities with a population over 50,000 </w:t>
      </w:r>
      <w:proofErr w:type="gramStart"/>
      <w:r w:rsidRPr="00BE5613">
        <w:t>inhabitants, and</w:t>
      </w:r>
      <w:proofErr w:type="gramEnd"/>
      <w:r w:rsidRPr="00BE5613">
        <w:t xml:space="preserve"> </w:t>
      </w:r>
      <w:r w:rsidR="005A0805" w:rsidRPr="00BE5613">
        <w:t>analyzed</w:t>
      </w:r>
      <w:r w:rsidRPr="00BE5613">
        <w:t xml:space="preserve"> the effect of social indicators such as population size and density, mean temperature, per capita income or type of WM company ownership. Marques and Simões (2009) conducted a comparable analysis of Portuguese municipalities and confirmed significance of per capita income together with the operational environment. De Jaeger et al. (2011) conducted an MSWM efficiency analysis of Flemish municipalities with respect to waste reducing </w:t>
      </w:r>
      <w:proofErr w:type="gramStart"/>
      <w:r w:rsidRPr="00BE5613">
        <w:t>policy, and</w:t>
      </w:r>
      <w:proofErr w:type="gramEnd"/>
      <w:r w:rsidRPr="00BE5613">
        <w:t xml:space="preserve"> established that participation in voluntary agreements to reduce municipal waste levels was conducive to efficiency. All these three studies deployed </w:t>
      </w:r>
      <w:proofErr w:type="spellStart"/>
      <w:r w:rsidRPr="00BE5613">
        <w:t>tobit</w:t>
      </w:r>
      <w:proofErr w:type="spellEnd"/>
      <w:r w:rsidRPr="00BE5613">
        <w:t xml:space="preserve"> regression in the second stage, later criticized and discarded by Simar and Wilson (2007, 2011). This criticism gave rise to the dominance of the double bootstrap procedure. For instance, Benito-López et al. (2011) explored again determinants of MSWM efficiency of Spanish municipalities and </w:t>
      </w:r>
      <w:r w:rsidRPr="00BE5613">
        <w:lastRenderedPageBreak/>
        <w:t xml:space="preserve">identified positive effects of per capita income, tourism, or the political orientation espoused by municipal representatives. Simões et al. (2010) assessed the influence of the operational environment at a company level for efficiency of Portugal solid waste </w:t>
      </w:r>
      <w:proofErr w:type="gramStart"/>
      <w:r w:rsidRPr="00BE5613">
        <w:t>utilities, and</w:t>
      </w:r>
      <w:proofErr w:type="gramEnd"/>
      <w:r w:rsidRPr="00BE5613">
        <w:t xml:space="preserve"> proved that the environmental context does matter. Likewise, Simões et al. (2012a) investigated determinants of refuse collection services at a municipal level in Portugal and their results attested the importance of operating conditions. Recently, Salazar-Adams (2021) investigated efficiency of municipal waste collection of Mexican municipalities to find out that outsourced waste collection and curbside collection were factors associated with higher efficiency as opposed to separate waste collection. Finally, UTC analysis in assessments of MSWM performance is rare at best, and to the best knowledge, the only available application to date is Ferreira et al. (2020) who studied factors of inefficiency levels of urban solid WM service in Portugal </w:t>
      </w:r>
      <w:proofErr w:type="gramStart"/>
      <w:r w:rsidRPr="00BE5613">
        <w:t>in an attempt to</w:t>
      </w:r>
      <w:proofErr w:type="gramEnd"/>
      <w:r w:rsidRPr="00BE5613">
        <w:t xml:space="preserve"> relate key performance indicators of provision of WM service to efficiency. </w:t>
      </w:r>
    </w:p>
    <w:p w14:paraId="41615A4E" w14:textId="77777777" w:rsidR="00E13DB6" w:rsidRPr="00BE5613" w:rsidRDefault="00E13DB6" w:rsidP="00AA45FA">
      <w:pPr>
        <w:spacing w:line="480" w:lineRule="auto"/>
        <w:ind w:firstLine="567"/>
        <w:jc w:val="both"/>
      </w:pPr>
      <w:r w:rsidRPr="00BE5613">
        <w:t xml:space="preserve">This paper bridges the methodological and applicational gap. In the former respect, it applies two-stage DEA footed upon UTC analysis, whilst in the latter respect it focuses upon Czech conditions in MSWM that have been unexplored so </w:t>
      </w:r>
      <w:proofErr w:type="gramStart"/>
      <w:r w:rsidRPr="00BE5613">
        <w:t>far, and</w:t>
      </w:r>
      <w:proofErr w:type="gramEnd"/>
      <w:r w:rsidRPr="00BE5613">
        <w:t xml:space="preserve"> are unique.</w:t>
      </w:r>
    </w:p>
    <w:p w14:paraId="4ED23847" w14:textId="77777777" w:rsidR="00E13DB6" w:rsidRPr="00BE5613" w:rsidRDefault="00E13DB6" w:rsidP="00AA45FA">
      <w:pPr>
        <w:spacing w:line="480" w:lineRule="auto"/>
        <w:jc w:val="both"/>
      </w:pPr>
    </w:p>
    <w:p w14:paraId="71C5E2BE" w14:textId="77777777" w:rsidR="00E13DB6" w:rsidRPr="00BE5613" w:rsidRDefault="00E13DB6" w:rsidP="00AA45FA">
      <w:pPr>
        <w:spacing w:line="480" w:lineRule="auto"/>
        <w:jc w:val="both"/>
      </w:pPr>
      <w:r w:rsidRPr="00BE5613">
        <w:t>2.2 Framework of MSWM in the Czech Republic</w:t>
      </w:r>
    </w:p>
    <w:p w14:paraId="4F9882E4" w14:textId="35805BE6" w:rsidR="00E13DB6" w:rsidRPr="00BE5613" w:rsidRDefault="00E13DB6" w:rsidP="00AA45FA">
      <w:pPr>
        <w:spacing w:line="480" w:lineRule="auto"/>
        <w:ind w:firstLine="567"/>
        <w:jc w:val="both"/>
      </w:pPr>
      <w:r w:rsidRPr="00BE5613">
        <w:t>In the Czech Republic, according to the law, MSWM is a responsibility of municipalities themselves. Individual municipalities thus secure provision of WM service either on their own behalf, or, more typically, by contracting a</w:t>
      </w:r>
      <w:r w:rsidR="003E4A56" w:rsidRPr="00BE5613">
        <w:t>n</w:t>
      </w:r>
      <w:r w:rsidRPr="00BE5613">
        <w:t xml:space="preserve"> external WM company. Terms of WM in a municipality are then set by the mandatory municipal decree that has to meet basic legislative </w:t>
      </w:r>
      <w:proofErr w:type="gramStart"/>
      <w:r w:rsidRPr="00BE5613">
        <w:t>requirements, but</w:t>
      </w:r>
      <w:proofErr w:type="gramEnd"/>
      <w:r w:rsidRPr="00BE5613">
        <w:t xml:space="preserve"> can be to a certain degree adapted to the specifics of the municipality. This decree articulates details of waste collection, collection frequency, options for separate collection of recyclables including the location of drop-off sites for </w:t>
      </w:r>
      <w:r w:rsidRPr="00BE5613">
        <w:lastRenderedPageBreak/>
        <w:t>recyclable waste, bans on illegal dumping or waste burning, and most notably the municipal waste collection fee. Citizens are then expected to abide by the regulations set in the decree. As Czech municipalities commonly range from several hundred</w:t>
      </w:r>
      <w:r w:rsidR="005A0805" w:rsidRPr="00BE5613">
        <w:t>s</w:t>
      </w:r>
      <w:r w:rsidRPr="00BE5613">
        <w:t xml:space="preserve"> to </w:t>
      </w:r>
      <w:r w:rsidR="005A0805" w:rsidRPr="00BE5613">
        <w:t>dozens</w:t>
      </w:r>
      <w:r w:rsidRPr="00BE5613">
        <w:t xml:space="preserve"> of thousand</w:t>
      </w:r>
      <w:r w:rsidR="005A0805" w:rsidRPr="00BE5613">
        <w:t>s of</w:t>
      </w:r>
      <w:r w:rsidRPr="00BE5613">
        <w:t xml:space="preserve"> people, individual municipal decrees (and subsequently the actual organization of municipal WM) can differ markedly, regardless of the comparable minimum requirements for residual and selected recyclables waste collection.</w:t>
      </w:r>
    </w:p>
    <w:p w14:paraId="28E24603" w14:textId="77777777" w:rsidR="00E13DB6" w:rsidRPr="00BE5613" w:rsidRDefault="00E13DB6" w:rsidP="00AA45FA">
      <w:pPr>
        <w:spacing w:line="480" w:lineRule="auto"/>
        <w:ind w:firstLine="567"/>
        <w:jc w:val="both"/>
      </w:pPr>
      <w:r w:rsidRPr="00BE5613">
        <w:t xml:space="preserve">Waste collection methods differ for residual and recyclable waste. Residual waste is typically collected from bins belonging to individual single-family houses and from shared large bins belonging to multi-family houses or condominiums. Other methods like collection from plastic sacks or large volume containers are very rare, but these options are available to municipalities. For recyclable waste, collection methods are wider and include collection from bins or sacks from individual single-family houses (curbside collection), collection through drop-off sites scattered within the municipality (the most common method) or bring-in system with waste recycling centers. </w:t>
      </w:r>
    </w:p>
    <w:p w14:paraId="0BA4AB1F" w14:textId="77777777" w:rsidR="00E13DB6" w:rsidRPr="00BE5613" w:rsidRDefault="00E13DB6" w:rsidP="00AA45FA">
      <w:pPr>
        <w:spacing w:line="480" w:lineRule="auto"/>
        <w:ind w:firstLine="567"/>
        <w:jc w:val="both"/>
      </w:pPr>
      <w:r w:rsidRPr="00BE5613">
        <w:t xml:space="preserve">In terms of collected recyclables, the current Czech legislation requires of the municipality to provide options for separate collection of paper, plastics, glass, green waste (since 2014) as well as cooking oils and </w:t>
      </w:r>
      <w:r w:rsidR="005A0805" w:rsidRPr="00BE5613">
        <w:t>fats</w:t>
      </w:r>
      <w:r w:rsidRPr="00BE5613">
        <w:t xml:space="preserve"> (since 2020). This means that the municipality should secure at least one such site for collection of </w:t>
      </w:r>
      <w:r w:rsidR="00D251CC" w:rsidRPr="00BE5613">
        <w:t>specified</w:t>
      </w:r>
      <w:r w:rsidRPr="00BE5613">
        <w:t xml:space="preserve"> recyclables. Naturally, municipalities adjust the available capacity and number of sites for waste separation, </w:t>
      </w:r>
      <w:proofErr w:type="gramStart"/>
      <w:r w:rsidRPr="00BE5613">
        <w:t>taking into account</w:t>
      </w:r>
      <w:proofErr w:type="gramEnd"/>
      <w:r w:rsidRPr="00BE5613">
        <w:t xml:space="preserve"> the size of the municipality, requests from a large enough group of citizens, and the available municipal budget. Paper, </w:t>
      </w:r>
      <w:proofErr w:type="gramStart"/>
      <w:r w:rsidRPr="00BE5613">
        <w:t>plastics</w:t>
      </w:r>
      <w:proofErr w:type="gramEnd"/>
      <w:r w:rsidRPr="00BE5613">
        <w:t xml:space="preserve"> and glass are usually collected at a single spot as these have by far the longest tradition of separate collection. Containers for individual waste fractions vary in numbers as well, depending</w:t>
      </w:r>
      <w:r w:rsidR="00D251CC" w:rsidRPr="00BE5613">
        <w:t xml:space="preserve"> on the</w:t>
      </w:r>
      <w:r w:rsidRPr="00BE5613">
        <w:t xml:space="preserve"> available space and capacity requirements. An alternative is curbside collection from individual houses used in some municipalities. In such cases designated sites for bring-in collection of given recyclables are </w:t>
      </w:r>
      <w:r w:rsidRPr="00BE5613">
        <w:lastRenderedPageBreak/>
        <w:t xml:space="preserve">very scarce or even absent, as practically they are not needed anymore, </w:t>
      </w:r>
      <w:proofErr w:type="gramStart"/>
      <w:r w:rsidRPr="00BE5613">
        <w:t>as long as</w:t>
      </w:r>
      <w:proofErr w:type="gramEnd"/>
      <w:r w:rsidRPr="00BE5613">
        <w:t xml:space="preserve"> everyone collects and stores recyclables until the next collection at home.</w:t>
      </w:r>
    </w:p>
    <w:p w14:paraId="4745896C" w14:textId="77777777" w:rsidR="00E13DB6" w:rsidRPr="00BE5613" w:rsidRDefault="00E13DB6" w:rsidP="00AA45FA">
      <w:pPr>
        <w:spacing w:line="480" w:lineRule="auto"/>
        <w:ind w:firstLine="567"/>
        <w:jc w:val="both"/>
      </w:pPr>
      <w:r w:rsidRPr="00BE5613">
        <w:t xml:space="preserve">Collection frequency of residual waste varies with habits at individual municipalities and available capacities. In densely populated areas with shared waste bins residual waste may be collected several times per week, whilst in more rural areas with bins of a larger size collection may take place once every few weeks. </w:t>
      </w:r>
      <w:r w:rsidR="00D251CC" w:rsidRPr="00BE5613">
        <w:t>C</w:t>
      </w:r>
      <w:r w:rsidRPr="00BE5613">
        <w:t>ollection</w:t>
      </w:r>
      <w:r w:rsidR="00D251CC" w:rsidRPr="00BE5613">
        <w:t xml:space="preserve"> of recyclables</w:t>
      </w:r>
      <w:r w:rsidRPr="00BE5613">
        <w:t xml:space="preserve"> is usually even less frequent</w:t>
      </w:r>
      <w:r w:rsidR="00D251CC" w:rsidRPr="00BE5613">
        <w:t>,</w:t>
      </w:r>
      <w:r w:rsidRPr="00BE5613">
        <w:t xml:space="preserve"> as the capacity available for recyclables typically lasts longer, especially with curbside collection. Of course, collection frequency can differ with recyclables of a different kind. Green waste is also subject to seasonal variation with collection occurring frequently between spring and autumn, and sporadically </w:t>
      </w:r>
      <w:r w:rsidR="00D251CC" w:rsidRPr="00BE5613">
        <w:t>during the rest of the year</w:t>
      </w:r>
      <w:r w:rsidRPr="00BE5613">
        <w:t>. That said, with such size heterogeneity of municipalities</w:t>
      </w:r>
      <w:r w:rsidR="00D251CC" w:rsidRPr="00BE5613">
        <w:t>,</w:t>
      </w:r>
      <w:r w:rsidRPr="00BE5613">
        <w:t xml:space="preserve"> there is </w:t>
      </w:r>
      <w:r w:rsidR="00D251CC" w:rsidRPr="00BE5613">
        <w:t xml:space="preserve">unsurprisingly </w:t>
      </w:r>
      <w:r w:rsidRPr="00BE5613">
        <w:t xml:space="preserve">no </w:t>
      </w:r>
      <w:r w:rsidR="00D251CC" w:rsidRPr="00BE5613">
        <w:t>one-size-fits-</w:t>
      </w:r>
      <w:r w:rsidRPr="00BE5613">
        <w:t>all</w:t>
      </w:r>
      <w:r w:rsidR="00D251CC" w:rsidRPr="00BE5613">
        <w:t xml:space="preserve"> solution</w:t>
      </w:r>
      <w:r w:rsidRPr="00BE5613">
        <w:t xml:space="preserve">, and individual municipalities adjust their WM systems according to their needs. Common “low” frequencies are in sharp contrast with common practices in Western Europe. For instance, Simões et al. (2012a) note that less than 5% of municipalities in Portugal do not collect waste six </w:t>
      </w:r>
      <w:proofErr w:type="gramStart"/>
      <w:r w:rsidRPr="00BE5613">
        <w:t>times</w:t>
      </w:r>
      <w:proofErr w:type="gramEnd"/>
      <w:r w:rsidRPr="00BE5613">
        <w:t xml:space="preserve"> per week, whereas in the Czech Republic once per week is a relatively common frequency. Yet, this is a natural outcome of a likely much lower waste storage capacity per person in Portugal, as in the Czech Republic</w:t>
      </w:r>
      <w:r w:rsidR="00D251CC" w:rsidRPr="00BE5613">
        <w:t xml:space="preserve"> a family house</w:t>
      </w:r>
      <w:r w:rsidRPr="00BE5613">
        <w:t xml:space="preserve"> </w:t>
      </w:r>
      <w:r w:rsidR="00D251CC" w:rsidRPr="00BE5613">
        <w:t>is</w:t>
      </w:r>
      <w:r w:rsidRPr="00BE5613">
        <w:t xml:space="preserve"> </w:t>
      </w:r>
      <w:r w:rsidR="00D251CC" w:rsidRPr="00BE5613">
        <w:t xml:space="preserve">commonly </w:t>
      </w:r>
      <w:r w:rsidRPr="00BE5613">
        <w:t xml:space="preserve">equipped with at least </w:t>
      </w:r>
      <w:r w:rsidR="00D251CC" w:rsidRPr="00BE5613">
        <w:t>one 240-liter bin</w:t>
      </w:r>
      <w:r w:rsidRPr="00BE5613">
        <w:t xml:space="preserve">, whilst in other countries shared bins for multiple households </w:t>
      </w:r>
      <w:r w:rsidR="00D251CC" w:rsidRPr="00BE5613">
        <w:t>are often standard, and these logically fill sooner</w:t>
      </w:r>
    </w:p>
    <w:p w14:paraId="51B5C0CF" w14:textId="77777777" w:rsidR="00E13DB6" w:rsidRPr="00BE5613" w:rsidRDefault="00E13DB6" w:rsidP="00AA45FA">
      <w:pPr>
        <w:spacing w:line="480" w:lineRule="auto"/>
        <w:ind w:firstLine="567"/>
        <w:jc w:val="both"/>
      </w:pPr>
      <w:r w:rsidRPr="00BE5613">
        <w:t xml:space="preserve">The destination of collected waste is largely at the discretion of the WM company that contracts </w:t>
      </w:r>
      <w:r w:rsidR="00D251CC" w:rsidRPr="00BE5613">
        <w:t xml:space="preserve">landfills, waste-to-energy plants for residual waste, and </w:t>
      </w:r>
      <w:r w:rsidRPr="00BE5613">
        <w:t>recycling facilities for selected recyclables</w:t>
      </w:r>
      <w:r w:rsidR="00D251CC" w:rsidRPr="00BE5613">
        <w:t>,</w:t>
      </w:r>
      <w:r w:rsidRPr="00BE5613">
        <w:t xml:space="preserve"> or that secures their recycling in other legal and economic ways. The municipality itself has usually a little say here since once the WM company </w:t>
      </w:r>
      <w:r w:rsidR="00D251CC" w:rsidRPr="00BE5613">
        <w:t>has collected</w:t>
      </w:r>
      <w:r w:rsidRPr="00BE5613">
        <w:t xml:space="preserve"> waste, it is no longer the municipality’s responsibility. </w:t>
      </w:r>
    </w:p>
    <w:p w14:paraId="44B2B777" w14:textId="77777777" w:rsidR="00E13DB6" w:rsidRPr="00BE5613" w:rsidRDefault="00E13DB6" w:rsidP="00AA45FA">
      <w:pPr>
        <w:spacing w:line="480" w:lineRule="auto"/>
        <w:ind w:firstLine="567"/>
        <w:jc w:val="both"/>
      </w:pPr>
      <w:r w:rsidRPr="00BE5613">
        <w:lastRenderedPageBreak/>
        <w:t xml:space="preserve">MSWM is financed by the municipality by using its own resources with means collected from citizens on the annual WM fee. The WM fee </w:t>
      </w:r>
      <w:r w:rsidR="008F2607" w:rsidRPr="00BE5613">
        <w:t>represents</w:t>
      </w:r>
      <w:r w:rsidRPr="00BE5613">
        <w:t xml:space="preserve"> a locally collected tax that has currently a legal annual limit of CZK 1,000 with municipalities charging usually around CZK 600 per citizen, what amounts approximately to € 25. This fee is by Western European standards low. Fees based on collection volumes or frequencies are technically feasible, but they are rarely applied. Collected fees are on average able to cover between </w:t>
      </w:r>
      <w:r w:rsidR="008F2607" w:rsidRPr="00BE5613">
        <w:t>one</w:t>
      </w:r>
      <w:r w:rsidRPr="00BE5613">
        <w:t xml:space="preserve"> half and two thirds of the total MWSE, and the municipality finances the rest of the costs from other available sources within its budget.</w:t>
      </w:r>
    </w:p>
    <w:p w14:paraId="17352A26" w14:textId="77777777" w:rsidR="00E13DB6" w:rsidRPr="00BE5613" w:rsidRDefault="00E13DB6" w:rsidP="00AA45FA">
      <w:pPr>
        <w:spacing w:line="480" w:lineRule="auto"/>
        <w:ind w:firstLine="567"/>
        <w:jc w:val="both"/>
      </w:pPr>
      <w:r w:rsidRPr="00BE5613">
        <w:t xml:space="preserve">Besides the natural tendency of municipal officials to improve performance, an objective pressure for improvement </w:t>
      </w:r>
      <w:proofErr w:type="gramStart"/>
      <w:r w:rsidRPr="00BE5613">
        <w:t>are</w:t>
      </w:r>
      <w:proofErr w:type="gramEnd"/>
      <w:r w:rsidRPr="00BE5613">
        <w:t xml:space="preserve"> the EU recycling targets that are currently set to be 55% in 2025 and grow up to 65% of total municipal waste in 2035. A somewhat hidden issue here is that recycling does not equal separation, even though many authors interchange these terms as synonyms. Whilst the usual “producers” of recyclables are municipalities, it is important to note that municipalities themselves do not recycle waste — their role in this process is to “divert” recyclables from total municipal waste to recycling companies that do the actual recycling. Unsurprisingly, there exists a gap between the volumes of separated and recycled waste, and </w:t>
      </w:r>
      <w:proofErr w:type="gramStart"/>
      <w:r w:rsidRPr="00BE5613">
        <w:t>in order to</w:t>
      </w:r>
      <w:proofErr w:type="gramEnd"/>
      <w:r w:rsidRPr="00BE5613">
        <w:t xml:space="preserve"> achieve the EU recycling targets, waste separation levels should be naturally higher.</w:t>
      </w:r>
    </w:p>
    <w:p w14:paraId="6D9EA614" w14:textId="77777777" w:rsidR="00E13DB6" w:rsidRPr="00BE5613" w:rsidRDefault="00E13DB6" w:rsidP="00AA45FA">
      <w:pPr>
        <w:spacing w:line="480" w:lineRule="auto"/>
        <w:ind w:firstLine="567"/>
        <w:jc w:val="both"/>
      </w:pPr>
      <w:r w:rsidRPr="00BE5613">
        <w:t>In the Czech Republic, this gap is reflected in national targets for municipal waste separation</w:t>
      </w:r>
      <w:r w:rsidR="008F2607" w:rsidRPr="00BE5613">
        <w:t>,</w:t>
      </w:r>
      <w:r w:rsidRPr="00BE5613">
        <w:t xml:space="preserve"> according to which every Czech municipality is required to reach waste separation levels of 60% by 2025 and 70 % of total municipal waste in 2035. However, municipal data from recent years reveal that many of them struggle to reach 40% separation levels. In the light of the deadline for the EU targets, this represents a noteworthy issue. In awareness of this situation, the Czech government has recently launched new measures </w:t>
      </w:r>
      <w:proofErr w:type="gramStart"/>
      <w:r w:rsidRPr="00BE5613">
        <w:t>in order to</w:t>
      </w:r>
      <w:proofErr w:type="gramEnd"/>
      <w:r w:rsidRPr="00BE5613">
        <w:t xml:space="preserve"> speed up the pace at which waste separation rises. Progressive waste disposal feels for residual waste </w:t>
      </w:r>
      <w:r w:rsidRPr="00BE5613">
        <w:lastRenderedPageBreak/>
        <w:t xml:space="preserve">have been introduced for the upcoming years alongside a possibility of exemption from fees </w:t>
      </w:r>
      <w:proofErr w:type="gramStart"/>
      <w:r w:rsidRPr="00BE5613">
        <w:t>as long as</w:t>
      </w:r>
      <w:proofErr w:type="gramEnd"/>
      <w:r w:rsidRPr="00BE5613">
        <w:t xml:space="preserve"> the municipality meets the gradually increasing waste separation targets. As these higher fees directly translate into increased municipal costs, it is in the very interest of the municipality to improve its waste separation performance. Otherwise, its performance in MSWM will eventually decrease due to the higher fees paid for residual waste disposal.</w:t>
      </w:r>
    </w:p>
    <w:p w14:paraId="7A5648E5" w14:textId="77777777" w:rsidR="00AA45FA" w:rsidRPr="00BE5613" w:rsidRDefault="00AA45FA" w:rsidP="00AA45FA">
      <w:pPr>
        <w:spacing w:line="480" w:lineRule="auto"/>
        <w:ind w:firstLine="567"/>
        <w:jc w:val="both"/>
      </w:pPr>
    </w:p>
    <w:p w14:paraId="5B376E4E" w14:textId="77777777" w:rsidR="00C63626" w:rsidRPr="00BE5613" w:rsidRDefault="00B5209E" w:rsidP="00AA45FA">
      <w:pPr>
        <w:spacing w:line="480" w:lineRule="auto"/>
        <w:rPr>
          <w:b/>
        </w:rPr>
      </w:pPr>
      <w:r w:rsidRPr="00BE5613">
        <w:rPr>
          <w:b/>
        </w:rPr>
        <w:t xml:space="preserve">3. </w:t>
      </w:r>
      <w:r w:rsidR="00C63626" w:rsidRPr="00BE5613">
        <w:rPr>
          <w:b/>
        </w:rPr>
        <w:t>Methodology and data</w:t>
      </w:r>
    </w:p>
    <w:p w14:paraId="788F7C93" w14:textId="77777777" w:rsidR="00B5209E" w:rsidRPr="00BE5613" w:rsidRDefault="00C63626" w:rsidP="00AA45FA">
      <w:pPr>
        <w:spacing w:line="480" w:lineRule="auto"/>
        <w:ind w:firstLine="567"/>
        <w:jc w:val="both"/>
      </w:pPr>
      <w:r w:rsidRPr="00BE5613">
        <w:t>The paper relies upon data envelopment analysis (DEA) as a</w:t>
      </w:r>
      <w:r w:rsidR="00EC2937" w:rsidRPr="00BE5613">
        <w:t xml:space="preserve"> universal </w:t>
      </w:r>
      <w:r w:rsidRPr="00BE5613">
        <w:t>nonparametric technique of performance assessment (</w:t>
      </w:r>
      <w:proofErr w:type="spellStart"/>
      <w:r w:rsidR="00F20133" w:rsidRPr="00BE5613">
        <w:t>Bogetoft</w:t>
      </w:r>
      <w:proofErr w:type="spellEnd"/>
      <w:r w:rsidR="00F20133" w:rsidRPr="00BE5613">
        <w:t xml:space="preserve"> and Otto, 2008</w:t>
      </w:r>
      <w:r w:rsidRPr="00BE5613">
        <w:t xml:space="preserve">) that is also popular </w:t>
      </w:r>
      <w:r w:rsidR="00EC2937" w:rsidRPr="00BE5613">
        <w:t xml:space="preserve">in assessing performance of WM systems, becoming </w:t>
      </w:r>
      <w:r w:rsidRPr="00BE5613">
        <w:t>to some degree a</w:t>
      </w:r>
      <w:r w:rsidR="00EC2937" w:rsidRPr="00BE5613">
        <w:t>n established</w:t>
      </w:r>
      <w:r w:rsidRPr="00BE5613">
        <w:t xml:space="preserve"> standard</w:t>
      </w:r>
      <w:r w:rsidR="00284A08" w:rsidRPr="00BE5613">
        <w:t xml:space="preserve"> in this field</w:t>
      </w:r>
      <w:r w:rsidRPr="00BE5613">
        <w:t xml:space="preserve"> (</w:t>
      </w:r>
      <w:r w:rsidR="00F20133" w:rsidRPr="00BE5613">
        <w:t xml:space="preserve">e.g., </w:t>
      </w:r>
      <w:r w:rsidR="006004A2" w:rsidRPr="00BE5613">
        <w:t xml:space="preserve">Rogge and </w:t>
      </w:r>
      <w:r w:rsidR="00D561BE" w:rsidRPr="00BE5613">
        <w:t>De Jaeger</w:t>
      </w:r>
      <w:r w:rsidR="00A31784" w:rsidRPr="00BE5613">
        <w:t xml:space="preserve">, 2012; Marques et al., 2012; </w:t>
      </w:r>
      <w:r w:rsidR="00F20133" w:rsidRPr="00BE5613">
        <w:t xml:space="preserve">Simões et al., 2012a, 2012b; </w:t>
      </w:r>
      <w:r w:rsidR="00A31784" w:rsidRPr="00BE5613">
        <w:t>Salazar-Adams, 2021</w:t>
      </w:r>
      <w:r w:rsidRPr="00BE5613">
        <w:t xml:space="preserve">). Although the </w:t>
      </w:r>
      <w:r w:rsidR="00EC2937" w:rsidRPr="00BE5613">
        <w:t>foundations of DEA stem out of the ambitions to measure efficiency of production systems, owing to its versatility and flexibility, DEA is employed wherever the concept of inputs being converted into outputs is tenable</w:t>
      </w:r>
      <w:r w:rsidR="00693667" w:rsidRPr="00BE5613">
        <w:t xml:space="preserve">, which is also the case of </w:t>
      </w:r>
      <w:r w:rsidR="00B5209E" w:rsidRPr="00BE5613">
        <w:t xml:space="preserve">MSWM. This section summarizes and explains all crucial methodological and analytical steps that necessitated the analysis, </w:t>
      </w:r>
      <w:r w:rsidR="000907EF" w:rsidRPr="00BE5613">
        <w:t>giving</w:t>
      </w:r>
      <w:r w:rsidR="00B5209E" w:rsidRPr="00BE5613">
        <w:t xml:space="preserve"> in the following </w:t>
      </w:r>
      <w:r w:rsidR="00693667" w:rsidRPr="00BE5613">
        <w:t xml:space="preserve">four </w:t>
      </w:r>
      <w:r w:rsidR="00195F03" w:rsidRPr="00BE5613">
        <w:t>su</w:t>
      </w:r>
      <w:r w:rsidR="00B5209E" w:rsidRPr="00BE5613">
        <w:t xml:space="preserve">bsections </w:t>
      </w:r>
      <w:r w:rsidR="000907EF" w:rsidRPr="00BE5613">
        <w:t xml:space="preserve">details on </w:t>
      </w:r>
      <w:r w:rsidR="00B5209E" w:rsidRPr="00BE5613">
        <w:t>the choice of vari</w:t>
      </w:r>
      <w:r w:rsidR="00693667" w:rsidRPr="00BE5613">
        <w:t xml:space="preserve">ables for </w:t>
      </w:r>
      <w:r w:rsidR="005C4684" w:rsidRPr="00BE5613">
        <w:t>performance</w:t>
      </w:r>
      <w:r w:rsidR="00693667" w:rsidRPr="00BE5613">
        <w:t xml:space="preserve"> management</w:t>
      </w:r>
      <w:r w:rsidR="00195F03" w:rsidRPr="00BE5613">
        <w:t xml:space="preserve"> (Subsection 3.1)</w:t>
      </w:r>
      <w:r w:rsidR="00693667" w:rsidRPr="00BE5613">
        <w:t>, the availability of potential contextual factors of MSWM</w:t>
      </w:r>
      <w:r w:rsidR="00E164DE" w:rsidRPr="00BE5613">
        <w:t xml:space="preserve"> performance</w:t>
      </w:r>
      <w:r w:rsidR="00195F03" w:rsidRPr="00BE5613">
        <w:t xml:space="preserve"> (Subsection 3.2)</w:t>
      </w:r>
      <w:r w:rsidR="00727BBE" w:rsidRPr="00BE5613">
        <w:t xml:space="preserve"> and</w:t>
      </w:r>
      <w:r w:rsidR="00693667" w:rsidRPr="00BE5613">
        <w:t xml:space="preserve"> the methodology of performance measurement recognizing</w:t>
      </w:r>
      <w:r w:rsidR="00195F03" w:rsidRPr="00BE5613">
        <w:t xml:space="preserve"> the role of contextual factors (Subsection 3.3), and the data set employed in the analysis (Subsection 3.4).</w:t>
      </w:r>
    </w:p>
    <w:p w14:paraId="33AB163A" w14:textId="77777777" w:rsidR="00693667" w:rsidRPr="00BE5613" w:rsidRDefault="00693667" w:rsidP="00AA45FA">
      <w:pPr>
        <w:spacing w:line="480" w:lineRule="auto"/>
        <w:jc w:val="both"/>
      </w:pPr>
    </w:p>
    <w:p w14:paraId="45808E9B" w14:textId="77777777" w:rsidR="00693667" w:rsidRPr="00BE5613" w:rsidRDefault="00693667" w:rsidP="00AA45FA">
      <w:pPr>
        <w:spacing w:line="480" w:lineRule="auto"/>
        <w:jc w:val="both"/>
      </w:pPr>
      <w:r w:rsidRPr="00BE5613">
        <w:t xml:space="preserve">3.1 Specification of inputs and outputs for </w:t>
      </w:r>
      <w:r w:rsidR="002B7AEA" w:rsidRPr="00BE5613">
        <w:t xml:space="preserve">WM </w:t>
      </w:r>
      <w:r w:rsidR="000113E9" w:rsidRPr="00BE5613">
        <w:t>performance</w:t>
      </w:r>
    </w:p>
    <w:p w14:paraId="6FEB9A7C" w14:textId="77777777" w:rsidR="00F213DF" w:rsidRPr="00BE5613" w:rsidRDefault="00284A08" w:rsidP="00AA45FA">
      <w:pPr>
        <w:spacing w:line="480" w:lineRule="auto"/>
        <w:ind w:firstLine="567"/>
        <w:jc w:val="both"/>
      </w:pPr>
      <w:r w:rsidRPr="00BE5613">
        <w:t xml:space="preserve">In this paper, MSWM is visualized as a process in which the ultimate service of waste collection </w:t>
      </w:r>
      <w:r w:rsidR="000907EF" w:rsidRPr="00BE5613">
        <w:t xml:space="preserve">and handling </w:t>
      </w:r>
      <w:r w:rsidRPr="00BE5613">
        <w:t xml:space="preserve">is realized with the use of numerous </w:t>
      </w:r>
      <w:r w:rsidR="000907EF" w:rsidRPr="00BE5613">
        <w:t>inputs</w:t>
      </w:r>
      <w:r w:rsidR="002B7AEA" w:rsidRPr="00BE5613">
        <w:t xml:space="preserve"> </w:t>
      </w:r>
      <w:r w:rsidR="000907EF" w:rsidRPr="00BE5613">
        <w:t>at the disposal of a</w:t>
      </w:r>
      <w:r w:rsidR="002B7AEA" w:rsidRPr="00BE5613">
        <w:t xml:space="preserve"> municipality</w:t>
      </w:r>
      <w:r w:rsidRPr="00BE5613">
        <w:t>.</w:t>
      </w:r>
      <w:r w:rsidR="000F7A70" w:rsidRPr="00BE5613">
        <w:t xml:space="preserve"> </w:t>
      </w:r>
      <w:r w:rsidR="00BA7539" w:rsidRPr="00BE5613">
        <w:t>Surely</w:t>
      </w:r>
      <w:r w:rsidR="000F7A70" w:rsidRPr="00BE5613">
        <w:t xml:space="preserve">, from the perspective of the Czech legislation, a municipality is primarily </w:t>
      </w:r>
      <w:r w:rsidR="00BA7539" w:rsidRPr="00BE5613">
        <w:lastRenderedPageBreak/>
        <w:t>tasked with provision of</w:t>
      </w:r>
      <w:r w:rsidR="000F7A70" w:rsidRPr="00BE5613">
        <w:t xml:space="preserve"> </w:t>
      </w:r>
      <w:r w:rsidR="008F2607" w:rsidRPr="00BE5613">
        <w:t>WM</w:t>
      </w:r>
      <w:r w:rsidR="000F7A70" w:rsidRPr="00BE5613">
        <w:t xml:space="preserve"> service, whilst some other criteria such as economy, efficiency, effectiveness (</w:t>
      </w:r>
      <w:proofErr w:type="gramStart"/>
      <w:r w:rsidR="000F7A70" w:rsidRPr="00BE5613">
        <w:t>i.e.</w:t>
      </w:r>
      <w:proofErr w:type="gramEnd"/>
      <w:r w:rsidR="000F7A70" w:rsidRPr="00BE5613">
        <w:t xml:space="preserve"> 3 E’s of public finance) are emphasized </w:t>
      </w:r>
      <w:r w:rsidR="00913A0D" w:rsidRPr="00BE5613">
        <w:t>in a general legislation</w:t>
      </w:r>
      <w:r w:rsidR="000F7A70" w:rsidRPr="00BE5613">
        <w:t xml:space="preserve">. This accumulation of requirements makes of MSWM </w:t>
      </w:r>
      <w:r w:rsidR="002B7AEA" w:rsidRPr="00BE5613">
        <w:t>a multi-faceted and perhaps multilayered process</w:t>
      </w:r>
      <w:r w:rsidR="000F7A70" w:rsidRPr="00BE5613">
        <w:t>, in which</w:t>
      </w:r>
      <w:r w:rsidR="002B7AEA" w:rsidRPr="00BE5613">
        <w:t xml:space="preserve"> a municipality must resolve several </w:t>
      </w:r>
      <w:r w:rsidR="00913A0D" w:rsidRPr="00BE5613">
        <w:t xml:space="preserve">conflicting criteria at </w:t>
      </w:r>
      <w:r w:rsidR="000907EF" w:rsidRPr="00BE5613">
        <w:t>once</w:t>
      </w:r>
      <w:r w:rsidR="00913A0D" w:rsidRPr="00BE5613">
        <w:t xml:space="preserve">. These include traditional budget constraints such as cost minimization, technical </w:t>
      </w:r>
      <w:r w:rsidR="000907EF" w:rsidRPr="00BE5613">
        <w:t>goals</w:t>
      </w:r>
      <w:r w:rsidR="00913A0D" w:rsidRPr="00BE5613">
        <w:t xml:space="preserve"> such as high coverage of households</w:t>
      </w:r>
      <w:r w:rsidR="000907EF" w:rsidRPr="00BE5613">
        <w:t>,</w:t>
      </w:r>
      <w:r w:rsidR="00913A0D" w:rsidRPr="00BE5613">
        <w:t xml:space="preserve"> or sustainability </w:t>
      </w:r>
      <w:r w:rsidR="000907EF" w:rsidRPr="00BE5613">
        <w:t>aspects</w:t>
      </w:r>
      <w:r w:rsidR="00913A0D" w:rsidRPr="00BE5613">
        <w:t xml:space="preserve"> such as </w:t>
      </w:r>
      <w:r w:rsidR="002B7AEA" w:rsidRPr="00BE5613">
        <w:t xml:space="preserve">promotion of increased awareness of </w:t>
      </w:r>
      <w:r w:rsidR="00070CAF" w:rsidRPr="00BE5613">
        <w:t>waste separation and recycling.</w:t>
      </w:r>
      <w:r w:rsidR="000E1C2B" w:rsidRPr="00BE5613">
        <w:t xml:space="preserve"> These criteria complicate representation of MSWM as a simple production process with</w:t>
      </w:r>
      <w:r w:rsidR="000907EF" w:rsidRPr="00BE5613">
        <w:t xml:space="preserve"> straightforward</w:t>
      </w:r>
      <w:r w:rsidR="000E1C2B" w:rsidRPr="00BE5613">
        <w:t xml:space="preserve"> inputs and outputs, with the result being that any selection of inputs and outputs is in this case to an extent always a somewhat controversial task since it depends on the specific municipal servic</w:t>
      </w:r>
      <w:r w:rsidR="00F20133" w:rsidRPr="00BE5613">
        <w:t>e considered (da Cruz and Marqu</w:t>
      </w:r>
      <w:r w:rsidR="000E1C2B" w:rsidRPr="00BE5613">
        <w:t xml:space="preserve">es, 2014). Another complication is that the role of inputs and outputs may </w:t>
      </w:r>
      <w:r w:rsidR="000907EF" w:rsidRPr="00BE5613">
        <w:t>be debatable</w:t>
      </w:r>
      <w:r w:rsidR="000E1C2B" w:rsidRPr="00BE5613">
        <w:t xml:space="preserve">. For instance, technical variables like households serviced, area </w:t>
      </w:r>
      <w:proofErr w:type="gramStart"/>
      <w:r w:rsidR="000E1C2B" w:rsidRPr="00BE5613">
        <w:t>covered</w:t>
      </w:r>
      <w:proofErr w:type="gramEnd"/>
      <w:r w:rsidR="000E1C2B" w:rsidRPr="00BE5613">
        <w:t xml:space="preserve"> or total amount of waste collected may play an input role as well as an output role. </w:t>
      </w:r>
      <w:r w:rsidR="0039321E" w:rsidRPr="00BE5613">
        <w:t xml:space="preserve">If a municipality </w:t>
      </w:r>
      <w:r w:rsidR="004F73F0" w:rsidRPr="00BE5613">
        <w:t xml:space="preserve">acts like a standard private entity with the goal of making its </w:t>
      </w:r>
      <w:r w:rsidR="0039321E" w:rsidRPr="00BE5613">
        <w:t xml:space="preserve">WM service accessible to as many customers as possible, certainly household numbers and area coverage are outcomes to be maximized, </w:t>
      </w:r>
      <w:proofErr w:type="gramStart"/>
      <w:r w:rsidR="0039321E" w:rsidRPr="00BE5613">
        <w:t>i.e.</w:t>
      </w:r>
      <w:proofErr w:type="gramEnd"/>
      <w:r w:rsidR="0039321E" w:rsidRPr="00BE5613">
        <w:t xml:space="preserve"> outputs. In contrast, if a municipality is </w:t>
      </w:r>
      <w:r w:rsidR="004F73F0" w:rsidRPr="00BE5613">
        <w:t xml:space="preserve">additionally </w:t>
      </w:r>
      <w:r w:rsidR="0039321E" w:rsidRPr="00BE5613">
        <w:t xml:space="preserve">tasked to provide services in a sustainable manner, household numbers, area coverage and total waste collected are </w:t>
      </w:r>
      <w:r w:rsidR="00D3500E" w:rsidRPr="00BE5613">
        <w:t>rightly</w:t>
      </w:r>
      <w:r w:rsidR="0039321E" w:rsidRPr="00BE5613">
        <w:t xml:space="preserve"> positioned as </w:t>
      </w:r>
      <w:r w:rsidR="00D3500E" w:rsidRPr="00BE5613">
        <w:t>non</w:t>
      </w:r>
      <w:r w:rsidR="004F73F0" w:rsidRPr="00BE5613">
        <w:t>-controllable</w:t>
      </w:r>
      <w:r w:rsidR="00D3500E" w:rsidRPr="00BE5613">
        <w:t xml:space="preserve"> </w:t>
      </w:r>
      <w:r w:rsidR="0039321E" w:rsidRPr="00BE5613">
        <w:t xml:space="preserve">inputs that </w:t>
      </w:r>
      <w:r w:rsidR="00D3500E" w:rsidRPr="00BE5613">
        <w:t>maximize waste separation, waste recycling or re-use represented with appropriate metrics positioned as outputs. A solution might be to model the WM proce</w:t>
      </w:r>
      <w:r w:rsidR="00AB0FAC" w:rsidRPr="00BE5613">
        <w:t>ss as a several-stage structure</w:t>
      </w:r>
      <w:r w:rsidR="00D3500E" w:rsidRPr="00BE5613">
        <w:t>, or to adopt several different input-output specifications that admit a multiplicity of goals that a municipality faces. The latter approach is embraced here</w:t>
      </w:r>
      <w:r w:rsidR="00AB0FAC" w:rsidRPr="00BE5613">
        <w:t>,</w:t>
      </w:r>
      <w:r w:rsidR="00D3500E" w:rsidRPr="00BE5613">
        <w:t xml:space="preserve"> and special attention is given to the fact </w:t>
      </w:r>
      <w:r w:rsidR="008B32B1" w:rsidRPr="00BE5613">
        <w:t>that for a Czech municipality cost minimization represented by expenditure on MSWM (MSWE) is, to all intents and purposes, the chief concern given the tightness of a typical municipal budget.</w:t>
      </w:r>
      <w:r w:rsidR="00AC1F2B" w:rsidRPr="00BE5613">
        <w:t xml:space="preserve"> </w:t>
      </w:r>
      <w:r w:rsidR="00F213DF" w:rsidRPr="00BE5613">
        <w:t xml:space="preserve">For this reason, to a </w:t>
      </w:r>
      <w:r w:rsidR="00F213DF" w:rsidRPr="00BE5613">
        <w:lastRenderedPageBreak/>
        <w:t>municipality, preservation of good financial condition is imp</w:t>
      </w:r>
      <w:r w:rsidR="004F73F0" w:rsidRPr="00BE5613">
        <w:t>erative and only afterwards do</w:t>
      </w:r>
      <w:r w:rsidR="00F213DF" w:rsidRPr="00BE5613">
        <w:t xml:space="preserve"> other objectives of MSWM come.</w:t>
      </w:r>
    </w:p>
    <w:p w14:paraId="3C928082" w14:textId="77777777" w:rsidR="00F213DF" w:rsidRPr="00BE5613" w:rsidRDefault="00583AD1" w:rsidP="00AA45FA">
      <w:pPr>
        <w:spacing w:line="480" w:lineRule="auto"/>
        <w:ind w:firstLine="567"/>
        <w:jc w:val="both"/>
      </w:pPr>
      <w:r w:rsidRPr="00BE5613">
        <w:t>Four</w:t>
      </w:r>
      <w:r w:rsidR="000907EF" w:rsidRPr="00BE5613">
        <w:t xml:space="preserve"> complementary, yet bar</w:t>
      </w:r>
      <w:r w:rsidR="00AF5E38" w:rsidRPr="00BE5613">
        <w:t>ely fully exh</w:t>
      </w:r>
      <w:r w:rsidR="004F73F0" w:rsidRPr="00BE5613">
        <w:t xml:space="preserve">austive, production models of </w:t>
      </w:r>
      <w:r w:rsidR="00AF5E38" w:rsidRPr="00BE5613">
        <w:t>WM</w:t>
      </w:r>
      <w:r w:rsidR="004F73F0" w:rsidRPr="00BE5613">
        <w:t xml:space="preserve"> service</w:t>
      </w:r>
      <w:r w:rsidR="00AF5E38" w:rsidRPr="00BE5613">
        <w:t xml:space="preserve"> are considered</w:t>
      </w:r>
      <w:r w:rsidRPr="00BE5613">
        <w:t xml:space="preserve"> here in the paper</w:t>
      </w:r>
      <w:r w:rsidR="00AF5E38" w:rsidRPr="00BE5613">
        <w:t xml:space="preserve"> </w:t>
      </w:r>
      <w:proofErr w:type="gramStart"/>
      <w:r w:rsidR="00AF5E38" w:rsidRPr="00BE5613">
        <w:t>in order to</w:t>
      </w:r>
      <w:proofErr w:type="gramEnd"/>
      <w:r w:rsidR="00AF5E38" w:rsidRPr="00BE5613">
        <w:t xml:space="preserve"> describe </w:t>
      </w:r>
      <w:r w:rsidR="004F73F0" w:rsidRPr="00BE5613">
        <w:t xml:space="preserve">MSWM </w:t>
      </w:r>
      <w:r w:rsidR="00AF5E38" w:rsidRPr="00BE5613">
        <w:t xml:space="preserve">performance from different angles. These are summarized in Table </w:t>
      </w:r>
      <w:r w:rsidR="00AF5E38" w:rsidRPr="00BE5613">
        <w:fldChar w:fldCharType="begin"/>
      </w:r>
      <w:r w:rsidR="00AF5E38" w:rsidRPr="00BE5613">
        <w:instrText xml:space="preserve"> REF table_inputoutupt_specs \h  \* MERGEFORMAT </w:instrText>
      </w:r>
      <w:r w:rsidR="00AF5E38" w:rsidRPr="00BE5613">
        <w:fldChar w:fldCharType="separate"/>
      </w:r>
      <w:r w:rsidR="00AA45FA" w:rsidRPr="00BE5613">
        <w:t>1</w:t>
      </w:r>
      <w:r w:rsidR="00AF5E38" w:rsidRPr="00BE5613">
        <w:fldChar w:fldCharType="end"/>
      </w:r>
      <w:r w:rsidR="00AF5E38" w:rsidRPr="00BE5613">
        <w:t>.</w:t>
      </w:r>
      <w:r w:rsidR="004C2CD6" w:rsidRPr="00BE5613">
        <w:t xml:space="preserve"> In addition to the economic interpretation of a model, the selection of inputs and outputs was governed by the need to stay true to volume measures and to avoid indices or percentages (see, e.g., pitfalls 4.1 and 5.1 of Dyson et al., 2001).</w:t>
      </w:r>
      <w:r w:rsidR="00C779A4" w:rsidRPr="00BE5613">
        <w:t xml:space="preserve"> </w:t>
      </w:r>
      <w:r w:rsidR="00F213DF" w:rsidRPr="00BE5613">
        <w:t xml:space="preserve">As already pointed out, the variable pivotal to the assessment of municipal performance in MSWM is MSWE, which acts as a sole input in Models I – III. Model IV is deemed as auxiliary. Models I – III work on the assumption that MSWE represents the most important factor </w:t>
      </w:r>
      <w:r w:rsidR="00173DA4" w:rsidRPr="00BE5613">
        <w:t>to municipalities in</w:t>
      </w:r>
      <w:r w:rsidR="00F213DF" w:rsidRPr="00BE5613">
        <w:t xml:space="preserve"> securing MSWM provision</w:t>
      </w:r>
      <w:r w:rsidR="004F73F0" w:rsidRPr="00BE5613">
        <w:t xml:space="preserve"> </w:t>
      </w:r>
      <w:proofErr w:type="gramStart"/>
      <w:r w:rsidR="004F73F0" w:rsidRPr="00BE5613">
        <w:t>as long as</w:t>
      </w:r>
      <w:proofErr w:type="gramEnd"/>
      <w:r w:rsidR="004F73F0" w:rsidRPr="00BE5613">
        <w:t xml:space="preserve"> minimal acceptable standards are met</w:t>
      </w:r>
      <w:r w:rsidR="00F213DF" w:rsidRPr="00BE5613">
        <w:t>. Using financial resources for production is a common practice when specifying a performance assessment model based on efficiency measurement (e.g., Pérez-López et al., 2015; Cordero et al., 2015; 2017).</w:t>
      </w:r>
    </w:p>
    <w:p w14:paraId="5B58BFA2" w14:textId="77777777" w:rsidR="00AA45FA" w:rsidRPr="00BE5613" w:rsidRDefault="00AA45FA" w:rsidP="00AA45FA">
      <w:pPr>
        <w:spacing w:line="480" w:lineRule="auto"/>
        <w:ind w:firstLine="567"/>
        <w:jc w:val="both"/>
      </w:pPr>
      <w:r w:rsidRPr="00BE5613">
        <w:t xml:space="preserve">Models I and II are input-oriented and confront available financial resources with a goal to provide a maximum provision of waste management service. Performance in Models I and II is viewed as an ability to economize on MSWE. The difference is that whereas Model I </w:t>
      </w:r>
      <w:proofErr w:type="gramStart"/>
      <w:r w:rsidRPr="00BE5613">
        <w:t>takes</w:t>
      </w:r>
      <w:proofErr w:type="gramEnd"/>
      <w:r w:rsidRPr="00BE5613">
        <w:t xml:space="preserve"> into account population, built-up area and housing units as metrics of potential demand on the output side, Model II extends them by total waste and separated waste generation as metrics of actual demand. Specifying both latter metrics as outputs whose high levels are desirable implies that non-separated waste (namely, total waste less separated waste) is simultaneously minimized. </w:t>
      </w:r>
    </w:p>
    <w:p w14:paraId="76BCA3D5" w14:textId="77777777" w:rsidR="003F46BD" w:rsidRPr="00BE5613" w:rsidRDefault="003F46BD" w:rsidP="00AA45FA">
      <w:pPr>
        <w:spacing w:line="480" w:lineRule="auto"/>
        <w:jc w:val="both"/>
        <w:rPr>
          <w:sz w:val="12"/>
          <w:szCs w:val="12"/>
        </w:rPr>
      </w:pPr>
    </w:p>
    <w:p w14:paraId="3DE6177E" w14:textId="77777777" w:rsidR="003F46BD" w:rsidRPr="00BE5613" w:rsidRDefault="00AA45FA" w:rsidP="003F46BD">
      <w:r w:rsidRPr="00BE5613">
        <w:br w:type="page"/>
      </w:r>
      <w:r w:rsidR="003F46BD" w:rsidRPr="00BE5613">
        <w:lastRenderedPageBreak/>
        <w:t xml:space="preserve">Table </w:t>
      </w:r>
      <w:bookmarkStart w:id="1" w:name="table_inputoutupt_specs"/>
      <w:r w:rsidR="003F46BD" w:rsidRPr="00BE5613">
        <w:fldChar w:fldCharType="begin"/>
      </w:r>
      <w:r w:rsidR="003F46BD" w:rsidRPr="00BE5613">
        <w:instrText xml:space="preserve"> SEQ Table \* ARABIC </w:instrText>
      </w:r>
      <w:r w:rsidR="003F46BD" w:rsidRPr="00BE5613">
        <w:fldChar w:fldCharType="separate"/>
      </w:r>
      <w:r w:rsidRPr="00BE5613">
        <w:rPr>
          <w:noProof/>
        </w:rPr>
        <w:t>1</w:t>
      </w:r>
      <w:r w:rsidR="003F46BD" w:rsidRPr="00BE5613">
        <w:fldChar w:fldCharType="end"/>
      </w:r>
      <w:bookmarkEnd w:id="1"/>
      <w:r w:rsidR="003F46BD" w:rsidRPr="00BE5613">
        <w:t xml:space="preserve">: Four different input-output configurations </w:t>
      </w:r>
    </w:p>
    <w:tbl>
      <w:tblPr>
        <w:tblW w:w="9127" w:type="dxa"/>
        <w:tblBorders>
          <w:top w:val="single" w:sz="4" w:space="0" w:color="auto"/>
          <w:bottom w:val="single" w:sz="4" w:space="0" w:color="auto"/>
          <w:insideH w:val="single" w:sz="4" w:space="0" w:color="auto"/>
        </w:tblBorders>
        <w:tblCellMar>
          <w:left w:w="28" w:type="dxa"/>
          <w:right w:w="28" w:type="dxa"/>
        </w:tblCellMar>
        <w:tblLook w:val="01E0" w:firstRow="1" w:lastRow="1" w:firstColumn="1" w:lastColumn="1" w:noHBand="0" w:noVBand="0"/>
      </w:tblPr>
      <w:tblGrid>
        <w:gridCol w:w="4139"/>
        <w:gridCol w:w="4988"/>
      </w:tblGrid>
      <w:tr w:rsidR="003F46BD" w:rsidRPr="00BE5613" w14:paraId="59A75C64" w14:textId="77777777">
        <w:trPr>
          <w:trHeight w:val="448"/>
        </w:trPr>
        <w:tc>
          <w:tcPr>
            <w:tcW w:w="4139" w:type="dxa"/>
            <w:shd w:val="clear" w:color="auto" w:fill="auto"/>
            <w:vAlign w:val="center"/>
          </w:tcPr>
          <w:p w14:paraId="3F201304" w14:textId="77777777" w:rsidR="003F46BD" w:rsidRPr="00BE5613" w:rsidRDefault="003F46BD" w:rsidP="003D4C06">
            <w:pPr>
              <w:jc w:val="center"/>
              <w:rPr>
                <w:b/>
                <w:sz w:val="22"/>
                <w:szCs w:val="22"/>
              </w:rPr>
            </w:pPr>
            <w:r w:rsidRPr="00BE5613">
              <w:rPr>
                <w:b/>
                <w:sz w:val="22"/>
                <w:szCs w:val="22"/>
              </w:rPr>
              <w:t>Model and interpretation</w:t>
            </w:r>
          </w:p>
        </w:tc>
        <w:tc>
          <w:tcPr>
            <w:tcW w:w="4988" w:type="dxa"/>
            <w:shd w:val="clear" w:color="auto" w:fill="auto"/>
            <w:vAlign w:val="center"/>
          </w:tcPr>
          <w:p w14:paraId="4C865CEA" w14:textId="77777777" w:rsidR="003F46BD" w:rsidRPr="00BE5613" w:rsidRDefault="003F46BD" w:rsidP="003D4C06">
            <w:pPr>
              <w:jc w:val="center"/>
              <w:rPr>
                <w:b/>
                <w:sz w:val="22"/>
                <w:szCs w:val="22"/>
              </w:rPr>
            </w:pPr>
            <w:r w:rsidRPr="00BE5613">
              <w:rPr>
                <w:b/>
                <w:sz w:val="22"/>
                <w:szCs w:val="22"/>
              </w:rPr>
              <w:t>Input-output specification and orientation</w:t>
            </w:r>
          </w:p>
        </w:tc>
      </w:tr>
      <w:tr w:rsidR="003F46BD" w:rsidRPr="00BE5613" w14:paraId="04DAE7F1" w14:textId="77777777">
        <w:trPr>
          <w:trHeight w:val="41"/>
        </w:trPr>
        <w:tc>
          <w:tcPr>
            <w:tcW w:w="4139" w:type="dxa"/>
            <w:shd w:val="clear" w:color="auto" w:fill="auto"/>
            <w:vAlign w:val="center"/>
          </w:tcPr>
          <w:p w14:paraId="04904AF0" w14:textId="77777777" w:rsidR="003F46BD" w:rsidRPr="00BE5613" w:rsidRDefault="003F46BD" w:rsidP="003D4C06">
            <w:pPr>
              <w:ind w:left="142" w:right="255"/>
              <w:jc w:val="both"/>
              <w:rPr>
                <w:b/>
                <w:sz w:val="22"/>
                <w:szCs w:val="22"/>
              </w:rPr>
            </w:pPr>
            <w:r w:rsidRPr="00BE5613">
              <w:rPr>
                <w:b/>
                <w:sz w:val="22"/>
                <w:szCs w:val="22"/>
              </w:rPr>
              <w:t xml:space="preserve">Model I </w:t>
            </w:r>
          </w:p>
          <w:p w14:paraId="2E978E2A" w14:textId="77777777" w:rsidR="003F46BD" w:rsidRPr="00BE5613" w:rsidRDefault="003F46BD" w:rsidP="003D4C06">
            <w:pPr>
              <w:ind w:left="142" w:right="255"/>
              <w:jc w:val="both"/>
              <w:rPr>
                <w:b/>
                <w:sz w:val="22"/>
                <w:szCs w:val="22"/>
              </w:rPr>
            </w:pPr>
            <w:r w:rsidRPr="00BE5613">
              <w:rPr>
                <w:sz w:val="22"/>
                <w:szCs w:val="22"/>
              </w:rPr>
              <w:t>The model relates to the ability to satisfy the potential demand for services (given by different measures of population size) with a minimum of expenditure.</w:t>
            </w:r>
          </w:p>
        </w:tc>
        <w:tc>
          <w:tcPr>
            <w:tcW w:w="4988" w:type="dxa"/>
            <w:shd w:val="clear" w:color="auto" w:fill="auto"/>
            <w:vAlign w:val="center"/>
          </w:tcPr>
          <w:p w14:paraId="0735A4D9" w14:textId="77777777" w:rsidR="003F46BD" w:rsidRPr="00BE5613" w:rsidRDefault="003F46BD" w:rsidP="003D4C06">
            <w:pPr>
              <w:tabs>
                <w:tab w:val="left" w:pos="1673"/>
              </w:tabs>
              <w:ind w:left="114"/>
              <w:rPr>
                <w:sz w:val="22"/>
                <w:szCs w:val="22"/>
              </w:rPr>
            </w:pPr>
            <w:r w:rsidRPr="00BE5613">
              <w:rPr>
                <w:b/>
                <w:sz w:val="22"/>
                <w:szCs w:val="22"/>
              </w:rPr>
              <w:t xml:space="preserve">Inputs: </w:t>
            </w:r>
            <w:r w:rsidRPr="00BE5613">
              <w:rPr>
                <w:sz w:val="22"/>
                <w:szCs w:val="22"/>
              </w:rPr>
              <w:tab/>
              <w:t>MSWE (CZK)</w:t>
            </w:r>
          </w:p>
          <w:p w14:paraId="3001C62A" w14:textId="77777777" w:rsidR="003F46BD" w:rsidRPr="00BE5613" w:rsidRDefault="003F46BD" w:rsidP="003D4C06">
            <w:pPr>
              <w:tabs>
                <w:tab w:val="left" w:pos="1673"/>
              </w:tabs>
              <w:ind w:left="114"/>
              <w:rPr>
                <w:sz w:val="22"/>
                <w:szCs w:val="22"/>
              </w:rPr>
            </w:pPr>
            <w:r w:rsidRPr="00BE5613">
              <w:rPr>
                <w:b/>
                <w:sz w:val="22"/>
                <w:szCs w:val="22"/>
              </w:rPr>
              <w:t>Outputs:</w:t>
            </w:r>
            <w:r w:rsidRPr="00BE5613">
              <w:rPr>
                <w:sz w:val="22"/>
                <w:szCs w:val="22"/>
              </w:rPr>
              <w:t xml:space="preserve"> </w:t>
            </w:r>
            <w:r w:rsidRPr="00BE5613">
              <w:rPr>
                <w:sz w:val="22"/>
                <w:szCs w:val="22"/>
              </w:rPr>
              <w:tab/>
              <w:t>Population (# of inhabitants)</w:t>
            </w:r>
          </w:p>
          <w:p w14:paraId="4F1C0EFA" w14:textId="77777777" w:rsidR="003F46BD" w:rsidRPr="00BE5613" w:rsidRDefault="003F46BD" w:rsidP="003D4C06">
            <w:pPr>
              <w:tabs>
                <w:tab w:val="left" w:pos="1673"/>
              </w:tabs>
              <w:ind w:left="114"/>
              <w:rPr>
                <w:sz w:val="22"/>
                <w:szCs w:val="22"/>
              </w:rPr>
            </w:pPr>
            <w:r w:rsidRPr="00BE5613">
              <w:rPr>
                <w:sz w:val="22"/>
                <w:szCs w:val="22"/>
              </w:rPr>
              <w:tab/>
              <w:t>Built-up area (ha)</w:t>
            </w:r>
          </w:p>
          <w:p w14:paraId="02775EDF" w14:textId="77777777" w:rsidR="003F46BD" w:rsidRPr="00BE5613" w:rsidRDefault="003F46BD" w:rsidP="003D4C06">
            <w:pPr>
              <w:tabs>
                <w:tab w:val="left" w:pos="1673"/>
              </w:tabs>
              <w:ind w:left="114"/>
              <w:rPr>
                <w:sz w:val="22"/>
                <w:szCs w:val="22"/>
              </w:rPr>
            </w:pPr>
            <w:r w:rsidRPr="00BE5613">
              <w:rPr>
                <w:sz w:val="22"/>
                <w:szCs w:val="22"/>
              </w:rPr>
              <w:tab/>
            </w:r>
            <w:r w:rsidR="00BA7539" w:rsidRPr="00BE5613">
              <w:rPr>
                <w:sz w:val="22"/>
                <w:szCs w:val="22"/>
              </w:rPr>
              <w:t>Housing units</w:t>
            </w:r>
            <w:r w:rsidRPr="00BE5613">
              <w:rPr>
                <w:sz w:val="22"/>
                <w:szCs w:val="22"/>
              </w:rPr>
              <w:t xml:space="preserve"> (# of </w:t>
            </w:r>
            <w:r w:rsidR="00BA7539" w:rsidRPr="00BE5613">
              <w:rPr>
                <w:sz w:val="22"/>
                <w:szCs w:val="22"/>
              </w:rPr>
              <w:t>inhabited units</w:t>
            </w:r>
            <w:r w:rsidRPr="00BE5613">
              <w:rPr>
                <w:sz w:val="22"/>
                <w:szCs w:val="22"/>
              </w:rPr>
              <w:t>)</w:t>
            </w:r>
          </w:p>
          <w:p w14:paraId="387F4084" w14:textId="77777777" w:rsidR="003F46BD" w:rsidRPr="00BE5613" w:rsidRDefault="003F46BD" w:rsidP="003D4C06">
            <w:pPr>
              <w:tabs>
                <w:tab w:val="left" w:pos="1673"/>
              </w:tabs>
              <w:ind w:left="114"/>
              <w:rPr>
                <w:sz w:val="22"/>
                <w:szCs w:val="22"/>
              </w:rPr>
            </w:pPr>
            <w:r w:rsidRPr="00BE5613">
              <w:rPr>
                <w:b/>
                <w:sz w:val="22"/>
                <w:szCs w:val="22"/>
              </w:rPr>
              <w:t xml:space="preserve">Orientation: </w:t>
            </w:r>
            <w:r w:rsidRPr="00BE5613">
              <w:rPr>
                <w:b/>
                <w:sz w:val="22"/>
                <w:szCs w:val="22"/>
              </w:rPr>
              <w:tab/>
            </w:r>
            <w:r w:rsidRPr="00BE5613">
              <w:rPr>
                <w:sz w:val="22"/>
                <w:szCs w:val="22"/>
              </w:rPr>
              <w:t>Input</w:t>
            </w:r>
          </w:p>
        </w:tc>
      </w:tr>
      <w:tr w:rsidR="003F46BD" w:rsidRPr="00BE5613" w14:paraId="2DF08CD5" w14:textId="77777777">
        <w:trPr>
          <w:trHeight w:val="41"/>
        </w:trPr>
        <w:tc>
          <w:tcPr>
            <w:tcW w:w="4139" w:type="dxa"/>
            <w:shd w:val="clear" w:color="auto" w:fill="auto"/>
            <w:vAlign w:val="center"/>
          </w:tcPr>
          <w:p w14:paraId="5D00C6D1" w14:textId="77777777" w:rsidR="003F46BD" w:rsidRPr="00BE5613" w:rsidRDefault="003F46BD" w:rsidP="003D4C06">
            <w:pPr>
              <w:ind w:left="142" w:right="255"/>
              <w:jc w:val="both"/>
              <w:rPr>
                <w:b/>
                <w:sz w:val="22"/>
                <w:szCs w:val="22"/>
              </w:rPr>
            </w:pPr>
            <w:r w:rsidRPr="00BE5613">
              <w:rPr>
                <w:b/>
                <w:sz w:val="22"/>
                <w:szCs w:val="22"/>
              </w:rPr>
              <w:t>Model II</w:t>
            </w:r>
          </w:p>
          <w:p w14:paraId="01D81799" w14:textId="77777777" w:rsidR="003F46BD" w:rsidRPr="00BE5613" w:rsidRDefault="003F46BD" w:rsidP="003D4C06">
            <w:pPr>
              <w:ind w:left="142" w:right="255"/>
              <w:jc w:val="both"/>
              <w:rPr>
                <w:b/>
                <w:sz w:val="22"/>
                <w:szCs w:val="22"/>
              </w:rPr>
            </w:pPr>
            <w:r w:rsidRPr="00BE5613">
              <w:rPr>
                <w:sz w:val="22"/>
                <w:szCs w:val="22"/>
              </w:rPr>
              <w:t>The model relates to the ability to satisfy the potential demand (given by different measures of population size) and actual demand for services (true waste produc</w:t>
            </w:r>
            <w:r w:rsidRPr="00BE5613">
              <w:rPr>
                <w:sz w:val="22"/>
                <w:szCs w:val="22"/>
              </w:rPr>
              <w:softHyphen/>
              <w:t>tion) with a minimum of expenditure and non-separated waste production.</w:t>
            </w:r>
          </w:p>
        </w:tc>
        <w:tc>
          <w:tcPr>
            <w:tcW w:w="4988" w:type="dxa"/>
            <w:shd w:val="clear" w:color="auto" w:fill="auto"/>
            <w:vAlign w:val="center"/>
          </w:tcPr>
          <w:p w14:paraId="5A0DE9A0" w14:textId="77777777" w:rsidR="003F46BD" w:rsidRPr="00BE5613" w:rsidRDefault="003F46BD" w:rsidP="003D4C06">
            <w:pPr>
              <w:tabs>
                <w:tab w:val="left" w:pos="1673"/>
              </w:tabs>
              <w:ind w:left="114"/>
              <w:rPr>
                <w:sz w:val="22"/>
                <w:szCs w:val="22"/>
              </w:rPr>
            </w:pPr>
            <w:r w:rsidRPr="00BE5613">
              <w:rPr>
                <w:b/>
                <w:sz w:val="22"/>
                <w:szCs w:val="22"/>
              </w:rPr>
              <w:t xml:space="preserve">Inputs: </w:t>
            </w:r>
            <w:r w:rsidRPr="00BE5613">
              <w:rPr>
                <w:sz w:val="22"/>
                <w:szCs w:val="22"/>
              </w:rPr>
              <w:tab/>
              <w:t>MSWE (CZK)</w:t>
            </w:r>
          </w:p>
          <w:p w14:paraId="62C87CF0" w14:textId="77777777" w:rsidR="003F46BD" w:rsidRPr="00BE5613" w:rsidRDefault="003F46BD" w:rsidP="003D4C06">
            <w:pPr>
              <w:tabs>
                <w:tab w:val="left" w:pos="1673"/>
              </w:tabs>
              <w:ind w:left="114"/>
              <w:rPr>
                <w:sz w:val="22"/>
                <w:szCs w:val="22"/>
              </w:rPr>
            </w:pPr>
            <w:r w:rsidRPr="00BE5613">
              <w:rPr>
                <w:b/>
                <w:sz w:val="22"/>
                <w:szCs w:val="22"/>
              </w:rPr>
              <w:t>Outputs:</w:t>
            </w:r>
            <w:r w:rsidRPr="00BE5613">
              <w:rPr>
                <w:sz w:val="22"/>
                <w:szCs w:val="22"/>
              </w:rPr>
              <w:t xml:space="preserve"> </w:t>
            </w:r>
            <w:r w:rsidRPr="00BE5613">
              <w:rPr>
                <w:sz w:val="22"/>
                <w:szCs w:val="22"/>
              </w:rPr>
              <w:tab/>
              <w:t>Population (# of inhabitants)</w:t>
            </w:r>
          </w:p>
          <w:p w14:paraId="406DDD8D" w14:textId="77777777" w:rsidR="003F46BD" w:rsidRPr="00BE5613" w:rsidRDefault="003F46BD" w:rsidP="003D4C06">
            <w:pPr>
              <w:tabs>
                <w:tab w:val="left" w:pos="1673"/>
              </w:tabs>
              <w:ind w:left="114"/>
              <w:rPr>
                <w:sz w:val="22"/>
                <w:szCs w:val="22"/>
              </w:rPr>
            </w:pPr>
            <w:r w:rsidRPr="00BE5613">
              <w:rPr>
                <w:sz w:val="22"/>
                <w:szCs w:val="22"/>
              </w:rPr>
              <w:tab/>
              <w:t>Built-up area (ha)</w:t>
            </w:r>
          </w:p>
          <w:p w14:paraId="51D9464F" w14:textId="77777777" w:rsidR="003F46BD" w:rsidRPr="00BE5613" w:rsidRDefault="003F46BD" w:rsidP="003D4C06">
            <w:pPr>
              <w:tabs>
                <w:tab w:val="left" w:pos="1673"/>
              </w:tabs>
              <w:ind w:left="114"/>
              <w:rPr>
                <w:sz w:val="22"/>
                <w:szCs w:val="22"/>
              </w:rPr>
            </w:pPr>
            <w:r w:rsidRPr="00BE5613">
              <w:rPr>
                <w:sz w:val="22"/>
                <w:szCs w:val="22"/>
              </w:rPr>
              <w:tab/>
            </w:r>
            <w:r w:rsidR="00BA7539" w:rsidRPr="00BE5613">
              <w:rPr>
                <w:sz w:val="22"/>
                <w:szCs w:val="22"/>
              </w:rPr>
              <w:t>Housing units (# of inhabited units)</w:t>
            </w:r>
          </w:p>
          <w:p w14:paraId="176B279B" w14:textId="77777777" w:rsidR="009F7B7F" w:rsidRPr="00BE5613" w:rsidRDefault="009F7B7F" w:rsidP="003D4C06">
            <w:pPr>
              <w:tabs>
                <w:tab w:val="left" w:pos="1673"/>
              </w:tabs>
              <w:ind w:left="114"/>
            </w:pPr>
            <w:r w:rsidRPr="00BE5613">
              <w:rPr>
                <w:sz w:val="22"/>
                <w:szCs w:val="22"/>
              </w:rPr>
              <w:tab/>
            </w:r>
            <w:r w:rsidR="00011FC6" w:rsidRPr="00BE5613">
              <w:rPr>
                <w:sz w:val="22"/>
                <w:szCs w:val="22"/>
              </w:rPr>
              <w:t>Generation</w:t>
            </w:r>
            <w:r w:rsidRPr="00BE5613">
              <w:rPr>
                <w:sz w:val="22"/>
                <w:szCs w:val="22"/>
              </w:rPr>
              <w:t xml:space="preserve"> of total waste (t)</w:t>
            </w:r>
          </w:p>
          <w:p w14:paraId="04DB3629" w14:textId="77777777" w:rsidR="003F46BD" w:rsidRPr="00BE5613" w:rsidRDefault="003F46BD" w:rsidP="003D4C06">
            <w:pPr>
              <w:tabs>
                <w:tab w:val="left" w:pos="1673"/>
              </w:tabs>
              <w:ind w:left="114"/>
              <w:rPr>
                <w:sz w:val="22"/>
                <w:szCs w:val="22"/>
              </w:rPr>
            </w:pPr>
            <w:r w:rsidRPr="00BE5613">
              <w:rPr>
                <w:sz w:val="22"/>
                <w:szCs w:val="22"/>
              </w:rPr>
              <w:tab/>
            </w:r>
            <w:r w:rsidR="00011FC6" w:rsidRPr="00BE5613">
              <w:rPr>
                <w:sz w:val="22"/>
                <w:szCs w:val="22"/>
              </w:rPr>
              <w:t>Generation</w:t>
            </w:r>
            <w:r w:rsidRPr="00BE5613">
              <w:rPr>
                <w:sz w:val="22"/>
                <w:szCs w:val="22"/>
              </w:rPr>
              <w:t xml:space="preserve"> of separated waste (t)</w:t>
            </w:r>
          </w:p>
          <w:p w14:paraId="68B975FE" w14:textId="77777777" w:rsidR="003F46BD" w:rsidRPr="00BE5613" w:rsidRDefault="003F46BD" w:rsidP="003D4C06">
            <w:pPr>
              <w:tabs>
                <w:tab w:val="left" w:pos="1673"/>
              </w:tabs>
              <w:ind w:left="114"/>
              <w:rPr>
                <w:sz w:val="22"/>
                <w:szCs w:val="22"/>
              </w:rPr>
            </w:pPr>
            <w:r w:rsidRPr="00BE5613">
              <w:rPr>
                <w:b/>
                <w:sz w:val="22"/>
                <w:szCs w:val="22"/>
              </w:rPr>
              <w:t xml:space="preserve">Orientation: </w:t>
            </w:r>
            <w:r w:rsidRPr="00BE5613">
              <w:rPr>
                <w:b/>
                <w:sz w:val="22"/>
                <w:szCs w:val="22"/>
              </w:rPr>
              <w:tab/>
            </w:r>
            <w:r w:rsidRPr="00BE5613">
              <w:rPr>
                <w:sz w:val="22"/>
                <w:szCs w:val="22"/>
              </w:rPr>
              <w:t>Input</w:t>
            </w:r>
          </w:p>
        </w:tc>
      </w:tr>
      <w:tr w:rsidR="003F46BD" w:rsidRPr="00BE5613" w14:paraId="6FBA444C" w14:textId="77777777">
        <w:trPr>
          <w:trHeight w:val="41"/>
        </w:trPr>
        <w:tc>
          <w:tcPr>
            <w:tcW w:w="4139" w:type="dxa"/>
            <w:shd w:val="clear" w:color="auto" w:fill="auto"/>
            <w:vAlign w:val="center"/>
          </w:tcPr>
          <w:p w14:paraId="00578F04" w14:textId="77777777" w:rsidR="003F46BD" w:rsidRPr="00BE5613" w:rsidRDefault="003F46BD" w:rsidP="003D4C06">
            <w:pPr>
              <w:ind w:left="142" w:right="255"/>
              <w:jc w:val="both"/>
              <w:rPr>
                <w:b/>
                <w:sz w:val="22"/>
                <w:szCs w:val="22"/>
              </w:rPr>
            </w:pPr>
            <w:r w:rsidRPr="00BE5613">
              <w:rPr>
                <w:b/>
                <w:sz w:val="22"/>
                <w:szCs w:val="22"/>
              </w:rPr>
              <w:t>Model III</w:t>
            </w:r>
          </w:p>
          <w:p w14:paraId="3A163271" w14:textId="77777777" w:rsidR="003F46BD" w:rsidRPr="00BE5613" w:rsidRDefault="003F46BD" w:rsidP="003D4C06">
            <w:pPr>
              <w:ind w:left="142" w:right="255"/>
              <w:jc w:val="both"/>
              <w:rPr>
                <w:b/>
                <w:sz w:val="22"/>
                <w:szCs w:val="22"/>
              </w:rPr>
            </w:pPr>
            <w:r w:rsidRPr="00BE5613">
              <w:rPr>
                <w:sz w:val="22"/>
                <w:szCs w:val="22"/>
              </w:rPr>
              <w:t>The model relates to the ability to maximize waste separation subject to the financial constraints (given by waste expenditure) and actual demand for services (true waste production) that a municipality faces.</w:t>
            </w:r>
          </w:p>
        </w:tc>
        <w:tc>
          <w:tcPr>
            <w:tcW w:w="4988" w:type="dxa"/>
            <w:shd w:val="clear" w:color="auto" w:fill="auto"/>
          </w:tcPr>
          <w:p w14:paraId="0099F66B" w14:textId="77777777" w:rsidR="003F46BD" w:rsidRPr="00BE5613" w:rsidRDefault="003F46BD" w:rsidP="003D4C06">
            <w:pPr>
              <w:tabs>
                <w:tab w:val="left" w:pos="1673"/>
              </w:tabs>
              <w:ind w:left="114"/>
              <w:rPr>
                <w:sz w:val="22"/>
                <w:szCs w:val="22"/>
              </w:rPr>
            </w:pPr>
            <w:r w:rsidRPr="00BE5613">
              <w:rPr>
                <w:b/>
                <w:sz w:val="22"/>
                <w:szCs w:val="22"/>
              </w:rPr>
              <w:t xml:space="preserve">Inputs: </w:t>
            </w:r>
            <w:r w:rsidRPr="00BE5613">
              <w:rPr>
                <w:sz w:val="22"/>
                <w:szCs w:val="22"/>
              </w:rPr>
              <w:tab/>
              <w:t>MSWE (CZK)</w:t>
            </w:r>
          </w:p>
          <w:p w14:paraId="2D8F0ECF" w14:textId="77777777" w:rsidR="003F46BD" w:rsidRPr="00BE5613" w:rsidRDefault="003F46BD" w:rsidP="003D4C06">
            <w:pPr>
              <w:tabs>
                <w:tab w:val="left" w:pos="1673"/>
              </w:tabs>
              <w:ind w:left="114"/>
              <w:rPr>
                <w:sz w:val="22"/>
                <w:szCs w:val="22"/>
              </w:rPr>
            </w:pPr>
            <w:r w:rsidRPr="00BE5613">
              <w:rPr>
                <w:sz w:val="22"/>
                <w:szCs w:val="22"/>
              </w:rPr>
              <w:tab/>
            </w:r>
            <w:r w:rsidR="00011FC6" w:rsidRPr="00BE5613">
              <w:rPr>
                <w:sz w:val="22"/>
                <w:szCs w:val="22"/>
              </w:rPr>
              <w:t xml:space="preserve">Generation </w:t>
            </w:r>
            <w:r w:rsidRPr="00BE5613">
              <w:rPr>
                <w:sz w:val="22"/>
                <w:szCs w:val="22"/>
              </w:rPr>
              <w:t>of total waste (t)</w:t>
            </w:r>
          </w:p>
          <w:p w14:paraId="6437EDEB" w14:textId="77777777" w:rsidR="003F46BD" w:rsidRPr="00BE5613" w:rsidRDefault="003F46BD" w:rsidP="003D4C06">
            <w:pPr>
              <w:tabs>
                <w:tab w:val="left" w:pos="1673"/>
              </w:tabs>
              <w:ind w:left="114"/>
              <w:rPr>
                <w:sz w:val="22"/>
                <w:szCs w:val="22"/>
              </w:rPr>
            </w:pPr>
            <w:r w:rsidRPr="00BE5613">
              <w:rPr>
                <w:b/>
                <w:sz w:val="22"/>
                <w:szCs w:val="22"/>
              </w:rPr>
              <w:t>Outputs:</w:t>
            </w:r>
            <w:r w:rsidRPr="00BE5613">
              <w:rPr>
                <w:sz w:val="22"/>
                <w:szCs w:val="22"/>
              </w:rPr>
              <w:t xml:space="preserve"> </w:t>
            </w:r>
            <w:r w:rsidRPr="00BE5613">
              <w:rPr>
                <w:sz w:val="22"/>
                <w:szCs w:val="22"/>
              </w:rPr>
              <w:tab/>
            </w:r>
            <w:r w:rsidR="00011FC6" w:rsidRPr="00BE5613">
              <w:rPr>
                <w:sz w:val="22"/>
                <w:szCs w:val="22"/>
              </w:rPr>
              <w:t xml:space="preserve">Generation </w:t>
            </w:r>
            <w:r w:rsidRPr="00BE5613">
              <w:rPr>
                <w:sz w:val="22"/>
                <w:szCs w:val="22"/>
              </w:rPr>
              <w:t>of separated waste (t)</w:t>
            </w:r>
          </w:p>
          <w:p w14:paraId="50AF4A17" w14:textId="77777777" w:rsidR="003F46BD" w:rsidRPr="00BE5613" w:rsidRDefault="003F46BD" w:rsidP="003D4C06">
            <w:pPr>
              <w:tabs>
                <w:tab w:val="left" w:pos="1673"/>
              </w:tabs>
              <w:ind w:left="114"/>
              <w:rPr>
                <w:sz w:val="22"/>
                <w:szCs w:val="22"/>
              </w:rPr>
            </w:pPr>
            <w:r w:rsidRPr="00BE5613">
              <w:rPr>
                <w:b/>
                <w:sz w:val="22"/>
                <w:szCs w:val="22"/>
              </w:rPr>
              <w:t xml:space="preserve">Orientation: </w:t>
            </w:r>
            <w:r w:rsidRPr="00BE5613">
              <w:rPr>
                <w:b/>
                <w:sz w:val="22"/>
                <w:szCs w:val="22"/>
              </w:rPr>
              <w:tab/>
            </w:r>
            <w:r w:rsidRPr="00BE5613">
              <w:rPr>
                <w:sz w:val="22"/>
                <w:szCs w:val="22"/>
              </w:rPr>
              <w:t>Output</w:t>
            </w:r>
          </w:p>
        </w:tc>
      </w:tr>
      <w:tr w:rsidR="003F46BD" w:rsidRPr="00BE5613" w14:paraId="2872E043" w14:textId="77777777">
        <w:trPr>
          <w:trHeight w:val="41"/>
        </w:trPr>
        <w:tc>
          <w:tcPr>
            <w:tcW w:w="4139" w:type="dxa"/>
            <w:shd w:val="clear" w:color="auto" w:fill="auto"/>
            <w:vAlign w:val="center"/>
          </w:tcPr>
          <w:p w14:paraId="57DAFFAF" w14:textId="77777777" w:rsidR="003F46BD" w:rsidRPr="00BE5613" w:rsidRDefault="003F46BD" w:rsidP="003D4C06">
            <w:pPr>
              <w:ind w:left="142" w:right="255"/>
              <w:jc w:val="both"/>
              <w:rPr>
                <w:b/>
                <w:sz w:val="22"/>
                <w:szCs w:val="22"/>
              </w:rPr>
            </w:pPr>
            <w:r w:rsidRPr="00BE5613">
              <w:rPr>
                <w:b/>
                <w:sz w:val="22"/>
                <w:szCs w:val="22"/>
              </w:rPr>
              <w:t>Model IV</w:t>
            </w:r>
          </w:p>
          <w:p w14:paraId="078FC1F5" w14:textId="77777777" w:rsidR="003F46BD" w:rsidRPr="00BE5613" w:rsidRDefault="003F46BD" w:rsidP="003D4C06">
            <w:pPr>
              <w:ind w:left="142" w:right="255"/>
              <w:jc w:val="both"/>
              <w:rPr>
                <w:b/>
                <w:sz w:val="22"/>
                <w:szCs w:val="22"/>
              </w:rPr>
            </w:pPr>
            <w:r w:rsidRPr="00BE5613">
              <w:rPr>
                <w:sz w:val="22"/>
                <w:szCs w:val="22"/>
              </w:rPr>
              <w:t>The model relates to the ability to maximize waste separation subject to the potential demand for services (given by different measures of population size) and actual demand (true waste produc</w:t>
            </w:r>
            <w:r w:rsidRPr="00BE5613">
              <w:rPr>
                <w:sz w:val="22"/>
                <w:szCs w:val="22"/>
              </w:rPr>
              <w:softHyphen/>
              <w:t>tion) that a municipality faces.</w:t>
            </w:r>
          </w:p>
        </w:tc>
        <w:tc>
          <w:tcPr>
            <w:tcW w:w="4988" w:type="dxa"/>
            <w:shd w:val="clear" w:color="auto" w:fill="auto"/>
          </w:tcPr>
          <w:p w14:paraId="31107E44" w14:textId="77777777" w:rsidR="003F46BD" w:rsidRPr="00BE5613" w:rsidRDefault="003F46BD" w:rsidP="003D4C06">
            <w:pPr>
              <w:tabs>
                <w:tab w:val="left" w:pos="1673"/>
              </w:tabs>
              <w:ind w:left="114"/>
              <w:rPr>
                <w:sz w:val="22"/>
                <w:szCs w:val="22"/>
              </w:rPr>
            </w:pPr>
            <w:r w:rsidRPr="00BE5613">
              <w:rPr>
                <w:b/>
                <w:sz w:val="22"/>
                <w:szCs w:val="22"/>
              </w:rPr>
              <w:t xml:space="preserve">Inputs: </w:t>
            </w:r>
            <w:r w:rsidRPr="00BE5613">
              <w:rPr>
                <w:sz w:val="22"/>
                <w:szCs w:val="22"/>
              </w:rPr>
              <w:tab/>
              <w:t>Population (# of inhabitants)</w:t>
            </w:r>
          </w:p>
          <w:p w14:paraId="60C8BB43" w14:textId="77777777" w:rsidR="003F46BD" w:rsidRPr="00BE5613" w:rsidRDefault="003F46BD" w:rsidP="003D4C06">
            <w:pPr>
              <w:tabs>
                <w:tab w:val="left" w:pos="1673"/>
              </w:tabs>
              <w:ind w:left="114"/>
              <w:rPr>
                <w:sz w:val="22"/>
                <w:szCs w:val="22"/>
              </w:rPr>
            </w:pPr>
            <w:r w:rsidRPr="00BE5613">
              <w:rPr>
                <w:sz w:val="22"/>
                <w:szCs w:val="22"/>
              </w:rPr>
              <w:tab/>
              <w:t>Built-up area (ha)</w:t>
            </w:r>
          </w:p>
          <w:p w14:paraId="0FC4DAE6" w14:textId="77777777" w:rsidR="003F46BD" w:rsidRPr="00BE5613" w:rsidRDefault="003F46BD" w:rsidP="003D4C06">
            <w:pPr>
              <w:tabs>
                <w:tab w:val="left" w:pos="1673"/>
              </w:tabs>
              <w:ind w:left="114"/>
              <w:rPr>
                <w:sz w:val="22"/>
                <w:szCs w:val="22"/>
              </w:rPr>
            </w:pPr>
            <w:r w:rsidRPr="00BE5613">
              <w:rPr>
                <w:sz w:val="22"/>
                <w:szCs w:val="22"/>
              </w:rPr>
              <w:tab/>
            </w:r>
            <w:r w:rsidR="00BA7539" w:rsidRPr="00BE5613">
              <w:rPr>
                <w:sz w:val="22"/>
                <w:szCs w:val="22"/>
              </w:rPr>
              <w:t>Housing units (# of inhabited units)</w:t>
            </w:r>
          </w:p>
          <w:p w14:paraId="0E0E7011" w14:textId="77777777" w:rsidR="003F46BD" w:rsidRPr="00BE5613" w:rsidRDefault="003F46BD" w:rsidP="003D4C06">
            <w:pPr>
              <w:tabs>
                <w:tab w:val="left" w:pos="1673"/>
              </w:tabs>
              <w:ind w:left="114"/>
              <w:rPr>
                <w:sz w:val="22"/>
                <w:szCs w:val="22"/>
              </w:rPr>
            </w:pPr>
            <w:r w:rsidRPr="00BE5613">
              <w:rPr>
                <w:sz w:val="22"/>
                <w:szCs w:val="22"/>
              </w:rPr>
              <w:tab/>
            </w:r>
            <w:r w:rsidR="00011FC6" w:rsidRPr="00BE5613">
              <w:rPr>
                <w:sz w:val="22"/>
                <w:szCs w:val="22"/>
              </w:rPr>
              <w:t xml:space="preserve">Generation </w:t>
            </w:r>
            <w:r w:rsidRPr="00BE5613">
              <w:rPr>
                <w:sz w:val="22"/>
                <w:szCs w:val="22"/>
              </w:rPr>
              <w:t>of total waste (t)</w:t>
            </w:r>
          </w:p>
          <w:p w14:paraId="5AEDECBA" w14:textId="77777777" w:rsidR="003F46BD" w:rsidRPr="00BE5613" w:rsidRDefault="003F46BD" w:rsidP="003D4C06">
            <w:pPr>
              <w:tabs>
                <w:tab w:val="left" w:pos="1673"/>
              </w:tabs>
              <w:ind w:left="114"/>
              <w:rPr>
                <w:sz w:val="22"/>
                <w:szCs w:val="22"/>
              </w:rPr>
            </w:pPr>
            <w:r w:rsidRPr="00BE5613">
              <w:rPr>
                <w:b/>
                <w:sz w:val="22"/>
                <w:szCs w:val="22"/>
              </w:rPr>
              <w:t>Outputs:</w:t>
            </w:r>
            <w:r w:rsidRPr="00BE5613">
              <w:rPr>
                <w:sz w:val="22"/>
                <w:szCs w:val="22"/>
              </w:rPr>
              <w:t xml:space="preserve"> </w:t>
            </w:r>
            <w:r w:rsidRPr="00BE5613">
              <w:rPr>
                <w:sz w:val="22"/>
                <w:szCs w:val="22"/>
              </w:rPr>
              <w:tab/>
            </w:r>
            <w:r w:rsidR="00011FC6" w:rsidRPr="00BE5613">
              <w:rPr>
                <w:sz w:val="22"/>
                <w:szCs w:val="22"/>
              </w:rPr>
              <w:t xml:space="preserve">Generation </w:t>
            </w:r>
            <w:r w:rsidRPr="00BE5613">
              <w:rPr>
                <w:sz w:val="22"/>
                <w:szCs w:val="22"/>
              </w:rPr>
              <w:t>of separated waste (t)</w:t>
            </w:r>
          </w:p>
          <w:p w14:paraId="749F9061" w14:textId="77777777" w:rsidR="003F46BD" w:rsidRPr="00BE5613" w:rsidRDefault="003F46BD" w:rsidP="003D4C06">
            <w:pPr>
              <w:tabs>
                <w:tab w:val="left" w:pos="1673"/>
              </w:tabs>
              <w:ind w:left="114"/>
              <w:rPr>
                <w:sz w:val="22"/>
                <w:szCs w:val="22"/>
              </w:rPr>
            </w:pPr>
            <w:r w:rsidRPr="00BE5613">
              <w:rPr>
                <w:b/>
                <w:sz w:val="22"/>
                <w:szCs w:val="22"/>
              </w:rPr>
              <w:t xml:space="preserve">Orientation: </w:t>
            </w:r>
            <w:r w:rsidRPr="00BE5613">
              <w:rPr>
                <w:b/>
                <w:sz w:val="22"/>
                <w:szCs w:val="22"/>
              </w:rPr>
              <w:tab/>
            </w:r>
            <w:r w:rsidRPr="00BE5613">
              <w:rPr>
                <w:sz w:val="22"/>
                <w:szCs w:val="22"/>
              </w:rPr>
              <w:t>Output</w:t>
            </w:r>
          </w:p>
        </w:tc>
      </w:tr>
    </w:tbl>
    <w:p w14:paraId="5A122A1A" w14:textId="77777777" w:rsidR="003F46BD" w:rsidRPr="00BE5613" w:rsidRDefault="003F46BD" w:rsidP="00F213DF">
      <w:pPr>
        <w:jc w:val="both"/>
      </w:pPr>
    </w:p>
    <w:p w14:paraId="05E61764" w14:textId="77777777" w:rsidR="000D1BFA" w:rsidRPr="00BE5613" w:rsidRDefault="000D1BFA" w:rsidP="00AA45FA">
      <w:pPr>
        <w:spacing w:line="480" w:lineRule="auto"/>
        <w:ind w:firstLine="567"/>
        <w:jc w:val="both"/>
      </w:pPr>
      <w:r w:rsidRPr="00BE5613">
        <w:t xml:space="preserve">Model I </w:t>
      </w:r>
      <w:proofErr w:type="gramStart"/>
      <w:r w:rsidRPr="00BE5613">
        <w:t>focuses</w:t>
      </w:r>
      <w:proofErr w:type="gramEnd"/>
      <w:r w:rsidRPr="00BE5613">
        <w:t xml:space="preserve"> on meeting the core requirement put on MSWM, which is simply the provision of waste disposal services to the citizens of the municipality. However, based on experience and discussion with municipal representatives, this might not always precisely represent the </w:t>
      </w:r>
      <w:r w:rsidR="00D728A3" w:rsidRPr="00BE5613">
        <w:t>scope</w:t>
      </w:r>
      <w:r w:rsidRPr="00BE5613">
        <w:t xml:space="preserve"> of required service. The </w:t>
      </w:r>
      <w:r w:rsidR="006C01E5" w:rsidRPr="00BE5613">
        <w:t>scope</w:t>
      </w:r>
      <w:r w:rsidRPr="00BE5613">
        <w:t xml:space="preserve"> of WM service is in Model I measured by the number of citizens with residence registered in the municipality, the built-up (urban) area, and the number of </w:t>
      </w:r>
      <w:r w:rsidR="00BA7539" w:rsidRPr="00BE5613">
        <w:t>housing units</w:t>
      </w:r>
      <w:r w:rsidRPr="00BE5613">
        <w:t xml:space="preserve"> in the municipality</w:t>
      </w:r>
      <w:r w:rsidR="003039A8" w:rsidRPr="00BE5613">
        <w:rPr>
          <w:rStyle w:val="FootnoteReference"/>
        </w:rPr>
        <w:footnoteReference w:id="1"/>
      </w:r>
      <w:r w:rsidRPr="00BE5613">
        <w:t xml:space="preserve">. Whilst </w:t>
      </w:r>
      <w:r w:rsidR="00D22B36" w:rsidRPr="00BE5613">
        <w:t xml:space="preserve">according to the Czech legislation </w:t>
      </w:r>
      <w:r w:rsidRPr="00BE5613">
        <w:t xml:space="preserve">WM service must be provided to all people living in the municipality, the other two measures </w:t>
      </w:r>
      <w:r w:rsidR="00D22B36" w:rsidRPr="00BE5613">
        <w:t>give</w:t>
      </w:r>
      <w:r w:rsidRPr="00BE5613">
        <w:t xml:space="preserve"> in many cases a better assessment of how many customers a municipality must service and reach</w:t>
      </w:r>
      <w:r w:rsidR="00432444" w:rsidRPr="00BE5613">
        <w:t xml:space="preserve"> (not only individuals, but also</w:t>
      </w:r>
      <w:r w:rsidR="00BA7539" w:rsidRPr="00BE5613">
        <w:t xml:space="preserve"> sometimes</w:t>
      </w:r>
      <w:r w:rsidR="00432444" w:rsidRPr="00BE5613">
        <w:t xml:space="preserve"> organizations</w:t>
      </w:r>
      <w:r w:rsidR="00BA7539" w:rsidRPr="00BE5613">
        <w:t xml:space="preserve"> that subscribe contractually with the municipality to the provision of WM service</w:t>
      </w:r>
      <w:r w:rsidR="00432444" w:rsidRPr="00BE5613">
        <w:t>)</w:t>
      </w:r>
      <w:r w:rsidRPr="00BE5613">
        <w:t xml:space="preserve">. Nonetheless, in practice </w:t>
      </w:r>
      <w:r w:rsidRPr="00BE5613">
        <w:lastRenderedPageBreak/>
        <w:t xml:space="preserve">none of these indicators are ideal in gauging waste collection and handling since many people living in a municipality are not registered as its citizens, many </w:t>
      </w:r>
      <w:r w:rsidR="00E64931" w:rsidRPr="00BE5613">
        <w:t>housing units</w:t>
      </w:r>
      <w:r w:rsidRPr="00BE5613">
        <w:t xml:space="preserve"> are</w:t>
      </w:r>
      <w:r w:rsidR="00E64931" w:rsidRPr="00BE5613">
        <w:t xml:space="preserve"> in fact</w:t>
      </w:r>
      <w:r w:rsidRPr="00BE5613">
        <w:t xml:space="preserve"> </w:t>
      </w:r>
      <w:r w:rsidR="006C01E5" w:rsidRPr="00BE5613">
        <w:t>un</w:t>
      </w:r>
      <w:r w:rsidRPr="00BE5613">
        <w:t xml:space="preserve">inhabited, and major parts of the built-up area do not generate waste (or littering outside the built-up area may not be a marginal issue). Hence, a combination of these indicators should allow a more complex view on the </w:t>
      </w:r>
      <w:r w:rsidR="006C01E5" w:rsidRPr="00BE5613">
        <w:t>scope</w:t>
      </w:r>
      <w:r w:rsidRPr="00BE5613">
        <w:t xml:space="preserve"> of WM service that must be potentially </w:t>
      </w:r>
      <w:r w:rsidR="00432444" w:rsidRPr="00BE5613">
        <w:t>secured</w:t>
      </w:r>
      <w:r w:rsidRPr="00BE5613">
        <w:t xml:space="preserve"> by a </w:t>
      </w:r>
      <w:proofErr w:type="gramStart"/>
      <w:r w:rsidRPr="00BE5613">
        <w:t>municipality, and</w:t>
      </w:r>
      <w:proofErr w:type="gramEnd"/>
      <w:r w:rsidRPr="00BE5613">
        <w:t xml:space="preserve"> should also offset potential distortions in the results if some municipality displays notable discrepancies in these indicators in comparison with values of other municipalities. Model I </w:t>
      </w:r>
      <w:proofErr w:type="gramStart"/>
      <w:r w:rsidRPr="00BE5613">
        <w:t>conforms</w:t>
      </w:r>
      <w:proofErr w:type="gramEnd"/>
      <w:r w:rsidRPr="00BE5613">
        <w:t xml:space="preserve"> to the primary goal of MSWM to secure WM service so that all inhabitants, every </w:t>
      </w:r>
      <w:r w:rsidR="00E64931" w:rsidRPr="00BE5613">
        <w:t>housing unit</w:t>
      </w:r>
      <w:r w:rsidRPr="00BE5613">
        <w:t xml:space="preserve"> and the whole municipal built-up area are covered.</w:t>
      </w:r>
    </w:p>
    <w:p w14:paraId="671C190A" w14:textId="77777777" w:rsidR="006B4A54" w:rsidRPr="00BE5613" w:rsidRDefault="00BD64B1" w:rsidP="00AA45FA">
      <w:pPr>
        <w:spacing w:line="480" w:lineRule="auto"/>
        <w:ind w:firstLine="567"/>
        <w:jc w:val="both"/>
      </w:pPr>
      <w:r w:rsidRPr="00BE5613">
        <w:t xml:space="preserve">Model II extends Model I by adding two </w:t>
      </w:r>
      <w:r w:rsidR="009F7B7F" w:rsidRPr="00BE5613">
        <w:t>indicators that capture the</w:t>
      </w:r>
      <w:r w:rsidR="00D22B36" w:rsidRPr="00BE5613">
        <w:t xml:space="preserve"> scope of the</w:t>
      </w:r>
      <w:r w:rsidR="009F7B7F" w:rsidRPr="00BE5613">
        <w:t xml:space="preserve"> </w:t>
      </w:r>
      <w:proofErr w:type="gramStart"/>
      <w:r w:rsidR="009F7B7F" w:rsidRPr="00BE5613">
        <w:t>actually provided</w:t>
      </w:r>
      <w:proofErr w:type="gramEnd"/>
      <w:r w:rsidR="009F7B7F" w:rsidRPr="00BE5613">
        <w:t xml:space="preserve"> service of the municipality to its citizens, the volumes of total waste and separately collected waste. Insomuch as both</w:t>
      </w:r>
      <w:r w:rsidR="00432444" w:rsidRPr="00BE5613">
        <w:t xml:space="preserve"> these</w:t>
      </w:r>
      <w:r w:rsidR="009F7B7F" w:rsidRPr="00BE5613">
        <w:t xml:space="preserve"> metrics are to be maximized, non-separated waste that comes out as the residue and cannot serve recycling or re-use purposes is to be minimized. In effect, Model II in this manner injects an environmental aspect into the entire process of performance measurement and puts some emphasis upon maximizing waste separation and minimizing non-separation. For Czech conditions, these </w:t>
      </w:r>
      <w:r w:rsidR="00327312" w:rsidRPr="00BE5613">
        <w:t xml:space="preserve">metrics have another bearing for assessment of MSWM performance. In </w:t>
      </w:r>
      <w:r w:rsidR="00F703AC" w:rsidRPr="00BE5613">
        <w:t>the Czech Republic</w:t>
      </w:r>
      <w:r w:rsidR="00327312" w:rsidRPr="00BE5613">
        <w:t xml:space="preserve">, municipalities are rewarded by the officially authorized waste package authority EKO-KOM (https://www.ekokom.cz), and the </w:t>
      </w:r>
      <w:r w:rsidR="00432444" w:rsidRPr="00BE5613">
        <w:t xml:space="preserve">financial </w:t>
      </w:r>
      <w:r w:rsidR="00327312" w:rsidRPr="00BE5613">
        <w:t xml:space="preserve">reward depends on the amount of </w:t>
      </w:r>
      <w:r w:rsidR="00E64931" w:rsidRPr="00BE5613">
        <w:t xml:space="preserve">separately </w:t>
      </w:r>
      <w:r w:rsidR="00327312" w:rsidRPr="00BE5613">
        <w:t xml:space="preserve">collected </w:t>
      </w:r>
      <w:r w:rsidR="00E64931" w:rsidRPr="00BE5613">
        <w:t>recyclables</w:t>
      </w:r>
      <w:r w:rsidR="00327312" w:rsidRPr="00BE5613">
        <w:t xml:space="preserve">, namely paper, </w:t>
      </w:r>
      <w:proofErr w:type="gramStart"/>
      <w:r w:rsidR="00327312" w:rsidRPr="00BE5613">
        <w:t>plastics</w:t>
      </w:r>
      <w:proofErr w:type="gramEnd"/>
      <w:r w:rsidR="00327312" w:rsidRPr="00BE5613">
        <w:t xml:space="preserve"> and glass. More collected recyclables translate into higher rewards entailing an additional stream of revenue. This revenue </w:t>
      </w:r>
      <w:r w:rsidR="003F46BD" w:rsidRPr="00BE5613">
        <w:t xml:space="preserve">in </w:t>
      </w:r>
      <w:r w:rsidR="009E5E01" w:rsidRPr="00BE5613">
        <w:t>many</w:t>
      </w:r>
      <w:r w:rsidR="003F46BD" w:rsidRPr="00BE5613">
        <w:t xml:space="preserve"> cases fully cover</w:t>
      </w:r>
      <w:r w:rsidR="00327312" w:rsidRPr="00BE5613">
        <w:t>s expenditure</w:t>
      </w:r>
      <w:r w:rsidR="003F46BD" w:rsidRPr="00BE5613">
        <w:t xml:space="preserve"> </w:t>
      </w:r>
      <w:r w:rsidR="00327312" w:rsidRPr="00BE5613">
        <w:t xml:space="preserve">for separate waste collection, and </w:t>
      </w:r>
      <w:r w:rsidR="00E64931" w:rsidRPr="00BE5613">
        <w:t xml:space="preserve">sometimes </w:t>
      </w:r>
      <w:r w:rsidR="00327312" w:rsidRPr="00BE5613">
        <w:t xml:space="preserve">even earns a small premium for the municipality. Maximization of waste separation is also in conformity with </w:t>
      </w:r>
      <w:r w:rsidR="009E5E01" w:rsidRPr="00BE5613">
        <w:t xml:space="preserve">waste </w:t>
      </w:r>
      <w:r w:rsidR="00327312" w:rsidRPr="00BE5613">
        <w:t xml:space="preserve">separation targets required of municipalities, under which municipalities </w:t>
      </w:r>
      <w:r w:rsidR="006B4A54" w:rsidRPr="00BE5613">
        <w:t xml:space="preserve">must separate some proportion of total collected municipal waste, or they </w:t>
      </w:r>
      <w:r w:rsidR="00AB0FAC" w:rsidRPr="00BE5613">
        <w:t xml:space="preserve">may </w:t>
      </w:r>
      <w:r w:rsidR="006B4A54" w:rsidRPr="00BE5613">
        <w:t xml:space="preserve">face fines that add to MSWE. </w:t>
      </w:r>
      <w:r w:rsidR="006B4A54" w:rsidRPr="00BE5613">
        <w:lastRenderedPageBreak/>
        <w:t xml:space="preserve">Finally, with a higher level of waste separation, municipalities receive discounts on gradually increasing landfill rates, </w:t>
      </w:r>
      <w:r w:rsidR="003F46BD" w:rsidRPr="00BE5613">
        <w:t xml:space="preserve">with landfilling still representing a dominant way of final municipal waste treatment. </w:t>
      </w:r>
      <w:r w:rsidR="006B4A54" w:rsidRPr="00BE5613">
        <w:t xml:space="preserve">In consequence, Model II is intended to describe municipal performance not only in provision of WM service, but also in attaining a structure of waste collection that it provides financial benefits, to say nothing of the environmental dimension of WM </w:t>
      </w:r>
      <w:r w:rsidR="000F532B" w:rsidRPr="00BE5613">
        <w:t>for</w:t>
      </w:r>
      <w:r w:rsidR="006B4A54" w:rsidRPr="00BE5613">
        <w:t xml:space="preserve"> which </w:t>
      </w:r>
      <w:r w:rsidR="00D17E78" w:rsidRPr="00BE5613">
        <w:t xml:space="preserve">waste separation </w:t>
      </w:r>
      <w:r w:rsidR="000F532B" w:rsidRPr="00BE5613">
        <w:t>is pivotal</w:t>
      </w:r>
      <w:r w:rsidR="00D17E78" w:rsidRPr="00BE5613">
        <w:t>.</w:t>
      </w:r>
    </w:p>
    <w:p w14:paraId="3BF979F0" w14:textId="77777777" w:rsidR="000F532B" w:rsidRPr="00BE5613" w:rsidRDefault="000F532B" w:rsidP="00AA45FA">
      <w:pPr>
        <w:spacing w:line="480" w:lineRule="auto"/>
        <w:ind w:firstLine="567"/>
        <w:jc w:val="both"/>
      </w:pPr>
      <w:r w:rsidRPr="00BE5613">
        <w:t>Unlike the first two models, Models III and IV take a pure environmental stance and emphasize the role of the municipality in waste separation. They both are output-</w:t>
      </w:r>
      <w:proofErr w:type="gramStart"/>
      <w:r w:rsidRPr="00BE5613">
        <w:t>oriented</w:t>
      </w:r>
      <w:proofErr w:type="gramEnd"/>
      <w:r w:rsidRPr="00BE5613">
        <w:t xml:space="preserve"> and a municipality is treated as well performing only if it can maximize separated waste collection. With total waste collected being on the input side, this effectively means that a municipality is assessed by its success in waste separation relative to waste </w:t>
      </w:r>
      <w:r w:rsidR="00D728A3" w:rsidRPr="00BE5613">
        <w:t>generation that</w:t>
      </w:r>
      <w:r w:rsidRPr="00BE5613">
        <w:t xml:space="preserve"> it must sustain. The models differ in other optimization criteria that appear as inputs that represent some operating constraints to the municipality. </w:t>
      </w:r>
      <w:r w:rsidR="00367052" w:rsidRPr="00BE5613">
        <w:t>Whereas M</w:t>
      </w:r>
      <w:r w:rsidRPr="00BE5613">
        <w:t xml:space="preserve">odel III </w:t>
      </w:r>
      <w:r w:rsidR="00367052" w:rsidRPr="00BE5613">
        <w:t xml:space="preserve">stresses financial constraints (MSWE), Model IV accounts for potential demand serviced (population, built-up area, and </w:t>
      </w:r>
      <w:r w:rsidR="00E64931" w:rsidRPr="00BE5613">
        <w:t>housing units</w:t>
      </w:r>
      <w:r w:rsidR="00367052" w:rsidRPr="00BE5613">
        <w:t>).</w:t>
      </w:r>
    </w:p>
    <w:p w14:paraId="6CC7B5D7" w14:textId="77777777" w:rsidR="0096103D" w:rsidRPr="00BE5613" w:rsidRDefault="00367052" w:rsidP="00AA45FA">
      <w:pPr>
        <w:spacing w:line="480" w:lineRule="auto"/>
        <w:ind w:firstLine="567"/>
        <w:jc w:val="both"/>
      </w:pPr>
      <w:r w:rsidRPr="00BE5613">
        <w:t xml:space="preserve">Each model sheds some light upon performance of the municipality in waste collection, and since it approaches a production model underlying production of WM service from a distinct viewpoint, it is not proper to speak of efficiency, but rather of performance. Models I – IV come to existence by slicing the production process from different angles in full recognition that </w:t>
      </w:r>
      <w:r w:rsidR="00C755F0" w:rsidRPr="00BE5613">
        <w:t xml:space="preserve">identification of a single (perhaps multi-stage) production model in this case, as is in many others, is debatable at best and open to criticism. </w:t>
      </w:r>
      <w:r w:rsidR="0096103D" w:rsidRPr="00BE5613">
        <w:t xml:space="preserve">The models avoid undesirable outputs </w:t>
      </w:r>
      <w:r w:rsidR="002E7339" w:rsidRPr="00BE5613">
        <w:t xml:space="preserve">(e.g., </w:t>
      </w:r>
      <w:r w:rsidR="00961324" w:rsidRPr="00BE5613">
        <w:t>residual non-</w:t>
      </w:r>
      <w:r w:rsidR="00E64931" w:rsidRPr="00BE5613">
        <w:t>separated</w:t>
      </w:r>
      <w:r w:rsidR="002E7339" w:rsidRPr="00BE5613">
        <w:t xml:space="preserve"> waste)</w:t>
      </w:r>
      <w:r w:rsidR="00310F5B" w:rsidRPr="00BE5613">
        <w:t>,</w:t>
      </w:r>
      <w:r w:rsidR="002E7339" w:rsidRPr="00BE5613">
        <w:t xml:space="preserve"> </w:t>
      </w:r>
      <w:r w:rsidR="0096103D" w:rsidRPr="00BE5613">
        <w:t>and the performance assessment is based upon radial measures of efficiency to make the methodology compliant with the state of the art (</w:t>
      </w:r>
      <w:r w:rsidR="00CE209F" w:rsidRPr="00BE5613">
        <w:t xml:space="preserve">cf. </w:t>
      </w:r>
      <w:proofErr w:type="spellStart"/>
      <w:r w:rsidR="00CE209F" w:rsidRPr="00BE5613">
        <w:t>Bădin</w:t>
      </w:r>
      <w:proofErr w:type="spellEnd"/>
      <w:r w:rsidR="00CE209F" w:rsidRPr="00BE5613">
        <w:t xml:space="preserve"> et al., 2014</w:t>
      </w:r>
      <w:r w:rsidR="0096103D" w:rsidRPr="00BE5613">
        <w:t>).</w:t>
      </w:r>
      <w:r w:rsidR="00310F5B" w:rsidRPr="00BE5613">
        <w:rPr>
          <w:rStyle w:val="FootnoteReference"/>
        </w:rPr>
        <w:footnoteReference w:id="2"/>
      </w:r>
      <w:r w:rsidR="0096103D" w:rsidRPr="00BE5613">
        <w:t xml:space="preserve"> Albeit it is possible to incorporate non-desirable outputs and extend </w:t>
      </w:r>
      <w:r w:rsidR="0096103D" w:rsidRPr="00BE5613">
        <w:lastRenderedPageBreak/>
        <w:t xml:space="preserve">measurement in a non-radial direction, the ambition is to pinpoint contextual factors of the operating environment of municipalities that contribute to better performance or hamper it. </w:t>
      </w:r>
      <w:r w:rsidR="00CE209F" w:rsidRPr="00BE5613">
        <w:t>Even</w:t>
      </w:r>
      <w:r w:rsidR="009E5E01" w:rsidRPr="00BE5613">
        <w:t xml:space="preserve"> though</w:t>
      </w:r>
      <w:r w:rsidR="00CE209F" w:rsidRPr="00BE5613">
        <w:t xml:space="preserve"> it is possible to presume that applicability extends </w:t>
      </w:r>
      <w:r w:rsidR="00CE209F" w:rsidRPr="00BE5613">
        <w:rPr>
          <w:i/>
        </w:rPr>
        <w:t>mutatis mutandis</w:t>
      </w:r>
      <w:r w:rsidR="00CE209F" w:rsidRPr="00BE5613">
        <w:t xml:space="preserve"> to non-radial models with undesirable outputs, the presently available two-stage approaches lack this theoretical </w:t>
      </w:r>
      <w:proofErr w:type="gramStart"/>
      <w:r w:rsidR="00CE209F" w:rsidRPr="00BE5613">
        <w:t>justification</w:t>
      </w:r>
      <w:proofErr w:type="gramEnd"/>
      <w:r w:rsidR="00CE209F" w:rsidRPr="00BE5613">
        <w:t xml:space="preserve"> and any attempt of the sort would be of a heuristic nature, be that post-hoc regression </w:t>
      </w:r>
      <w:r w:rsidR="002F69A1" w:rsidRPr="00BE5613">
        <w:t>modelling</w:t>
      </w:r>
      <w:r w:rsidR="00CE209F" w:rsidRPr="00BE5613">
        <w:t xml:space="preserve"> in the style of Simar and Wilson (2007) or Banker and Natarajan (2008) or full unconditional-to-conditional analysis in the style of </w:t>
      </w:r>
      <w:proofErr w:type="spellStart"/>
      <w:r w:rsidR="00CE209F" w:rsidRPr="00BE5613">
        <w:t>Daraio</w:t>
      </w:r>
      <w:proofErr w:type="spellEnd"/>
      <w:r w:rsidR="00CE209F" w:rsidRPr="00BE5613">
        <w:t xml:space="preserve"> and Simar (2005, 2007).</w:t>
      </w:r>
    </w:p>
    <w:p w14:paraId="4497E826" w14:textId="77777777" w:rsidR="0096103D" w:rsidRPr="00BE5613" w:rsidRDefault="002E7339" w:rsidP="00AA45FA">
      <w:pPr>
        <w:spacing w:line="480" w:lineRule="auto"/>
        <w:ind w:firstLine="567"/>
        <w:jc w:val="both"/>
      </w:pPr>
      <w:r w:rsidRPr="00BE5613">
        <w:t>Of course, the catalogue of production variables is far from being complete. Some studies often include inputs like the number of vehicles or employees engaged in WM service (</w:t>
      </w:r>
      <w:r w:rsidR="00CF64FA" w:rsidRPr="00BE5613">
        <w:t xml:space="preserve">e.g., </w:t>
      </w:r>
      <w:r w:rsidR="0036109B" w:rsidRPr="00BE5613">
        <w:t xml:space="preserve">García-Sánchez, 2008; </w:t>
      </w:r>
      <w:proofErr w:type="spellStart"/>
      <w:r w:rsidR="0036109B" w:rsidRPr="00BE5613">
        <w:t>Sarra</w:t>
      </w:r>
      <w:proofErr w:type="spellEnd"/>
      <w:r w:rsidR="0036109B" w:rsidRPr="00BE5613">
        <w:t xml:space="preserve"> et al., 2017; </w:t>
      </w:r>
      <w:r w:rsidR="00CF64FA" w:rsidRPr="00BE5613">
        <w:t>Salazar-Adams, 2021</w:t>
      </w:r>
      <w:r w:rsidRPr="00BE5613">
        <w:t>), but these variables are just another expression of cost items that are considered here in compact form as MSWE. For Czech municipalities these indicators are irrelevan</w:t>
      </w:r>
      <w:r w:rsidR="009E5E01" w:rsidRPr="00BE5613">
        <w:t>t since provision of WM service</w:t>
      </w:r>
      <w:r w:rsidRPr="00BE5613">
        <w:t xml:space="preserve"> is typically outsourced and delegated to an external company. In other studies residual (</w:t>
      </w:r>
      <w:r w:rsidR="00E64931" w:rsidRPr="00BE5613">
        <w:t>non-sorted, non-</w:t>
      </w:r>
      <w:proofErr w:type="spellStart"/>
      <w:r w:rsidR="00E64931" w:rsidRPr="00BE5613">
        <w:t>spearated</w:t>
      </w:r>
      <w:proofErr w:type="spellEnd"/>
      <w:r w:rsidRPr="00BE5613">
        <w:t xml:space="preserve">) waste is singled out as an undesired output (e.g., Romano and </w:t>
      </w:r>
      <w:proofErr w:type="spellStart"/>
      <w:r w:rsidRPr="00BE5613">
        <w:t>Molinos-Senante</w:t>
      </w:r>
      <w:proofErr w:type="spellEnd"/>
      <w:r w:rsidRPr="00BE5613">
        <w:t>, 2020).</w:t>
      </w:r>
      <w:r w:rsidR="00842ED1" w:rsidRPr="00BE5613">
        <w:t xml:space="preserve"> This variable is </w:t>
      </w:r>
      <w:proofErr w:type="gramStart"/>
      <w:r w:rsidR="00842ED1" w:rsidRPr="00BE5613">
        <w:t>actually treated</w:t>
      </w:r>
      <w:proofErr w:type="gramEnd"/>
      <w:r w:rsidR="00842ED1" w:rsidRPr="00BE5613">
        <w:t xml:space="preserve"> in Models I</w:t>
      </w:r>
      <w:r w:rsidR="00E51DA2" w:rsidRPr="00BE5613">
        <w:t>I to IV</w:t>
      </w:r>
      <w:r w:rsidR="00842ED1" w:rsidRPr="00BE5613">
        <w:t xml:space="preserve"> </w:t>
      </w:r>
      <w:r w:rsidR="00961324" w:rsidRPr="00BE5613">
        <w:t>implicitly in a</w:t>
      </w:r>
      <w:r w:rsidR="00842ED1" w:rsidRPr="00BE5613">
        <w:t xml:space="preserve"> difference fashion by considering total waste and separated waste as outputs or by placing them on different sides of the production process.</w:t>
      </w:r>
      <w:r w:rsidR="00E51DA2" w:rsidRPr="00BE5613">
        <w:rPr>
          <w:rStyle w:val="FootnoteReference"/>
        </w:rPr>
        <w:footnoteReference w:id="3"/>
      </w:r>
      <w:r w:rsidR="00E51DA2" w:rsidRPr="00BE5613">
        <w:t xml:space="preserve"> </w:t>
      </w:r>
    </w:p>
    <w:p w14:paraId="12B1DB24" w14:textId="77777777" w:rsidR="00AA45FA" w:rsidRPr="00BE5613" w:rsidRDefault="00AA45FA" w:rsidP="00AA45FA">
      <w:pPr>
        <w:spacing w:line="480" w:lineRule="auto"/>
        <w:jc w:val="both"/>
      </w:pPr>
    </w:p>
    <w:p w14:paraId="4C30A5AE" w14:textId="77777777" w:rsidR="000113E9" w:rsidRPr="00BE5613" w:rsidRDefault="000113E9" w:rsidP="00AA45FA">
      <w:pPr>
        <w:spacing w:line="480" w:lineRule="auto"/>
        <w:jc w:val="both"/>
      </w:pPr>
      <w:r w:rsidRPr="00BE5613">
        <w:t xml:space="preserve">3.2 Potential contextual factors affecting WM performance </w:t>
      </w:r>
    </w:p>
    <w:p w14:paraId="0150E77F" w14:textId="77777777" w:rsidR="00E164DE" w:rsidRPr="00BE5613" w:rsidRDefault="000113E9" w:rsidP="00AA45FA">
      <w:pPr>
        <w:spacing w:line="480" w:lineRule="auto"/>
        <w:ind w:firstLine="567"/>
        <w:jc w:val="both"/>
      </w:pPr>
      <w:r w:rsidRPr="00BE5613">
        <w:t xml:space="preserve">Recent literature offers numerous suggestions about potential drivers of performance in MSWM (e.g., Guerrini et al., 2017; di Foggia and </w:t>
      </w:r>
      <w:proofErr w:type="spellStart"/>
      <w:r w:rsidRPr="00BE5613">
        <w:t>Beccarello</w:t>
      </w:r>
      <w:proofErr w:type="spellEnd"/>
      <w:r w:rsidRPr="00BE5613">
        <w:t xml:space="preserve">, 2020). In practice, analysis is </w:t>
      </w:r>
      <w:r w:rsidRPr="00BE5613">
        <w:lastRenderedPageBreak/>
        <w:t xml:space="preserve">typically limited by data availability, which is an issue </w:t>
      </w:r>
      <w:r w:rsidR="00E64931" w:rsidRPr="00BE5613">
        <w:t xml:space="preserve">also </w:t>
      </w:r>
      <w:r w:rsidRPr="00BE5613">
        <w:t>in the Czech Republic, where there are long-standing disputes concerning public unavailability of relevant WM data apart from those aggregated at a central or regional level.</w:t>
      </w:r>
      <w:r w:rsidR="00E164DE" w:rsidRPr="00BE5613">
        <w:t xml:space="preserve"> In consequence, there is no kind of a </w:t>
      </w:r>
      <w:r w:rsidR="009E5E01" w:rsidRPr="00BE5613">
        <w:t xml:space="preserve">publicly available </w:t>
      </w:r>
      <w:r w:rsidR="00E164DE" w:rsidRPr="00BE5613">
        <w:t xml:space="preserve">central database storing data on WM for a municipal level. Conversations with municipal officials responsible for WM in their municipalities, a review of the extant empirical literature and explorations of available data gave rise to a list of </w:t>
      </w:r>
      <w:r w:rsidR="001D68F8" w:rsidRPr="00BE5613">
        <w:t xml:space="preserve">12 </w:t>
      </w:r>
      <w:r w:rsidR="00E164DE" w:rsidRPr="00BE5613">
        <w:t xml:space="preserve">potential factors related to the operational environment of providing WM service. These contextual factors whose effect upon performance might be positive or negative are listed in Table </w:t>
      </w:r>
      <w:r w:rsidR="00E164DE" w:rsidRPr="00BE5613">
        <w:fldChar w:fldCharType="begin"/>
      </w:r>
      <w:r w:rsidR="00E164DE" w:rsidRPr="00BE5613">
        <w:instrText xml:space="preserve"> REF table_contextualvars \h </w:instrText>
      </w:r>
      <w:r w:rsidR="00AA45FA" w:rsidRPr="00BE5613">
        <w:instrText xml:space="preserve"> \* MERGEFORMAT </w:instrText>
      </w:r>
      <w:r w:rsidR="00E164DE" w:rsidRPr="00BE5613">
        <w:fldChar w:fldCharType="separate"/>
      </w:r>
      <w:r w:rsidR="00AA45FA" w:rsidRPr="00BE5613">
        <w:t>2</w:t>
      </w:r>
      <w:r w:rsidR="00E164DE" w:rsidRPr="00BE5613">
        <w:fldChar w:fldCharType="end"/>
      </w:r>
      <w:r w:rsidR="001460BA" w:rsidRPr="00BE5613">
        <w:t xml:space="preserve"> with a brief description and statement of the anticipated influence upon WM performance. The anticipated effect (+, –, +/–) comes either from available empirical literature where these factors were previously studied or from insights intermediated by municipal officials. To the best knowledge</w:t>
      </w:r>
      <w:r w:rsidR="00E64931" w:rsidRPr="00BE5613">
        <w:t xml:space="preserve"> of the authors</w:t>
      </w:r>
      <w:r w:rsidR="001460BA" w:rsidRPr="00BE5613">
        <w:t>, some of these factors are novel and have not been applied previously in a WM performance analysis. In no manner is it claimed that these factors can be easily disentangled from inputs and outputs. Conversely, some of them are directly related to total or non-separated waste collected, which is properly taken under advisement in the adopted analytical technique.</w:t>
      </w:r>
      <w:r w:rsidR="001D68F8" w:rsidRPr="00BE5613">
        <w:t xml:space="preserve"> It is also worthwhile noting that the 12 contextual variables </w:t>
      </w:r>
      <w:r w:rsidR="00404C35" w:rsidRPr="00BE5613">
        <w:t>vary</w:t>
      </w:r>
      <w:r w:rsidR="001D68F8" w:rsidRPr="00BE5613">
        <w:t xml:space="preserve"> in t</w:t>
      </w:r>
      <w:r w:rsidR="00404C35" w:rsidRPr="00BE5613">
        <w:t xml:space="preserve">erms of their measurement scale including numeric and nominal variables. </w:t>
      </w:r>
    </w:p>
    <w:p w14:paraId="17CD9A1A" w14:textId="77777777" w:rsidR="00404C35" w:rsidRPr="00BE5613" w:rsidRDefault="00404C35" w:rsidP="00AA45FA">
      <w:pPr>
        <w:spacing w:line="480" w:lineRule="auto"/>
        <w:ind w:firstLine="567"/>
        <w:jc w:val="both"/>
      </w:pPr>
      <w:r w:rsidRPr="00BE5613">
        <w:t xml:space="preserve">Whereas the content and measurement units of contextual variables are displayed in Table </w:t>
      </w:r>
      <w:r w:rsidRPr="00BE5613">
        <w:fldChar w:fldCharType="begin"/>
      </w:r>
      <w:r w:rsidRPr="00BE5613">
        <w:instrText xml:space="preserve"> REF table_contextualvars \h </w:instrText>
      </w:r>
      <w:r w:rsidR="00AA45FA" w:rsidRPr="00BE5613">
        <w:instrText xml:space="preserve"> \* MERGEFORMAT </w:instrText>
      </w:r>
      <w:r w:rsidRPr="00BE5613">
        <w:fldChar w:fldCharType="separate"/>
      </w:r>
      <w:r w:rsidR="00AA45FA" w:rsidRPr="00BE5613">
        <w:t>2</w:t>
      </w:r>
      <w:r w:rsidRPr="00BE5613">
        <w:fldChar w:fldCharType="end"/>
      </w:r>
      <w:r w:rsidRPr="00BE5613">
        <w:t>, the following reasoning applies to their choice and the presumed anticipated influence:</w:t>
      </w:r>
    </w:p>
    <w:p w14:paraId="459D9C4E" w14:textId="77777777" w:rsidR="00404C35" w:rsidRPr="00BE5613" w:rsidRDefault="00404C35" w:rsidP="00AA45FA">
      <w:pPr>
        <w:numPr>
          <w:ilvl w:val="0"/>
          <w:numId w:val="6"/>
        </w:numPr>
        <w:spacing w:line="480" w:lineRule="auto"/>
        <w:jc w:val="both"/>
      </w:pPr>
      <w:r w:rsidRPr="00BE5613">
        <w:t xml:space="preserve">MSW collection frequency/month (z1): If waste collection occurs more frequently, it is more </w:t>
      </w:r>
      <w:r w:rsidR="009E5E01" w:rsidRPr="00BE5613">
        <w:t>convenient to customers</w:t>
      </w:r>
      <w:r w:rsidRPr="00BE5613">
        <w:t xml:space="preserve"> as less capacity is needed for storing waste between two pick-ups. On the other hand, this typically entails higher costs. Collection frequency varies from four times per month to as low as once per month in municipalities with a </w:t>
      </w:r>
      <w:r w:rsidRPr="00BE5613">
        <w:lastRenderedPageBreak/>
        <w:t xml:space="preserve">biweekly collection schedule alternating non-separated (residual) and green waste. </w:t>
      </w:r>
      <w:r w:rsidR="002755D7" w:rsidRPr="00BE5613">
        <w:t>The anticipated effect upon performance is negative (–).</w:t>
      </w:r>
    </w:p>
    <w:p w14:paraId="4A823EE7" w14:textId="77777777" w:rsidR="002755D7" w:rsidRPr="00BE5613" w:rsidRDefault="002755D7" w:rsidP="00AA45FA">
      <w:pPr>
        <w:numPr>
          <w:ilvl w:val="0"/>
          <w:numId w:val="6"/>
        </w:numPr>
        <w:spacing w:line="480" w:lineRule="auto"/>
        <w:jc w:val="both"/>
      </w:pPr>
      <w:r w:rsidRPr="00BE5613">
        <w:t>Bin records (z2): A municipality can keep track of the number of bins for non-separated (residual) waste used in the form annually issued stickers or barcodes. Whilst there is no theory justifying the effect on performance, some municipal officials suggested that with proper records the municipality is billed less by the WM company. Nonetheless, the anticipated effect upon performance is ambiguous (+/–).</w:t>
      </w:r>
    </w:p>
    <w:p w14:paraId="01B40EEB" w14:textId="77777777" w:rsidR="002755D7" w:rsidRPr="00BE5613" w:rsidRDefault="002755D7" w:rsidP="00AA45FA">
      <w:pPr>
        <w:numPr>
          <w:ilvl w:val="0"/>
          <w:numId w:val="6"/>
        </w:numPr>
        <w:spacing w:line="480" w:lineRule="auto"/>
        <w:jc w:val="both"/>
      </w:pPr>
      <w:r w:rsidRPr="00BE5613">
        <w:t>HWRC open per week (z3): Most municipali</w:t>
      </w:r>
      <w:r w:rsidR="004771D9" w:rsidRPr="00BE5613">
        <w:t xml:space="preserve">ties (73 %) operate no </w:t>
      </w:r>
      <w:r w:rsidR="00DC5F40" w:rsidRPr="00BE5613">
        <w:t>household waste recycling centre (HWRC)</w:t>
      </w:r>
      <w:r w:rsidR="00DC5F40" w:rsidRPr="00BE5613">
        <w:rPr>
          <w:rStyle w:val="FootnoteReference"/>
        </w:rPr>
        <w:footnoteReference w:id="4"/>
      </w:r>
      <w:r w:rsidR="00DC5F40" w:rsidRPr="00BE5613">
        <w:t xml:space="preserve"> </w:t>
      </w:r>
      <w:r w:rsidR="004771D9" w:rsidRPr="00BE5613">
        <w:t>or</w:t>
      </w:r>
      <w:r w:rsidRPr="00BE5613">
        <w:t xml:space="preserve"> comparable facility, so this frequency is zero. With a</w:t>
      </w:r>
      <w:r w:rsidR="00E81BF8" w:rsidRPr="00BE5613">
        <w:t>n</w:t>
      </w:r>
      <w:r w:rsidRPr="00BE5613">
        <w:t xml:space="preserve"> HWRC present, the availability ranges between six days per week to once a month with an average being twice per week. Better availability should result in less waste ending up in residual waste bins, but the price is higher costs. For this reason, it is difficult to determine </w:t>
      </w:r>
      <w:r w:rsidR="009E5E01" w:rsidRPr="00BE5613">
        <w:t>the</w:t>
      </w:r>
      <w:r w:rsidRPr="00BE5613">
        <w:t xml:space="preserve"> anticipated effect (+/–).</w:t>
      </w:r>
    </w:p>
    <w:p w14:paraId="73AD0F88" w14:textId="77777777" w:rsidR="004771D9" w:rsidRPr="00BE5613" w:rsidRDefault="00F82069" w:rsidP="00AA45FA">
      <w:pPr>
        <w:numPr>
          <w:ilvl w:val="0"/>
          <w:numId w:val="6"/>
        </w:numPr>
        <w:spacing w:line="480" w:lineRule="auto"/>
        <w:jc w:val="both"/>
      </w:pPr>
      <w:r w:rsidRPr="00BE5613">
        <w:t xml:space="preserve">Availability of </w:t>
      </w:r>
      <w:r w:rsidR="00DC5F40" w:rsidRPr="00BE5613">
        <w:t xml:space="preserve">HWRC </w:t>
      </w:r>
      <w:r w:rsidRPr="00BE5613">
        <w:t>free-of-</w:t>
      </w:r>
      <w:r w:rsidR="004771D9" w:rsidRPr="00BE5613">
        <w:t>charge (z4)</w:t>
      </w:r>
      <w:r w:rsidR="00074060" w:rsidRPr="00BE5613">
        <w:rPr>
          <w:rStyle w:val="FootnoteReference"/>
        </w:rPr>
        <w:footnoteReference w:id="5"/>
      </w:r>
      <w:r w:rsidR="004771D9" w:rsidRPr="00BE5613">
        <w:t>: Albeit charging no fee for leaving recyclables at a</w:t>
      </w:r>
      <w:r w:rsidR="00E81BF8" w:rsidRPr="00BE5613">
        <w:t>n</w:t>
      </w:r>
      <w:r w:rsidR="004771D9" w:rsidRPr="00BE5613">
        <w:t xml:space="preserve"> HWRC or a comparable facility should encourage a higher tendency towards waste separation, the ultimate effect might be in the end marginal as </w:t>
      </w:r>
      <w:proofErr w:type="gramStart"/>
      <w:r w:rsidR="004771D9" w:rsidRPr="00BE5613">
        <w:t>a majority of</w:t>
      </w:r>
      <w:proofErr w:type="gramEnd"/>
      <w:r w:rsidR="004771D9" w:rsidRPr="00BE5613">
        <w:t xml:space="preserve"> recyclables are collected through drop-off sites. </w:t>
      </w:r>
      <w:r w:rsidR="00074060" w:rsidRPr="00BE5613">
        <w:t>Hence, t</w:t>
      </w:r>
      <w:r w:rsidR="004771D9" w:rsidRPr="00BE5613">
        <w:t>he anticipated effect is ambiguous (+/–).</w:t>
      </w:r>
    </w:p>
    <w:p w14:paraId="5139BD28" w14:textId="77777777" w:rsidR="001D68F8" w:rsidRPr="00BE5613" w:rsidRDefault="004771D9" w:rsidP="00AA45FA">
      <w:pPr>
        <w:numPr>
          <w:ilvl w:val="0"/>
          <w:numId w:val="6"/>
        </w:numPr>
        <w:spacing w:line="480" w:lineRule="auto"/>
        <w:jc w:val="both"/>
      </w:pPr>
      <w:r w:rsidRPr="00BE5613">
        <w:t xml:space="preserve">Separation drop-off sites (z5): Higher availability of sites increases </w:t>
      </w:r>
      <w:r w:rsidR="009E5E01" w:rsidRPr="00BE5613">
        <w:t>convenience</w:t>
      </w:r>
      <w:r w:rsidRPr="00BE5613">
        <w:t xml:space="preserve"> and subsequently an inclination to waste </w:t>
      </w:r>
      <w:proofErr w:type="gramStart"/>
      <w:r w:rsidRPr="00BE5613">
        <w:t>separation, but</w:t>
      </w:r>
      <w:proofErr w:type="gramEnd"/>
      <w:r w:rsidRPr="00BE5613">
        <w:t xml:space="preserve"> requires higher costs to operate more sites.</w:t>
      </w:r>
      <w:r w:rsidR="00BD0BBB" w:rsidRPr="00BE5613">
        <w:t xml:space="preserve"> </w:t>
      </w:r>
      <w:r w:rsidRPr="00BE5613">
        <w:t xml:space="preserve">Some municipalities with collection of recyclables from individual </w:t>
      </w:r>
      <w:r w:rsidR="006E3D56" w:rsidRPr="00BE5613">
        <w:t>housing units</w:t>
      </w:r>
      <w:r w:rsidRPr="00BE5613">
        <w:t xml:space="preserve"> even do not use drop-off sites</w:t>
      </w:r>
      <w:r w:rsidR="006E3D56" w:rsidRPr="00BE5613">
        <w:t xml:space="preserve"> at all</w:t>
      </w:r>
      <w:r w:rsidRPr="00BE5613">
        <w:t>. Depending on the model, the anticipated effect is ambiguous (+/–).</w:t>
      </w:r>
    </w:p>
    <w:p w14:paraId="2F1A95E7" w14:textId="77777777" w:rsidR="004771D9" w:rsidRPr="00BE5613" w:rsidRDefault="004771D9" w:rsidP="00AA45FA">
      <w:pPr>
        <w:numPr>
          <w:ilvl w:val="0"/>
          <w:numId w:val="6"/>
        </w:numPr>
        <w:spacing w:line="480" w:lineRule="auto"/>
        <w:jc w:val="both"/>
      </w:pPr>
      <w:r w:rsidRPr="00BE5613">
        <w:lastRenderedPageBreak/>
        <w:t xml:space="preserve">Population per separation drop-off site (z6): A lower density of </w:t>
      </w:r>
      <w:r w:rsidR="00980B70" w:rsidRPr="00BE5613">
        <w:t xml:space="preserve">drop-off sites may suggest lowered costs, but also implies lessened </w:t>
      </w:r>
      <w:r w:rsidR="006E3D56" w:rsidRPr="00BE5613">
        <w:t>convenience</w:t>
      </w:r>
      <w:r w:rsidR="00980B70" w:rsidRPr="00BE5613">
        <w:t xml:space="preserve"> for citizens, and in consequence a lower turnover of separated waste. It is therefore difficult to state the anticipated effect (+/–).</w:t>
      </w:r>
    </w:p>
    <w:p w14:paraId="29F587C0" w14:textId="77777777" w:rsidR="00980B70" w:rsidRPr="00BE5613" w:rsidRDefault="00980B70" w:rsidP="00AA45FA">
      <w:pPr>
        <w:numPr>
          <w:ilvl w:val="0"/>
          <w:numId w:val="6"/>
        </w:numPr>
        <w:spacing w:line="480" w:lineRule="auto"/>
        <w:jc w:val="both"/>
      </w:pPr>
      <w:r w:rsidRPr="00BE5613">
        <w:t>Curbside collection of recyclables (z7): Regardless of whether it is in the form of bins or sacks, cur</w:t>
      </w:r>
      <w:r w:rsidR="00B819A9" w:rsidRPr="00BE5613">
        <w:t>b</w:t>
      </w:r>
      <w:r w:rsidRPr="00BE5613">
        <w:t xml:space="preserve">side collection grants citizens a very high level of </w:t>
      </w:r>
      <w:r w:rsidR="006E3D56" w:rsidRPr="00BE5613">
        <w:t xml:space="preserve">convenience </w:t>
      </w:r>
      <w:r w:rsidRPr="00BE5613">
        <w:t>and suggests higher willingness to participate in waste separation. Increased costs of source collection are usually compensated by lower costs for less frequent drop-off sites that are no longer needed as previously. Hence, a positive effect upon performance may be anticipated (+).</w:t>
      </w:r>
    </w:p>
    <w:p w14:paraId="4B659981" w14:textId="77777777" w:rsidR="00980B70" w:rsidRPr="00BE5613" w:rsidRDefault="00980B70" w:rsidP="00AA45FA">
      <w:pPr>
        <w:numPr>
          <w:ilvl w:val="0"/>
          <w:numId w:val="6"/>
        </w:numPr>
        <w:spacing w:line="480" w:lineRule="auto"/>
        <w:jc w:val="both"/>
      </w:pPr>
      <w:r w:rsidRPr="00BE5613">
        <w:t>Waste separation incentive program (z8): With incentives, people are motivated to separate more assiduously, which results in lower volumes of residual waste and greater volumes of recyclables that are typically much cheaper to treat. Therefore, the anticipated effect is positive (+).</w:t>
      </w:r>
    </w:p>
    <w:p w14:paraId="13BED204" w14:textId="77777777" w:rsidR="00980B70" w:rsidRPr="00BE5613" w:rsidRDefault="00CF0F4B" w:rsidP="00AA45FA">
      <w:pPr>
        <w:numPr>
          <w:ilvl w:val="0"/>
          <w:numId w:val="6"/>
        </w:numPr>
        <w:spacing w:line="480" w:lineRule="auto"/>
        <w:jc w:val="both"/>
      </w:pPr>
      <w:r w:rsidRPr="00BE5613">
        <w:t>Gree</w:t>
      </w:r>
      <w:r w:rsidR="00647411" w:rsidRPr="00BE5613">
        <w:t>n waste collection program (z9):</w:t>
      </w:r>
      <w:r w:rsidRPr="00BE5613">
        <w:t xml:space="preserve"> On the one hand, diverting green waste from residual waste is likely to induce savings on account of less residual waste. On the other hand, separate collection </w:t>
      </w:r>
      <w:r w:rsidR="00647411" w:rsidRPr="00BE5613">
        <w:t>of another category of waste generates additional costs. Thus, the anticipated effect is ambiguous (+/–).</w:t>
      </w:r>
    </w:p>
    <w:p w14:paraId="1A8BA95D" w14:textId="77777777" w:rsidR="00647411" w:rsidRPr="00BE5613" w:rsidRDefault="006E3D56" w:rsidP="00AA45FA">
      <w:pPr>
        <w:numPr>
          <w:ilvl w:val="0"/>
          <w:numId w:val="6"/>
        </w:numPr>
        <w:spacing w:line="480" w:lineRule="auto"/>
        <w:jc w:val="both"/>
      </w:pPr>
      <w:r w:rsidRPr="00BE5613">
        <w:t>Share of condomin</w:t>
      </w:r>
      <w:r w:rsidR="003039A8" w:rsidRPr="00BE5613">
        <w:t>ium housing units</w:t>
      </w:r>
      <w:r w:rsidRPr="00BE5613">
        <w:t xml:space="preserve"> </w:t>
      </w:r>
      <w:r w:rsidR="00647411" w:rsidRPr="00BE5613">
        <w:t xml:space="preserve">(z10): Municipal officials suggested this type of housing structures to be more problematic for waste collection with a pressure upon costs. Yet, condominiums </w:t>
      </w:r>
      <w:r w:rsidRPr="00BE5613">
        <w:t>imply a highly</w:t>
      </w:r>
      <w:r w:rsidR="00647411" w:rsidRPr="00BE5613">
        <w:t xml:space="preserve"> concentrated </w:t>
      </w:r>
      <w:r w:rsidRPr="00BE5613">
        <w:t xml:space="preserve">population </w:t>
      </w:r>
      <w:r w:rsidR="00647411" w:rsidRPr="00BE5613">
        <w:t>and could incur less unit costs as compared to scattered single-family houses. Thus, the anticipated effect is difficult to state (+/–)</w:t>
      </w:r>
      <w:r w:rsidR="00900D84" w:rsidRPr="00BE5613">
        <w:t>.</w:t>
      </w:r>
    </w:p>
    <w:p w14:paraId="7AED1A51" w14:textId="77777777" w:rsidR="00900D84" w:rsidRPr="00BE5613" w:rsidRDefault="00900D84" w:rsidP="00AA45FA">
      <w:pPr>
        <w:numPr>
          <w:ilvl w:val="0"/>
          <w:numId w:val="6"/>
        </w:numPr>
        <w:spacing w:line="480" w:lineRule="auto"/>
        <w:jc w:val="both"/>
      </w:pPr>
      <w:r w:rsidRPr="00BE5613">
        <w:t xml:space="preserve">Share of recreational dwellings (z11): Municipal officials generally pinpointed recreational dwellings as more problematic on account of irregular waste generation by </w:t>
      </w:r>
      <w:r w:rsidRPr="00BE5613">
        <w:lastRenderedPageBreak/>
        <w:t>their owners and visitors who pay less-caring attitudes. With the result being more frequent littering than elsewhere, the anticipated effect is negative (–).</w:t>
      </w:r>
    </w:p>
    <w:p w14:paraId="751784D7" w14:textId="77777777" w:rsidR="00900D84" w:rsidRPr="00BE5613" w:rsidRDefault="00900D84" w:rsidP="00AA45FA">
      <w:pPr>
        <w:numPr>
          <w:ilvl w:val="0"/>
          <w:numId w:val="6"/>
        </w:numPr>
        <w:spacing w:line="480" w:lineRule="auto"/>
        <w:jc w:val="both"/>
      </w:pPr>
      <w:r w:rsidRPr="00BE5613">
        <w:t>Po</w:t>
      </w:r>
      <w:r w:rsidR="00FB1294" w:rsidRPr="00BE5613">
        <w:t>pulation to built-up area (z12):</w:t>
      </w:r>
      <w:r w:rsidRPr="00BE5613">
        <w:t xml:space="preserve"> A higher concentration of people should ease waste collection, and WM should benefit form economies of size. As a result, the anticipated effect upon performance is positive (+).</w:t>
      </w:r>
    </w:p>
    <w:p w14:paraId="22503035" w14:textId="77777777" w:rsidR="00E164DE" w:rsidRPr="00BE5613" w:rsidRDefault="00E164DE" w:rsidP="000113E9">
      <w:pPr>
        <w:ind w:firstLine="567"/>
        <w:jc w:val="both"/>
      </w:pPr>
    </w:p>
    <w:p w14:paraId="79561DB8" w14:textId="77777777" w:rsidR="00E164DE" w:rsidRPr="00BE5613" w:rsidRDefault="00E164DE" w:rsidP="00E164DE">
      <w:pPr>
        <w:jc w:val="both"/>
      </w:pPr>
      <w:r w:rsidRPr="00BE5613">
        <w:t xml:space="preserve">Table </w:t>
      </w:r>
      <w:bookmarkStart w:id="2" w:name="table_contextualvars"/>
      <w:r w:rsidRPr="00BE5613">
        <w:fldChar w:fldCharType="begin"/>
      </w:r>
      <w:r w:rsidRPr="00BE5613">
        <w:instrText xml:space="preserve"> SEQ Table \* ARABIC </w:instrText>
      </w:r>
      <w:r w:rsidRPr="00BE5613">
        <w:fldChar w:fldCharType="separate"/>
      </w:r>
      <w:r w:rsidR="00AA45FA" w:rsidRPr="00BE5613">
        <w:rPr>
          <w:noProof/>
        </w:rPr>
        <w:t>2</w:t>
      </w:r>
      <w:r w:rsidRPr="00BE5613">
        <w:fldChar w:fldCharType="end"/>
      </w:r>
      <w:bookmarkEnd w:id="2"/>
      <w:r w:rsidRPr="00BE5613">
        <w:t>: Contextual variables and their expected influence upon MSWM performance</w:t>
      </w:r>
    </w:p>
    <w:tbl>
      <w:tblPr>
        <w:tblW w:w="9127" w:type="dxa"/>
        <w:tblBorders>
          <w:top w:val="single" w:sz="4" w:space="0" w:color="auto"/>
          <w:bottom w:val="single" w:sz="4" w:space="0" w:color="auto"/>
          <w:insideH w:val="single" w:sz="4" w:space="0" w:color="auto"/>
        </w:tblBorders>
        <w:shd w:val="clear" w:color="auto" w:fill="FFFFFF"/>
        <w:tblCellMar>
          <w:left w:w="28" w:type="dxa"/>
          <w:right w:w="28" w:type="dxa"/>
        </w:tblCellMar>
        <w:tblLook w:val="01E0" w:firstRow="1" w:lastRow="1" w:firstColumn="1" w:lastColumn="1" w:noHBand="0" w:noVBand="0"/>
      </w:tblPr>
      <w:tblGrid>
        <w:gridCol w:w="771"/>
        <w:gridCol w:w="6203"/>
        <w:gridCol w:w="1229"/>
        <w:gridCol w:w="924"/>
      </w:tblGrid>
      <w:tr w:rsidR="00E164DE" w:rsidRPr="00BE5613" w14:paraId="6031C110" w14:textId="77777777">
        <w:trPr>
          <w:trHeight w:val="448"/>
        </w:trPr>
        <w:tc>
          <w:tcPr>
            <w:tcW w:w="771" w:type="dxa"/>
            <w:shd w:val="clear" w:color="auto" w:fill="FFFFFF"/>
            <w:vAlign w:val="center"/>
          </w:tcPr>
          <w:p w14:paraId="77BF0C15" w14:textId="77777777" w:rsidR="00E164DE" w:rsidRPr="00BE5613" w:rsidRDefault="00E164DE" w:rsidP="003D4C06">
            <w:pPr>
              <w:jc w:val="center"/>
              <w:rPr>
                <w:b/>
                <w:sz w:val="22"/>
                <w:szCs w:val="22"/>
              </w:rPr>
            </w:pPr>
            <w:r w:rsidRPr="00BE5613">
              <w:rPr>
                <w:b/>
                <w:sz w:val="22"/>
                <w:szCs w:val="22"/>
              </w:rPr>
              <w:t>Code</w:t>
            </w:r>
          </w:p>
        </w:tc>
        <w:tc>
          <w:tcPr>
            <w:tcW w:w="6203" w:type="dxa"/>
            <w:shd w:val="clear" w:color="auto" w:fill="FFFFFF"/>
            <w:vAlign w:val="center"/>
          </w:tcPr>
          <w:p w14:paraId="773F85B9" w14:textId="77777777" w:rsidR="00E164DE" w:rsidRPr="00BE5613" w:rsidRDefault="00E164DE" w:rsidP="003D4C06">
            <w:pPr>
              <w:jc w:val="center"/>
              <w:rPr>
                <w:b/>
                <w:sz w:val="22"/>
                <w:szCs w:val="22"/>
              </w:rPr>
            </w:pPr>
            <w:r w:rsidRPr="00BE5613">
              <w:rPr>
                <w:b/>
                <w:sz w:val="22"/>
                <w:szCs w:val="22"/>
              </w:rPr>
              <w:t>Contextual variable and brief description</w:t>
            </w:r>
          </w:p>
        </w:tc>
        <w:tc>
          <w:tcPr>
            <w:tcW w:w="1229" w:type="dxa"/>
            <w:shd w:val="clear" w:color="auto" w:fill="FFFFFF"/>
            <w:vAlign w:val="center"/>
          </w:tcPr>
          <w:p w14:paraId="5AFA1366" w14:textId="77777777" w:rsidR="00E164DE" w:rsidRPr="00BE5613" w:rsidRDefault="00E164DE" w:rsidP="003D4C06">
            <w:pPr>
              <w:jc w:val="center"/>
              <w:rPr>
                <w:b/>
                <w:sz w:val="22"/>
                <w:szCs w:val="22"/>
              </w:rPr>
            </w:pPr>
            <w:r w:rsidRPr="00BE5613">
              <w:rPr>
                <w:b/>
                <w:sz w:val="22"/>
                <w:szCs w:val="22"/>
              </w:rPr>
              <w:t>Type</w:t>
            </w:r>
          </w:p>
        </w:tc>
        <w:tc>
          <w:tcPr>
            <w:tcW w:w="924" w:type="dxa"/>
            <w:shd w:val="clear" w:color="auto" w:fill="FFFFFF"/>
            <w:vAlign w:val="center"/>
          </w:tcPr>
          <w:p w14:paraId="46C7205F" w14:textId="77777777" w:rsidR="00E164DE" w:rsidRPr="00BE5613" w:rsidRDefault="00E164DE" w:rsidP="003D4C06">
            <w:pPr>
              <w:jc w:val="center"/>
              <w:rPr>
                <w:b/>
                <w:sz w:val="22"/>
                <w:szCs w:val="22"/>
              </w:rPr>
            </w:pPr>
            <w:r w:rsidRPr="00BE5613">
              <w:rPr>
                <w:b/>
                <w:sz w:val="22"/>
                <w:szCs w:val="22"/>
              </w:rPr>
              <w:t>Expected influence</w:t>
            </w:r>
          </w:p>
        </w:tc>
      </w:tr>
      <w:tr w:rsidR="00E164DE" w:rsidRPr="00BE5613" w14:paraId="299A1DD1" w14:textId="77777777">
        <w:trPr>
          <w:trHeight w:val="41"/>
        </w:trPr>
        <w:tc>
          <w:tcPr>
            <w:tcW w:w="771" w:type="dxa"/>
            <w:shd w:val="clear" w:color="auto" w:fill="FFFFFF"/>
            <w:vAlign w:val="center"/>
          </w:tcPr>
          <w:p w14:paraId="6FC879DF" w14:textId="77777777" w:rsidR="00E164DE" w:rsidRPr="00BE5613" w:rsidRDefault="00E164DE" w:rsidP="003D4C06">
            <w:pPr>
              <w:ind w:left="142" w:right="255"/>
              <w:jc w:val="center"/>
              <w:rPr>
                <w:sz w:val="22"/>
                <w:szCs w:val="22"/>
              </w:rPr>
            </w:pPr>
            <w:r w:rsidRPr="00BE5613">
              <w:rPr>
                <w:sz w:val="22"/>
                <w:szCs w:val="22"/>
              </w:rPr>
              <w:t>z1</w:t>
            </w:r>
          </w:p>
        </w:tc>
        <w:tc>
          <w:tcPr>
            <w:tcW w:w="6203" w:type="dxa"/>
            <w:shd w:val="clear" w:color="auto" w:fill="FFFFFF"/>
            <w:vAlign w:val="center"/>
          </w:tcPr>
          <w:p w14:paraId="78F851E6" w14:textId="77777777" w:rsidR="00E164DE" w:rsidRPr="00BE5613" w:rsidRDefault="00E164DE" w:rsidP="003D4C06">
            <w:pPr>
              <w:tabs>
                <w:tab w:val="left" w:pos="1673"/>
              </w:tabs>
              <w:ind w:left="224" w:right="114" w:hanging="142"/>
              <w:rPr>
                <w:sz w:val="22"/>
                <w:szCs w:val="22"/>
              </w:rPr>
            </w:pPr>
            <w:r w:rsidRPr="00BE5613">
              <w:rPr>
                <w:b/>
                <w:sz w:val="22"/>
                <w:szCs w:val="22"/>
              </w:rPr>
              <w:t>MSW collection frequency/month</w:t>
            </w:r>
            <w:r w:rsidRPr="00BE5613">
              <w:rPr>
                <w:sz w:val="22"/>
                <w:szCs w:val="22"/>
              </w:rPr>
              <w:t xml:space="preserve"> (measures how many times per month the WM company collects residual waste)</w:t>
            </w:r>
          </w:p>
        </w:tc>
        <w:tc>
          <w:tcPr>
            <w:tcW w:w="1229" w:type="dxa"/>
            <w:shd w:val="clear" w:color="auto" w:fill="FFFFFF"/>
            <w:vAlign w:val="center"/>
          </w:tcPr>
          <w:p w14:paraId="696AE85A" w14:textId="77777777" w:rsidR="00E164DE" w:rsidRPr="00BE5613" w:rsidRDefault="00E164DE" w:rsidP="003D4C06">
            <w:pPr>
              <w:tabs>
                <w:tab w:val="left" w:pos="1673"/>
              </w:tabs>
              <w:jc w:val="center"/>
              <w:rPr>
                <w:sz w:val="22"/>
                <w:szCs w:val="22"/>
              </w:rPr>
            </w:pPr>
            <w:r w:rsidRPr="00BE5613">
              <w:rPr>
                <w:sz w:val="22"/>
                <w:szCs w:val="22"/>
              </w:rPr>
              <w:t>discrete</w:t>
            </w:r>
          </w:p>
        </w:tc>
        <w:tc>
          <w:tcPr>
            <w:tcW w:w="924" w:type="dxa"/>
            <w:shd w:val="clear" w:color="auto" w:fill="FFFFFF"/>
            <w:vAlign w:val="center"/>
          </w:tcPr>
          <w:p w14:paraId="4560B204" w14:textId="77777777" w:rsidR="00E164DE" w:rsidRPr="00BE5613" w:rsidRDefault="00E164DE" w:rsidP="003D4C06">
            <w:pPr>
              <w:tabs>
                <w:tab w:val="left" w:pos="1673"/>
              </w:tabs>
              <w:jc w:val="center"/>
              <w:rPr>
                <w:sz w:val="22"/>
                <w:szCs w:val="22"/>
              </w:rPr>
            </w:pPr>
            <w:r w:rsidRPr="00BE5613">
              <w:rPr>
                <w:sz w:val="22"/>
                <w:szCs w:val="22"/>
              </w:rPr>
              <w:t>−</w:t>
            </w:r>
          </w:p>
        </w:tc>
      </w:tr>
      <w:tr w:rsidR="00E164DE" w:rsidRPr="00BE5613" w14:paraId="7D51FBC8" w14:textId="77777777">
        <w:trPr>
          <w:trHeight w:val="41"/>
        </w:trPr>
        <w:tc>
          <w:tcPr>
            <w:tcW w:w="771" w:type="dxa"/>
            <w:shd w:val="clear" w:color="auto" w:fill="FFFFFF"/>
            <w:vAlign w:val="center"/>
          </w:tcPr>
          <w:p w14:paraId="1876B704" w14:textId="77777777" w:rsidR="00E164DE" w:rsidRPr="00BE5613" w:rsidRDefault="00E164DE" w:rsidP="003D4C06">
            <w:pPr>
              <w:ind w:left="142" w:right="255"/>
              <w:jc w:val="center"/>
              <w:rPr>
                <w:sz w:val="22"/>
                <w:szCs w:val="22"/>
              </w:rPr>
            </w:pPr>
            <w:r w:rsidRPr="00BE5613">
              <w:rPr>
                <w:sz w:val="22"/>
                <w:szCs w:val="22"/>
              </w:rPr>
              <w:t>z2</w:t>
            </w:r>
          </w:p>
        </w:tc>
        <w:tc>
          <w:tcPr>
            <w:tcW w:w="6203" w:type="dxa"/>
            <w:shd w:val="clear" w:color="auto" w:fill="FFFFFF"/>
            <w:vAlign w:val="center"/>
          </w:tcPr>
          <w:p w14:paraId="1D57D0FF" w14:textId="77777777" w:rsidR="00E164DE" w:rsidRPr="00BE5613" w:rsidRDefault="00E164DE" w:rsidP="003D4C06">
            <w:pPr>
              <w:tabs>
                <w:tab w:val="left" w:pos="1673"/>
              </w:tabs>
              <w:ind w:left="224" w:right="114" w:hanging="142"/>
              <w:rPr>
                <w:sz w:val="22"/>
                <w:szCs w:val="22"/>
              </w:rPr>
            </w:pPr>
            <w:r w:rsidRPr="00BE5613">
              <w:rPr>
                <w:b/>
                <w:sz w:val="22"/>
                <w:szCs w:val="22"/>
              </w:rPr>
              <w:t>Bin records</w:t>
            </w:r>
            <w:r w:rsidRPr="00BE5613">
              <w:rPr>
                <w:sz w:val="22"/>
                <w:szCs w:val="22"/>
              </w:rPr>
              <w:t xml:space="preserve"> (indicates whether the municipality keeps any kind of individual bin records)</w:t>
            </w:r>
          </w:p>
        </w:tc>
        <w:tc>
          <w:tcPr>
            <w:tcW w:w="1229" w:type="dxa"/>
            <w:shd w:val="clear" w:color="auto" w:fill="FFFFFF"/>
            <w:vAlign w:val="center"/>
          </w:tcPr>
          <w:p w14:paraId="4CF9977C" w14:textId="77777777" w:rsidR="00E164DE" w:rsidRPr="00BE5613" w:rsidRDefault="00E164DE" w:rsidP="003D4C06">
            <w:pPr>
              <w:tabs>
                <w:tab w:val="left" w:pos="1673"/>
              </w:tabs>
              <w:jc w:val="center"/>
              <w:rPr>
                <w:sz w:val="22"/>
                <w:szCs w:val="22"/>
              </w:rPr>
            </w:pPr>
            <w:r w:rsidRPr="00BE5613">
              <w:rPr>
                <w:sz w:val="22"/>
                <w:szCs w:val="22"/>
              </w:rPr>
              <w:t>yes/no</w:t>
            </w:r>
          </w:p>
        </w:tc>
        <w:tc>
          <w:tcPr>
            <w:tcW w:w="924" w:type="dxa"/>
            <w:shd w:val="clear" w:color="auto" w:fill="FFFFFF"/>
            <w:vAlign w:val="center"/>
          </w:tcPr>
          <w:p w14:paraId="1E354983" w14:textId="77777777" w:rsidR="00E164DE" w:rsidRPr="00BE5613" w:rsidRDefault="00E164DE" w:rsidP="003D4C06">
            <w:pPr>
              <w:tabs>
                <w:tab w:val="left" w:pos="1673"/>
              </w:tabs>
              <w:jc w:val="center"/>
              <w:rPr>
                <w:sz w:val="22"/>
                <w:szCs w:val="22"/>
              </w:rPr>
            </w:pPr>
            <w:r w:rsidRPr="00BE5613">
              <w:rPr>
                <w:sz w:val="22"/>
                <w:szCs w:val="22"/>
              </w:rPr>
              <w:t>+/−</w:t>
            </w:r>
          </w:p>
        </w:tc>
      </w:tr>
      <w:tr w:rsidR="00E164DE" w:rsidRPr="00BE5613" w14:paraId="4A96EEA4" w14:textId="77777777">
        <w:trPr>
          <w:trHeight w:val="41"/>
        </w:trPr>
        <w:tc>
          <w:tcPr>
            <w:tcW w:w="771" w:type="dxa"/>
            <w:shd w:val="clear" w:color="auto" w:fill="FFFFFF"/>
            <w:vAlign w:val="center"/>
          </w:tcPr>
          <w:p w14:paraId="4D3515A7" w14:textId="77777777" w:rsidR="00E164DE" w:rsidRPr="00BE5613" w:rsidRDefault="00E164DE" w:rsidP="003D4C06">
            <w:pPr>
              <w:ind w:left="142" w:right="255"/>
              <w:jc w:val="center"/>
              <w:rPr>
                <w:sz w:val="22"/>
                <w:szCs w:val="22"/>
              </w:rPr>
            </w:pPr>
            <w:r w:rsidRPr="00BE5613">
              <w:rPr>
                <w:sz w:val="22"/>
                <w:szCs w:val="22"/>
              </w:rPr>
              <w:t>z3</w:t>
            </w:r>
          </w:p>
        </w:tc>
        <w:tc>
          <w:tcPr>
            <w:tcW w:w="6203" w:type="dxa"/>
            <w:shd w:val="clear" w:color="auto" w:fill="FFFFFF"/>
            <w:vAlign w:val="center"/>
          </w:tcPr>
          <w:p w14:paraId="088C7406" w14:textId="77777777" w:rsidR="00E164DE" w:rsidRPr="00BE5613" w:rsidRDefault="00E164DE" w:rsidP="003D4C06">
            <w:pPr>
              <w:tabs>
                <w:tab w:val="left" w:pos="1673"/>
              </w:tabs>
              <w:ind w:left="224" w:right="114" w:hanging="142"/>
              <w:rPr>
                <w:sz w:val="22"/>
                <w:szCs w:val="22"/>
              </w:rPr>
            </w:pPr>
            <w:r w:rsidRPr="00BE5613">
              <w:rPr>
                <w:b/>
                <w:sz w:val="22"/>
                <w:szCs w:val="22"/>
              </w:rPr>
              <w:t>HWRC open per week</w:t>
            </w:r>
            <w:r w:rsidRPr="00BE5613">
              <w:rPr>
                <w:sz w:val="22"/>
                <w:szCs w:val="22"/>
              </w:rPr>
              <w:t xml:space="preserve"> (measures how many days in a week the HWRC, if present, is open to the public)</w:t>
            </w:r>
          </w:p>
        </w:tc>
        <w:tc>
          <w:tcPr>
            <w:tcW w:w="1229" w:type="dxa"/>
            <w:shd w:val="clear" w:color="auto" w:fill="FFFFFF"/>
            <w:vAlign w:val="center"/>
          </w:tcPr>
          <w:p w14:paraId="0F4BC12E" w14:textId="77777777" w:rsidR="00E164DE" w:rsidRPr="00BE5613" w:rsidRDefault="00E164DE" w:rsidP="003D4C06">
            <w:pPr>
              <w:tabs>
                <w:tab w:val="left" w:pos="1673"/>
              </w:tabs>
              <w:jc w:val="center"/>
              <w:rPr>
                <w:sz w:val="22"/>
                <w:szCs w:val="22"/>
              </w:rPr>
            </w:pPr>
            <w:r w:rsidRPr="00BE5613">
              <w:rPr>
                <w:sz w:val="22"/>
                <w:szCs w:val="22"/>
              </w:rPr>
              <w:t>discrete</w:t>
            </w:r>
          </w:p>
        </w:tc>
        <w:tc>
          <w:tcPr>
            <w:tcW w:w="924" w:type="dxa"/>
            <w:shd w:val="clear" w:color="auto" w:fill="FFFFFF"/>
            <w:vAlign w:val="center"/>
          </w:tcPr>
          <w:p w14:paraId="683EC19F"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7E8E5392" w14:textId="77777777">
        <w:trPr>
          <w:trHeight w:val="41"/>
        </w:trPr>
        <w:tc>
          <w:tcPr>
            <w:tcW w:w="771" w:type="dxa"/>
            <w:shd w:val="clear" w:color="auto" w:fill="FFFFFF"/>
            <w:vAlign w:val="center"/>
          </w:tcPr>
          <w:p w14:paraId="1B4DE96A" w14:textId="77777777" w:rsidR="00E164DE" w:rsidRPr="00BE5613" w:rsidRDefault="00E164DE" w:rsidP="003D4C06">
            <w:pPr>
              <w:ind w:left="142" w:right="255"/>
              <w:jc w:val="center"/>
              <w:rPr>
                <w:sz w:val="22"/>
                <w:szCs w:val="22"/>
              </w:rPr>
            </w:pPr>
            <w:r w:rsidRPr="00BE5613">
              <w:rPr>
                <w:sz w:val="22"/>
                <w:szCs w:val="22"/>
              </w:rPr>
              <w:t>z4</w:t>
            </w:r>
          </w:p>
        </w:tc>
        <w:tc>
          <w:tcPr>
            <w:tcW w:w="6203" w:type="dxa"/>
            <w:shd w:val="clear" w:color="auto" w:fill="FFFFFF"/>
            <w:vAlign w:val="center"/>
          </w:tcPr>
          <w:p w14:paraId="17004733" w14:textId="77777777" w:rsidR="00E164DE" w:rsidRPr="00BE5613" w:rsidRDefault="00F82069" w:rsidP="003D4C06">
            <w:pPr>
              <w:tabs>
                <w:tab w:val="left" w:pos="1673"/>
              </w:tabs>
              <w:ind w:left="224" w:right="114" w:hanging="142"/>
              <w:rPr>
                <w:sz w:val="22"/>
                <w:szCs w:val="22"/>
              </w:rPr>
            </w:pPr>
            <w:r w:rsidRPr="00BE5613">
              <w:rPr>
                <w:b/>
                <w:sz w:val="22"/>
                <w:szCs w:val="22"/>
              </w:rPr>
              <w:t>Availability of free-of-</w:t>
            </w:r>
            <w:r w:rsidR="00E164DE" w:rsidRPr="00BE5613">
              <w:rPr>
                <w:b/>
                <w:sz w:val="22"/>
                <w:szCs w:val="22"/>
              </w:rPr>
              <w:t xml:space="preserve">charge HWRC </w:t>
            </w:r>
            <w:r w:rsidR="00E164DE" w:rsidRPr="00BE5613">
              <w:rPr>
                <w:sz w:val="22"/>
                <w:szCs w:val="22"/>
              </w:rPr>
              <w:t>(indicates whether citizens pay at the HRWC, if present, for leaving recyclables)</w:t>
            </w:r>
          </w:p>
        </w:tc>
        <w:tc>
          <w:tcPr>
            <w:tcW w:w="1229" w:type="dxa"/>
            <w:shd w:val="clear" w:color="auto" w:fill="FFFFFF"/>
            <w:vAlign w:val="center"/>
          </w:tcPr>
          <w:p w14:paraId="00B83225" w14:textId="77777777" w:rsidR="00E164DE" w:rsidRPr="00BE5613" w:rsidRDefault="00E164DE" w:rsidP="003D4C06">
            <w:pPr>
              <w:tabs>
                <w:tab w:val="left" w:pos="1673"/>
              </w:tabs>
              <w:jc w:val="center"/>
              <w:rPr>
                <w:sz w:val="22"/>
                <w:szCs w:val="22"/>
              </w:rPr>
            </w:pPr>
            <w:r w:rsidRPr="00BE5613">
              <w:rPr>
                <w:sz w:val="22"/>
                <w:szCs w:val="22"/>
              </w:rPr>
              <w:t>yes/no</w:t>
            </w:r>
          </w:p>
        </w:tc>
        <w:tc>
          <w:tcPr>
            <w:tcW w:w="924" w:type="dxa"/>
            <w:shd w:val="clear" w:color="auto" w:fill="FFFFFF"/>
            <w:vAlign w:val="center"/>
          </w:tcPr>
          <w:p w14:paraId="356854EA"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1923EC9F" w14:textId="77777777">
        <w:trPr>
          <w:trHeight w:val="41"/>
        </w:trPr>
        <w:tc>
          <w:tcPr>
            <w:tcW w:w="771" w:type="dxa"/>
            <w:shd w:val="clear" w:color="auto" w:fill="FFFFFF"/>
            <w:vAlign w:val="center"/>
          </w:tcPr>
          <w:p w14:paraId="3529070B" w14:textId="77777777" w:rsidR="00E164DE" w:rsidRPr="00BE5613" w:rsidRDefault="00E164DE" w:rsidP="003D4C06">
            <w:pPr>
              <w:ind w:left="142" w:right="255"/>
              <w:jc w:val="center"/>
              <w:rPr>
                <w:sz w:val="22"/>
                <w:szCs w:val="22"/>
              </w:rPr>
            </w:pPr>
            <w:r w:rsidRPr="00BE5613">
              <w:rPr>
                <w:sz w:val="22"/>
                <w:szCs w:val="22"/>
              </w:rPr>
              <w:t>z5</w:t>
            </w:r>
          </w:p>
        </w:tc>
        <w:tc>
          <w:tcPr>
            <w:tcW w:w="6203" w:type="dxa"/>
            <w:shd w:val="clear" w:color="auto" w:fill="FFFFFF"/>
            <w:vAlign w:val="center"/>
          </w:tcPr>
          <w:p w14:paraId="02000658" w14:textId="77777777" w:rsidR="00E164DE" w:rsidRPr="00BE5613" w:rsidRDefault="00E164DE" w:rsidP="003D4C06">
            <w:pPr>
              <w:tabs>
                <w:tab w:val="left" w:pos="1673"/>
              </w:tabs>
              <w:ind w:left="224" w:right="114" w:hanging="142"/>
              <w:rPr>
                <w:b/>
                <w:sz w:val="22"/>
                <w:szCs w:val="22"/>
              </w:rPr>
            </w:pPr>
            <w:r w:rsidRPr="00BE5613">
              <w:rPr>
                <w:b/>
                <w:sz w:val="22"/>
                <w:szCs w:val="22"/>
              </w:rPr>
              <w:t xml:space="preserve">Separation drop-off sites </w:t>
            </w:r>
            <w:r w:rsidRPr="00BE5613">
              <w:rPr>
                <w:sz w:val="22"/>
                <w:szCs w:val="22"/>
              </w:rPr>
              <w:t>(measures the number of sites of recyclables collection within the municipality)</w:t>
            </w:r>
          </w:p>
        </w:tc>
        <w:tc>
          <w:tcPr>
            <w:tcW w:w="1229" w:type="dxa"/>
            <w:shd w:val="clear" w:color="auto" w:fill="FFFFFF"/>
            <w:vAlign w:val="center"/>
          </w:tcPr>
          <w:p w14:paraId="56000D2C" w14:textId="77777777" w:rsidR="00E164DE" w:rsidRPr="00BE5613" w:rsidRDefault="00E164DE" w:rsidP="003D4C06">
            <w:pPr>
              <w:tabs>
                <w:tab w:val="left" w:pos="1673"/>
              </w:tabs>
              <w:jc w:val="center"/>
              <w:rPr>
                <w:sz w:val="22"/>
                <w:szCs w:val="22"/>
              </w:rPr>
            </w:pPr>
            <w:r w:rsidRPr="00BE5613">
              <w:rPr>
                <w:sz w:val="22"/>
                <w:szCs w:val="22"/>
              </w:rPr>
              <w:t>discrete</w:t>
            </w:r>
          </w:p>
        </w:tc>
        <w:tc>
          <w:tcPr>
            <w:tcW w:w="924" w:type="dxa"/>
            <w:shd w:val="clear" w:color="auto" w:fill="FFFFFF"/>
            <w:vAlign w:val="center"/>
          </w:tcPr>
          <w:p w14:paraId="5B063B75"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0478856C" w14:textId="77777777">
        <w:trPr>
          <w:trHeight w:val="41"/>
        </w:trPr>
        <w:tc>
          <w:tcPr>
            <w:tcW w:w="771" w:type="dxa"/>
            <w:shd w:val="clear" w:color="auto" w:fill="FFFFFF"/>
            <w:vAlign w:val="center"/>
          </w:tcPr>
          <w:p w14:paraId="12393F92" w14:textId="77777777" w:rsidR="00E164DE" w:rsidRPr="00BE5613" w:rsidRDefault="00E164DE" w:rsidP="003D4C06">
            <w:pPr>
              <w:ind w:left="142" w:right="255"/>
              <w:jc w:val="center"/>
              <w:rPr>
                <w:sz w:val="22"/>
                <w:szCs w:val="22"/>
              </w:rPr>
            </w:pPr>
            <w:r w:rsidRPr="00BE5613">
              <w:rPr>
                <w:sz w:val="22"/>
                <w:szCs w:val="22"/>
              </w:rPr>
              <w:t>z6</w:t>
            </w:r>
          </w:p>
        </w:tc>
        <w:tc>
          <w:tcPr>
            <w:tcW w:w="6203" w:type="dxa"/>
            <w:shd w:val="clear" w:color="auto" w:fill="FFFFFF"/>
            <w:vAlign w:val="center"/>
          </w:tcPr>
          <w:p w14:paraId="3948732B" w14:textId="77777777" w:rsidR="00E164DE" w:rsidRPr="00BE5613" w:rsidRDefault="00E164DE" w:rsidP="003D4C06">
            <w:pPr>
              <w:tabs>
                <w:tab w:val="left" w:pos="1673"/>
              </w:tabs>
              <w:ind w:left="224" w:right="114" w:hanging="142"/>
              <w:rPr>
                <w:sz w:val="22"/>
                <w:szCs w:val="22"/>
              </w:rPr>
            </w:pPr>
            <w:r w:rsidRPr="00BE5613">
              <w:rPr>
                <w:b/>
                <w:sz w:val="22"/>
                <w:szCs w:val="22"/>
              </w:rPr>
              <w:t xml:space="preserve">Population per separation drop-off site </w:t>
            </w:r>
            <w:r w:rsidRPr="00BE5613">
              <w:rPr>
                <w:sz w:val="22"/>
                <w:szCs w:val="22"/>
              </w:rPr>
              <w:t>(measures how many citizens in the municipality a drop-off site services on average)</w:t>
            </w:r>
          </w:p>
        </w:tc>
        <w:tc>
          <w:tcPr>
            <w:tcW w:w="1229" w:type="dxa"/>
            <w:shd w:val="clear" w:color="auto" w:fill="FFFFFF"/>
            <w:vAlign w:val="center"/>
          </w:tcPr>
          <w:p w14:paraId="2B771C21" w14:textId="77777777" w:rsidR="00E164DE" w:rsidRPr="00BE5613" w:rsidRDefault="00E164DE" w:rsidP="003D4C06">
            <w:pPr>
              <w:tabs>
                <w:tab w:val="left" w:pos="1673"/>
              </w:tabs>
              <w:jc w:val="center"/>
              <w:rPr>
                <w:sz w:val="22"/>
                <w:szCs w:val="22"/>
              </w:rPr>
            </w:pPr>
            <w:r w:rsidRPr="00BE5613">
              <w:rPr>
                <w:sz w:val="22"/>
                <w:szCs w:val="22"/>
              </w:rPr>
              <w:t>continuous</w:t>
            </w:r>
          </w:p>
        </w:tc>
        <w:tc>
          <w:tcPr>
            <w:tcW w:w="924" w:type="dxa"/>
            <w:shd w:val="clear" w:color="auto" w:fill="FFFFFF"/>
            <w:vAlign w:val="center"/>
          </w:tcPr>
          <w:p w14:paraId="137ED9DC"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1D501E0A" w14:textId="77777777">
        <w:trPr>
          <w:trHeight w:val="41"/>
        </w:trPr>
        <w:tc>
          <w:tcPr>
            <w:tcW w:w="771" w:type="dxa"/>
            <w:shd w:val="clear" w:color="auto" w:fill="FFFFFF"/>
            <w:vAlign w:val="center"/>
          </w:tcPr>
          <w:p w14:paraId="1EA33210" w14:textId="77777777" w:rsidR="00E164DE" w:rsidRPr="00BE5613" w:rsidRDefault="00E164DE" w:rsidP="003D4C06">
            <w:pPr>
              <w:ind w:left="142" w:right="255"/>
              <w:jc w:val="center"/>
              <w:rPr>
                <w:sz w:val="22"/>
                <w:szCs w:val="22"/>
              </w:rPr>
            </w:pPr>
            <w:r w:rsidRPr="00BE5613">
              <w:rPr>
                <w:sz w:val="22"/>
                <w:szCs w:val="22"/>
              </w:rPr>
              <w:t>z7</w:t>
            </w:r>
          </w:p>
        </w:tc>
        <w:tc>
          <w:tcPr>
            <w:tcW w:w="6203" w:type="dxa"/>
            <w:shd w:val="clear" w:color="auto" w:fill="FFFFFF"/>
            <w:vAlign w:val="center"/>
          </w:tcPr>
          <w:p w14:paraId="75C461A2" w14:textId="77777777" w:rsidR="00E164DE" w:rsidRPr="00BE5613" w:rsidRDefault="00E164DE" w:rsidP="003D4C06">
            <w:pPr>
              <w:tabs>
                <w:tab w:val="left" w:pos="1673"/>
              </w:tabs>
              <w:ind w:left="224" w:right="114" w:hanging="142"/>
              <w:rPr>
                <w:sz w:val="22"/>
                <w:szCs w:val="22"/>
              </w:rPr>
            </w:pPr>
            <w:r w:rsidRPr="00BE5613">
              <w:rPr>
                <w:b/>
                <w:sz w:val="22"/>
                <w:szCs w:val="22"/>
              </w:rPr>
              <w:t xml:space="preserve">Curbside collection of recyclables </w:t>
            </w:r>
            <w:r w:rsidRPr="00BE5613">
              <w:rPr>
                <w:sz w:val="22"/>
                <w:szCs w:val="22"/>
              </w:rPr>
              <w:t>(indicates whether the munici</w:t>
            </w:r>
            <w:r w:rsidRPr="00BE5613">
              <w:rPr>
                <w:sz w:val="22"/>
                <w:szCs w:val="22"/>
              </w:rPr>
              <w:softHyphen/>
              <w:t>pality provides curbside collection of recyclables to households)</w:t>
            </w:r>
          </w:p>
        </w:tc>
        <w:tc>
          <w:tcPr>
            <w:tcW w:w="1229" w:type="dxa"/>
            <w:shd w:val="clear" w:color="auto" w:fill="FFFFFF"/>
            <w:vAlign w:val="center"/>
          </w:tcPr>
          <w:p w14:paraId="09E26B2E" w14:textId="77777777" w:rsidR="00E164DE" w:rsidRPr="00BE5613" w:rsidRDefault="00E164DE" w:rsidP="003D4C06">
            <w:pPr>
              <w:tabs>
                <w:tab w:val="left" w:pos="1673"/>
              </w:tabs>
              <w:jc w:val="center"/>
              <w:rPr>
                <w:sz w:val="22"/>
                <w:szCs w:val="22"/>
              </w:rPr>
            </w:pPr>
            <w:r w:rsidRPr="00BE5613">
              <w:rPr>
                <w:sz w:val="22"/>
                <w:szCs w:val="22"/>
              </w:rPr>
              <w:t>yes/no</w:t>
            </w:r>
          </w:p>
        </w:tc>
        <w:tc>
          <w:tcPr>
            <w:tcW w:w="924" w:type="dxa"/>
            <w:shd w:val="clear" w:color="auto" w:fill="FFFFFF"/>
            <w:vAlign w:val="center"/>
          </w:tcPr>
          <w:p w14:paraId="4E3689C5"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7805D23C" w14:textId="77777777">
        <w:trPr>
          <w:trHeight w:val="41"/>
        </w:trPr>
        <w:tc>
          <w:tcPr>
            <w:tcW w:w="771" w:type="dxa"/>
            <w:shd w:val="clear" w:color="auto" w:fill="FFFFFF"/>
            <w:vAlign w:val="center"/>
          </w:tcPr>
          <w:p w14:paraId="259D2673" w14:textId="77777777" w:rsidR="00E164DE" w:rsidRPr="00BE5613" w:rsidRDefault="00E164DE" w:rsidP="003D4C06">
            <w:pPr>
              <w:ind w:left="142" w:right="255"/>
              <w:jc w:val="center"/>
              <w:rPr>
                <w:sz w:val="22"/>
                <w:szCs w:val="22"/>
              </w:rPr>
            </w:pPr>
            <w:r w:rsidRPr="00BE5613">
              <w:rPr>
                <w:sz w:val="22"/>
                <w:szCs w:val="22"/>
              </w:rPr>
              <w:t>z8</w:t>
            </w:r>
          </w:p>
        </w:tc>
        <w:tc>
          <w:tcPr>
            <w:tcW w:w="6203" w:type="dxa"/>
            <w:shd w:val="clear" w:color="auto" w:fill="FFFFFF"/>
            <w:vAlign w:val="center"/>
          </w:tcPr>
          <w:p w14:paraId="18D8C1D4" w14:textId="77777777" w:rsidR="00E164DE" w:rsidRPr="00BE5613" w:rsidRDefault="00E164DE" w:rsidP="003D4C06">
            <w:pPr>
              <w:tabs>
                <w:tab w:val="left" w:pos="1673"/>
              </w:tabs>
              <w:ind w:left="224" w:right="114" w:hanging="142"/>
              <w:rPr>
                <w:sz w:val="22"/>
                <w:szCs w:val="22"/>
              </w:rPr>
            </w:pPr>
            <w:r w:rsidRPr="00BE5613">
              <w:rPr>
                <w:b/>
                <w:sz w:val="22"/>
                <w:szCs w:val="22"/>
              </w:rPr>
              <w:t>Waste separation incentive program</w:t>
            </w:r>
            <w:r w:rsidRPr="00BE5613">
              <w:rPr>
                <w:sz w:val="22"/>
                <w:szCs w:val="22"/>
              </w:rPr>
              <w:t xml:space="preserve"> (indicates whether an incentive program for either total waste reduction or increased separation of recyclables is implemented in the municipality)</w:t>
            </w:r>
          </w:p>
        </w:tc>
        <w:tc>
          <w:tcPr>
            <w:tcW w:w="1229" w:type="dxa"/>
            <w:shd w:val="clear" w:color="auto" w:fill="FFFFFF"/>
            <w:vAlign w:val="center"/>
          </w:tcPr>
          <w:p w14:paraId="4E909065" w14:textId="77777777" w:rsidR="00E164DE" w:rsidRPr="00BE5613" w:rsidRDefault="00E164DE" w:rsidP="003D4C06">
            <w:pPr>
              <w:tabs>
                <w:tab w:val="left" w:pos="1673"/>
              </w:tabs>
              <w:jc w:val="center"/>
              <w:rPr>
                <w:sz w:val="22"/>
                <w:szCs w:val="22"/>
              </w:rPr>
            </w:pPr>
            <w:r w:rsidRPr="00BE5613">
              <w:rPr>
                <w:sz w:val="22"/>
                <w:szCs w:val="22"/>
              </w:rPr>
              <w:t>yes/no</w:t>
            </w:r>
          </w:p>
        </w:tc>
        <w:tc>
          <w:tcPr>
            <w:tcW w:w="924" w:type="dxa"/>
            <w:shd w:val="clear" w:color="auto" w:fill="FFFFFF"/>
            <w:vAlign w:val="center"/>
          </w:tcPr>
          <w:p w14:paraId="1B005D3E"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66CA23B6" w14:textId="77777777">
        <w:trPr>
          <w:trHeight w:val="41"/>
        </w:trPr>
        <w:tc>
          <w:tcPr>
            <w:tcW w:w="771" w:type="dxa"/>
            <w:shd w:val="clear" w:color="auto" w:fill="FFFFFF"/>
            <w:vAlign w:val="center"/>
          </w:tcPr>
          <w:p w14:paraId="125F4947" w14:textId="77777777" w:rsidR="00E164DE" w:rsidRPr="00BE5613" w:rsidRDefault="00E164DE" w:rsidP="003D4C06">
            <w:pPr>
              <w:ind w:left="142" w:right="255"/>
              <w:jc w:val="center"/>
              <w:rPr>
                <w:sz w:val="22"/>
                <w:szCs w:val="22"/>
              </w:rPr>
            </w:pPr>
            <w:r w:rsidRPr="00BE5613">
              <w:rPr>
                <w:sz w:val="22"/>
                <w:szCs w:val="22"/>
              </w:rPr>
              <w:t>z9</w:t>
            </w:r>
          </w:p>
        </w:tc>
        <w:tc>
          <w:tcPr>
            <w:tcW w:w="6203" w:type="dxa"/>
            <w:shd w:val="clear" w:color="auto" w:fill="FFFFFF"/>
            <w:vAlign w:val="center"/>
          </w:tcPr>
          <w:p w14:paraId="6C8AD779" w14:textId="77777777" w:rsidR="00E164DE" w:rsidRPr="00BE5613" w:rsidRDefault="00E164DE" w:rsidP="003D4C06">
            <w:pPr>
              <w:tabs>
                <w:tab w:val="left" w:pos="1673"/>
              </w:tabs>
              <w:ind w:left="224" w:right="114" w:hanging="142"/>
              <w:rPr>
                <w:b/>
                <w:sz w:val="22"/>
                <w:szCs w:val="22"/>
              </w:rPr>
            </w:pPr>
            <w:r w:rsidRPr="00BE5613">
              <w:rPr>
                <w:b/>
                <w:sz w:val="22"/>
                <w:szCs w:val="22"/>
              </w:rPr>
              <w:t xml:space="preserve">Green waste collection program </w:t>
            </w:r>
            <w:r w:rsidRPr="00BE5613">
              <w:rPr>
                <w:sz w:val="22"/>
                <w:szCs w:val="22"/>
              </w:rPr>
              <w:t xml:space="preserve">(indicates whether </w:t>
            </w:r>
            <w:r w:rsidR="00647411" w:rsidRPr="00BE5613">
              <w:rPr>
                <w:sz w:val="22"/>
                <w:szCs w:val="22"/>
              </w:rPr>
              <w:t>green waste, typically garden waste, is collected separately</w:t>
            </w:r>
            <w:r w:rsidRPr="00BE5613">
              <w:rPr>
                <w:sz w:val="22"/>
                <w:szCs w:val="22"/>
              </w:rPr>
              <w:t>)</w:t>
            </w:r>
          </w:p>
        </w:tc>
        <w:tc>
          <w:tcPr>
            <w:tcW w:w="1229" w:type="dxa"/>
            <w:shd w:val="clear" w:color="auto" w:fill="FFFFFF"/>
            <w:vAlign w:val="center"/>
          </w:tcPr>
          <w:p w14:paraId="25791D04" w14:textId="77777777" w:rsidR="00E164DE" w:rsidRPr="00BE5613" w:rsidRDefault="00E164DE" w:rsidP="003D4C06">
            <w:pPr>
              <w:tabs>
                <w:tab w:val="left" w:pos="1673"/>
              </w:tabs>
              <w:jc w:val="center"/>
              <w:rPr>
                <w:sz w:val="22"/>
                <w:szCs w:val="22"/>
              </w:rPr>
            </w:pPr>
            <w:r w:rsidRPr="00BE5613">
              <w:rPr>
                <w:sz w:val="22"/>
                <w:szCs w:val="22"/>
              </w:rPr>
              <w:t>yes/</w:t>
            </w:r>
            <w:r w:rsidR="008B0E45" w:rsidRPr="00BE5613">
              <w:rPr>
                <w:sz w:val="22"/>
                <w:szCs w:val="22"/>
              </w:rPr>
              <w:t>partly/</w:t>
            </w:r>
            <w:r w:rsidRPr="00BE5613">
              <w:rPr>
                <w:sz w:val="22"/>
                <w:szCs w:val="22"/>
              </w:rPr>
              <w:t>no</w:t>
            </w:r>
          </w:p>
        </w:tc>
        <w:tc>
          <w:tcPr>
            <w:tcW w:w="924" w:type="dxa"/>
            <w:shd w:val="clear" w:color="auto" w:fill="FFFFFF"/>
            <w:vAlign w:val="center"/>
          </w:tcPr>
          <w:p w14:paraId="325AF733"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292970F0" w14:textId="77777777">
        <w:trPr>
          <w:trHeight w:val="41"/>
        </w:trPr>
        <w:tc>
          <w:tcPr>
            <w:tcW w:w="771" w:type="dxa"/>
            <w:shd w:val="clear" w:color="auto" w:fill="FFFFFF"/>
            <w:vAlign w:val="center"/>
          </w:tcPr>
          <w:p w14:paraId="73C8E231" w14:textId="77777777" w:rsidR="00E164DE" w:rsidRPr="00BE5613" w:rsidRDefault="00E164DE" w:rsidP="003D4C06">
            <w:pPr>
              <w:ind w:left="142" w:right="255"/>
              <w:jc w:val="center"/>
              <w:rPr>
                <w:sz w:val="22"/>
                <w:szCs w:val="22"/>
              </w:rPr>
            </w:pPr>
            <w:r w:rsidRPr="00BE5613">
              <w:rPr>
                <w:sz w:val="22"/>
                <w:szCs w:val="22"/>
              </w:rPr>
              <w:t>z10</w:t>
            </w:r>
          </w:p>
        </w:tc>
        <w:tc>
          <w:tcPr>
            <w:tcW w:w="6203" w:type="dxa"/>
            <w:shd w:val="clear" w:color="auto" w:fill="FFFFFF"/>
            <w:vAlign w:val="center"/>
          </w:tcPr>
          <w:p w14:paraId="7C9A7346" w14:textId="77777777" w:rsidR="00E164DE" w:rsidRPr="00BE5613" w:rsidRDefault="00E164DE" w:rsidP="003D4C06">
            <w:pPr>
              <w:tabs>
                <w:tab w:val="left" w:pos="1673"/>
              </w:tabs>
              <w:ind w:left="224" w:right="114" w:hanging="142"/>
              <w:rPr>
                <w:b/>
                <w:sz w:val="22"/>
                <w:szCs w:val="22"/>
              </w:rPr>
            </w:pPr>
            <w:r w:rsidRPr="00BE5613">
              <w:rPr>
                <w:b/>
                <w:sz w:val="22"/>
                <w:szCs w:val="22"/>
              </w:rPr>
              <w:t>Share of condominium</w:t>
            </w:r>
            <w:r w:rsidR="003039A8" w:rsidRPr="00BE5613">
              <w:rPr>
                <w:b/>
                <w:sz w:val="22"/>
                <w:szCs w:val="22"/>
              </w:rPr>
              <w:t xml:space="preserve"> housing units</w:t>
            </w:r>
            <w:r w:rsidRPr="00BE5613">
              <w:rPr>
                <w:b/>
                <w:sz w:val="22"/>
                <w:szCs w:val="22"/>
              </w:rPr>
              <w:t xml:space="preserve"> </w:t>
            </w:r>
            <w:r w:rsidRPr="00BE5613">
              <w:rPr>
                <w:sz w:val="22"/>
                <w:szCs w:val="22"/>
              </w:rPr>
              <w:t xml:space="preserve">(measures the proportion of condominium-type </w:t>
            </w:r>
            <w:r w:rsidR="006E3D56" w:rsidRPr="00BE5613">
              <w:rPr>
                <w:sz w:val="22"/>
                <w:szCs w:val="22"/>
              </w:rPr>
              <w:t>housing units</w:t>
            </w:r>
            <w:r w:rsidRPr="00BE5613">
              <w:rPr>
                <w:sz w:val="22"/>
                <w:szCs w:val="22"/>
              </w:rPr>
              <w:t xml:space="preserve"> to all permanently occupied </w:t>
            </w:r>
            <w:r w:rsidR="006E3D56" w:rsidRPr="00BE5613">
              <w:rPr>
                <w:sz w:val="22"/>
                <w:szCs w:val="22"/>
              </w:rPr>
              <w:t>housing units</w:t>
            </w:r>
            <w:r w:rsidRPr="00BE5613">
              <w:rPr>
                <w:sz w:val="22"/>
                <w:szCs w:val="22"/>
              </w:rPr>
              <w:t xml:space="preserve"> in the municipality)</w:t>
            </w:r>
          </w:p>
        </w:tc>
        <w:tc>
          <w:tcPr>
            <w:tcW w:w="1229" w:type="dxa"/>
            <w:shd w:val="clear" w:color="auto" w:fill="FFFFFF"/>
            <w:vAlign w:val="center"/>
          </w:tcPr>
          <w:p w14:paraId="4C453FD6" w14:textId="77777777" w:rsidR="00E164DE" w:rsidRPr="00BE5613" w:rsidRDefault="00E164DE" w:rsidP="003D4C06">
            <w:pPr>
              <w:tabs>
                <w:tab w:val="left" w:pos="1673"/>
              </w:tabs>
              <w:jc w:val="center"/>
              <w:rPr>
                <w:sz w:val="22"/>
                <w:szCs w:val="22"/>
              </w:rPr>
            </w:pPr>
            <w:r w:rsidRPr="00BE5613">
              <w:rPr>
                <w:sz w:val="22"/>
                <w:szCs w:val="22"/>
              </w:rPr>
              <w:t>continuous</w:t>
            </w:r>
          </w:p>
        </w:tc>
        <w:tc>
          <w:tcPr>
            <w:tcW w:w="924" w:type="dxa"/>
            <w:shd w:val="clear" w:color="auto" w:fill="FFFFFF"/>
            <w:vAlign w:val="center"/>
          </w:tcPr>
          <w:p w14:paraId="17AED4E1"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75F651C5" w14:textId="77777777">
        <w:trPr>
          <w:trHeight w:val="41"/>
        </w:trPr>
        <w:tc>
          <w:tcPr>
            <w:tcW w:w="771" w:type="dxa"/>
            <w:shd w:val="clear" w:color="auto" w:fill="FFFFFF"/>
            <w:vAlign w:val="center"/>
          </w:tcPr>
          <w:p w14:paraId="35DE7FAE" w14:textId="77777777" w:rsidR="00E164DE" w:rsidRPr="00BE5613" w:rsidRDefault="00E164DE" w:rsidP="003D4C06">
            <w:pPr>
              <w:ind w:left="142" w:right="255"/>
              <w:jc w:val="center"/>
              <w:rPr>
                <w:sz w:val="22"/>
                <w:szCs w:val="22"/>
              </w:rPr>
            </w:pPr>
            <w:r w:rsidRPr="00BE5613">
              <w:rPr>
                <w:sz w:val="22"/>
                <w:szCs w:val="22"/>
              </w:rPr>
              <w:t>z11</w:t>
            </w:r>
          </w:p>
        </w:tc>
        <w:tc>
          <w:tcPr>
            <w:tcW w:w="6203" w:type="dxa"/>
            <w:shd w:val="clear" w:color="auto" w:fill="FFFFFF"/>
            <w:vAlign w:val="center"/>
          </w:tcPr>
          <w:p w14:paraId="33D4FD8B" w14:textId="77777777" w:rsidR="00E164DE" w:rsidRPr="00BE5613" w:rsidRDefault="00E164DE" w:rsidP="003D4C06">
            <w:pPr>
              <w:tabs>
                <w:tab w:val="left" w:pos="1673"/>
              </w:tabs>
              <w:ind w:left="224" w:right="114" w:hanging="142"/>
              <w:rPr>
                <w:b/>
                <w:sz w:val="22"/>
                <w:szCs w:val="22"/>
              </w:rPr>
            </w:pPr>
            <w:r w:rsidRPr="00BE5613">
              <w:rPr>
                <w:b/>
                <w:sz w:val="22"/>
                <w:szCs w:val="22"/>
              </w:rPr>
              <w:t xml:space="preserve">Share of recreational dwellings </w:t>
            </w:r>
            <w:r w:rsidRPr="00BE5613">
              <w:rPr>
                <w:sz w:val="22"/>
                <w:szCs w:val="22"/>
              </w:rPr>
              <w:t xml:space="preserve">(measures the proportion of recreational dwellings to all permanently occupied </w:t>
            </w:r>
            <w:r w:rsidR="006E3D56" w:rsidRPr="00BE5613">
              <w:rPr>
                <w:sz w:val="22"/>
                <w:szCs w:val="22"/>
              </w:rPr>
              <w:t>housing units</w:t>
            </w:r>
            <w:r w:rsidRPr="00BE5613">
              <w:rPr>
                <w:sz w:val="22"/>
                <w:szCs w:val="22"/>
              </w:rPr>
              <w:t xml:space="preserve"> in the municipality)</w:t>
            </w:r>
          </w:p>
        </w:tc>
        <w:tc>
          <w:tcPr>
            <w:tcW w:w="1229" w:type="dxa"/>
            <w:shd w:val="clear" w:color="auto" w:fill="FFFFFF"/>
            <w:vAlign w:val="center"/>
          </w:tcPr>
          <w:p w14:paraId="0D0F9457" w14:textId="77777777" w:rsidR="00E164DE" w:rsidRPr="00BE5613" w:rsidRDefault="00E164DE" w:rsidP="003D4C06">
            <w:pPr>
              <w:tabs>
                <w:tab w:val="left" w:pos="1673"/>
              </w:tabs>
              <w:jc w:val="center"/>
              <w:rPr>
                <w:sz w:val="22"/>
                <w:szCs w:val="22"/>
              </w:rPr>
            </w:pPr>
            <w:r w:rsidRPr="00BE5613">
              <w:rPr>
                <w:sz w:val="22"/>
                <w:szCs w:val="22"/>
              </w:rPr>
              <w:t>continuous</w:t>
            </w:r>
          </w:p>
        </w:tc>
        <w:tc>
          <w:tcPr>
            <w:tcW w:w="924" w:type="dxa"/>
            <w:shd w:val="clear" w:color="auto" w:fill="FFFFFF"/>
            <w:vAlign w:val="center"/>
          </w:tcPr>
          <w:p w14:paraId="29BA9517"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r w:rsidR="00E164DE" w:rsidRPr="00BE5613" w14:paraId="72781C89" w14:textId="77777777">
        <w:trPr>
          <w:trHeight w:val="41"/>
        </w:trPr>
        <w:tc>
          <w:tcPr>
            <w:tcW w:w="771" w:type="dxa"/>
            <w:shd w:val="clear" w:color="auto" w:fill="FFFFFF"/>
            <w:vAlign w:val="center"/>
          </w:tcPr>
          <w:p w14:paraId="05ABD82C" w14:textId="77777777" w:rsidR="00E164DE" w:rsidRPr="00BE5613" w:rsidRDefault="00E164DE" w:rsidP="003D4C06">
            <w:pPr>
              <w:ind w:left="142" w:right="255"/>
              <w:jc w:val="center"/>
              <w:rPr>
                <w:sz w:val="22"/>
                <w:szCs w:val="22"/>
              </w:rPr>
            </w:pPr>
            <w:r w:rsidRPr="00BE5613">
              <w:rPr>
                <w:sz w:val="22"/>
                <w:szCs w:val="22"/>
              </w:rPr>
              <w:t>z12</w:t>
            </w:r>
          </w:p>
        </w:tc>
        <w:tc>
          <w:tcPr>
            <w:tcW w:w="6203" w:type="dxa"/>
            <w:shd w:val="clear" w:color="auto" w:fill="FFFFFF"/>
            <w:vAlign w:val="center"/>
          </w:tcPr>
          <w:p w14:paraId="2C90CF27" w14:textId="77777777" w:rsidR="00E164DE" w:rsidRPr="00BE5613" w:rsidRDefault="00E164DE" w:rsidP="003D4C06">
            <w:pPr>
              <w:tabs>
                <w:tab w:val="left" w:pos="1673"/>
              </w:tabs>
              <w:ind w:left="224" w:right="114" w:hanging="142"/>
              <w:rPr>
                <w:b/>
                <w:sz w:val="22"/>
                <w:szCs w:val="22"/>
              </w:rPr>
            </w:pPr>
            <w:r w:rsidRPr="00BE5613">
              <w:rPr>
                <w:b/>
                <w:sz w:val="22"/>
                <w:szCs w:val="22"/>
              </w:rPr>
              <w:t xml:space="preserve">Population to built-up area </w:t>
            </w:r>
            <w:r w:rsidRPr="00BE5613">
              <w:rPr>
                <w:sz w:val="22"/>
                <w:szCs w:val="22"/>
              </w:rPr>
              <w:t>(measures population density in the built-up (urban) area of the municipality)</w:t>
            </w:r>
          </w:p>
        </w:tc>
        <w:tc>
          <w:tcPr>
            <w:tcW w:w="1229" w:type="dxa"/>
            <w:shd w:val="clear" w:color="auto" w:fill="FFFFFF"/>
            <w:vAlign w:val="center"/>
          </w:tcPr>
          <w:p w14:paraId="4A67C35D" w14:textId="77777777" w:rsidR="00E164DE" w:rsidRPr="00BE5613" w:rsidRDefault="00E164DE" w:rsidP="003D4C06">
            <w:pPr>
              <w:tabs>
                <w:tab w:val="left" w:pos="1673"/>
              </w:tabs>
              <w:jc w:val="center"/>
              <w:rPr>
                <w:sz w:val="22"/>
                <w:szCs w:val="22"/>
              </w:rPr>
            </w:pPr>
            <w:r w:rsidRPr="00BE5613">
              <w:rPr>
                <w:sz w:val="22"/>
                <w:szCs w:val="22"/>
              </w:rPr>
              <w:t>continuous</w:t>
            </w:r>
          </w:p>
        </w:tc>
        <w:tc>
          <w:tcPr>
            <w:tcW w:w="924" w:type="dxa"/>
            <w:shd w:val="clear" w:color="auto" w:fill="FFFFFF"/>
            <w:vAlign w:val="center"/>
          </w:tcPr>
          <w:p w14:paraId="09BEA978" w14:textId="77777777" w:rsidR="00E164DE" w:rsidRPr="00BE5613" w:rsidRDefault="00E164DE" w:rsidP="003D4C06">
            <w:pPr>
              <w:spacing w:before="100" w:beforeAutospacing="1" w:after="100" w:afterAutospacing="1"/>
              <w:ind w:left="47"/>
              <w:jc w:val="center"/>
              <w:rPr>
                <w:sz w:val="22"/>
                <w:szCs w:val="22"/>
              </w:rPr>
            </w:pPr>
            <w:r w:rsidRPr="00BE5613">
              <w:rPr>
                <w:sz w:val="22"/>
                <w:szCs w:val="22"/>
              </w:rPr>
              <w:t>+</w:t>
            </w:r>
          </w:p>
        </w:tc>
      </w:tr>
    </w:tbl>
    <w:p w14:paraId="04EB999A" w14:textId="77777777" w:rsidR="00195F03" w:rsidRPr="00BE5613" w:rsidRDefault="00195F03" w:rsidP="00AA45FA">
      <w:pPr>
        <w:spacing w:line="480" w:lineRule="auto"/>
        <w:ind w:firstLine="567"/>
        <w:jc w:val="both"/>
      </w:pPr>
    </w:p>
    <w:p w14:paraId="5D7056BA" w14:textId="77777777" w:rsidR="00195F03" w:rsidRPr="00BE5613" w:rsidRDefault="00195F03" w:rsidP="00AA45FA">
      <w:pPr>
        <w:spacing w:line="480" w:lineRule="auto"/>
        <w:jc w:val="both"/>
      </w:pPr>
      <w:r w:rsidRPr="00BE5613">
        <w:t>3.3</w:t>
      </w:r>
      <w:r w:rsidR="00B819A9" w:rsidRPr="00BE5613">
        <w:t xml:space="preserve"> Assessment of WM performance conditional on contextual factors</w:t>
      </w:r>
    </w:p>
    <w:p w14:paraId="39BBF6BC" w14:textId="77777777" w:rsidR="00E50EC7" w:rsidRPr="00BE5613" w:rsidRDefault="00921EC7" w:rsidP="00AA45FA">
      <w:pPr>
        <w:spacing w:line="480" w:lineRule="auto"/>
        <w:ind w:firstLine="567"/>
        <w:jc w:val="both"/>
      </w:pPr>
      <w:r w:rsidRPr="00BE5613">
        <w:t xml:space="preserve">The paper employs a non-parametric approach reposing upon data envelopment analysis (DEA) in assessing WM performance of Czech municipalities. To this end, a municipality is </w:t>
      </w:r>
      <w:r w:rsidR="00E872CF" w:rsidRPr="00BE5613">
        <w:t xml:space="preserve">in this context </w:t>
      </w:r>
      <w:r w:rsidRPr="00BE5613">
        <w:t>considered as a production unit</w:t>
      </w:r>
      <w:r w:rsidR="00E872CF" w:rsidRPr="00BE5613">
        <w:t xml:space="preserve"> (or decision-making unit)</w:t>
      </w:r>
      <w:r w:rsidRPr="00BE5613">
        <w:t xml:space="preserve"> that has autonomy over the use</w:t>
      </w:r>
      <w:r w:rsidR="00E872CF" w:rsidRPr="00BE5613">
        <w:t xml:space="preserve"> of inputs in producing outputs. The production models adopted </w:t>
      </w:r>
      <w:r w:rsidR="009141ED" w:rsidRPr="00BE5613">
        <w:t>for</w:t>
      </w:r>
      <w:r w:rsidR="00E872CF" w:rsidRPr="00BE5613">
        <w:t xml:space="preserve"> the analysis </w:t>
      </w:r>
      <w:r w:rsidR="009141ED" w:rsidRPr="00BE5613">
        <w:t>of</w:t>
      </w:r>
      <w:r w:rsidR="00E872CF" w:rsidRPr="00BE5613">
        <w:t xml:space="preserve"> </w:t>
      </w:r>
      <w:r w:rsidR="00E872CF" w:rsidRPr="00BE5613">
        <w:lastRenderedPageBreak/>
        <w:t xml:space="preserve">MSWM </w:t>
      </w:r>
      <w:r w:rsidR="009141ED" w:rsidRPr="00BE5613">
        <w:t xml:space="preserve">performance </w:t>
      </w:r>
      <w:r w:rsidR="00E872CF" w:rsidRPr="00BE5613">
        <w:t xml:space="preserve">are summarized earlier in Table </w:t>
      </w:r>
      <w:r w:rsidR="00E872CF" w:rsidRPr="00BE5613">
        <w:fldChar w:fldCharType="begin"/>
      </w:r>
      <w:r w:rsidR="00E872CF" w:rsidRPr="00BE5613">
        <w:instrText xml:space="preserve"> REF table_inputoutupt_specs \h  \* MERGEFORMAT </w:instrText>
      </w:r>
      <w:r w:rsidR="00E872CF" w:rsidRPr="00BE5613">
        <w:fldChar w:fldCharType="separate"/>
      </w:r>
      <w:r w:rsidR="00AA45FA" w:rsidRPr="00BE5613">
        <w:t>1</w:t>
      </w:r>
      <w:r w:rsidR="00E872CF" w:rsidRPr="00BE5613">
        <w:fldChar w:fldCharType="end"/>
      </w:r>
      <w:r w:rsidR="00E872CF" w:rsidRPr="00BE5613">
        <w:t xml:space="preserve">. DEA converts each </w:t>
      </w:r>
      <w:r w:rsidR="009141ED" w:rsidRPr="00BE5613">
        <w:t xml:space="preserve">such </w:t>
      </w:r>
      <w:r w:rsidR="00E872CF" w:rsidRPr="00BE5613">
        <w:t xml:space="preserve">production model into a linear programming problem </w:t>
      </w:r>
      <w:r w:rsidR="009141ED" w:rsidRPr="00BE5613">
        <w:t xml:space="preserve">that provides simultaneously </w:t>
      </w:r>
      <w:r w:rsidR="00E872CF" w:rsidRPr="00BE5613">
        <w:t xml:space="preserve">(i.) </w:t>
      </w:r>
      <w:r w:rsidR="009141ED" w:rsidRPr="00BE5613">
        <w:t>an implicit estimate of the production (or rather performance)</w:t>
      </w:r>
      <w:r w:rsidR="00E872CF" w:rsidRPr="00BE5613">
        <w:t xml:space="preserve"> frontier created as an envelope of the observed production data, and (ii.) </w:t>
      </w:r>
      <w:r w:rsidR="009141ED" w:rsidRPr="00BE5613">
        <w:t>an estimate of</w:t>
      </w:r>
      <w:r w:rsidR="00E872CF" w:rsidRPr="00BE5613">
        <w:t xml:space="preserve"> the distance of </w:t>
      </w:r>
      <w:r w:rsidR="009141ED" w:rsidRPr="00BE5613">
        <w:t>a municipality from the estimated production (or perfo</w:t>
      </w:r>
      <w:r w:rsidR="00AB0FAC" w:rsidRPr="00BE5613">
        <w:t>rmance) frontier expressed as a</w:t>
      </w:r>
      <w:r w:rsidR="009141ED" w:rsidRPr="00BE5613">
        <w:t xml:space="preserve"> score. </w:t>
      </w:r>
      <w:r w:rsidR="009D313C" w:rsidRPr="00BE5613">
        <w:t>Traditionally, it is assured that this score is limited to the interval (0,1] where the upper limit 1 signifies full (or benchmark</w:t>
      </w:r>
      <w:r w:rsidR="00B33FD1" w:rsidRPr="00BE5613">
        <w:t>)</w:t>
      </w:r>
      <w:r w:rsidR="009D313C" w:rsidRPr="00BE5613">
        <w:t xml:space="preserve"> performance. </w:t>
      </w:r>
      <w:r w:rsidR="009141ED" w:rsidRPr="00BE5613">
        <w:t>The advantage of DEA over other approaches</w:t>
      </w:r>
      <w:r w:rsidR="009D313C" w:rsidRPr="00BE5613">
        <w:t xml:space="preserve"> rests in handling easily multiple inputs and multiple outputs without any specification of a particular functional form relating inputs to outputs. </w:t>
      </w:r>
      <w:r w:rsidR="00580684" w:rsidRPr="00BE5613">
        <w:t xml:space="preserve">Whereas DEA methodology for simple cases of multiple inputs and multiple outputs is well developed and covers numerous situations that arise in applications (e.g., uncertain data, non-discretionary data, outliers, non-radiality), there is some </w:t>
      </w:r>
      <w:r w:rsidR="00E50EC7" w:rsidRPr="00BE5613">
        <w:t>uncertainty</w:t>
      </w:r>
      <w:r w:rsidR="00580684" w:rsidRPr="00BE5613">
        <w:t xml:space="preserve"> when there are contextual (or environmental) factors at play that may affect performance. </w:t>
      </w:r>
      <w:r w:rsidR="00E50EC7" w:rsidRPr="00BE5613">
        <w:t xml:space="preserve">These contextual factors capture environmental and operating conditions in which municipalities undertake provision of WM service. Those employed in this study are exposited in Table </w:t>
      </w:r>
      <w:r w:rsidR="00E50EC7" w:rsidRPr="00BE5613">
        <w:fldChar w:fldCharType="begin"/>
      </w:r>
      <w:r w:rsidR="00E50EC7" w:rsidRPr="00BE5613">
        <w:instrText xml:space="preserve"> REF table_contextualvars \h </w:instrText>
      </w:r>
      <w:r w:rsidR="00AA45FA" w:rsidRPr="00BE5613">
        <w:instrText xml:space="preserve"> \* MERGEFORMAT </w:instrText>
      </w:r>
      <w:r w:rsidR="00E50EC7" w:rsidRPr="00BE5613">
        <w:fldChar w:fldCharType="separate"/>
      </w:r>
      <w:r w:rsidR="00AA45FA" w:rsidRPr="00BE5613">
        <w:t>2</w:t>
      </w:r>
      <w:r w:rsidR="00E50EC7" w:rsidRPr="00BE5613">
        <w:fldChar w:fldCharType="end"/>
      </w:r>
      <w:r w:rsidR="00E50EC7" w:rsidRPr="00BE5613">
        <w:t>.</w:t>
      </w:r>
    </w:p>
    <w:p w14:paraId="7AF569FA" w14:textId="77777777" w:rsidR="00A35550" w:rsidRPr="00BE5613" w:rsidRDefault="00E50EC7" w:rsidP="00AA45FA">
      <w:pPr>
        <w:spacing w:line="480" w:lineRule="auto"/>
        <w:ind w:firstLine="567"/>
        <w:jc w:val="both"/>
      </w:pPr>
      <w:r w:rsidRPr="00BE5613">
        <w:t xml:space="preserve">As a matter of fact, modeling contextual factors in DEA is an interesting research front, far from being closed (cf. Liu et al., 2016, Subsection 5.1). There are two different responses to contextual factors. One approach is termed two-stage analysis or two-stage DEA, whereas the other </w:t>
      </w:r>
      <w:r w:rsidR="00FA466F" w:rsidRPr="00BE5613">
        <w:t xml:space="preserve">may be loosely named unconditional-to-conditional (UTC) analysis. </w:t>
      </w:r>
      <w:r w:rsidR="00EF050F" w:rsidRPr="00BE5613">
        <w:t xml:space="preserve">Both these approaches augment the analysis by a second stage that explains the effect of contextual variables. Irrespective of the method, this seems a logical step as it significantly improves the practical usefulness of results, which is supported also by Rogge and </w:t>
      </w:r>
      <w:r w:rsidR="00D561BE" w:rsidRPr="00BE5613">
        <w:t>De Jaeger</w:t>
      </w:r>
      <w:r w:rsidR="00EF050F" w:rsidRPr="00BE5613">
        <w:t xml:space="preserve"> (2012). In the words of </w:t>
      </w:r>
      <w:r w:rsidR="00A959E7" w:rsidRPr="00BE5613">
        <w:t>De Witte</w:t>
      </w:r>
      <w:r w:rsidR="00EF050F" w:rsidRPr="00BE5613">
        <w:t xml:space="preserve"> and </w:t>
      </w:r>
      <w:proofErr w:type="spellStart"/>
      <w:r w:rsidR="00EF050F" w:rsidRPr="00BE5613">
        <w:t>Kortelainen</w:t>
      </w:r>
      <w:proofErr w:type="spellEnd"/>
      <w:r w:rsidR="00EF050F" w:rsidRPr="00BE5613">
        <w:t xml:space="preserve"> (2013), neglecting the operational environment can make DEA results meaningless.</w:t>
      </w:r>
      <w:r w:rsidR="00A35550" w:rsidRPr="00BE5613">
        <w:t xml:space="preserve"> </w:t>
      </w:r>
    </w:p>
    <w:p w14:paraId="33EF9A4D" w14:textId="77777777" w:rsidR="00EF050F" w:rsidRPr="00BE5613" w:rsidRDefault="00FA466F" w:rsidP="00AA45FA">
      <w:pPr>
        <w:spacing w:line="480" w:lineRule="auto"/>
        <w:ind w:firstLine="708"/>
        <w:jc w:val="both"/>
      </w:pPr>
      <w:r w:rsidRPr="00BE5613">
        <w:lastRenderedPageBreak/>
        <w:t xml:space="preserve">Two-stage analysis was first used by Ray (1988) and adds to standard DEA a second stage in which performance scores are regressed upon contextual variables. </w:t>
      </w:r>
      <w:r w:rsidR="00B93C7F" w:rsidRPr="00BE5613">
        <w:t xml:space="preserve">In estimating the regression equation, it is </w:t>
      </w:r>
      <w:proofErr w:type="gramStart"/>
      <w:r w:rsidR="00B93C7F" w:rsidRPr="00BE5613">
        <w:t>fairly common</w:t>
      </w:r>
      <w:proofErr w:type="gramEnd"/>
      <w:r w:rsidR="00B93C7F" w:rsidRPr="00BE5613">
        <w:t xml:space="preserve"> to deploy ordinary least squares (OLS) or formulate a censored (</w:t>
      </w:r>
      <w:proofErr w:type="spellStart"/>
      <w:r w:rsidR="00B93C7F" w:rsidRPr="00BE5613">
        <w:t>tobit</w:t>
      </w:r>
      <w:proofErr w:type="spellEnd"/>
      <w:r w:rsidR="00B93C7F" w:rsidRPr="00BE5613">
        <w:t>) regression model (e.g., Hoff, 2007; McDonald, 2009; Simar and Wilson</w:t>
      </w:r>
      <w:r w:rsidR="006D459C" w:rsidRPr="00BE5613">
        <w:t>,</w:t>
      </w:r>
      <w:r w:rsidR="00B93C7F" w:rsidRPr="00BE5613">
        <w:t xml:space="preserve"> 2011</w:t>
      </w:r>
      <w:r w:rsidR="006D459C" w:rsidRPr="00BE5613">
        <w:t xml:space="preserve">; Johnson and </w:t>
      </w:r>
      <w:proofErr w:type="spellStart"/>
      <w:r w:rsidR="006D459C" w:rsidRPr="00BE5613">
        <w:t>Kuosmanen</w:t>
      </w:r>
      <w:proofErr w:type="spellEnd"/>
      <w:r w:rsidR="006D459C" w:rsidRPr="00BE5613">
        <w:t>, 2012</w:t>
      </w:r>
      <w:r w:rsidR="00B93C7F" w:rsidRPr="00BE5613">
        <w:t xml:space="preserve">). The truth is that early implementations of two-stage DEA were lacking in theoretical support, </w:t>
      </w:r>
      <w:r w:rsidR="008319BF" w:rsidRPr="00BE5613">
        <w:t xml:space="preserve">in response of which </w:t>
      </w:r>
      <w:r w:rsidR="00B93C7F" w:rsidRPr="00BE5613">
        <w:t>Banker and Natarajan (2008) developed a stati</w:t>
      </w:r>
      <w:r w:rsidR="008319BF" w:rsidRPr="00BE5613">
        <w:t>stical framework justifying OLS, whilst</w:t>
      </w:r>
      <w:r w:rsidR="00B93C7F" w:rsidRPr="00BE5613">
        <w:t xml:space="preserve"> Simar and Wilson (2007) made a compelling argument in </w:t>
      </w:r>
      <w:r w:rsidR="007D7F1B" w:rsidRPr="00BE5613">
        <w:t>flavor</w:t>
      </w:r>
      <w:r w:rsidR="00B93C7F" w:rsidRPr="00BE5613">
        <w:t xml:space="preserve"> of truncated regression. </w:t>
      </w:r>
      <w:r w:rsidR="00F70860" w:rsidRPr="00BE5613">
        <w:t xml:space="preserve">Finally, Banker et al. (2019) proved superiority of OLS for practical applications. Be that as it may, the use of this kind of two-stage analysis necessitates </w:t>
      </w:r>
      <w:proofErr w:type="gramStart"/>
      <w:r w:rsidR="00F70860" w:rsidRPr="00BE5613">
        <w:t>that contextual variables</w:t>
      </w:r>
      <w:proofErr w:type="gramEnd"/>
      <w:r w:rsidR="00F70860" w:rsidRPr="00BE5613">
        <w:t xml:space="preserve"> do not distort </w:t>
      </w:r>
      <w:r w:rsidR="002133AE" w:rsidRPr="00BE5613">
        <w:t xml:space="preserve">the </w:t>
      </w:r>
      <w:r w:rsidR="00F70860" w:rsidRPr="00BE5613">
        <w:t xml:space="preserve">production possibilities set, which is called the separability condition. </w:t>
      </w:r>
      <w:proofErr w:type="spellStart"/>
      <w:r w:rsidR="00F70860" w:rsidRPr="00BE5613">
        <w:t>Daraio</w:t>
      </w:r>
      <w:proofErr w:type="spellEnd"/>
      <w:r w:rsidR="00F70860" w:rsidRPr="00BE5613">
        <w:t xml:space="preserve"> et al. (201</w:t>
      </w:r>
      <w:r w:rsidR="002133AE" w:rsidRPr="00BE5613">
        <w:t>8</w:t>
      </w:r>
      <w:r w:rsidR="00F70860" w:rsidRPr="00BE5613">
        <w:t>) developed an asymptotic framework based on the central limit theorem for testing whether the separability condition holds.</w:t>
      </w:r>
      <w:r w:rsidR="00EF050F" w:rsidRPr="00BE5613">
        <w:t xml:space="preserve"> </w:t>
      </w:r>
    </w:p>
    <w:p w14:paraId="09FF46D4" w14:textId="77777777" w:rsidR="00356A85" w:rsidRPr="00BE5613" w:rsidRDefault="008B021E" w:rsidP="00AA45FA">
      <w:pPr>
        <w:spacing w:line="480" w:lineRule="auto"/>
        <w:ind w:firstLine="567"/>
        <w:jc w:val="both"/>
      </w:pPr>
      <w:r w:rsidRPr="00BE5613">
        <w:t xml:space="preserve">Another approach may be traced to </w:t>
      </w:r>
      <w:proofErr w:type="spellStart"/>
      <w:r w:rsidRPr="00BE5613">
        <w:t>Daraio</w:t>
      </w:r>
      <w:proofErr w:type="spellEnd"/>
      <w:r w:rsidRPr="00BE5613">
        <w:t xml:space="preserve"> and Simar (2005, 2007)</w:t>
      </w:r>
      <w:r w:rsidR="00356A85" w:rsidRPr="00BE5613">
        <w:t xml:space="preserve">, and its strength is in the irrelevance of the separability condition, which makes it a universal approach </w:t>
      </w:r>
      <w:proofErr w:type="gramStart"/>
      <w:r w:rsidR="00356A85" w:rsidRPr="00BE5613">
        <w:t>in spite of</w:t>
      </w:r>
      <w:proofErr w:type="gramEnd"/>
      <w:r w:rsidR="00356A85" w:rsidRPr="00BE5613">
        <w:t xml:space="preserve"> its relative computational burden. The rationale is to compare performance scores computed free of contextual variables (unconditional scores) to those with full account for contextual variable (conditional scores). Unconditional scores relative to conditional scores (UTC ratios) are then non-parametrically regressed upon contextual factors.</w:t>
      </w:r>
      <w:r w:rsidR="009067A1" w:rsidRPr="00BE5613">
        <w:t xml:space="preserve"> Unconditional-to-conditional (UTC) analysis is applicable in a traditional manner with the use of so-called full frontiers, or </w:t>
      </w:r>
      <w:proofErr w:type="spellStart"/>
      <w:r w:rsidR="009067A1" w:rsidRPr="00BE5613">
        <w:t>robustified</w:t>
      </w:r>
      <w:proofErr w:type="spellEnd"/>
      <w:r w:rsidR="009067A1" w:rsidRPr="00BE5613">
        <w:t xml:space="preserve"> with the use of so-called partial frontiers. Whereas the idea of the former is to use all observations as they are observed, the latter utilizes only a fraction of observations </w:t>
      </w:r>
      <w:r w:rsidR="006D459C" w:rsidRPr="00BE5613">
        <w:t xml:space="preserve">in a repetitive bootstrap fashion </w:t>
      </w:r>
      <w:proofErr w:type="gramStart"/>
      <w:r w:rsidR="001E5070" w:rsidRPr="00BE5613">
        <w:t>so as to</w:t>
      </w:r>
      <w:proofErr w:type="gramEnd"/>
      <w:r w:rsidR="001E5070" w:rsidRPr="00BE5613">
        <w:t xml:space="preserve"> establish resistance against outlying observations. The latter is based upon order-</w:t>
      </w:r>
      <w:r w:rsidR="001E5070" w:rsidRPr="00BE5613">
        <w:rPr>
          <w:i/>
          <w:iCs/>
        </w:rPr>
        <w:t>m</w:t>
      </w:r>
      <w:r w:rsidR="001E5070" w:rsidRPr="00BE5613">
        <w:t xml:space="preserve"> efficiency developed by </w:t>
      </w:r>
      <w:proofErr w:type="spellStart"/>
      <w:r w:rsidR="001E5070" w:rsidRPr="00BE5613">
        <w:t>Cazals</w:t>
      </w:r>
      <w:proofErr w:type="spellEnd"/>
      <w:r w:rsidR="001E5070" w:rsidRPr="00BE5613">
        <w:t xml:space="preserve"> et al. (2002) or order-</w:t>
      </w:r>
      <w:r w:rsidR="001E5070" w:rsidRPr="00BE5613">
        <w:rPr>
          <w:rFonts w:cs="Calibri"/>
        </w:rPr>
        <w:t>α</w:t>
      </w:r>
      <w:r w:rsidR="007C3262" w:rsidRPr="00BE5613">
        <w:t xml:space="preserve"> devised by Aragon et al. (2005).</w:t>
      </w:r>
    </w:p>
    <w:p w14:paraId="214CF81A" w14:textId="77777777" w:rsidR="009067A1" w:rsidRPr="00BE5613" w:rsidRDefault="006D459C" w:rsidP="00AA45FA">
      <w:pPr>
        <w:spacing w:line="480" w:lineRule="auto"/>
        <w:ind w:firstLine="567"/>
        <w:jc w:val="both"/>
      </w:pPr>
      <w:r w:rsidRPr="00BE5613">
        <w:lastRenderedPageBreak/>
        <w:t xml:space="preserve">Although in studies on WM performance two-stage DEA, and specifically the double-bootstrap procedure formulated by Simar and Wilson (2007), </w:t>
      </w:r>
      <w:r w:rsidR="00EF050F" w:rsidRPr="00BE5613">
        <w:t xml:space="preserve">is proliferated </w:t>
      </w:r>
      <w:r w:rsidRPr="00BE5613">
        <w:t xml:space="preserve">(e.g., Simões et </w:t>
      </w:r>
      <w:r w:rsidR="008319BF" w:rsidRPr="00BE5613">
        <w:t>al., 2010, 2012a; Benito-Ló</w:t>
      </w:r>
      <w:r w:rsidRPr="00BE5613">
        <w:t xml:space="preserve">pez et al., 2011), it hinges on separability of contextual factors from production, which is not supported in this present analysis. </w:t>
      </w:r>
      <w:r w:rsidR="00EF050F" w:rsidRPr="00BE5613">
        <w:t xml:space="preserve">For this reason, the following </w:t>
      </w:r>
      <w:r w:rsidR="00E10EBC" w:rsidRPr="00BE5613">
        <w:t xml:space="preserve">concise </w:t>
      </w:r>
      <w:r w:rsidR="00EF050F" w:rsidRPr="00BE5613">
        <w:t xml:space="preserve">exposition is devoted to </w:t>
      </w:r>
      <w:r w:rsidR="00E10EBC" w:rsidRPr="00BE5613">
        <w:t xml:space="preserve">UTC analysis, which may proceed in two variants, depending </w:t>
      </w:r>
      <w:r w:rsidR="008319BF" w:rsidRPr="00BE5613">
        <w:t xml:space="preserve">on </w:t>
      </w:r>
      <w:r w:rsidR="00E10EBC" w:rsidRPr="00BE5613">
        <w:t>whether it applies the concept of order-</w:t>
      </w:r>
      <w:r w:rsidR="00E10EBC" w:rsidRPr="00BE5613">
        <w:rPr>
          <w:i/>
          <w:iCs/>
        </w:rPr>
        <w:t>m</w:t>
      </w:r>
      <w:r w:rsidR="00E10EBC" w:rsidRPr="00BE5613">
        <w:t xml:space="preserve"> or order-</w:t>
      </w:r>
      <w:r w:rsidR="00E10EBC" w:rsidRPr="00BE5613">
        <w:rPr>
          <w:rFonts w:cs="Calibri"/>
        </w:rPr>
        <w:t xml:space="preserve">α efficiency. Example WM studies based on UTC analysis are </w:t>
      </w:r>
      <w:r w:rsidR="00B33FD1" w:rsidRPr="00BE5613">
        <w:rPr>
          <w:rFonts w:cs="Calibri"/>
        </w:rPr>
        <w:t xml:space="preserve">listed </w:t>
      </w:r>
      <w:r w:rsidR="00E10EBC" w:rsidRPr="00BE5613">
        <w:t>by Ferreira et al. (2020) or Simões et al. (2012a). UTC analysis sets up partial frontiers models that do not envelop the entire sample and are thus less sensitive to the presence of outliers</w:t>
      </w:r>
      <w:r w:rsidR="00E7482E" w:rsidRPr="00BE5613">
        <w:t>, whilst being adjustable to inclusion of contextual variables that render the results conditional. An application of order-</w:t>
      </w:r>
      <w:r w:rsidR="00E7482E" w:rsidRPr="00BE5613">
        <w:rPr>
          <w:i/>
        </w:rPr>
        <w:t>m</w:t>
      </w:r>
      <w:r w:rsidR="00E7482E" w:rsidRPr="00BE5613">
        <w:t xml:space="preserve"> frontiers requires that the parameter </w:t>
      </w:r>
      <w:r w:rsidR="00E7482E" w:rsidRPr="00BE5613">
        <w:rPr>
          <w:i/>
        </w:rPr>
        <w:t>m</w:t>
      </w:r>
      <w:r w:rsidR="00E7482E" w:rsidRPr="00BE5613">
        <w:t xml:space="preserve"> is specified </w:t>
      </w:r>
      <w:r w:rsidR="00B33FD1" w:rsidRPr="00BE5613">
        <w:t xml:space="preserve">by </w:t>
      </w:r>
      <w:r w:rsidR="00E7482E" w:rsidRPr="00BE5613">
        <w:t>stating the number of peers against which performance is matched in bootstrap simulations, whilst order-</w:t>
      </w:r>
      <w:r w:rsidR="00E7482E" w:rsidRPr="00BE5613">
        <w:rPr>
          <w:rFonts w:cs="Calibri"/>
        </w:rPr>
        <w:t>α</w:t>
      </w:r>
      <w:r w:rsidR="00E7482E" w:rsidRPr="00BE5613">
        <w:t xml:space="preserve"> frontiers need the value of α that is the probability that a point outperforms the frontier.</w:t>
      </w:r>
      <w:r w:rsidR="00AB5345" w:rsidRPr="00BE5613">
        <w:t xml:space="preserve"> There is a correspondence between </w:t>
      </w:r>
      <w:r w:rsidR="00AB5345" w:rsidRPr="00BE5613">
        <w:rPr>
          <w:i/>
        </w:rPr>
        <w:t>m</w:t>
      </w:r>
      <w:r w:rsidR="00AB5345" w:rsidRPr="00BE5613">
        <w:t xml:space="preserve"> and α</w:t>
      </w:r>
      <w:r w:rsidR="00A35550" w:rsidRPr="00BE5613">
        <w:t>,</w:t>
      </w:r>
      <w:r w:rsidR="00AB5345" w:rsidRPr="00BE5613">
        <w:t xml:space="preserve"> but </w:t>
      </w:r>
      <w:r w:rsidR="00A35550" w:rsidRPr="00BE5613">
        <w:t>order-</w:t>
      </w:r>
      <w:r w:rsidR="00A35550" w:rsidRPr="00BE5613">
        <w:rPr>
          <w:i/>
        </w:rPr>
        <w:t>m</w:t>
      </w:r>
      <w:r w:rsidR="00A35550" w:rsidRPr="00BE5613">
        <w:t xml:space="preserve"> frontiers </w:t>
      </w:r>
      <w:proofErr w:type="gramStart"/>
      <w:r w:rsidR="00A35550" w:rsidRPr="00BE5613">
        <w:t>in spite of</w:t>
      </w:r>
      <w:proofErr w:type="gramEnd"/>
      <w:r w:rsidR="00A35550" w:rsidRPr="00BE5613">
        <w:t xml:space="preserve"> their greater fragility to outliers are statistically more efficient (</w:t>
      </w:r>
      <w:proofErr w:type="spellStart"/>
      <w:r w:rsidR="00A35550" w:rsidRPr="00BE5613">
        <w:t>Daouia</w:t>
      </w:r>
      <w:proofErr w:type="spellEnd"/>
      <w:r w:rsidR="00A35550" w:rsidRPr="00BE5613">
        <w:t xml:space="preserve"> and </w:t>
      </w:r>
      <w:proofErr w:type="spellStart"/>
      <w:r w:rsidR="00A35550" w:rsidRPr="00BE5613">
        <w:t>Gijbels</w:t>
      </w:r>
      <w:proofErr w:type="spellEnd"/>
      <w:r w:rsidR="00A35550" w:rsidRPr="00BE5613">
        <w:t>, 2011). This paper uses order-</w:t>
      </w:r>
      <w:r w:rsidR="00A35550" w:rsidRPr="00BE5613">
        <w:rPr>
          <w:i/>
        </w:rPr>
        <w:t>m</w:t>
      </w:r>
      <w:r w:rsidR="005A0EBF" w:rsidRPr="00BE5613">
        <w:t xml:space="preserve"> frontiers in juxtaposition with full frontiers.</w:t>
      </w:r>
    </w:p>
    <w:p w14:paraId="20D6C30E" w14:textId="77777777" w:rsidR="003A7B6F" w:rsidRPr="00BE5613" w:rsidRDefault="006004A2" w:rsidP="00AA45FA">
      <w:pPr>
        <w:spacing w:line="480" w:lineRule="auto"/>
        <w:ind w:firstLine="567"/>
        <w:jc w:val="both"/>
      </w:pPr>
      <w:r w:rsidRPr="00BE5613">
        <w:t xml:space="preserve">On the one hand, </w:t>
      </w:r>
      <w:r w:rsidR="006406DC" w:rsidRPr="00BE5613">
        <w:t xml:space="preserve">empirical </w:t>
      </w:r>
      <w:r w:rsidRPr="00BE5613">
        <w:t xml:space="preserve">studies that prefer two-stage analysis in the spirit of Simar and Wilson (2007) use radial efficiency scores under the convexity assumption imposing variable returns to scale, which aligns the analysis with </w:t>
      </w:r>
      <w:r w:rsidR="006406DC" w:rsidRPr="00BE5613">
        <w:t>the</w:t>
      </w:r>
      <w:r w:rsidRPr="00BE5613">
        <w:t xml:space="preserve"> </w:t>
      </w:r>
      <w:r w:rsidR="006406DC" w:rsidRPr="00BE5613">
        <w:t xml:space="preserve">BCC (Banker – Charnes – Cooper) </w:t>
      </w:r>
      <w:r w:rsidRPr="00BE5613">
        <w:t xml:space="preserve">model of Banker et al. (1984). On the other hand, </w:t>
      </w:r>
      <w:r w:rsidR="006406DC" w:rsidRPr="00BE5613">
        <w:t xml:space="preserve">studies that prefer UTC analysis work only with the assumption of free disposability and they effectively use the FDH (free disposal hull) estimator of </w:t>
      </w:r>
      <w:proofErr w:type="spellStart"/>
      <w:r w:rsidR="006406DC" w:rsidRPr="00BE5613">
        <w:t>Deprins</w:t>
      </w:r>
      <w:proofErr w:type="spellEnd"/>
      <w:r w:rsidR="006406DC" w:rsidRPr="00BE5613">
        <w:t xml:space="preserve"> et al. (1984). Examples of such studies focusing upon WM performance are </w:t>
      </w:r>
      <w:r w:rsidR="003A7B6F" w:rsidRPr="00BE5613">
        <w:t xml:space="preserve">Ferreira et al. (2020) or Simões et al. (2012a), and similar such studies from different fields are </w:t>
      </w:r>
      <w:r w:rsidR="00A959E7" w:rsidRPr="00BE5613">
        <w:t>De Witte</w:t>
      </w:r>
      <w:r w:rsidR="003A7B6F" w:rsidRPr="00BE5613">
        <w:t xml:space="preserve"> and </w:t>
      </w:r>
      <w:proofErr w:type="spellStart"/>
      <w:r w:rsidR="003A7B6F" w:rsidRPr="00BE5613">
        <w:t>Kortelainen</w:t>
      </w:r>
      <w:proofErr w:type="spellEnd"/>
      <w:r w:rsidR="003A7B6F" w:rsidRPr="00BE5613">
        <w:t xml:space="preserve"> (2013) or Cordero et al. (2015, 2017). Certainly, variable returns to scale are a desirable requirement since municipalities vary in size</w:t>
      </w:r>
      <w:r w:rsidR="00F3755E" w:rsidRPr="00BE5613">
        <w:t>,</w:t>
      </w:r>
      <w:r w:rsidR="008319BF" w:rsidRPr="00BE5613">
        <w:t xml:space="preserve"> and this </w:t>
      </w:r>
      <w:r w:rsidR="008319BF" w:rsidRPr="00BE5613">
        <w:lastRenderedPageBreak/>
        <w:t>operating requirement</w:t>
      </w:r>
      <w:r w:rsidR="00F3755E" w:rsidRPr="00BE5613">
        <w:t xml:space="preserve"> entails that there is no constant effect with increasing size, but rather some variability in scale effects. Application of variable returns to scale when evaluating MSWM performance is also suggested by Callan and Thomas (2001).</w:t>
      </w:r>
    </w:p>
    <w:p w14:paraId="6A05C01B" w14:textId="77777777" w:rsidR="00E14960" w:rsidRPr="00BE5613" w:rsidRDefault="000D4750" w:rsidP="00AA45FA">
      <w:pPr>
        <w:spacing w:line="480" w:lineRule="auto"/>
        <w:ind w:firstLine="567"/>
        <w:jc w:val="both"/>
      </w:pPr>
      <w:r w:rsidRPr="00BE5613">
        <w:t>The technicalities to come presume that WM performance of a municipality</w:t>
      </w:r>
      <w:r w:rsidR="00F92A6D" w:rsidRPr="00BE5613">
        <w:t xml:space="preserve"> </w:t>
      </w:r>
      <w:r w:rsidR="00F92A6D" w:rsidRPr="00BE5613">
        <w:rPr>
          <w:position w:val="-6"/>
        </w:rPr>
        <w:object w:dxaOrig="180" w:dyaOrig="200" w14:anchorId="0049E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pt" o:ole="">
            <v:imagedata r:id="rId8" o:title=""/>
          </v:shape>
          <o:OLEObject Type="Embed" ProgID="Equation.DSMT4" ShapeID="_x0000_i1025" DrawAspect="Content" ObjectID="_1692465072" r:id="rId9"/>
        </w:object>
      </w:r>
      <w:r w:rsidRPr="00BE5613">
        <w:t xml:space="preserve"> is represented by a triple </w:t>
      </w:r>
      <w:r w:rsidRPr="00BE5613">
        <w:rPr>
          <w:position w:val="-10"/>
        </w:rPr>
        <w:object w:dxaOrig="920" w:dyaOrig="300" w14:anchorId="2DA82F70">
          <v:shape id="_x0000_i1026" type="#_x0000_t75" style="width:45.75pt;height:15.75pt" o:ole="">
            <v:imagedata r:id="rId10" o:title=""/>
          </v:shape>
          <o:OLEObject Type="Embed" ProgID="Equation.DSMT4" ShapeID="_x0000_i1026" DrawAspect="Content" ObjectID="_1692465073" r:id="rId11"/>
        </w:object>
      </w:r>
      <w:r w:rsidR="00F92A6D" w:rsidRPr="00BE5613">
        <w:t xml:space="preserve">, where </w:t>
      </w:r>
      <w:r w:rsidR="00F92A6D" w:rsidRPr="00BE5613">
        <w:rPr>
          <w:position w:val="-10"/>
        </w:rPr>
        <w:object w:dxaOrig="760" w:dyaOrig="320" w14:anchorId="2830A20C">
          <v:shape id="_x0000_i1027" type="#_x0000_t75" style="width:38.25pt;height:15.75pt" o:ole="">
            <v:imagedata r:id="rId12" o:title=""/>
          </v:shape>
          <o:OLEObject Type="Embed" ProgID="Equation.DSMT4" ShapeID="_x0000_i1027" DrawAspect="Content" ObjectID="_1692465074" r:id="rId13"/>
        </w:object>
      </w:r>
      <w:r w:rsidR="00F92A6D" w:rsidRPr="00BE5613">
        <w:t xml:space="preserve"> are inputs, </w:t>
      </w:r>
      <w:r w:rsidR="00F92A6D" w:rsidRPr="00BE5613">
        <w:rPr>
          <w:position w:val="-10"/>
        </w:rPr>
        <w:object w:dxaOrig="760" w:dyaOrig="320" w14:anchorId="6CC57DB9">
          <v:shape id="_x0000_i1028" type="#_x0000_t75" style="width:38.25pt;height:15.75pt" o:ole="">
            <v:imagedata r:id="rId14" o:title=""/>
          </v:shape>
          <o:OLEObject Type="Embed" ProgID="Equation.DSMT4" ShapeID="_x0000_i1028" DrawAspect="Content" ObjectID="_1692465075" r:id="rId15"/>
        </w:object>
      </w:r>
      <w:r w:rsidR="00F92A6D" w:rsidRPr="00BE5613">
        <w:t xml:space="preserve"> are desirable outputs, and </w:t>
      </w:r>
      <w:r w:rsidR="00F92A6D" w:rsidRPr="00BE5613">
        <w:rPr>
          <w:position w:val="-8"/>
        </w:rPr>
        <w:object w:dxaOrig="760" w:dyaOrig="300" w14:anchorId="6F751A77">
          <v:shape id="_x0000_i1029" type="#_x0000_t75" style="width:38.25pt;height:15pt" o:ole="">
            <v:imagedata r:id="rId16" o:title=""/>
          </v:shape>
          <o:OLEObject Type="Embed" ProgID="Equation.DSMT4" ShapeID="_x0000_i1029" DrawAspect="Content" ObjectID="_1692465076" r:id="rId17"/>
        </w:object>
      </w:r>
      <w:r w:rsidR="00F92A6D" w:rsidRPr="00BE5613">
        <w:t xml:space="preserve"> are contextual variables. Such data are available for all </w:t>
      </w:r>
      <w:r w:rsidR="00F92A6D" w:rsidRPr="00BE5613">
        <w:rPr>
          <w:i/>
        </w:rPr>
        <w:t>n</w:t>
      </w:r>
      <w:r w:rsidR="00F92A6D" w:rsidRPr="00BE5613">
        <w:t xml:space="preserve"> municipalities, so the analysis </w:t>
      </w:r>
      <w:r w:rsidR="00B4189F" w:rsidRPr="00BE5613">
        <w:t xml:space="preserve">is </w:t>
      </w:r>
      <w:r w:rsidR="00F92A6D" w:rsidRPr="00BE5613">
        <w:t xml:space="preserve">based on </w:t>
      </w:r>
      <w:r w:rsidR="0035443E" w:rsidRPr="00BE5613">
        <w:t xml:space="preserve">a </w:t>
      </w:r>
      <w:r w:rsidR="00F92A6D" w:rsidRPr="00BE5613">
        <w:t xml:space="preserve">sample </w:t>
      </w:r>
      <w:r w:rsidR="00B4189F" w:rsidRPr="00BE5613">
        <w:rPr>
          <w:position w:val="-10"/>
        </w:rPr>
        <w:object w:dxaOrig="1780" w:dyaOrig="300" w14:anchorId="7A853599">
          <v:shape id="_x0000_i1030" type="#_x0000_t75" style="width:89.25pt;height:15.75pt" o:ole="">
            <v:imagedata r:id="rId18" o:title=""/>
          </v:shape>
          <o:OLEObject Type="Embed" ProgID="Equation.DSMT4" ShapeID="_x0000_i1030" DrawAspect="Content" ObjectID="_1692465077" r:id="rId19"/>
        </w:object>
      </w:r>
      <w:r w:rsidR="00F92A6D" w:rsidRPr="00BE5613">
        <w:t xml:space="preserve">, where </w:t>
      </w:r>
      <w:r w:rsidR="00F92A6D" w:rsidRPr="00BE5613">
        <w:rPr>
          <w:position w:val="-10"/>
        </w:rPr>
        <w:object w:dxaOrig="999" w:dyaOrig="300" w14:anchorId="63661DD9">
          <v:shape id="_x0000_i1031" type="#_x0000_t75" style="width:50.25pt;height:15.75pt" o:ole="">
            <v:imagedata r:id="rId20" o:title=""/>
          </v:shape>
          <o:OLEObject Type="Embed" ProgID="Equation.DSMT4" ShapeID="_x0000_i1031" DrawAspect="Content" ObjectID="_1692465078" r:id="rId21"/>
        </w:object>
      </w:r>
      <w:r w:rsidR="00F92A6D" w:rsidRPr="00BE5613">
        <w:t xml:space="preserve"> is the index set encompassing all</w:t>
      </w:r>
      <w:r w:rsidR="00F92A6D" w:rsidRPr="00BE5613">
        <w:rPr>
          <w:i/>
        </w:rPr>
        <w:t xml:space="preserve"> </w:t>
      </w:r>
      <w:r w:rsidR="00F92A6D" w:rsidRPr="00BE5613">
        <w:t>municipalities.</w:t>
      </w:r>
      <w:r w:rsidR="00B4189F" w:rsidRPr="00BE5613">
        <w:t xml:space="preserve"> Isolating the effect of contextual variables </w:t>
      </w:r>
      <w:r w:rsidR="00B4189F" w:rsidRPr="00BE5613">
        <w:rPr>
          <w:position w:val="-8"/>
        </w:rPr>
        <w:object w:dxaOrig="240" w:dyaOrig="279" w14:anchorId="5F9403FE">
          <v:shape id="_x0000_i1032" type="#_x0000_t75" style="width:12pt;height:14.25pt" o:ole="">
            <v:imagedata r:id="rId22" o:title=""/>
          </v:shape>
          <o:OLEObject Type="Embed" ProgID="Equation.DSMT4" ShapeID="_x0000_i1032" DrawAspect="Content" ObjectID="_1692465079" r:id="rId23"/>
        </w:object>
      </w:r>
      <w:r w:rsidR="00B4189F" w:rsidRPr="00BE5613">
        <w:t xml:space="preserve"> from WM service represented by </w:t>
      </w:r>
      <w:r w:rsidR="00B4189F" w:rsidRPr="00BE5613">
        <w:rPr>
          <w:position w:val="-8"/>
        </w:rPr>
        <w:object w:dxaOrig="240" w:dyaOrig="279" w14:anchorId="4C6A1245">
          <v:shape id="_x0000_i1033" type="#_x0000_t75" style="width:12pt;height:15pt" o:ole="">
            <v:imagedata r:id="rId24" o:title=""/>
          </v:shape>
          <o:OLEObject Type="Embed" ProgID="Equation.DSMT4" ShapeID="_x0000_i1033" DrawAspect="Content" ObjectID="_1692465080" r:id="rId25"/>
        </w:object>
      </w:r>
      <w:r w:rsidR="00B4189F" w:rsidRPr="00BE5613">
        <w:t xml:space="preserve"> and </w:t>
      </w:r>
      <w:r w:rsidR="00B4189F" w:rsidRPr="00BE5613">
        <w:rPr>
          <w:position w:val="-10"/>
        </w:rPr>
        <w:object w:dxaOrig="260" w:dyaOrig="300" w14:anchorId="1C4BC998">
          <v:shape id="_x0000_i1034" type="#_x0000_t75" style="width:12.75pt;height:15.75pt" o:ole="">
            <v:imagedata r:id="rId26" o:title=""/>
          </v:shape>
          <o:OLEObject Type="Embed" ProgID="Equation.DSMT4" ShapeID="_x0000_i1034" DrawAspect="Content" ObjectID="_1692465081" r:id="rId27"/>
        </w:object>
      </w:r>
      <w:r w:rsidR="00B4189F" w:rsidRPr="00BE5613">
        <w:t xml:space="preserve"> requires conditioning </w:t>
      </w:r>
      <w:r w:rsidR="00B4189F" w:rsidRPr="00BE5613">
        <w:rPr>
          <w:position w:val="-10"/>
        </w:rPr>
        <w:object w:dxaOrig="660" w:dyaOrig="300" w14:anchorId="22818E9B">
          <v:shape id="_x0000_i1035" type="#_x0000_t75" style="width:33pt;height:15.75pt" o:ole="">
            <v:imagedata r:id="rId28" o:title=""/>
          </v:shape>
          <o:OLEObject Type="Embed" ProgID="Equation.DSMT4" ShapeID="_x0000_i1035" DrawAspect="Content" ObjectID="_1692465082" r:id="rId29"/>
        </w:object>
      </w:r>
      <w:r w:rsidR="00B4189F" w:rsidRPr="00BE5613">
        <w:t xml:space="preserve"> upon </w:t>
      </w:r>
      <w:r w:rsidR="00B4189F" w:rsidRPr="00BE5613">
        <w:rPr>
          <w:position w:val="-8"/>
        </w:rPr>
        <w:object w:dxaOrig="240" w:dyaOrig="279" w14:anchorId="5F48A799">
          <v:shape id="_x0000_i1036" type="#_x0000_t75" style="width:12pt;height:14.25pt" o:ole="">
            <v:imagedata r:id="rId22" o:title=""/>
          </v:shape>
          <o:OLEObject Type="Embed" ProgID="Equation.DSMT4" ShapeID="_x0000_i1036" DrawAspect="Content" ObjectID="_1692465083" r:id="rId30"/>
        </w:object>
      </w:r>
      <w:r w:rsidR="00E14960" w:rsidRPr="00BE5613">
        <w:t xml:space="preserve">, and practical implementation </w:t>
      </w:r>
      <w:r w:rsidR="0035443E" w:rsidRPr="00BE5613">
        <w:t>necessitates</w:t>
      </w:r>
      <w:r w:rsidR="00E14960" w:rsidRPr="00BE5613">
        <w:t xml:space="preserve"> some notion of vicinity around a particular observation of </w:t>
      </w:r>
      <w:r w:rsidR="00E14960" w:rsidRPr="00BE5613">
        <w:rPr>
          <w:position w:val="-8"/>
        </w:rPr>
        <w:object w:dxaOrig="240" w:dyaOrig="279" w14:anchorId="015289E1">
          <v:shape id="_x0000_i1037" type="#_x0000_t75" style="width:12pt;height:14.25pt" o:ole="">
            <v:imagedata r:id="rId22" o:title=""/>
          </v:shape>
          <o:OLEObject Type="Embed" ProgID="Equation.DSMT4" ShapeID="_x0000_i1037" DrawAspect="Content" ObjectID="_1692465084" r:id="rId31"/>
        </w:object>
      </w:r>
      <w:r w:rsidR="00E14960" w:rsidRPr="00BE5613">
        <w:t xml:space="preserve">. </w:t>
      </w:r>
      <w:proofErr w:type="spellStart"/>
      <w:r w:rsidR="0035443E" w:rsidRPr="00BE5613">
        <w:t>Cazals</w:t>
      </w:r>
      <w:proofErr w:type="spellEnd"/>
      <w:r w:rsidR="0035443E" w:rsidRPr="00BE5613">
        <w:t xml:space="preserve"> (2002), </w:t>
      </w:r>
      <w:proofErr w:type="spellStart"/>
      <w:r w:rsidR="0035443E" w:rsidRPr="00BE5613">
        <w:t>Daraio</w:t>
      </w:r>
      <w:proofErr w:type="spellEnd"/>
      <w:r w:rsidR="0035443E" w:rsidRPr="00BE5613">
        <w:t xml:space="preserve"> and Wilson (2005, 2007) proposed smoothing the density of </w:t>
      </w:r>
      <w:r w:rsidR="0035443E" w:rsidRPr="00BE5613">
        <w:rPr>
          <w:position w:val="-8"/>
        </w:rPr>
        <w:object w:dxaOrig="240" w:dyaOrig="279" w14:anchorId="5680226D">
          <v:shape id="_x0000_i1038" type="#_x0000_t75" style="width:12pt;height:14.25pt" o:ole="">
            <v:imagedata r:id="rId22" o:title=""/>
          </v:shape>
          <o:OLEObject Type="Embed" ProgID="Equation.DSMT4" ShapeID="_x0000_i1038" DrawAspect="Content" ObjectID="_1692465085" r:id="rId32"/>
        </w:object>
      </w:r>
      <w:r w:rsidR="0035443E" w:rsidRPr="00BE5613">
        <w:t xml:space="preserve"> by a suitable kernel function </w:t>
      </w:r>
      <w:r w:rsidR="0035443E" w:rsidRPr="00BE5613">
        <w:rPr>
          <w:position w:val="-10"/>
        </w:rPr>
        <w:object w:dxaOrig="1340" w:dyaOrig="320" w14:anchorId="0CB59774">
          <v:shape id="_x0000_i1039" type="#_x0000_t75" style="width:66.75pt;height:17.25pt" o:ole="">
            <v:imagedata r:id="rId33" o:title=""/>
          </v:shape>
          <o:OLEObject Type="Embed" ProgID="Equation.DSMT4" ShapeID="_x0000_i1039" DrawAspect="Content" ObjectID="_1692465086" r:id="rId34"/>
        </w:object>
      </w:r>
      <w:r w:rsidR="0035443E" w:rsidRPr="00BE5613">
        <w:t xml:space="preserve"> with bandwidth vector </w:t>
      </w:r>
      <w:r w:rsidR="0035443E" w:rsidRPr="00BE5613">
        <w:rPr>
          <w:position w:val="-8"/>
        </w:rPr>
        <w:object w:dxaOrig="680" w:dyaOrig="300" w14:anchorId="2D7FF2A4">
          <v:shape id="_x0000_i1040" type="#_x0000_t75" style="width:33.75pt;height:15pt" o:ole="">
            <v:imagedata r:id="rId35" o:title=""/>
          </v:shape>
          <o:OLEObject Type="Embed" ProgID="Equation.DSMT4" ShapeID="_x0000_i1040" DrawAspect="Content" ObjectID="_1692465087" r:id="rId36"/>
        </w:object>
      </w:r>
      <w:r w:rsidR="00826A0C" w:rsidRPr="00BE5613">
        <w:t xml:space="preserve"> and bounded support</w:t>
      </w:r>
      <w:r w:rsidR="0035443E" w:rsidRPr="00BE5613">
        <w:t>.</w:t>
      </w:r>
      <w:r w:rsidR="00304AA8" w:rsidRPr="00BE5613">
        <w:rPr>
          <w:rStyle w:val="FootnoteReference"/>
        </w:rPr>
        <w:footnoteReference w:id="6"/>
      </w:r>
      <w:r w:rsidR="0035443E" w:rsidRPr="00BE5613">
        <w:t xml:space="preserve"> </w:t>
      </w:r>
      <w:r w:rsidR="00D44C7E" w:rsidRPr="00BE5613">
        <w:t xml:space="preserve">With this in hand, conditioning on a particular value </w:t>
      </w:r>
      <w:r w:rsidR="00D44C7E" w:rsidRPr="00BE5613">
        <w:rPr>
          <w:position w:val="-4"/>
        </w:rPr>
        <w:object w:dxaOrig="180" w:dyaOrig="180" w14:anchorId="208C4B95">
          <v:shape id="_x0000_i1041" type="#_x0000_t75" style="width:9pt;height:9pt" o:ole="">
            <v:imagedata r:id="rId37" o:title=""/>
          </v:shape>
          <o:OLEObject Type="Embed" ProgID="Equation.DSMT4" ShapeID="_x0000_i1041" DrawAspect="Content" ObjectID="_1692465088" r:id="rId38"/>
        </w:object>
      </w:r>
      <w:r w:rsidR="00D44C7E" w:rsidRPr="00BE5613">
        <w:t xml:space="preserve"> is attained by selecting those municipalities that do not deviate by their contextual variables from </w:t>
      </w:r>
      <w:r w:rsidR="00D44C7E" w:rsidRPr="00BE5613">
        <w:rPr>
          <w:position w:val="-4"/>
        </w:rPr>
        <w:object w:dxaOrig="180" w:dyaOrig="180" w14:anchorId="413C49FA">
          <v:shape id="_x0000_i1042" type="#_x0000_t75" style="width:9pt;height:9pt" o:ole="">
            <v:imagedata r:id="rId37" o:title=""/>
          </v:shape>
          <o:OLEObject Type="Embed" ProgID="Equation.DSMT4" ShapeID="_x0000_i1042" DrawAspect="Content" ObjectID="_1692465089" r:id="rId39"/>
        </w:object>
      </w:r>
      <w:r w:rsidR="00D44C7E" w:rsidRPr="00BE5613">
        <w:t xml:space="preserve"> by more than </w:t>
      </w:r>
      <w:r w:rsidR="00D44C7E" w:rsidRPr="00BE5613">
        <w:rPr>
          <w:position w:val="-6"/>
        </w:rPr>
        <w:object w:dxaOrig="180" w:dyaOrig="240" w14:anchorId="40EED429">
          <v:shape id="_x0000_i1043" type="#_x0000_t75" style="width:9pt;height:12pt" o:ole="">
            <v:imagedata r:id="rId40" o:title=""/>
          </v:shape>
          <o:OLEObject Type="Embed" ProgID="Equation.DSMT4" ShapeID="_x0000_i1043" DrawAspect="Content" ObjectID="_1692465090" r:id="rId41"/>
        </w:object>
      </w:r>
      <w:r w:rsidR="00D44C7E" w:rsidRPr="00BE5613">
        <w:t xml:space="preserve">. To that end, a conditioning index set is defined </w:t>
      </w:r>
      <w:r w:rsidR="00D44C7E" w:rsidRPr="00BE5613">
        <w:rPr>
          <w:position w:val="-12"/>
        </w:rPr>
        <w:object w:dxaOrig="3580" w:dyaOrig="340" w14:anchorId="254E08A8">
          <v:shape id="_x0000_i1044" type="#_x0000_t75" style="width:179.25pt;height:18pt" o:ole="">
            <v:imagedata r:id="rId42" o:title=""/>
          </v:shape>
          <o:OLEObject Type="Embed" ProgID="Equation.DSMT4" ShapeID="_x0000_i1044" DrawAspect="Content" ObjectID="_1692465091" r:id="rId43"/>
        </w:object>
      </w:r>
      <w:r w:rsidR="00A50130" w:rsidRPr="00BE5613">
        <w:t>.</w:t>
      </w:r>
      <w:r w:rsidR="00826A0C" w:rsidRPr="00BE5613">
        <w:t xml:space="preserve"> </w:t>
      </w:r>
    </w:p>
    <w:p w14:paraId="79A7CBB5" w14:textId="77777777" w:rsidR="00A50130" w:rsidRPr="00BE5613" w:rsidRDefault="00466F74" w:rsidP="00AA45FA">
      <w:pPr>
        <w:spacing w:line="480" w:lineRule="auto"/>
        <w:ind w:firstLine="567"/>
        <w:jc w:val="both"/>
      </w:pPr>
      <w:r w:rsidRPr="00BE5613">
        <w:rPr>
          <w:i/>
        </w:rPr>
        <w:t>F</w:t>
      </w:r>
      <w:r w:rsidR="007D747E" w:rsidRPr="00BE5613">
        <w:rPr>
          <w:i/>
        </w:rPr>
        <w:t>ull</w:t>
      </w:r>
      <w:r w:rsidRPr="00BE5613">
        <w:rPr>
          <w:i/>
        </w:rPr>
        <w:t xml:space="preserve"> frontiers. </w:t>
      </w:r>
      <w:r w:rsidR="00A50130" w:rsidRPr="00BE5613">
        <w:t xml:space="preserve">When all observations in </w:t>
      </w:r>
      <w:r w:rsidR="00A50130" w:rsidRPr="00BE5613">
        <w:rPr>
          <w:position w:val="-6"/>
        </w:rPr>
        <w:object w:dxaOrig="180" w:dyaOrig="240" w14:anchorId="3DAECDC1">
          <v:shape id="_x0000_i1045" type="#_x0000_t75" style="width:9pt;height:12.75pt" o:ole="">
            <v:imagedata r:id="rId44" o:title=""/>
          </v:shape>
          <o:OLEObject Type="Embed" ProgID="Equation.DSMT4" ShapeID="_x0000_i1045" DrawAspect="Content" ObjectID="_1692465092" r:id="rId45"/>
        </w:object>
      </w:r>
      <w:r w:rsidR="00A50130" w:rsidRPr="00BE5613">
        <w:t xml:space="preserve"> are used simply as they are, a full frontier is constructed. The assumptions of free disposability and convexity yield a traditional input-oriented DEA estimator </w:t>
      </w:r>
      <w:r w:rsidR="00D614B0" w:rsidRPr="00BE5613">
        <w:t xml:space="preserve">of efficiency score </w:t>
      </w:r>
      <w:r w:rsidR="00A50130" w:rsidRPr="00BE5613">
        <w:t>in the form</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A50130" w:rsidRPr="00BE5613" w14:paraId="0B240E98" w14:textId="77777777">
        <w:trPr>
          <w:jc w:val="center"/>
        </w:trPr>
        <w:tc>
          <w:tcPr>
            <w:tcW w:w="8764" w:type="dxa"/>
            <w:vAlign w:val="center"/>
          </w:tcPr>
          <w:p w14:paraId="353EE148" w14:textId="77777777" w:rsidR="00A50130" w:rsidRPr="00BE5613" w:rsidRDefault="00D614B0" w:rsidP="00AA45FA">
            <w:pPr>
              <w:spacing w:line="480" w:lineRule="auto"/>
              <w:jc w:val="center"/>
              <w:rPr>
                <w:sz w:val="22"/>
              </w:rPr>
            </w:pPr>
            <w:r w:rsidRPr="00BE5613">
              <w:rPr>
                <w:position w:val="-18"/>
              </w:rPr>
              <w:object w:dxaOrig="6120" w:dyaOrig="460" w14:anchorId="76182BD8">
                <v:shape id="_x0000_i1046" type="#_x0000_t75" style="width:306pt;height:23.25pt" o:ole="">
                  <v:imagedata r:id="rId46" o:title=""/>
                </v:shape>
                <o:OLEObject Type="Embed" ProgID="Equation.DSMT4" ShapeID="_x0000_i1046" DrawAspect="Content" ObjectID="_1692465093" r:id="rId47"/>
              </w:object>
            </w:r>
            <w:r w:rsidR="00A50130" w:rsidRPr="00BE5613">
              <w:t>,</w:t>
            </w:r>
          </w:p>
        </w:tc>
        <w:tc>
          <w:tcPr>
            <w:tcW w:w="592" w:type="dxa"/>
            <w:vAlign w:val="center"/>
          </w:tcPr>
          <w:p w14:paraId="48554AD1" w14:textId="77777777" w:rsidR="00A50130" w:rsidRPr="00BE5613" w:rsidRDefault="00A50130"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bookmarkStart w:id="3" w:name="eq_full"/>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1</w:t>
            </w:r>
            <w:r w:rsidRPr="00BE5613">
              <w:rPr>
                <w:rFonts w:ascii="Times New Roman" w:hAnsi="Times New Roman" w:cs="Times New Roman"/>
                <w:sz w:val="22"/>
                <w:szCs w:val="22"/>
              </w:rPr>
              <w:fldChar w:fldCharType="end"/>
            </w:r>
            <w:bookmarkEnd w:id="3"/>
            <w:r w:rsidRPr="00BE5613">
              <w:rPr>
                <w:rFonts w:ascii="Times New Roman" w:hAnsi="Times New Roman" w:cs="Times New Roman"/>
                <w:sz w:val="22"/>
                <w:szCs w:val="22"/>
              </w:rPr>
              <w:t>)</w:t>
            </w:r>
          </w:p>
        </w:tc>
      </w:tr>
    </w:tbl>
    <w:p w14:paraId="01508875" w14:textId="77777777" w:rsidR="00A50130" w:rsidRPr="00BE5613" w:rsidRDefault="00D614B0" w:rsidP="00AA45FA">
      <w:pPr>
        <w:spacing w:line="480" w:lineRule="auto"/>
        <w:jc w:val="both"/>
      </w:pPr>
      <w:r w:rsidRPr="00BE5613">
        <w:t xml:space="preserve">whose value is known as a BCC efficiency score (or as an input-oriented Debreu-Farrell efficiency score under variable returns to scale). Conditioning on contextual factors </w:t>
      </w:r>
      <w:r w:rsidRPr="00BE5613">
        <w:rPr>
          <w:position w:val="-4"/>
        </w:rPr>
        <w:object w:dxaOrig="180" w:dyaOrig="180" w14:anchorId="1856E94B">
          <v:shape id="_x0000_i1047" type="#_x0000_t75" style="width:9pt;height:9pt" o:ole="">
            <v:imagedata r:id="rId37" o:title=""/>
          </v:shape>
          <o:OLEObject Type="Embed" ProgID="Equation.DSMT4" ShapeID="_x0000_i1047" DrawAspect="Content" ObjectID="_1692465094" r:id="rId48"/>
        </w:object>
      </w:r>
      <w:r w:rsidRPr="00BE5613">
        <w:t xml:space="preserve"> implies </w:t>
      </w:r>
      <w:r w:rsidRPr="00BE5613">
        <w:lastRenderedPageBreak/>
        <w:t xml:space="preserve">virtually that this optimization is run only for those municipalities that are close to </w:t>
      </w:r>
      <w:r w:rsidRPr="00BE5613">
        <w:rPr>
          <w:position w:val="-4"/>
        </w:rPr>
        <w:object w:dxaOrig="180" w:dyaOrig="180" w14:anchorId="5940A468">
          <v:shape id="_x0000_i1048" type="#_x0000_t75" style="width:9pt;height:9pt" o:ole="">
            <v:imagedata r:id="rId37" o:title=""/>
          </v:shape>
          <o:OLEObject Type="Embed" ProgID="Equation.DSMT4" ShapeID="_x0000_i1048" DrawAspect="Content" ObjectID="_1692465095" r:id="rId49"/>
        </w:object>
      </w:r>
      <w:r w:rsidRPr="00BE5613">
        <w:t xml:space="preserve"> and are in the index set </w:t>
      </w:r>
      <w:r w:rsidRPr="00BE5613">
        <w:rPr>
          <w:position w:val="-10"/>
        </w:rPr>
        <w:object w:dxaOrig="540" w:dyaOrig="300" w14:anchorId="1FF01289">
          <v:shape id="_x0000_i1049" type="#_x0000_t75" style="width:27pt;height:15.75pt" o:ole="">
            <v:imagedata r:id="rId50" o:title=""/>
          </v:shape>
          <o:OLEObject Type="Embed" ProgID="Equation.DSMT4" ShapeID="_x0000_i1049" DrawAspect="Content" ObjectID="_1692465096" r:id="rId51"/>
        </w:object>
      </w:r>
      <w:r w:rsidRPr="00BE5613">
        <w:t xml:space="preserve">. Hence, a conditional input-oriented DEA estimator </w:t>
      </w:r>
      <w:r w:rsidR="00CA2964" w:rsidRPr="00BE5613">
        <w:t xml:space="preserve">with a full frontier </w:t>
      </w:r>
      <w:r w:rsidRPr="00BE5613">
        <w:t>emerges from the linear program</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D614B0" w:rsidRPr="00BE5613" w14:paraId="7DB6B445" w14:textId="77777777">
        <w:trPr>
          <w:jc w:val="center"/>
        </w:trPr>
        <w:tc>
          <w:tcPr>
            <w:tcW w:w="8764" w:type="dxa"/>
            <w:vAlign w:val="center"/>
          </w:tcPr>
          <w:p w14:paraId="098F9C91" w14:textId="77777777" w:rsidR="00D614B0" w:rsidRPr="00BE5613" w:rsidRDefault="00D614B0" w:rsidP="00AA45FA">
            <w:pPr>
              <w:spacing w:line="480" w:lineRule="auto"/>
              <w:jc w:val="center"/>
              <w:rPr>
                <w:sz w:val="22"/>
              </w:rPr>
            </w:pPr>
            <w:r w:rsidRPr="00BE5613">
              <w:rPr>
                <w:position w:val="-18"/>
              </w:rPr>
              <w:object w:dxaOrig="7000" w:dyaOrig="460" w14:anchorId="5803C2B2">
                <v:shape id="_x0000_i1050" type="#_x0000_t75" style="width:350.25pt;height:23.25pt" o:ole="">
                  <v:imagedata r:id="rId52" o:title=""/>
                </v:shape>
                <o:OLEObject Type="Embed" ProgID="Equation.DSMT4" ShapeID="_x0000_i1050" DrawAspect="Content" ObjectID="_1692465097" r:id="rId53"/>
              </w:object>
            </w:r>
            <w:r w:rsidRPr="00BE5613">
              <w:t>.</w:t>
            </w:r>
          </w:p>
        </w:tc>
        <w:tc>
          <w:tcPr>
            <w:tcW w:w="592" w:type="dxa"/>
            <w:vAlign w:val="center"/>
          </w:tcPr>
          <w:p w14:paraId="657612A8" w14:textId="77777777" w:rsidR="00D614B0" w:rsidRPr="00BE5613" w:rsidRDefault="00D614B0"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bookmarkStart w:id="4" w:name="eq_fullcond"/>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2</w:t>
            </w:r>
            <w:r w:rsidRPr="00BE5613">
              <w:rPr>
                <w:rFonts w:ascii="Times New Roman" w:hAnsi="Times New Roman" w:cs="Times New Roman"/>
                <w:sz w:val="22"/>
                <w:szCs w:val="22"/>
              </w:rPr>
              <w:fldChar w:fldCharType="end"/>
            </w:r>
            <w:bookmarkEnd w:id="4"/>
            <w:r w:rsidRPr="00BE5613">
              <w:rPr>
                <w:rFonts w:ascii="Times New Roman" w:hAnsi="Times New Roman" w:cs="Times New Roman"/>
                <w:sz w:val="22"/>
                <w:szCs w:val="22"/>
              </w:rPr>
              <w:t>)</w:t>
            </w:r>
          </w:p>
        </w:tc>
      </w:tr>
    </w:tbl>
    <w:p w14:paraId="652EBF8A" w14:textId="77777777" w:rsidR="00CE5C04" w:rsidRPr="00BE5613" w:rsidRDefault="00466F74" w:rsidP="00AA45FA">
      <w:pPr>
        <w:spacing w:line="480" w:lineRule="auto"/>
        <w:ind w:firstLine="567"/>
        <w:jc w:val="both"/>
      </w:pPr>
      <w:r w:rsidRPr="00BE5613">
        <w:rPr>
          <w:i/>
        </w:rPr>
        <w:t>Partial frontiers.</w:t>
      </w:r>
      <w:r w:rsidRPr="00BE5613">
        <w:t xml:space="preserve"> </w:t>
      </w:r>
      <w:proofErr w:type="gramStart"/>
      <w:r w:rsidR="00D614B0" w:rsidRPr="00BE5613">
        <w:t>In an attempt to</w:t>
      </w:r>
      <w:proofErr w:type="gramEnd"/>
      <w:r w:rsidR="00D614B0" w:rsidRPr="00BE5613">
        <w:t xml:space="preserve"> obtain robust counterparts to </w:t>
      </w:r>
      <w:r w:rsidR="00D614B0" w:rsidRPr="00BE5613">
        <w:rPr>
          <w:position w:val="-10"/>
        </w:rPr>
        <w:object w:dxaOrig="600" w:dyaOrig="340" w14:anchorId="235117F5">
          <v:shape id="_x0000_i1051" type="#_x0000_t75" style="width:30pt;height:17.25pt" o:ole="">
            <v:imagedata r:id="rId54" o:title=""/>
          </v:shape>
          <o:OLEObject Type="Embed" ProgID="Equation.DSMT4" ShapeID="_x0000_i1051" DrawAspect="Content" ObjectID="_1692465098" r:id="rId55"/>
        </w:object>
      </w:r>
      <w:r w:rsidR="00D614B0" w:rsidRPr="00BE5613">
        <w:t xml:space="preserve"> and </w:t>
      </w:r>
      <w:r w:rsidR="00D614B0" w:rsidRPr="00BE5613">
        <w:rPr>
          <w:position w:val="-10"/>
        </w:rPr>
        <w:object w:dxaOrig="800" w:dyaOrig="340" w14:anchorId="7910DE0E">
          <v:shape id="_x0000_i1052" type="#_x0000_t75" style="width:39.75pt;height:17.25pt" o:ole="">
            <v:imagedata r:id="rId56" o:title=""/>
          </v:shape>
          <o:OLEObject Type="Embed" ProgID="Equation.DSMT4" ShapeID="_x0000_i1052" DrawAspect="Content" ObjectID="_1692465099" r:id="rId57"/>
        </w:object>
      </w:r>
      <w:r w:rsidR="00D614B0" w:rsidRPr="00BE5613">
        <w:t xml:space="preserve">, partial frontiers are constructed by considering only a fraction of municipalities that are then used in </w:t>
      </w:r>
      <w:r w:rsidR="00CA2964" w:rsidRPr="00BE5613">
        <w:t xml:space="preserve">estimating efficiency. </w:t>
      </w:r>
      <w:r w:rsidR="00CE5C04" w:rsidRPr="00BE5613">
        <w:t>For order-</w:t>
      </w:r>
      <w:r w:rsidR="00CE5C04" w:rsidRPr="00BE5613">
        <w:rPr>
          <w:i/>
        </w:rPr>
        <w:t>m</w:t>
      </w:r>
      <w:r w:rsidR="00CE5C04" w:rsidRPr="00BE5613">
        <w:t xml:space="preserve">, there are </w:t>
      </w:r>
      <w:r w:rsidR="00CE5C04" w:rsidRPr="00BE5613">
        <w:rPr>
          <w:i/>
        </w:rPr>
        <w:t xml:space="preserve">m </w:t>
      </w:r>
      <w:r w:rsidR="00CE5C04" w:rsidRPr="00BE5613">
        <w:t xml:space="preserve">such municipalities that are drawn randomly from </w:t>
      </w:r>
      <w:r w:rsidR="00CE5C04" w:rsidRPr="00BE5613">
        <w:rPr>
          <w:position w:val="-6"/>
        </w:rPr>
        <w:object w:dxaOrig="200" w:dyaOrig="240" w14:anchorId="1723A6F0">
          <v:shape id="_x0000_i1053" type="#_x0000_t75" style="width:9.75pt;height:12.75pt" o:ole="">
            <v:imagedata r:id="rId58" o:title=""/>
          </v:shape>
          <o:OLEObject Type="Embed" ProgID="Equation.DSMT4" ShapeID="_x0000_i1053" DrawAspect="Content" ObjectID="_1692465100" r:id="rId59"/>
        </w:object>
      </w:r>
      <w:r w:rsidR="00CE5C04" w:rsidRPr="00BE5613">
        <w:t xml:space="preserve"> without replacement (</w:t>
      </w:r>
      <w:r w:rsidR="00CE5C04" w:rsidRPr="00BE5613">
        <w:rPr>
          <w:i/>
        </w:rPr>
        <w:t>m</w:t>
      </w:r>
      <w:r w:rsidR="00CE5C04" w:rsidRPr="00BE5613">
        <w:t xml:space="preserve"> is an integer, possibly greater than </w:t>
      </w:r>
      <w:r w:rsidR="00CE5C04" w:rsidRPr="00BE5613">
        <w:rPr>
          <w:i/>
        </w:rPr>
        <w:t>n</w:t>
      </w:r>
      <w:r w:rsidR="00CE5C04" w:rsidRPr="00BE5613">
        <w:t>).</w:t>
      </w:r>
      <w:bookmarkStart w:id="5" w:name="_Ref80953329"/>
      <w:r w:rsidR="007D747E" w:rsidRPr="00BE5613">
        <w:rPr>
          <w:rStyle w:val="FootnoteReference"/>
        </w:rPr>
        <w:footnoteReference w:id="7"/>
      </w:r>
      <w:bookmarkEnd w:id="5"/>
      <w:r w:rsidR="00CE5C04" w:rsidRPr="00BE5613">
        <w:t xml:space="preserve"> Since any </w:t>
      </w:r>
      <w:r w:rsidR="00CE5C04" w:rsidRPr="00BE5613">
        <w:rPr>
          <w:i/>
        </w:rPr>
        <w:t>m</w:t>
      </w:r>
      <w:r w:rsidR="00CE5C04" w:rsidRPr="00BE5613">
        <w:t xml:space="preserve">-tuple generates its own </w:t>
      </w:r>
      <w:proofErr w:type="gramStart"/>
      <w:r w:rsidR="00CE5C04" w:rsidRPr="00BE5613">
        <w:t>particular estimate</w:t>
      </w:r>
      <w:proofErr w:type="gramEnd"/>
      <w:r w:rsidR="00CE5C04" w:rsidRPr="00BE5613">
        <w:t>, the procedure is run as Monte Carlo simulations, and the results are then averaged to approximate the underlying expectation. An order-</w:t>
      </w:r>
      <w:r w:rsidR="00CE5C04" w:rsidRPr="00BE5613">
        <w:rPr>
          <w:i/>
        </w:rPr>
        <w:t>m</w:t>
      </w:r>
      <w:r w:rsidR="00CE5C04" w:rsidRPr="00BE5613">
        <w:t xml:space="preserve"> input-oriented DEA estimator yields an efficiency score by using the program</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CE5C04" w:rsidRPr="00BE5613" w14:paraId="2441A782" w14:textId="77777777">
        <w:trPr>
          <w:jc w:val="center"/>
        </w:trPr>
        <w:tc>
          <w:tcPr>
            <w:tcW w:w="8764" w:type="dxa"/>
            <w:vAlign w:val="center"/>
          </w:tcPr>
          <w:p w14:paraId="4D76F05E" w14:textId="77777777" w:rsidR="00CE5C04" w:rsidRPr="00BE5613" w:rsidRDefault="00CE5C04" w:rsidP="00AA45FA">
            <w:pPr>
              <w:spacing w:line="480" w:lineRule="auto"/>
              <w:jc w:val="center"/>
            </w:pPr>
            <w:r w:rsidRPr="00BE5613">
              <w:rPr>
                <w:position w:val="-18"/>
              </w:rPr>
              <w:object w:dxaOrig="6399" w:dyaOrig="460" w14:anchorId="4DC815BC">
                <v:shape id="_x0000_i1054" type="#_x0000_t75" style="width:320.25pt;height:23.25pt" o:ole="">
                  <v:imagedata r:id="rId60" o:title=""/>
                </v:shape>
                <o:OLEObject Type="Embed" ProgID="Equation.DSMT4" ShapeID="_x0000_i1054" DrawAspect="Content" ObjectID="_1692465101" r:id="rId61"/>
              </w:object>
            </w:r>
            <w:r w:rsidRPr="00BE5613">
              <w:t>,</w:t>
            </w:r>
          </w:p>
        </w:tc>
        <w:tc>
          <w:tcPr>
            <w:tcW w:w="592" w:type="dxa"/>
            <w:vAlign w:val="center"/>
          </w:tcPr>
          <w:p w14:paraId="66F01AD1" w14:textId="77777777" w:rsidR="00CE5C04" w:rsidRPr="00BE5613" w:rsidRDefault="00CE5C04"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bookmarkStart w:id="7" w:name="eq_orderm"/>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3</w:t>
            </w:r>
            <w:r w:rsidRPr="00BE5613">
              <w:rPr>
                <w:rFonts w:ascii="Times New Roman" w:hAnsi="Times New Roman" w:cs="Times New Roman"/>
                <w:sz w:val="22"/>
                <w:szCs w:val="22"/>
              </w:rPr>
              <w:fldChar w:fldCharType="end"/>
            </w:r>
            <w:bookmarkEnd w:id="7"/>
            <w:r w:rsidRPr="00BE5613">
              <w:rPr>
                <w:rFonts w:ascii="Times New Roman" w:hAnsi="Times New Roman" w:cs="Times New Roman"/>
                <w:sz w:val="22"/>
                <w:szCs w:val="22"/>
              </w:rPr>
              <w:t>)</w:t>
            </w:r>
          </w:p>
        </w:tc>
      </w:tr>
    </w:tbl>
    <w:p w14:paraId="05C3E911" w14:textId="77777777" w:rsidR="00813378" w:rsidRPr="00BE5613" w:rsidRDefault="00CE5C04" w:rsidP="00AA45FA">
      <w:pPr>
        <w:spacing w:line="480" w:lineRule="auto"/>
        <w:jc w:val="both"/>
      </w:pPr>
      <w:r w:rsidRPr="00BE5613">
        <w:t xml:space="preserve">where </w:t>
      </w:r>
      <w:r w:rsidRPr="00BE5613">
        <w:rPr>
          <w:position w:val="-10"/>
        </w:rPr>
        <w:object w:dxaOrig="1780" w:dyaOrig="340" w14:anchorId="4121B9CB">
          <v:shape id="_x0000_i1055" type="#_x0000_t75" style="width:89.25pt;height:17.25pt" o:ole="">
            <v:imagedata r:id="rId62" o:title=""/>
          </v:shape>
          <o:OLEObject Type="Embed" ProgID="Equation.DSMT4" ShapeID="_x0000_i1055" DrawAspect="Content" ObjectID="_1692465102" r:id="rId63"/>
        </w:object>
      </w:r>
      <w:r w:rsidRPr="00BE5613">
        <w:t xml:space="preserve"> the order-</w:t>
      </w:r>
      <w:r w:rsidRPr="00BE5613">
        <w:rPr>
          <w:i/>
        </w:rPr>
        <w:t>m</w:t>
      </w:r>
      <w:r w:rsidRPr="00BE5613">
        <w:t xml:space="preserve"> input efficient level for municipality </w:t>
      </w:r>
      <w:r w:rsidR="00813378" w:rsidRPr="00BE5613">
        <w:rPr>
          <w:position w:val="-6"/>
        </w:rPr>
        <w:object w:dxaOrig="139" w:dyaOrig="240" w14:anchorId="45E17CC2">
          <v:shape id="_x0000_i1056" type="#_x0000_t75" style="width:6.75pt;height:12.75pt" o:ole="">
            <v:imagedata r:id="rId64" o:title=""/>
          </v:shape>
          <o:OLEObject Type="Embed" ProgID="Equation.DSMT4" ShapeID="_x0000_i1056" DrawAspect="Content" ObjectID="_1692465103" r:id="rId65"/>
        </w:object>
      </w:r>
      <w:r w:rsidRPr="00BE5613">
        <w:t xml:space="preserve"> estimated by the FDH estimator. </w:t>
      </w:r>
      <w:proofErr w:type="spellStart"/>
      <w:r w:rsidR="00813378" w:rsidRPr="00BE5613">
        <w:t>Daraio</w:t>
      </w:r>
      <w:proofErr w:type="spellEnd"/>
      <w:r w:rsidR="00813378" w:rsidRPr="00BE5613">
        <w:t xml:space="preserve"> and Simar (2005, p. 103) recommend estimating </w:t>
      </w:r>
      <w:r w:rsidR="00813378" w:rsidRPr="00BE5613">
        <w:rPr>
          <w:position w:val="-8"/>
        </w:rPr>
        <w:object w:dxaOrig="440" w:dyaOrig="320" w14:anchorId="1D3701F1">
          <v:shape id="_x0000_i1057" type="#_x0000_t75" style="width:21.75pt;height:15.75pt" o:ole="">
            <v:imagedata r:id="rId66" o:title=""/>
          </v:shape>
          <o:OLEObject Type="Embed" ProgID="Equation.DSMT4" ShapeID="_x0000_i1057" DrawAspect="Content" ObjectID="_1692465104" r:id="rId67"/>
        </w:object>
      </w:r>
      <w:r w:rsidR="00813378" w:rsidRPr="00BE5613">
        <w:t xml:space="preserve"> by running </w:t>
      </w:r>
      <w:proofErr w:type="gramStart"/>
      <w:r w:rsidR="00813378" w:rsidRPr="00BE5613">
        <w:t>a sufficient number of</w:t>
      </w:r>
      <w:proofErr w:type="gramEnd"/>
      <w:r w:rsidR="00813378" w:rsidRPr="00BE5613">
        <w:t xml:space="preserve"> </w:t>
      </w:r>
      <w:r w:rsidR="00813378" w:rsidRPr="00BE5613">
        <w:rPr>
          <w:i/>
        </w:rPr>
        <w:t>B</w:t>
      </w:r>
      <w:r w:rsidR="00813378" w:rsidRPr="00BE5613">
        <w:t xml:space="preserve"> simulations (with a typical value of </w:t>
      </w:r>
      <w:r w:rsidR="00813378" w:rsidRPr="00BE5613">
        <w:rPr>
          <w:i/>
        </w:rPr>
        <w:t>B</w:t>
      </w:r>
      <w:r w:rsidR="00813378" w:rsidRPr="00BE5613">
        <w:t xml:space="preserve"> in applications set to 2,000) under this algorithm:</w:t>
      </w:r>
    </w:p>
    <w:p w14:paraId="47D0E58D" w14:textId="77777777" w:rsidR="00813378" w:rsidRPr="00BE5613" w:rsidRDefault="00813378" w:rsidP="00AA45FA">
      <w:pPr>
        <w:numPr>
          <w:ilvl w:val="0"/>
          <w:numId w:val="7"/>
        </w:numPr>
        <w:spacing w:line="480" w:lineRule="auto"/>
        <w:jc w:val="both"/>
      </w:pPr>
      <w:r w:rsidRPr="00BE5613">
        <w:t xml:space="preserve">For a given </w:t>
      </w:r>
      <w:r w:rsidRPr="00BE5613">
        <w:rPr>
          <w:position w:val="-10"/>
        </w:rPr>
        <w:object w:dxaOrig="180" w:dyaOrig="240" w14:anchorId="625245C7">
          <v:shape id="_x0000_i1058" type="#_x0000_t75" style="width:9pt;height:12pt" o:ole="">
            <v:imagedata r:id="rId68" o:title=""/>
          </v:shape>
          <o:OLEObject Type="Embed" ProgID="Equation.DSMT4" ShapeID="_x0000_i1058" DrawAspect="Content" ObjectID="_1692465105" r:id="rId69"/>
        </w:object>
      </w:r>
      <w:r w:rsidRPr="00BE5613">
        <w:t xml:space="preserve"> select those municipalities </w:t>
      </w:r>
      <w:r w:rsidRPr="00BE5613">
        <w:rPr>
          <w:position w:val="-6"/>
        </w:rPr>
        <w:object w:dxaOrig="139" w:dyaOrig="240" w14:anchorId="094BCB39">
          <v:shape id="_x0000_i1059" type="#_x0000_t75" style="width:6.75pt;height:12.75pt" o:ole="">
            <v:imagedata r:id="rId64" o:title=""/>
          </v:shape>
          <o:OLEObject Type="Embed" ProgID="Equation.DSMT4" ShapeID="_x0000_i1059" DrawAspect="Content" ObjectID="_1692465106" r:id="rId70"/>
        </w:object>
      </w:r>
      <w:r w:rsidRPr="00BE5613">
        <w:t xml:space="preserve"> for which </w:t>
      </w:r>
      <w:r w:rsidRPr="00BE5613">
        <w:rPr>
          <w:position w:val="-10"/>
        </w:rPr>
        <w:object w:dxaOrig="560" w:dyaOrig="300" w14:anchorId="3BBFFAB6">
          <v:shape id="_x0000_i1060" type="#_x0000_t75" style="width:27.75pt;height:15pt" o:ole="">
            <v:imagedata r:id="rId71" o:title=""/>
          </v:shape>
          <o:OLEObject Type="Embed" ProgID="Equation.DSMT4" ShapeID="_x0000_i1060" DrawAspect="Content" ObjectID="_1692465107" r:id="rId72"/>
        </w:object>
      </w:r>
      <w:r w:rsidRPr="00BE5613">
        <w:t xml:space="preserve">, and draw a sample of size </w:t>
      </w:r>
      <w:r w:rsidRPr="00BE5613">
        <w:rPr>
          <w:i/>
        </w:rPr>
        <w:t>m</w:t>
      </w:r>
      <w:r w:rsidRPr="00BE5613">
        <w:t xml:space="preserve"> with replacement from this selection. This results in a sample </w:t>
      </w:r>
      <w:r w:rsidR="00302CB4" w:rsidRPr="00BE5613">
        <w:rPr>
          <w:position w:val="-10"/>
        </w:rPr>
        <w:object w:dxaOrig="1219" w:dyaOrig="320" w14:anchorId="4F01EA03">
          <v:shape id="_x0000_i1061" type="#_x0000_t75" style="width:60.75pt;height:17.25pt" o:ole="">
            <v:imagedata r:id="rId73" o:title=""/>
          </v:shape>
          <o:OLEObject Type="Embed" ProgID="Equation.DSMT4" ShapeID="_x0000_i1061" DrawAspect="Content" ObjectID="_1692465108" r:id="rId74"/>
        </w:object>
      </w:r>
      <w:r w:rsidR="00302CB4" w:rsidRPr="00BE5613">
        <w:t>.</w:t>
      </w:r>
    </w:p>
    <w:p w14:paraId="34032ACA" w14:textId="77777777" w:rsidR="00CE5C04" w:rsidRPr="00BE5613" w:rsidRDefault="00302CB4" w:rsidP="00AA45FA">
      <w:pPr>
        <w:numPr>
          <w:ilvl w:val="0"/>
          <w:numId w:val="7"/>
        </w:numPr>
        <w:spacing w:line="480" w:lineRule="auto"/>
        <w:jc w:val="both"/>
      </w:pPr>
      <w:r w:rsidRPr="00BE5613">
        <w:t xml:space="preserve">Compute </w:t>
      </w:r>
      <w:r w:rsidR="0017467D" w:rsidRPr="00BE5613">
        <w:rPr>
          <w:position w:val="-10"/>
        </w:rPr>
        <w:object w:dxaOrig="3320" w:dyaOrig="340" w14:anchorId="177B6363">
          <v:shape id="_x0000_i1062" type="#_x0000_t75" style="width:165.75pt;height:17.25pt" o:ole="">
            <v:imagedata r:id="rId75" o:title=""/>
          </v:shape>
          <o:OLEObject Type="Embed" ProgID="Equation.DSMT4" ShapeID="_x0000_i1062" DrawAspect="Content" ObjectID="_1692465109" r:id="rId76"/>
        </w:object>
      </w:r>
      <w:r w:rsidRPr="00BE5613">
        <w:t>.</w:t>
      </w:r>
    </w:p>
    <w:p w14:paraId="788D55AE" w14:textId="77777777" w:rsidR="00302CB4" w:rsidRPr="00BE5613" w:rsidRDefault="00302CB4" w:rsidP="00AA45FA">
      <w:pPr>
        <w:numPr>
          <w:ilvl w:val="0"/>
          <w:numId w:val="7"/>
        </w:numPr>
        <w:spacing w:line="480" w:lineRule="auto"/>
        <w:jc w:val="both"/>
      </w:pPr>
      <w:r w:rsidRPr="00BE5613">
        <w:t xml:space="preserve">Iterate </w:t>
      </w:r>
      <w:proofErr w:type="gramStart"/>
      <w:r w:rsidRPr="00BE5613">
        <w:t>over steps</w:t>
      </w:r>
      <w:proofErr w:type="gramEnd"/>
      <w:r w:rsidRPr="00BE5613">
        <w:t xml:space="preserve"> 1 and 2 </w:t>
      </w:r>
      <w:r w:rsidR="0017467D" w:rsidRPr="00BE5613">
        <w:t xml:space="preserve">a total of </w:t>
      </w:r>
      <w:r w:rsidR="0017467D" w:rsidRPr="00BE5613">
        <w:rPr>
          <w:i/>
        </w:rPr>
        <w:t xml:space="preserve">B </w:t>
      </w:r>
      <w:r w:rsidR="0017467D" w:rsidRPr="00BE5613">
        <w:t>times.</w:t>
      </w:r>
    </w:p>
    <w:p w14:paraId="611CED4B" w14:textId="77777777" w:rsidR="0017467D" w:rsidRPr="00BE5613" w:rsidRDefault="0017467D" w:rsidP="00AA45FA">
      <w:pPr>
        <w:numPr>
          <w:ilvl w:val="0"/>
          <w:numId w:val="7"/>
        </w:numPr>
        <w:spacing w:line="480" w:lineRule="auto"/>
        <w:jc w:val="both"/>
      </w:pPr>
      <w:r w:rsidRPr="00BE5613">
        <w:lastRenderedPageBreak/>
        <w:t xml:space="preserve">Set finally </w:t>
      </w:r>
      <w:r w:rsidRPr="00BE5613">
        <w:rPr>
          <w:position w:val="-10"/>
        </w:rPr>
        <w:object w:dxaOrig="3000" w:dyaOrig="340" w14:anchorId="73A08ED3">
          <v:shape id="_x0000_i1063" type="#_x0000_t75" style="width:150pt;height:17.25pt" o:ole="">
            <v:imagedata r:id="rId77" o:title=""/>
          </v:shape>
          <o:OLEObject Type="Embed" ProgID="Equation.DSMT4" ShapeID="_x0000_i1063" DrawAspect="Content" ObjectID="_1692465110" r:id="rId78"/>
        </w:object>
      </w:r>
      <w:r w:rsidRPr="00BE5613">
        <w:t>.</w:t>
      </w:r>
    </w:p>
    <w:p w14:paraId="2DC84478" w14:textId="77777777" w:rsidR="00CE5C04" w:rsidRPr="00BE5613" w:rsidRDefault="0017467D" w:rsidP="00AA45FA">
      <w:pPr>
        <w:spacing w:line="480" w:lineRule="auto"/>
        <w:jc w:val="both"/>
      </w:pPr>
      <w:r w:rsidRPr="00BE5613">
        <w:t xml:space="preserve">All in all, the estimation procedure starts with projecting inputs upon the frontier estimated by FDH, </w:t>
      </w:r>
      <w:r w:rsidRPr="00BE5613">
        <w:rPr>
          <w:position w:val="-8"/>
        </w:rPr>
        <w:object w:dxaOrig="840" w:dyaOrig="300" w14:anchorId="719427E4">
          <v:shape id="_x0000_i1064" type="#_x0000_t75" style="width:42pt;height:15pt" o:ole="">
            <v:imagedata r:id="rId79" o:title=""/>
          </v:shape>
          <o:OLEObject Type="Embed" ProgID="Equation.DSMT4" ShapeID="_x0000_i1064" DrawAspect="Content" ObjectID="_1692465111" r:id="rId80"/>
        </w:object>
      </w:r>
      <w:r w:rsidRPr="00BE5613">
        <w:t>, and ends with running otherwise standard linear program (</w:t>
      </w:r>
      <w:r w:rsidRPr="00BE5613">
        <w:fldChar w:fldCharType="begin"/>
      </w:r>
      <w:r w:rsidRPr="00BE5613">
        <w:instrText xml:space="preserve"> REF eq_orderm \h </w:instrText>
      </w:r>
      <w:r w:rsidR="00AA45FA" w:rsidRPr="00BE5613">
        <w:instrText xml:space="preserve"> \* MERGEFORMAT </w:instrText>
      </w:r>
      <w:r w:rsidRPr="00BE5613">
        <w:fldChar w:fldCharType="separate"/>
      </w:r>
      <w:r w:rsidR="00AA45FA" w:rsidRPr="00BE5613">
        <w:rPr>
          <w:sz w:val="22"/>
          <w:szCs w:val="22"/>
        </w:rPr>
        <w:t>3</w:t>
      </w:r>
      <w:r w:rsidRPr="00BE5613">
        <w:fldChar w:fldCharType="end"/>
      </w:r>
      <w:r w:rsidRPr="00BE5613">
        <w:t>) with FDH projections of inputs substituted for observed values of inputs.</w:t>
      </w:r>
      <w:r w:rsidR="00826A0C" w:rsidRPr="00BE5613">
        <w:t xml:space="preserve"> A similar Monte-Carlo algorithm is available in the conditional version. A conditional order-</w:t>
      </w:r>
      <w:r w:rsidR="00826A0C" w:rsidRPr="00BE5613">
        <w:rPr>
          <w:i/>
        </w:rPr>
        <w:t>m</w:t>
      </w:r>
      <w:r w:rsidR="00826A0C" w:rsidRPr="00BE5613">
        <w:t xml:space="preserve"> input-oriented DEA estimator answers to this algorithmic procedure:</w:t>
      </w:r>
    </w:p>
    <w:p w14:paraId="76F76A7C" w14:textId="77777777" w:rsidR="00826A0C" w:rsidRPr="00BE5613" w:rsidRDefault="00826A0C" w:rsidP="00AA45FA">
      <w:pPr>
        <w:numPr>
          <w:ilvl w:val="0"/>
          <w:numId w:val="9"/>
        </w:numPr>
        <w:spacing w:line="480" w:lineRule="auto"/>
        <w:jc w:val="both"/>
      </w:pPr>
      <w:r w:rsidRPr="00BE5613">
        <w:t xml:space="preserve">For a given </w:t>
      </w:r>
      <w:r w:rsidRPr="00BE5613">
        <w:rPr>
          <w:position w:val="-10"/>
        </w:rPr>
        <w:object w:dxaOrig="180" w:dyaOrig="240" w14:anchorId="5BCB3DC1">
          <v:shape id="_x0000_i1065" type="#_x0000_t75" style="width:9pt;height:12pt" o:ole="">
            <v:imagedata r:id="rId68" o:title=""/>
          </v:shape>
          <o:OLEObject Type="Embed" ProgID="Equation.DSMT4" ShapeID="_x0000_i1065" DrawAspect="Content" ObjectID="_1692465112" r:id="rId81"/>
        </w:object>
      </w:r>
      <w:r w:rsidRPr="00BE5613">
        <w:t xml:space="preserve"> select those municipalities </w:t>
      </w:r>
      <w:r w:rsidRPr="00BE5613">
        <w:rPr>
          <w:position w:val="-6"/>
        </w:rPr>
        <w:object w:dxaOrig="139" w:dyaOrig="240" w14:anchorId="1F0CEC8F">
          <v:shape id="_x0000_i1066" type="#_x0000_t75" style="width:6.75pt;height:12.75pt" o:ole="">
            <v:imagedata r:id="rId64" o:title=""/>
          </v:shape>
          <o:OLEObject Type="Embed" ProgID="Equation.DSMT4" ShapeID="_x0000_i1066" DrawAspect="Content" ObjectID="_1692465113" r:id="rId82"/>
        </w:object>
      </w:r>
      <w:r w:rsidRPr="00BE5613">
        <w:t xml:space="preserve"> for which </w:t>
      </w:r>
      <w:r w:rsidRPr="00BE5613">
        <w:rPr>
          <w:position w:val="-10"/>
        </w:rPr>
        <w:object w:dxaOrig="560" w:dyaOrig="300" w14:anchorId="4DDBDC73">
          <v:shape id="_x0000_i1067" type="#_x0000_t75" style="width:27.75pt;height:15pt" o:ole="">
            <v:imagedata r:id="rId71" o:title=""/>
          </v:shape>
          <o:OLEObject Type="Embed" ProgID="Equation.DSMT4" ShapeID="_x0000_i1067" DrawAspect="Content" ObjectID="_1692465114" r:id="rId83"/>
        </w:object>
      </w:r>
      <w:r w:rsidR="0087008E" w:rsidRPr="00BE5613">
        <w:t xml:space="preserve">, and draw a sample of size </w:t>
      </w:r>
      <w:r w:rsidR="0087008E" w:rsidRPr="00BE5613">
        <w:rPr>
          <w:i/>
        </w:rPr>
        <w:t>m</w:t>
      </w:r>
      <w:r w:rsidR="0087008E" w:rsidRPr="00BE5613">
        <w:t xml:space="preserve"> with replacement and</w:t>
      </w:r>
      <w:r w:rsidRPr="00BE5613">
        <w:t xml:space="preserve"> a probability commensurable with </w:t>
      </w:r>
      <w:r w:rsidR="0087008E" w:rsidRPr="00BE5613">
        <w:rPr>
          <w:position w:val="-10"/>
        </w:rPr>
        <w:object w:dxaOrig="1300" w:dyaOrig="300" w14:anchorId="06A511F4">
          <v:shape id="_x0000_i1068" type="#_x0000_t75" style="width:65.25pt;height:15.75pt" o:ole="">
            <v:imagedata r:id="rId84" o:title=""/>
          </v:shape>
          <o:OLEObject Type="Embed" ProgID="Equation.DSMT4" ShapeID="_x0000_i1068" DrawAspect="Content" ObjectID="_1692465115" r:id="rId85"/>
        </w:object>
      </w:r>
      <w:r w:rsidR="0087008E" w:rsidRPr="00BE5613">
        <w:t xml:space="preserve">. This results in a sample </w:t>
      </w:r>
      <w:r w:rsidR="0087008E" w:rsidRPr="00BE5613">
        <w:rPr>
          <w:position w:val="-10"/>
        </w:rPr>
        <w:object w:dxaOrig="1219" w:dyaOrig="320" w14:anchorId="05AE7FE2">
          <v:shape id="_x0000_i1069" type="#_x0000_t75" style="width:60.75pt;height:17.25pt" o:ole="">
            <v:imagedata r:id="rId73" o:title=""/>
          </v:shape>
          <o:OLEObject Type="Embed" ProgID="Equation.DSMT4" ShapeID="_x0000_i1069" DrawAspect="Content" ObjectID="_1692465116" r:id="rId86"/>
        </w:object>
      </w:r>
      <w:r w:rsidR="0087008E" w:rsidRPr="00BE5613">
        <w:t>.</w:t>
      </w:r>
    </w:p>
    <w:p w14:paraId="0CBD0E69" w14:textId="77777777" w:rsidR="0087008E" w:rsidRPr="00BE5613" w:rsidRDefault="0087008E" w:rsidP="00AA45FA">
      <w:pPr>
        <w:numPr>
          <w:ilvl w:val="0"/>
          <w:numId w:val="9"/>
        </w:numPr>
        <w:spacing w:line="480" w:lineRule="auto"/>
        <w:jc w:val="both"/>
      </w:pPr>
      <w:r w:rsidRPr="00BE5613">
        <w:t xml:space="preserve">Solve the linear program </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87008E" w:rsidRPr="00BE5613" w14:paraId="62E221D0" w14:textId="77777777">
        <w:trPr>
          <w:jc w:val="center"/>
        </w:trPr>
        <w:tc>
          <w:tcPr>
            <w:tcW w:w="8764" w:type="dxa"/>
            <w:vAlign w:val="center"/>
          </w:tcPr>
          <w:p w14:paraId="4BDE9342" w14:textId="77777777" w:rsidR="0087008E" w:rsidRPr="00BE5613" w:rsidRDefault="0087008E" w:rsidP="00AA45FA">
            <w:pPr>
              <w:spacing w:line="480" w:lineRule="auto"/>
              <w:jc w:val="center"/>
            </w:pPr>
            <w:r w:rsidRPr="00BE5613">
              <w:rPr>
                <w:position w:val="-18"/>
              </w:rPr>
              <w:object w:dxaOrig="5240" w:dyaOrig="460" w14:anchorId="126CA419">
                <v:shape id="_x0000_i1070" type="#_x0000_t75" style="width:261.75pt;height:23.25pt" o:ole="">
                  <v:imagedata r:id="rId87" o:title=""/>
                </v:shape>
                <o:OLEObject Type="Embed" ProgID="Equation.DSMT4" ShapeID="_x0000_i1070" DrawAspect="Content" ObjectID="_1692465117" r:id="rId88"/>
              </w:object>
            </w:r>
            <w:r w:rsidRPr="00BE5613">
              <w:t>,</w:t>
            </w:r>
          </w:p>
        </w:tc>
        <w:tc>
          <w:tcPr>
            <w:tcW w:w="592" w:type="dxa"/>
            <w:vAlign w:val="center"/>
          </w:tcPr>
          <w:p w14:paraId="34C41EE6" w14:textId="77777777" w:rsidR="0087008E" w:rsidRPr="00BE5613" w:rsidRDefault="0087008E"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4</w:t>
            </w:r>
            <w:r w:rsidRPr="00BE5613">
              <w:rPr>
                <w:rFonts w:ascii="Times New Roman" w:hAnsi="Times New Roman" w:cs="Times New Roman"/>
                <w:sz w:val="22"/>
                <w:szCs w:val="22"/>
              </w:rPr>
              <w:fldChar w:fldCharType="end"/>
            </w:r>
            <w:r w:rsidRPr="00BE5613">
              <w:rPr>
                <w:rFonts w:ascii="Times New Roman" w:hAnsi="Times New Roman" w:cs="Times New Roman"/>
                <w:sz w:val="22"/>
                <w:szCs w:val="22"/>
              </w:rPr>
              <w:t>)</w:t>
            </w:r>
          </w:p>
        </w:tc>
      </w:tr>
    </w:tbl>
    <w:p w14:paraId="1838149D" w14:textId="77777777" w:rsidR="00826A0C" w:rsidRPr="00BE5613" w:rsidRDefault="00826A0C" w:rsidP="00AA45FA">
      <w:pPr>
        <w:numPr>
          <w:ilvl w:val="0"/>
          <w:numId w:val="9"/>
        </w:numPr>
        <w:spacing w:line="480" w:lineRule="auto"/>
        <w:jc w:val="both"/>
      </w:pPr>
      <w:r w:rsidRPr="00BE5613">
        <w:t xml:space="preserve">Iterate </w:t>
      </w:r>
      <w:proofErr w:type="gramStart"/>
      <w:r w:rsidRPr="00BE5613">
        <w:t>over steps</w:t>
      </w:r>
      <w:proofErr w:type="gramEnd"/>
      <w:r w:rsidRPr="00BE5613">
        <w:t xml:space="preserve"> 1 and 2 a total of </w:t>
      </w:r>
      <w:r w:rsidRPr="00BE5613">
        <w:rPr>
          <w:i/>
        </w:rPr>
        <w:t xml:space="preserve">B </w:t>
      </w:r>
      <w:r w:rsidRPr="00BE5613">
        <w:t>times.</w:t>
      </w:r>
    </w:p>
    <w:p w14:paraId="3A7B7BAA" w14:textId="77777777" w:rsidR="00826A0C" w:rsidRPr="00BE5613" w:rsidRDefault="00826A0C" w:rsidP="00AA45FA">
      <w:pPr>
        <w:numPr>
          <w:ilvl w:val="0"/>
          <w:numId w:val="9"/>
        </w:numPr>
        <w:spacing w:line="480" w:lineRule="auto"/>
        <w:jc w:val="both"/>
      </w:pPr>
      <w:r w:rsidRPr="00BE5613">
        <w:t xml:space="preserve">Set finally </w:t>
      </w:r>
      <w:r w:rsidR="00B928F5" w:rsidRPr="00BE5613">
        <w:rPr>
          <w:position w:val="-10"/>
        </w:rPr>
        <w:object w:dxaOrig="2980" w:dyaOrig="340" w14:anchorId="6CDFFFE3">
          <v:shape id="_x0000_i1071" type="#_x0000_t75" style="width:149.25pt;height:17.25pt" o:ole="">
            <v:imagedata r:id="rId89" o:title=""/>
          </v:shape>
          <o:OLEObject Type="Embed" ProgID="Equation.DSMT4" ShapeID="_x0000_i1071" DrawAspect="Content" ObjectID="_1692465118" r:id="rId90"/>
        </w:object>
      </w:r>
      <w:r w:rsidRPr="00BE5613">
        <w:t>.</w:t>
      </w:r>
    </w:p>
    <w:p w14:paraId="2E43FE2D" w14:textId="77777777" w:rsidR="00E85AA9" w:rsidRPr="00BE5613" w:rsidRDefault="007D747E" w:rsidP="00AA45FA">
      <w:pPr>
        <w:spacing w:line="480" w:lineRule="auto"/>
        <w:ind w:firstLine="567"/>
        <w:jc w:val="both"/>
      </w:pPr>
      <w:r w:rsidRPr="00BE5613">
        <w:rPr>
          <w:i/>
        </w:rPr>
        <w:t xml:space="preserve">Other orientation. </w:t>
      </w:r>
      <w:r w:rsidR="00E85AA9" w:rsidRPr="00BE5613">
        <w:t xml:space="preserve">The estimation of unconditional and conditional scores </w:t>
      </w:r>
      <w:r w:rsidR="00341F0B" w:rsidRPr="00BE5613">
        <w:t xml:space="preserve">according to the described procedures </w:t>
      </w:r>
      <w:r w:rsidR="00E85AA9" w:rsidRPr="00BE5613">
        <w:t xml:space="preserve">must be executed </w:t>
      </w:r>
      <w:r w:rsidR="00341F0B" w:rsidRPr="00BE5613">
        <w:t xml:space="preserve">separately </w:t>
      </w:r>
      <w:r w:rsidR="00E85AA9" w:rsidRPr="00BE5613">
        <w:t xml:space="preserve">for each </w:t>
      </w:r>
      <w:r w:rsidR="00E85AA9" w:rsidRPr="00BE5613">
        <w:rPr>
          <w:position w:val="-10"/>
        </w:rPr>
        <w:object w:dxaOrig="639" w:dyaOrig="279" w14:anchorId="68689921">
          <v:shape id="_x0000_i1072" type="#_x0000_t75" style="width:32.25pt;height:15pt" o:ole="">
            <v:imagedata r:id="rId91" o:title=""/>
          </v:shape>
          <o:OLEObject Type="Embed" ProgID="Equation.DSMT4" ShapeID="_x0000_i1072" DrawAspect="Content" ObjectID="_1692465119" r:id="rId92"/>
        </w:object>
      </w:r>
      <w:r w:rsidR="00E85AA9" w:rsidRPr="00BE5613">
        <w:t xml:space="preserve"> in </w:t>
      </w:r>
      <w:r w:rsidR="00E85AA9" w:rsidRPr="00BE5613">
        <w:rPr>
          <w:position w:val="-6"/>
        </w:rPr>
        <w:object w:dxaOrig="180" w:dyaOrig="240" w14:anchorId="0FC775F6">
          <v:shape id="_x0000_i1073" type="#_x0000_t75" style="width:9pt;height:12.75pt" o:ole="">
            <v:imagedata r:id="rId93" o:title=""/>
          </v:shape>
          <o:OLEObject Type="Embed" ProgID="Equation.DSMT4" ShapeID="_x0000_i1073" DrawAspect="Content" ObjectID="_1692465120" r:id="rId94"/>
        </w:object>
      </w:r>
      <w:r w:rsidR="00E85AA9" w:rsidRPr="00BE5613">
        <w:t>.</w:t>
      </w:r>
      <w:r w:rsidR="00341F0B" w:rsidRPr="00BE5613">
        <w:t xml:space="preserve"> Furthermore, the preceding </w:t>
      </w:r>
      <w:r w:rsidR="00E85AA9" w:rsidRPr="00BE5613">
        <w:t>presentation focuses upon an input-oriented case, and the formulas can be modified with ease to an output-orientation, but it must be assured that output-oriented scores are restricted to the [0,1] range as well.</w:t>
      </w:r>
    </w:p>
    <w:p w14:paraId="017AE0E3" w14:textId="77777777" w:rsidR="005E242E" w:rsidRPr="00BE5613" w:rsidRDefault="007D747E" w:rsidP="00AA45FA">
      <w:pPr>
        <w:spacing w:line="480" w:lineRule="auto"/>
        <w:ind w:firstLine="567"/>
        <w:jc w:val="both"/>
      </w:pPr>
      <w:r w:rsidRPr="00BE5613">
        <w:rPr>
          <w:i/>
        </w:rPr>
        <w:t xml:space="preserve">Testing separability. </w:t>
      </w:r>
      <w:r w:rsidR="00CA76AA" w:rsidRPr="00BE5613">
        <w:t>Separability means that contextual variables have a zero impact upon the production possibility set.</w:t>
      </w:r>
      <w:r w:rsidR="00954E56" w:rsidRPr="00BE5613">
        <w:rPr>
          <w:rStyle w:val="FootnoteReference"/>
        </w:rPr>
        <w:footnoteReference w:id="8"/>
      </w:r>
      <w:r w:rsidR="00CA76AA" w:rsidRPr="00BE5613">
        <w:t xml:space="preserve"> </w:t>
      </w:r>
      <w:r w:rsidR="00954E56" w:rsidRPr="00BE5613">
        <w:t xml:space="preserve">In order to test separability, </w:t>
      </w:r>
      <w:proofErr w:type="spellStart"/>
      <w:r w:rsidR="00954E56" w:rsidRPr="00BE5613">
        <w:t>Daraio</w:t>
      </w:r>
      <w:proofErr w:type="spellEnd"/>
      <w:r w:rsidR="00954E56" w:rsidRPr="00BE5613">
        <w:t xml:space="preserve"> et al. (2018) exploited the central limit theorem to compare the level and variability of unconditional </w:t>
      </w:r>
      <w:r w:rsidR="005E242E" w:rsidRPr="00BE5613">
        <w:t xml:space="preserve">and conditional </w:t>
      </w:r>
      <w:r w:rsidR="00954E56" w:rsidRPr="00BE5613">
        <w:t xml:space="preserve">efficiency scores </w:t>
      </w:r>
      <w:r w:rsidR="00967668" w:rsidRPr="00BE5613">
        <w:t>in</w:t>
      </w:r>
      <w:r w:rsidR="00954E56" w:rsidRPr="00BE5613">
        <w:t xml:space="preserve"> construct</w:t>
      </w:r>
      <w:r w:rsidR="00967668" w:rsidRPr="00BE5613">
        <w:t>ing</w:t>
      </w:r>
      <w:r w:rsidR="00954E56" w:rsidRPr="00BE5613">
        <w:t xml:space="preserve"> two non-parametric test statistics with a limiting standard Gaussian distribution. </w:t>
      </w:r>
      <w:r w:rsidR="005E242E" w:rsidRPr="00BE5613">
        <w:t xml:space="preserve">The test statistics </w:t>
      </w:r>
      <w:r w:rsidR="005B74BC" w:rsidRPr="00BE5613">
        <w:t xml:space="preserve">are implemented with partial frontier and </w:t>
      </w:r>
      <w:r w:rsidR="005E242E" w:rsidRPr="00BE5613">
        <w:t xml:space="preserve">correct for </w:t>
      </w:r>
      <w:r w:rsidR="005E242E" w:rsidRPr="00BE5613">
        <w:lastRenderedPageBreak/>
        <w:t>bias</w:t>
      </w:r>
      <w:r w:rsidR="005B74BC" w:rsidRPr="00BE5613">
        <w:t xml:space="preserve">, having a </w:t>
      </w:r>
      <w:r w:rsidR="005E242E" w:rsidRPr="00BE5613">
        <w:t xml:space="preserve">general </w:t>
      </w:r>
      <w:r w:rsidR="00967668" w:rsidRPr="00BE5613">
        <w:t xml:space="preserve">familiar </w:t>
      </w:r>
      <w:r w:rsidR="005E242E" w:rsidRPr="00BE5613">
        <w:t>format</w:t>
      </w:r>
      <w:r w:rsidR="005B74BC" w:rsidRPr="00BE5613">
        <w:t xml:space="preserve"> </w:t>
      </w:r>
      <w:r w:rsidR="005B74BC" w:rsidRPr="00BE5613">
        <w:rPr>
          <w:position w:val="-10"/>
        </w:rPr>
        <w:object w:dxaOrig="3879" w:dyaOrig="380" w14:anchorId="72051237">
          <v:shape id="_x0000_i1074" type="#_x0000_t75" style="width:194.25pt;height:18.75pt" o:ole="">
            <v:imagedata r:id="rId95" o:title=""/>
          </v:shape>
          <o:OLEObject Type="Embed" ProgID="Equation.DSMT4" ShapeID="_x0000_i1074" DrawAspect="Content" ObjectID="_1692465121" r:id="rId96"/>
        </w:object>
      </w:r>
      <w:r w:rsidR="005B74BC" w:rsidRPr="00BE5613">
        <w:t xml:space="preserve">, </w:t>
      </w:r>
      <w:r w:rsidR="005E242E" w:rsidRPr="00BE5613">
        <w:t xml:space="preserve">where </w:t>
      </w:r>
      <w:r w:rsidR="005E242E" w:rsidRPr="00BE5613">
        <w:rPr>
          <w:position w:val="-10"/>
        </w:rPr>
        <w:object w:dxaOrig="300" w:dyaOrig="300" w14:anchorId="4798BC7E">
          <v:shape id="_x0000_i1075" type="#_x0000_t75" style="width:15pt;height:15pt" o:ole="">
            <v:imagedata r:id="rId97" o:title=""/>
          </v:shape>
          <o:OLEObject Type="Embed" ProgID="Equation.DSMT4" ShapeID="_x0000_i1075" DrawAspect="Content" ObjectID="_1692465122" r:id="rId98"/>
        </w:object>
      </w:r>
      <w:r w:rsidR="005E242E" w:rsidRPr="00BE5613">
        <w:t xml:space="preserve"> and </w:t>
      </w:r>
      <w:r w:rsidR="005E242E" w:rsidRPr="00BE5613">
        <w:rPr>
          <w:position w:val="-10"/>
        </w:rPr>
        <w:object w:dxaOrig="279" w:dyaOrig="300" w14:anchorId="498418FF">
          <v:shape id="_x0000_i1076" type="#_x0000_t75" style="width:14.25pt;height:15pt" o:ole="">
            <v:imagedata r:id="rId99" o:title=""/>
          </v:shape>
          <o:OLEObject Type="Embed" ProgID="Equation.DSMT4" ShapeID="_x0000_i1076" DrawAspect="Content" ObjectID="_1692465123" r:id="rId100"/>
        </w:object>
      </w:r>
      <w:r w:rsidR="005E242E" w:rsidRPr="00BE5613">
        <w:t xml:space="preserve"> are estimators of the mean values of unconditional and conditional efficiency scores, and </w:t>
      </w:r>
      <w:r w:rsidR="005B74BC" w:rsidRPr="00BE5613">
        <w:rPr>
          <w:position w:val="-8"/>
        </w:rPr>
        <w:object w:dxaOrig="639" w:dyaOrig="300" w14:anchorId="6BBFC5B3">
          <v:shape id="_x0000_i1077" type="#_x0000_t75" style="width:32.25pt;height:15pt" o:ole="">
            <v:imagedata r:id="rId101" o:title=""/>
          </v:shape>
          <o:OLEObject Type="Embed" ProgID="Equation.DSMT4" ShapeID="_x0000_i1077" DrawAspect="Content" ObjectID="_1692465124" r:id="rId102"/>
        </w:object>
      </w:r>
      <w:r w:rsidR="005B74BC" w:rsidRPr="00BE5613">
        <w:t xml:space="preserve"> </w:t>
      </w:r>
      <w:proofErr w:type="spellStart"/>
      <w:r w:rsidR="005B74BC" w:rsidRPr="00BE5613">
        <w:t>and</w:t>
      </w:r>
      <w:proofErr w:type="spellEnd"/>
      <w:r w:rsidR="005B74BC" w:rsidRPr="00BE5613">
        <w:t xml:space="preserve"> </w:t>
      </w:r>
      <w:r w:rsidR="005B74BC" w:rsidRPr="00BE5613">
        <w:rPr>
          <w:position w:val="-8"/>
        </w:rPr>
        <w:object w:dxaOrig="639" w:dyaOrig="300" w14:anchorId="371066C7">
          <v:shape id="_x0000_i1078" type="#_x0000_t75" style="width:32.25pt;height:15pt" o:ole="">
            <v:imagedata r:id="rId103" o:title=""/>
          </v:shape>
          <o:OLEObject Type="Embed" ProgID="Equation.DSMT4" ShapeID="_x0000_i1078" DrawAspect="Content" ObjectID="_1692465125" r:id="rId104"/>
        </w:object>
      </w:r>
      <w:r w:rsidR="005B74BC" w:rsidRPr="00BE5613">
        <w:t xml:space="preserve"> are </w:t>
      </w:r>
      <w:r w:rsidR="00967668" w:rsidRPr="00BE5613">
        <w:t xml:space="preserve">estimators of </w:t>
      </w:r>
      <w:r w:rsidR="005B74BC" w:rsidRPr="00BE5613">
        <w:t xml:space="preserve">their respective standard errors. The term </w:t>
      </w:r>
      <w:r w:rsidR="005B74BC" w:rsidRPr="00BE5613">
        <w:rPr>
          <w:position w:val="-8"/>
        </w:rPr>
        <w:object w:dxaOrig="660" w:dyaOrig="320" w14:anchorId="0B43B8C9">
          <v:shape id="_x0000_i1079" type="#_x0000_t75" style="width:33pt;height:15.75pt" o:ole="">
            <v:imagedata r:id="rId105" o:title=""/>
          </v:shape>
          <o:OLEObject Type="Embed" ProgID="Equation.DSMT4" ShapeID="_x0000_i1079" DrawAspect="Content" ObjectID="_1692465126" r:id="rId106"/>
        </w:object>
      </w:r>
      <w:r w:rsidR="005B74BC" w:rsidRPr="00BE5613">
        <w:t xml:space="preserve"> is a bias correction for bias that arises in the estimation of unconditional and conditional efficiency scores. Under the null hypothesis of separability, the unconditional and conditional frontier</w:t>
      </w:r>
      <w:r w:rsidR="00967668" w:rsidRPr="00BE5613">
        <w:t>s collapse</w:t>
      </w:r>
      <w:r w:rsidR="005B74BC" w:rsidRPr="00BE5613">
        <w:t xml:space="preserve">, and </w:t>
      </w:r>
      <w:r w:rsidR="00967668" w:rsidRPr="00BE5613">
        <w:t xml:space="preserve">there is </w:t>
      </w:r>
      <w:r w:rsidR="005B74BC" w:rsidRPr="00BE5613">
        <w:t xml:space="preserve">thus no difference in </w:t>
      </w:r>
      <w:r w:rsidR="00967668" w:rsidRPr="00BE5613">
        <w:t xml:space="preserve">the </w:t>
      </w:r>
      <w:r w:rsidR="005B74BC" w:rsidRPr="00BE5613">
        <w:t>estimated unconditional and conditional score</w:t>
      </w:r>
      <w:r w:rsidR="00967668" w:rsidRPr="00BE5613">
        <w:t>s</w:t>
      </w:r>
      <w:r w:rsidR="005B74BC" w:rsidRPr="00BE5613">
        <w:t xml:space="preserve"> save some statistical variation. Both test statistics are implemented as a </w:t>
      </w:r>
      <w:r w:rsidR="00967668" w:rsidRPr="00BE5613">
        <w:t>right-tailed test</w:t>
      </w:r>
      <w:r w:rsidR="005B74BC" w:rsidRPr="00BE5613">
        <w:t xml:space="preserve"> </w:t>
      </w:r>
      <w:r w:rsidR="00967668" w:rsidRPr="00BE5613">
        <w:t xml:space="preserve">and their simple definitional structure requires that unconditional and conditional estimators are applied to different subsamples. In other words, to suppress correlation that would arise if the same sample were employed in unconditional and conditional estimations, the </w:t>
      </w:r>
      <w:r w:rsidR="007E5638" w:rsidRPr="00BE5613">
        <w:t xml:space="preserve">data </w:t>
      </w:r>
      <w:r w:rsidR="00967668" w:rsidRPr="00BE5613">
        <w:t>must be split into two sufficiently large subsamples for which estimations are applied independently. The T</w:t>
      </w:r>
      <w:r w:rsidR="00967668" w:rsidRPr="00BE5613">
        <w:rPr>
          <w:vertAlign w:val="subscript"/>
        </w:rPr>
        <w:t>1</w:t>
      </w:r>
      <w:r w:rsidR="00967668" w:rsidRPr="00BE5613">
        <w:t xml:space="preserve"> test is applicable for </w:t>
      </w:r>
      <w:r w:rsidR="00967668" w:rsidRPr="00BE5613">
        <w:rPr>
          <w:position w:val="-10"/>
        </w:rPr>
        <w:object w:dxaOrig="1660" w:dyaOrig="300" w14:anchorId="4014BE5A">
          <v:shape id="_x0000_i1080" type="#_x0000_t75" style="width:83.25pt;height:15pt" o:ole="">
            <v:imagedata r:id="rId107" o:title=""/>
          </v:shape>
          <o:OLEObject Type="Embed" ProgID="Equation.DSMT4" ShapeID="_x0000_i1080" DrawAspect="Content" ObjectID="_1692465127" r:id="rId108"/>
        </w:object>
      </w:r>
      <w:r w:rsidR="00FC2BC1" w:rsidRPr="00BE5613">
        <w:t>,</w:t>
      </w:r>
      <w:r w:rsidR="00967668" w:rsidRPr="00BE5613">
        <w:t xml:space="preserve"> and the T</w:t>
      </w:r>
      <w:r w:rsidR="00FC2BC1" w:rsidRPr="00BE5613">
        <w:rPr>
          <w:vertAlign w:val="subscript"/>
        </w:rPr>
        <w:t>2</w:t>
      </w:r>
      <w:r w:rsidR="00967668" w:rsidRPr="00BE5613">
        <w:t xml:space="preserve"> is justified for </w:t>
      </w:r>
      <w:r w:rsidR="00FC2BC1" w:rsidRPr="00BE5613">
        <w:rPr>
          <w:position w:val="-10"/>
        </w:rPr>
        <w:object w:dxaOrig="1660" w:dyaOrig="300" w14:anchorId="76D75989">
          <v:shape id="_x0000_i1081" type="#_x0000_t75" style="width:83.25pt;height:15pt" o:ole="">
            <v:imagedata r:id="rId109" o:title=""/>
          </v:shape>
          <o:OLEObject Type="Embed" ProgID="Equation.DSMT4" ShapeID="_x0000_i1081" DrawAspect="Content" ObjectID="_1692465128" r:id="rId110"/>
        </w:object>
      </w:r>
      <w:r w:rsidR="00967668" w:rsidRPr="00BE5613">
        <w:t>.</w:t>
      </w:r>
    </w:p>
    <w:p w14:paraId="62122474" w14:textId="77777777" w:rsidR="00E7482E" w:rsidRPr="00BE5613" w:rsidRDefault="007D747E" w:rsidP="00AA45FA">
      <w:pPr>
        <w:spacing w:line="480" w:lineRule="auto"/>
        <w:ind w:firstLine="567"/>
        <w:jc w:val="both"/>
      </w:pPr>
      <w:r w:rsidRPr="00BE5613">
        <w:rPr>
          <w:i/>
        </w:rPr>
        <w:t xml:space="preserve">Testing </w:t>
      </w:r>
      <w:r w:rsidR="00954E56" w:rsidRPr="00BE5613">
        <w:rPr>
          <w:i/>
        </w:rPr>
        <w:t xml:space="preserve">the </w:t>
      </w:r>
      <w:r w:rsidRPr="00BE5613">
        <w:rPr>
          <w:i/>
        </w:rPr>
        <w:t xml:space="preserve">effect of contextual variables. </w:t>
      </w:r>
      <w:r w:rsidR="00C522F1" w:rsidRPr="00BE5613">
        <w:t xml:space="preserve">Unconditional scores capture gross </w:t>
      </w:r>
      <w:proofErr w:type="gramStart"/>
      <w:r w:rsidR="00C522F1" w:rsidRPr="00BE5613">
        <w:t>performance</w:t>
      </w:r>
      <w:proofErr w:type="gramEnd"/>
      <w:r w:rsidR="00C522F1" w:rsidRPr="00BE5613">
        <w:t xml:space="preserve"> and conditional scores describe performance net of contextual factors. UTC analysis further explores the effect of contextual factors </w:t>
      </w:r>
      <w:r w:rsidR="00B928F5" w:rsidRPr="00BE5613">
        <w:t>on the production process by exploring how the contextual factors are linked with unconditional-to-conditional-measures ratios that are defined as</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C522F1" w:rsidRPr="00BE5613" w14:paraId="135F1976" w14:textId="77777777">
        <w:trPr>
          <w:jc w:val="center"/>
        </w:trPr>
        <w:tc>
          <w:tcPr>
            <w:tcW w:w="8764" w:type="dxa"/>
            <w:vAlign w:val="center"/>
          </w:tcPr>
          <w:p w14:paraId="6D0D54A0" w14:textId="77777777" w:rsidR="00C522F1" w:rsidRPr="00BE5613" w:rsidRDefault="00B928F5" w:rsidP="00AA45FA">
            <w:pPr>
              <w:spacing w:line="480" w:lineRule="auto"/>
              <w:jc w:val="center"/>
              <w:rPr>
                <w:sz w:val="22"/>
              </w:rPr>
            </w:pPr>
            <w:r w:rsidRPr="00BE5613">
              <w:rPr>
                <w:position w:val="-28"/>
              </w:rPr>
              <w:object w:dxaOrig="1760" w:dyaOrig="660" w14:anchorId="3E92CA9D">
                <v:shape id="_x0000_i1082" type="#_x0000_t75" style="width:87.75pt;height:33pt" o:ole="">
                  <v:imagedata r:id="rId111" o:title=""/>
                </v:shape>
                <o:OLEObject Type="Embed" ProgID="Equation.DSMT4" ShapeID="_x0000_i1082" DrawAspect="Content" ObjectID="_1692465129" r:id="rId112"/>
              </w:object>
            </w:r>
            <w:r w:rsidRPr="00BE5613">
              <w:t xml:space="preserve">        and        </w:t>
            </w:r>
            <w:r w:rsidRPr="00BE5613">
              <w:rPr>
                <w:position w:val="-28"/>
              </w:rPr>
              <w:object w:dxaOrig="1980" w:dyaOrig="660" w14:anchorId="2073CDF7">
                <v:shape id="_x0000_i1083" type="#_x0000_t75" style="width:99pt;height:33pt" o:ole="">
                  <v:imagedata r:id="rId113" o:title=""/>
                </v:shape>
                <o:OLEObject Type="Embed" ProgID="Equation.DSMT4" ShapeID="_x0000_i1083" DrawAspect="Content" ObjectID="_1692465130" r:id="rId114"/>
              </w:object>
            </w:r>
            <w:r w:rsidRPr="00BE5613">
              <w:t>,</w:t>
            </w:r>
          </w:p>
        </w:tc>
        <w:tc>
          <w:tcPr>
            <w:tcW w:w="592" w:type="dxa"/>
            <w:vAlign w:val="center"/>
          </w:tcPr>
          <w:p w14:paraId="3374654D" w14:textId="77777777" w:rsidR="00C522F1" w:rsidRPr="00BE5613" w:rsidRDefault="00C522F1"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5</w:t>
            </w:r>
            <w:r w:rsidRPr="00BE5613">
              <w:rPr>
                <w:rFonts w:ascii="Times New Roman" w:hAnsi="Times New Roman" w:cs="Times New Roman"/>
                <w:sz w:val="22"/>
                <w:szCs w:val="22"/>
              </w:rPr>
              <w:fldChar w:fldCharType="end"/>
            </w:r>
            <w:r w:rsidRPr="00BE5613">
              <w:rPr>
                <w:rFonts w:ascii="Times New Roman" w:hAnsi="Times New Roman" w:cs="Times New Roman"/>
                <w:sz w:val="22"/>
                <w:szCs w:val="22"/>
              </w:rPr>
              <w:t>)</w:t>
            </w:r>
          </w:p>
        </w:tc>
      </w:tr>
    </w:tbl>
    <w:p w14:paraId="42607937" w14:textId="77777777" w:rsidR="00F43969" w:rsidRPr="00BE5613" w:rsidRDefault="00B928F5" w:rsidP="00AA45FA">
      <w:pPr>
        <w:spacing w:line="480" w:lineRule="auto"/>
        <w:jc w:val="both"/>
      </w:pPr>
      <w:r w:rsidRPr="00BE5613">
        <w:t>for the full frontier case and for the order-</w:t>
      </w:r>
      <w:r w:rsidRPr="00BE5613">
        <w:rPr>
          <w:i/>
        </w:rPr>
        <w:t>m</w:t>
      </w:r>
      <w:r w:rsidRPr="00BE5613">
        <w:t xml:space="preserve"> partial frontier case. The key difference is that the full-frontier ratio </w:t>
      </w:r>
      <w:r w:rsidRPr="00BE5613">
        <w:rPr>
          <w:position w:val="-10"/>
        </w:rPr>
        <w:object w:dxaOrig="780" w:dyaOrig="300" w14:anchorId="15B149E9">
          <v:shape id="_x0000_i1084" type="#_x0000_t75" style="width:39pt;height:15pt" o:ole="">
            <v:imagedata r:id="rId115" o:title=""/>
          </v:shape>
          <o:OLEObject Type="Embed" ProgID="Equation.DSMT4" ShapeID="_x0000_i1084" DrawAspect="Content" ObjectID="_1692465131" r:id="rId116"/>
        </w:object>
      </w:r>
      <w:r w:rsidRPr="00BE5613">
        <w:t xml:space="preserve"> is more exposed to outliers and less robust than the partial-frontier ratio </w:t>
      </w:r>
      <w:r w:rsidRPr="00BE5613">
        <w:rPr>
          <w:position w:val="-10"/>
        </w:rPr>
        <w:object w:dxaOrig="900" w:dyaOrig="300" w14:anchorId="4D6D2691">
          <v:shape id="_x0000_i1085" type="#_x0000_t75" style="width:45pt;height:15pt" o:ole="">
            <v:imagedata r:id="rId117" o:title=""/>
          </v:shape>
          <o:OLEObject Type="Embed" ProgID="Equation.DSMT4" ShapeID="_x0000_i1085" DrawAspect="Content" ObjectID="_1692465132" r:id="rId118"/>
        </w:object>
      </w:r>
      <w:r w:rsidRPr="00BE5613">
        <w:t>.</w:t>
      </w:r>
      <w:r w:rsidR="00341F0B" w:rsidRPr="00BE5613">
        <w:t xml:space="preserve"> </w:t>
      </w:r>
      <w:proofErr w:type="spellStart"/>
      <w:r w:rsidR="00341F0B" w:rsidRPr="00BE5613">
        <w:t>Daraio</w:t>
      </w:r>
      <w:proofErr w:type="spellEnd"/>
      <w:r w:rsidR="00341F0B" w:rsidRPr="00BE5613">
        <w:t xml:space="preserve"> and Simar (2005) and </w:t>
      </w:r>
      <w:proofErr w:type="spellStart"/>
      <w:r w:rsidR="00341F0B" w:rsidRPr="00BE5613">
        <w:t>Bădin</w:t>
      </w:r>
      <w:proofErr w:type="spellEnd"/>
      <w:r w:rsidR="00341F0B" w:rsidRPr="00BE5613">
        <w:t xml:space="preserve"> et al. (2014) recommend explaining these ratios in a regression </w:t>
      </w:r>
      <w:r w:rsidR="00F43969" w:rsidRPr="00BE5613">
        <w:t>manner</w:t>
      </w:r>
      <w:r w:rsidR="00341F0B" w:rsidRPr="00BE5613">
        <w:t xml:space="preserve"> by running a non-parametric regression of </w:t>
      </w:r>
      <w:r w:rsidR="00341F0B" w:rsidRPr="00BE5613">
        <w:rPr>
          <w:position w:val="-4"/>
        </w:rPr>
        <w:object w:dxaOrig="180" w:dyaOrig="180" w14:anchorId="6F6D67FB">
          <v:shape id="_x0000_i1086" type="#_x0000_t75" style="width:9pt;height:9.75pt" o:ole="">
            <v:imagedata r:id="rId119" o:title=""/>
          </v:shape>
          <o:OLEObject Type="Embed" ProgID="Equation.DSMT4" ShapeID="_x0000_i1086" DrawAspect="Content" ObjectID="_1692465133" r:id="rId120"/>
        </w:object>
      </w:r>
      <w:r w:rsidR="00341F0B" w:rsidRPr="00BE5613">
        <w:t xml:space="preserve"> upon </w:t>
      </w:r>
      <w:r w:rsidR="00341F0B" w:rsidRPr="00BE5613">
        <w:rPr>
          <w:position w:val="-10"/>
        </w:rPr>
        <w:object w:dxaOrig="780" w:dyaOrig="300" w14:anchorId="533B0A2F">
          <v:shape id="_x0000_i1087" type="#_x0000_t75" style="width:39pt;height:15pt" o:ole="">
            <v:imagedata r:id="rId115" o:title=""/>
          </v:shape>
          <o:OLEObject Type="Embed" ProgID="Equation.DSMT4" ShapeID="_x0000_i1087" DrawAspect="Content" ObjectID="_1692465134" r:id="rId121"/>
        </w:object>
      </w:r>
      <w:r w:rsidR="00341F0B" w:rsidRPr="00BE5613">
        <w:t xml:space="preserve"> and/or </w:t>
      </w:r>
      <w:r w:rsidR="00341F0B" w:rsidRPr="00BE5613">
        <w:rPr>
          <w:position w:val="-10"/>
        </w:rPr>
        <w:object w:dxaOrig="900" w:dyaOrig="300" w14:anchorId="1B028C9C">
          <v:shape id="_x0000_i1088" type="#_x0000_t75" style="width:45pt;height:15pt" o:ole="">
            <v:imagedata r:id="rId117" o:title=""/>
          </v:shape>
          <o:OLEObject Type="Embed" ProgID="Equation.DSMT4" ShapeID="_x0000_i1088" DrawAspect="Content" ObjectID="_1692465135" r:id="rId122"/>
        </w:object>
      </w:r>
      <w:r w:rsidR="00341F0B" w:rsidRPr="00BE5613">
        <w:t>.</w:t>
      </w:r>
      <w:r w:rsidR="00F43969" w:rsidRPr="00BE5613">
        <w:t xml:space="preserve"> Kernel-based approaches were originally thought of by these authors and these are also applied in empirical analyses </w:t>
      </w:r>
      <w:r w:rsidR="0024068A" w:rsidRPr="00BE5613">
        <w:t xml:space="preserve">to smooth all contextual variables </w:t>
      </w:r>
      <w:r w:rsidR="00F43969" w:rsidRPr="00BE5613">
        <w:t xml:space="preserve">(e.g., </w:t>
      </w:r>
      <w:r w:rsidR="0024068A" w:rsidRPr="00BE5613">
        <w:t xml:space="preserve">Simões et </w:t>
      </w:r>
      <w:r w:rsidR="0024068A" w:rsidRPr="00BE5613">
        <w:lastRenderedPageBreak/>
        <w:t xml:space="preserve">al., 2012a; </w:t>
      </w:r>
      <w:r w:rsidR="00A959E7" w:rsidRPr="00BE5613">
        <w:t>De Witte</w:t>
      </w:r>
      <w:r w:rsidR="0024068A" w:rsidRPr="00BE5613">
        <w:t xml:space="preserve"> and </w:t>
      </w:r>
      <w:proofErr w:type="spellStart"/>
      <w:r w:rsidR="0024068A" w:rsidRPr="00BE5613">
        <w:t>Korteilanen</w:t>
      </w:r>
      <w:proofErr w:type="spellEnd"/>
      <w:r w:rsidR="0024068A" w:rsidRPr="00BE5613">
        <w:t xml:space="preserve">, 2013; </w:t>
      </w:r>
      <w:r w:rsidR="00F43969" w:rsidRPr="00BE5613">
        <w:t>Cordero et al., 2015</w:t>
      </w:r>
      <w:r w:rsidR="0024068A" w:rsidRPr="00BE5613">
        <w:t>; Ferreira et al., 2020</w:t>
      </w:r>
      <w:r w:rsidR="00F43969" w:rsidRPr="00BE5613">
        <w:t>)</w:t>
      </w:r>
      <w:r w:rsidR="0024068A" w:rsidRPr="00BE5613">
        <w:t>.</w:t>
      </w:r>
      <w:r w:rsidR="00E87109" w:rsidRPr="00BE5613">
        <w:t xml:space="preserve"> </w:t>
      </w:r>
      <w:proofErr w:type="gramStart"/>
      <w:r w:rsidR="00E87109" w:rsidRPr="00BE5613">
        <w:t>In point of fact</w:t>
      </w:r>
      <w:proofErr w:type="gramEnd"/>
      <w:r w:rsidR="00E87109" w:rsidRPr="00BE5613">
        <w:t>, any smoothing technique allowing visualization and significance testing is acceptable. To that effect, a generalized additive model (GAM) is employed in this paper that may take the following format for the full frontier case</w:t>
      </w:r>
    </w:p>
    <w:tbl>
      <w:tblPr>
        <w:tblW w:w="9356" w:type="dxa"/>
        <w:jc w:val="center"/>
        <w:tblLayout w:type="fixed"/>
        <w:tblCellMar>
          <w:left w:w="70" w:type="dxa"/>
          <w:right w:w="70" w:type="dxa"/>
        </w:tblCellMar>
        <w:tblLook w:val="0000" w:firstRow="0" w:lastRow="0" w:firstColumn="0" w:lastColumn="0" w:noHBand="0" w:noVBand="0"/>
      </w:tblPr>
      <w:tblGrid>
        <w:gridCol w:w="8764"/>
        <w:gridCol w:w="592"/>
      </w:tblGrid>
      <w:tr w:rsidR="00E87109" w:rsidRPr="00BE5613" w14:paraId="4F482563" w14:textId="77777777">
        <w:trPr>
          <w:jc w:val="center"/>
        </w:trPr>
        <w:tc>
          <w:tcPr>
            <w:tcW w:w="8764" w:type="dxa"/>
            <w:vAlign w:val="center"/>
          </w:tcPr>
          <w:p w14:paraId="0A171969" w14:textId="77777777" w:rsidR="00E87109" w:rsidRPr="00BE5613" w:rsidRDefault="008B0E45" w:rsidP="00AA45FA">
            <w:pPr>
              <w:spacing w:line="480" w:lineRule="auto"/>
              <w:jc w:val="center"/>
              <w:rPr>
                <w:sz w:val="22"/>
              </w:rPr>
            </w:pPr>
            <w:r w:rsidRPr="00BE5613">
              <w:rPr>
                <w:position w:val="-16"/>
              </w:rPr>
              <w:object w:dxaOrig="4320" w:dyaOrig="380" w14:anchorId="54AB561D">
                <v:shape id="_x0000_i1089" type="#_x0000_t75" style="width:3in;height:18.75pt" o:ole="">
                  <v:imagedata r:id="rId123" o:title=""/>
                </v:shape>
                <o:OLEObject Type="Embed" ProgID="Equation.DSMT4" ShapeID="_x0000_i1089" DrawAspect="Content" ObjectID="_1692465136" r:id="rId124"/>
              </w:object>
            </w:r>
            <w:r w:rsidR="00E87109" w:rsidRPr="00BE5613">
              <w:t>.</w:t>
            </w:r>
          </w:p>
        </w:tc>
        <w:tc>
          <w:tcPr>
            <w:tcW w:w="592" w:type="dxa"/>
            <w:vAlign w:val="center"/>
          </w:tcPr>
          <w:p w14:paraId="3336903C" w14:textId="77777777" w:rsidR="00E87109" w:rsidRPr="00BE5613" w:rsidRDefault="00E87109" w:rsidP="00AA45FA">
            <w:pPr>
              <w:pStyle w:val="equation"/>
              <w:spacing w:before="0" w:after="0" w:line="480" w:lineRule="auto"/>
              <w:rPr>
                <w:rFonts w:ascii="Times New Roman" w:hAnsi="Times New Roman" w:cs="Times New Roman"/>
                <w:sz w:val="22"/>
                <w:szCs w:val="22"/>
              </w:rPr>
            </w:pPr>
            <w:r w:rsidRPr="00BE5613">
              <w:rPr>
                <w:rFonts w:ascii="Times New Roman" w:hAnsi="Times New Roman" w:cs="Times New Roman"/>
                <w:sz w:val="22"/>
                <w:szCs w:val="22"/>
              </w:rPr>
              <w:t>(</w:t>
            </w:r>
            <w:bookmarkStart w:id="8" w:name="eq_gam"/>
            <w:r w:rsidRPr="00BE5613">
              <w:rPr>
                <w:rFonts w:ascii="Times New Roman" w:hAnsi="Times New Roman" w:cs="Times New Roman"/>
                <w:sz w:val="22"/>
                <w:szCs w:val="22"/>
              </w:rPr>
              <w:fldChar w:fldCharType="begin"/>
            </w:r>
            <w:r w:rsidRPr="00BE5613">
              <w:rPr>
                <w:rFonts w:ascii="Times New Roman" w:hAnsi="Times New Roman" w:cs="Times New Roman"/>
                <w:sz w:val="22"/>
                <w:szCs w:val="22"/>
              </w:rPr>
              <w:instrText xml:space="preserve"> SEQ eq \n </w:instrText>
            </w:r>
            <w:r w:rsidRPr="00BE5613">
              <w:rPr>
                <w:rFonts w:ascii="Times New Roman" w:hAnsi="Times New Roman" w:cs="Times New Roman"/>
                <w:sz w:val="22"/>
                <w:szCs w:val="22"/>
              </w:rPr>
              <w:fldChar w:fldCharType="separate"/>
            </w:r>
            <w:r w:rsidR="00AA45FA" w:rsidRPr="00BE5613">
              <w:rPr>
                <w:rFonts w:ascii="Times New Roman" w:hAnsi="Times New Roman" w:cs="Times New Roman"/>
                <w:noProof/>
                <w:sz w:val="22"/>
                <w:szCs w:val="22"/>
              </w:rPr>
              <w:t>6</w:t>
            </w:r>
            <w:r w:rsidRPr="00BE5613">
              <w:rPr>
                <w:rFonts w:ascii="Times New Roman" w:hAnsi="Times New Roman" w:cs="Times New Roman"/>
                <w:sz w:val="22"/>
                <w:szCs w:val="22"/>
              </w:rPr>
              <w:fldChar w:fldCharType="end"/>
            </w:r>
            <w:bookmarkEnd w:id="8"/>
            <w:r w:rsidRPr="00BE5613">
              <w:rPr>
                <w:rFonts w:ascii="Times New Roman" w:hAnsi="Times New Roman" w:cs="Times New Roman"/>
                <w:sz w:val="22"/>
                <w:szCs w:val="22"/>
              </w:rPr>
              <w:t>)</w:t>
            </w:r>
          </w:p>
        </w:tc>
      </w:tr>
    </w:tbl>
    <w:p w14:paraId="1DCF2DC5" w14:textId="77777777" w:rsidR="00FF1509" w:rsidRPr="00BE5613" w:rsidRDefault="00E87109" w:rsidP="00AA45FA">
      <w:pPr>
        <w:spacing w:line="480" w:lineRule="auto"/>
        <w:jc w:val="both"/>
      </w:pPr>
      <w:r w:rsidRPr="00BE5613">
        <w:t>This representation recognizes that some contextual variables are nominal</w:t>
      </w:r>
      <w:r w:rsidR="00E33672" w:rsidRPr="00BE5613">
        <w:t>,</w:t>
      </w:r>
      <w:r w:rsidRPr="00BE5613">
        <w:t xml:space="preserve"> </w:t>
      </w:r>
      <w:r w:rsidR="00E33672" w:rsidRPr="00BE5613">
        <w:rPr>
          <w:position w:val="-8"/>
        </w:rPr>
        <w:object w:dxaOrig="420" w:dyaOrig="279" w14:anchorId="4C136E93">
          <v:shape id="_x0000_i1090" type="#_x0000_t75" style="width:21pt;height:14.25pt" o:ole="">
            <v:imagedata r:id="rId125" o:title=""/>
          </v:shape>
          <o:OLEObject Type="Embed" ProgID="Equation.DSMT4" ShapeID="_x0000_i1090" DrawAspect="Content" ObjectID="_1692465137" r:id="rId126"/>
        </w:object>
      </w:r>
      <w:r w:rsidR="00E33672" w:rsidRPr="00BE5613">
        <w:t>, whereas others are numeric,</w:t>
      </w:r>
      <w:r w:rsidR="00E33672" w:rsidRPr="00BE5613">
        <w:rPr>
          <w:position w:val="-8"/>
        </w:rPr>
        <w:object w:dxaOrig="420" w:dyaOrig="279" w14:anchorId="2085E7A7">
          <v:shape id="_x0000_i1091" type="#_x0000_t75" style="width:21pt;height:14.25pt" o:ole="">
            <v:imagedata r:id="rId127" o:title=""/>
          </v:shape>
          <o:OLEObject Type="Embed" ProgID="Equation.DSMT4" ShapeID="_x0000_i1091" DrawAspect="Content" ObjectID="_1692465138" r:id="rId128"/>
        </w:object>
      </w:r>
      <w:r w:rsidR="00E33672" w:rsidRPr="00BE5613">
        <w:t xml:space="preserve"> (where </w:t>
      </w:r>
      <w:r w:rsidR="00E33672" w:rsidRPr="00BE5613">
        <w:rPr>
          <w:position w:val="-10"/>
        </w:rPr>
        <w:object w:dxaOrig="1800" w:dyaOrig="300" w14:anchorId="4C14BADF">
          <v:shape id="_x0000_i1092" type="#_x0000_t75" style="width:90pt;height:15pt" o:ole="">
            <v:imagedata r:id="rId129" o:title=""/>
          </v:shape>
          <o:OLEObject Type="Embed" ProgID="Equation.DSMT4" ShapeID="_x0000_i1092" DrawAspect="Content" ObjectID="_1692465139" r:id="rId130"/>
        </w:object>
      </w:r>
      <w:r w:rsidR="00E33672" w:rsidRPr="00BE5613">
        <w:t xml:space="preserve">). </w:t>
      </w:r>
      <w:r w:rsidR="00A43187" w:rsidRPr="00BE5613">
        <w:t xml:space="preserve">The </w:t>
      </w:r>
      <w:r w:rsidR="00763F0B" w:rsidRPr="00BE5613">
        <w:t>four</w:t>
      </w:r>
      <w:r w:rsidR="00A43187" w:rsidRPr="00BE5613">
        <w:t xml:space="preserve"> terms in formula (</w:t>
      </w:r>
      <w:r w:rsidR="00A43187" w:rsidRPr="00BE5613">
        <w:fldChar w:fldCharType="begin"/>
      </w:r>
      <w:r w:rsidR="00A43187" w:rsidRPr="00BE5613">
        <w:instrText xml:space="preserve"> REF eq_gam \h </w:instrText>
      </w:r>
      <w:r w:rsidR="00AA45FA" w:rsidRPr="00BE5613">
        <w:instrText xml:space="preserve"> \* MERGEFORMAT </w:instrText>
      </w:r>
      <w:r w:rsidR="00A43187" w:rsidRPr="00BE5613">
        <w:fldChar w:fldCharType="separate"/>
      </w:r>
      <w:r w:rsidR="00AA45FA" w:rsidRPr="00BE5613">
        <w:rPr>
          <w:sz w:val="22"/>
          <w:szCs w:val="22"/>
        </w:rPr>
        <w:t>6</w:t>
      </w:r>
      <w:r w:rsidR="00A43187" w:rsidRPr="00BE5613">
        <w:fldChar w:fldCharType="end"/>
      </w:r>
      <w:r w:rsidR="00A43187" w:rsidRPr="00BE5613">
        <w:t>)</w:t>
      </w:r>
      <w:r w:rsidR="0097649B" w:rsidRPr="00BE5613">
        <w:t xml:space="preserve"> </w:t>
      </w:r>
      <w:r w:rsidR="00A43187" w:rsidRPr="00BE5613">
        <w:t xml:space="preserve">represent </w:t>
      </w:r>
      <w:r w:rsidR="00763F0B" w:rsidRPr="00BE5613">
        <w:t xml:space="preserve">an </w:t>
      </w:r>
      <w:r w:rsidR="00A43187" w:rsidRPr="00BE5613">
        <w:t>intercept, a parametric part for nominal variables, a non-parametric part for numeric variables, and an error term</w:t>
      </w:r>
      <w:r w:rsidR="00763F0B" w:rsidRPr="00BE5613">
        <w:t>, respectively</w:t>
      </w:r>
      <w:r w:rsidR="00A43187" w:rsidRPr="00BE5613">
        <w:t xml:space="preserve">. </w:t>
      </w:r>
      <w:r w:rsidR="00E33672" w:rsidRPr="00BE5613">
        <w:t xml:space="preserve">Nominal variables are appropriately recoded to dummy variables </w:t>
      </w:r>
      <w:r w:rsidR="00E33672" w:rsidRPr="00BE5613">
        <w:rPr>
          <w:position w:val="-10"/>
        </w:rPr>
        <w:object w:dxaOrig="600" w:dyaOrig="300" w14:anchorId="5251E89C">
          <v:shape id="_x0000_i1093" type="#_x0000_t75" style="width:30pt;height:15pt" o:ole="">
            <v:imagedata r:id="rId131" o:title=""/>
          </v:shape>
          <o:OLEObject Type="Embed" ProgID="Equation.DSMT4" ShapeID="_x0000_i1093" DrawAspect="Content" ObjectID="_1692465140" r:id="rId132"/>
        </w:object>
      </w:r>
      <w:r w:rsidR="00E33672" w:rsidRPr="00BE5613">
        <w:t xml:space="preserve"> with 1/0 values for “yes”/”no” answers, and </w:t>
      </w:r>
      <w:r w:rsidR="00E33672" w:rsidRPr="00BE5613">
        <w:rPr>
          <w:position w:val="-10"/>
        </w:rPr>
        <w:object w:dxaOrig="260" w:dyaOrig="300" w14:anchorId="2B557C38">
          <v:shape id="_x0000_i1094" type="#_x0000_t75" style="width:12.75pt;height:15pt" o:ole="">
            <v:imagedata r:id="rId133" o:title=""/>
          </v:shape>
          <o:OLEObject Type="Embed" ProgID="Equation.DSMT4" ShapeID="_x0000_i1094" DrawAspect="Content" ObjectID="_1692465141" r:id="rId134"/>
        </w:object>
      </w:r>
      <w:r w:rsidR="00E33672" w:rsidRPr="00BE5613">
        <w:t xml:space="preserve"> are regression parameters corresponding to “yes” answers. If a nominal variable takes more than one value (e.g.</w:t>
      </w:r>
      <w:r w:rsidR="00763F0B" w:rsidRPr="00BE5613">
        <w:t>,</w:t>
      </w:r>
      <w:r w:rsidR="00E33672" w:rsidRPr="00BE5613">
        <w:t xml:space="preserve"> “partly” as is the case of z9), more levels are needed</w:t>
      </w:r>
      <w:r w:rsidR="00763F0B" w:rsidRPr="00BE5613">
        <w:t xml:space="preserve"> and the parametric part </w:t>
      </w:r>
      <w:r w:rsidR="00E33672" w:rsidRPr="00BE5613">
        <w:t>in formula (</w:t>
      </w:r>
      <w:r w:rsidR="00E33672" w:rsidRPr="00BE5613">
        <w:fldChar w:fldCharType="begin"/>
      </w:r>
      <w:r w:rsidR="00E33672" w:rsidRPr="00BE5613">
        <w:instrText xml:space="preserve"> REF eq_gam \h </w:instrText>
      </w:r>
      <w:r w:rsidR="00AA45FA" w:rsidRPr="00BE5613">
        <w:instrText xml:space="preserve"> \* MERGEFORMAT </w:instrText>
      </w:r>
      <w:r w:rsidR="00E33672" w:rsidRPr="00BE5613">
        <w:fldChar w:fldCharType="separate"/>
      </w:r>
      <w:r w:rsidR="00AA45FA" w:rsidRPr="00BE5613">
        <w:rPr>
          <w:sz w:val="22"/>
          <w:szCs w:val="22"/>
        </w:rPr>
        <w:t>6</w:t>
      </w:r>
      <w:r w:rsidR="00E33672" w:rsidRPr="00BE5613">
        <w:fldChar w:fldCharType="end"/>
      </w:r>
      <w:r w:rsidR="00763F0B" w:rsidRPr="00BE5613">
        <w:t xml:space="preserve">) must be adjusted accordingly. The parametric part is composed additively of contextual variables smoothed by splines </w:t>
      </w:r>
      <w:r w:rsidR="00763F0B" w:rsidRPr="00BE5613">
        <w:rPr>
          <w:position w:val="-10"/>
        </w:rPr>
        <w:object w:dxaOrig="560" w:dyaOrig="300" w14:anchorId="098B3821">
          <v:shape id="_x0000_i1095" type="#_x0000_t75" style="width:27.75pt;height:15pt" o:ole="">
            <v:imagedata r:id="rId135" o:title=""/>
          </v:shape>
          <o:OLEObject Type="Embed" ProgID="Equation.DSMT4" ShapeID="_x0000_i1095" DrawAspect="Content" ObjectID="_1692465142" r:id="rId136"/>
        </w:object>
      </w:r>
      <w:r w:rsidR="00763F0B" w:rsidRPr="00BE5613">
        <w:t>. The GAM in formula (</w:t>
      </w:r>
      <w:r w:rsidR="00763F0B" w:rsidRPr="00BE5613">
        <w:fldChar w:fldCharType="begin"/>
      </w:r>
      <w:r w:rsidR="00763F0B" w:rsidRPr="00BE5613">
        <w:instrText xml:space="preserve"> REF eq_gam \h </w:instrText>
      </w:r>
      <w:r w:rsidR="00AA45FA" w:rsidRPr="00BE5613">
        <w:instrText xml:space="preserve"> \* MERGEFORMAT </w:instrText>
      </w:r>
      <w:r w:rsidR="00763F0B" w:rsidRPr="00BE5613">
        <w:fldChar w:fldCharType="separate"/>
      </w:r>
      <w:r w:rsidR="00AA45FA" w:rsidRPr="00BE5613">
        <w:rPr>
          <w:sz w:val="22"/>
          <w:szCs w:val="22"/>
        </w:rPr>
        <w:t>6</w:t>
      </w:r>
      <w:r w:rsidR="00763F0B" w:rsidRPr="00BE5613">
        <w:fldChar w:fldCharType="end"/>
      </w:r>
      <w:r w:rsidR="00763F0B" w:rsidRPr="00BE5613">
        <w:t>) is fitted for each model and for both full and order-</w:t>
      </w:r>
      <w:r w:rsidR="00763F0B" w:rsidRPr="00BE5613">
        <w:rPr>
          <w:i/>
        </w:rPr>
        <w:t>m</w:t>
      </w:r>
      <w:r w:rsidR="00763F0B" w:rsidRPr="00BE5613">
        <w:t xml:space="preserve"> partial frontiers by using the local scoring algorithm based on backfitting used in a standard iterative fashion. </w:t>
      </w:r>
      <w:r w:rsidR="006C7ABB" w:rsidRPr="00BE5613">
        <w:t xml:space="preserve">For partial frontiers, </w:t>
      </w:r>
      <w:r w:rsidR="006C7ABB" w:rsidRPr="00BE5613">
        <w:rPr>
          <w:position w:val="-10"/>
        </w:rPr>
        <w:object w:dxaOrig="900" w:dyaOrig="300" w14:anchorId="3CF4FDEA">
          <v:shape id="_x0000_i1096" type="#_x0000_t75" style="width:45pt;height:15pt" o:ole="">
            <v:imagedata r:id="rId117" o:title=""/>
          </v:shape>
          <o:OLEObject Type="Embed" ProgID="Equation.DSMT4" ShapeID="_x0000_i1096" DrawAspect="Content" ObjectID="_1692465143" r:id="rId137"/>
        </w:object>
      </w:r>
      <w:r w:rsidR="006C7ABB" w:rsidRPr="00BE5613">
        <w:t xml:space="preserve"> is simply replaced by </w:t>
      </w:r>
      <w:r w:rsidR="006C7ABB" w:rsidRPr="00BE5613">
        <w:rPr>
          <w:position w:val="-10"/>
        </w:rPr>
        <w:object w:dxaOrig="780" w:dyaOrig="300" w14:anchorId="1DBDCF21">
          <v:shape id="_x0000_i1097" type="#_x0000_t75" style="width:39pt;height:15pt" o:ole="">
            <v:imagedata r:id="rId138" o:title=""/>
          </v:shape>
          <o:OLEObject Type="Embed" ProgID="Equation.DSMT4" ShapeID="_x0000_i1097" DrawAspect="Content" ObjectID="_1692465144" r:id="rId139"/>
        </w:object>
      </w:r>
      <w:r w:rsidR="006C7ABB" w:rsidRPr="00BE5613">
        <w:t xml:space="preserve">. A graph of trajectories of smoothed values </w:t>
      </w:r>
      <w:r w:rsidR="006C7ABB" w:rsidRPr="00BE5613">
        <w:rPr>
          <w:position w:val="-10"/>
        </w:rPr>
        <w:object w:dxaOrig="560" w:dyaOrig="300" w14:anchorId="15BFE5A8">
          <v:shape id="_x0000_i1098" type="#_x0000_t75" style="width:27.75pt;height:15pt" o:ole="">
            <v:imagedata r:id="rId135" o:title=""/>
          </v:shape>
          <o:OLEObject Type="Embed" ProgID="Equation.DSMT4" ShapeID="_x0000_i1098" DrawAspect="Content" ObjectID="_1692465145" r:id="rId140"/>
        </w:object>
      </w:r>
      <w:r w:rsidR="006C7ABB" w:rsidRPr="00BE5613">
        <w:t xml:space="preserve"> against original values </w:t>
      </w:r>
      <w:r w:rsidR="006C7ABB" w:rsidRPr="00BE5613">
        <w:rPr>
          <w:position w:val="-8"/>
        </w:rPr>
        <w:object w:dxaOrig="240" w:dyaOrig="279" w14:anchorId="7DDA0823">
          <v:shape id="_x0000_i1099" type="#_x0000_t75" style="width:12pt;height:14.25pt" o:ole="">
            <v:imagedata r:id="rId141" o:title=""/>
          </v:shape>
          <o:OLEObject Type="Embed" ProgID="Equation.DSMT4" ShapeID="_x0000_i1099" DrawAspect="Content" ObjectID="_1692465146" r:id="rId142"/>
        </w:object>
      </w:r>
      <w:r w:rsidR="006C7ABB" w:rsidRPr="00BE5613">
        <w:t xml:space="preserve"> displays how UTC ratios vary with, and are affected by, contextual variables. The framework also allows standard significance testing. Useful details on GAMs are available, e.g., in Hastie and </w:t>
      </w:r>
      <w:proofErr w:type="spellStart"/>
      <w:r w:rsidR="006C7ABB" w:rsidRPr="00BE5613">
        <w:t>Tibshirani</w:t>
      </w:r>
      <w:proofErr w:type="spellEnd"/>
      <w:r w:rsidR="006C7ABB" w:rsidRPr="00BE5613">
        <w:t xml:space="preserve"> (1990) or Madsen and </w:t>
      </w:r>
      <w:proofErr w:type="spellStart"/>
      <w:r w:rsidR="006C7ABB" w:rsidRPr="00BE5613">
        <w:t>Thyregod</w:t>
      </w:r>
      <w:proofErr w:type="spellEnd"/>
      <w:r w:rsidR="006C7ABB" w:rsidRPr="00BE5613">
        <w:t xml:space="preserve"> (2011).</w:t>
      </w:r>
      <w:r w:rsidR="00BC57C6" w:rsidRPr="00BE5613">
        <w:t xml:space="preserve"> </w:t>
      </w:r>
      <w:r w:rsidR="00FF1509" w:rsidRPr="00BE5613">
        <w:t>A</w:t>
      </w:r>
      <w:r w:rsidR="00BC57C6" w:rsidRPr="00BE5613">
        <w:t xml:space="preserve"> UTC ratio greater than 1 indicates that the local environment of a municipality exerts </w:t>
      </w:r>
      <w:r w:rsidR="00FF1509" w:rsidRPr="00BE5613">
        <w:t>detrimental</w:t>
      </w:r>
      <w:r w:rsidR="00BC57C6" w:rsidRPr="00BE5613">
        <w:t xml:space="preserve"> operating conditions for efficiency</w:t>
      </w:r>
      <w:r w:rsidR="00FF1509" w:rsidRPr="00BE5613">
        <w:t xml:space="preserve"> because the conditional efficiency score (answering to a hypothetical situation that the environmental context does not matter) is better than the unconditional efficiency score (inclusive of environmental effects). Hence, an increasing trend of </w:t>
      </w:r>
      <w:r w:rsidR="00FF1509" w:rsidRPr="00BE5613">
        <w:rPr>
          <w:position w:val="-10"/>
        </w:rPr>
        <w:object w:dxaOrig="560" w:dyaOrig="300" w14:anchorId="30772A11">
          <v:shape id="_x0000_i1100" type="#_x0000_t75" style="width:27.75pt;height:15pt" o:ole="">
            <v:imagedata r:id="rId135" o:title=""/>
          </v:shape>
          <o:OLEObject Type="Embed" ProgID="Equation.DSMT4" ShapeID="_x0000_i1100" DrawAspect="Content" ObjectID="_1692465147" r:id="rId143"/>
        </w:object>
      </w:r>
      <w:r w:rsidR="00FF1509" w:rsidRPr="00BE5613">
        <w:t xml:space="preserve"> testifies of detrimental effects of contextual variable </w:t>
      </w:r>
      <w:r w:rsidR="00FF1509" w:rsidRPr="00BE5613">
        <w:rPr>
          <w:position w:val="-8"/>
        </w:rPr>
        <w:object w:dxaOrig="240" w:dyaOrig="279" w14:anchorId="669591AF">
          <v:shape id="_x0000_i1101" type="#_x0000_t75" style="width:12pt;height:14.25pt" o:ole="">
            <v:imagedata r:id="rId144" o:title=""/>
          </v:shape>
          <o:OLEObject Type="Embed" ProgID="Equation.DSMT4" ShapeID="_x0000_i1101" DrawAspect="Content" ObjectID="_1692465148" r:id="rId145"/>
        </w:object>
      </w:r>
      <w:r w:rsidR="00FF1509" w:rsidRPr="00BE5613">
        <w:t xml:space="preserve"> on efficiency, and a decreasing </w:t>
      </w:r>
      <w:r w:rsidR="00FF1509" w:rsidRPr="00BE5613">
        <w:lastRenderedPageBreak/>
        <w:t xml:space="preserve">trajectory of </w:t>
      </w:r>
      <w:r w:rsidR="00FF1509" w:rsidRPr="00BE5613">
        <w:rPr>
          <w:position w:val="-10"/>
        </w:rPr>
        <w:object w:dxaOrig="560" w:dyaOrig="300" w14:anchorId="1302D9AB">
          <v:shape id="_x0000_i1102" type="#_x0000_t75" style="width:27.75pt;height:15pt" o:ole="">
            <v:imagedata r:id="rId135" o:title=""/>
          </v:shape>
          <o:OLEObject Type="Embed" ProgID="Equation.DSMT4" ShapeID="_x0000_i1102" DrawAspect="Content" ObjectID="_1692465149" r:id="rId146"/>
        </w:object>
      </w:r>
      <w:r w:rsidR="00FF1509" w:rsidRPr="00BE5613">
        <w:t xml:space="preserve"> points to a negative influence. </w:t>
      </w:r>
      <w:proofErr w:type="gramStart"/>
      <w:r w:rsidR="00FF1509" w:rsidRPr="00BE5613">
        <w:t>Needless to say, the</w:t>
      </w:r>
      <w:proofErr w:type="gramEnd"/>
      <w:r w:rsidR="00FF1509" w:rsidRPr="00BE5613">
        <w:t xml:space="preserve"> effe</w:t>
      </w:r>
      <w:r w:rsidR="007E5638" w:rsidRPr="00BE5613">
        <w:t>ct of a contextual variable</w:t>
      </w:r>
      <w:r w:rsidR="00FF1509" w:rsidRPr="00BE5613">
        <w:t xml:space="preserve"> need not be monotonic and may vary across the range of its values.</w:t>
      </w:r>
    </w:p>
    <w:p w14:paraId="301B9A23" w14:textId="77777777" w:rsidR="00C779A4" w:rsidRPr="00BE5613" w:rsidRDefault="00C779A4" w:rsidP="00AA45FA">
      <w:pPr>
        <w:spacing w:line="480" w:lineRule="auto"/>
      </w:pPr>
    </w:p>
    <w:p w14:paraId="2DF4F3B4" w14:textId="77777777" w:rsidR="007E5638" w:rsidRPr="00BE5613" w:rsidRDefault="007E5638" w:rsidP="00AA45FA">
      <w:pPr>
        <w:spacing w:line="480" w:lineRule="auto"/>
      </w:pPr>
      <w:r w:rsidRPr="00BE5613">
        <w:t>3.4 Data on Czech municipalities in the South Moravian Region</w:t>
      </w:r>
    </w:p>
    <w:p w14:paraId="293602B4" w14:textId="77777777" w:rsidR="007E5638" w:rsidRPr="00BE5613" w:rsidRDefault="007E5638" w:rsidP="00AA45FA">
      <w:pPr>
        <w:spacing w:line="480" w:lineRule="auto"/>
        <w:ind w:firstLine="567"/>
        <w:jc w:val="both"/>
      </w:pPr>
      <w:r w:rsidRPr="00BE5613">
        <w:t xml:space="preserve">The Czech Republic has one of the highest municipal fragmentations in Europe, and thus a typical Czech municipality is rather small, although not precisely rural since they are </w:t>
      </w:r>
      <w:r w:rsidR="006D3393" w:rsidRPr="00BE5613">
        <w:t xml:space="preserve">usually located relatively close to each other. To a certain extent, the conglomerate form of a spatial scatter is a relic of the previous Communistic regime that significantly limited independence of municipalities. Nonetheless, the change of the regime with municipalities gaining independence stirred a very strong reluctance towards any kind of municipal amalgamation. With such a type of municipal structure, this analysis provides an interesting contribution to the available literature on MSWM performance. </w:t>
      </w:r>
    </w:p>
    <w:p w14:paraId="181283B7" w14:textId="77777777" w:rsidR="007E5638" w:rsidRPr="00BE5613" w:rsidRDefault="006D3393" w:rsidP="00AA45FA">
      <w:pPr>
        <w:spacing w:line="480" w:lineRule="auto"/>
        <w:ind w:firstLine="567"/>
        <w:jc w:val="both"/>
      </w:pPr>
      <w:r w:rsidRPr="00BE5613">
        <w:t xml:space="preserve">The analysis reposed upon a data set of </w:t>
      </w:r>
      <w:r w:rsidR="00FC1B9E" w:rsidRPr="00BE5613">
        <w:t>470</w:t>
      </w:r>
      <w:r w:rsidRPr="00BE5613">
        <w:t xml:space="preserve"> municipalities from the South Moravian Region that otherwise consists of 673 municipalities with a total population of almost 1.2 million inhabitants with the regional capital city Brno (</w:t>
      </w:r>
      <w:r w:rsidR="002920DF" w:rsidRPr="00BE5613">
        <w:t xml:space="preserve">a </w:t>
      </w:r>
      <w:r w:rsidRPr="00BE5613">
        <w:t xml:space="preserve">population </w:t>
      </w:r>
      <w:r w:rsidR="002920DF" w:rsidRPr="00BE5613">
        <w:t xml:space="preserve">of </w:t>
      </w:r>
      <w:r w:rsidRPr="00BE5613">
        <w:t>380,000</w:t>
      </w:r>
      <w:r w:rsidR="002920DF" w:rsidRPr="00BE5613">
        <w:t xml:space="preserve"> inhabitants</w:t>
      </w:r>
      <w:r w:rsidRPr="00BE5613">
        <w:t>).</w:t>
      </w:r>
      <w:r w:rsidR="002920DF" w:rsidRPr="00BE5613">
        <w:t xml:space="preserve"> Other municipalities </w:t>
      </w:r>
      <w:r w:rsidR="00B33FD1" w:rsidRPr="00BE5613">
        <w:t xml:space="preserve">in the South Moravian Region </w:t>
      </w:r>
      <w:r w:rsidR="002920DF" w:rsidRPr="00BE5613">
        <w:t xml:space="preserve">are substantially smaller in size with the second largest having a population of </w:t>
      </w:r>
      <w:r w:rsidR="008050DF" w:rsidRPr="00BE5613">
        <w:t>34</w:t>
      </w:r>
      <w:r w:rsidR="002920DF" w:rsidRPr="00BE5613">
        <w:t xml:space="preserve">,000 inhabitants, and only four more having more than 20,000 inhabitants. All remaining municipalities have a population under 12,000 inhabitants. </w:t>
      </w:r>
      <w:proofErr w:type="gramStart"/>
      <w:r w:rsidR="002920DF" w:rsidRPr="00BE5613">
        <w:t>With this in mind, due</w:t>
      </w:r>
      <w:proofErr w:type="gramEnd"/>
      <w:r w:rsidR="002920DF" w:rsidRPr="00BE5613">
        <w:t xml:space="preserve"> to the significant differences in size compared to the rest of the sample, </w:t>
      </w:r>
      <w:r w:rsidR="008050DF" w:rsidRPr="00BE5613">
        <w:t>the regional capital Brno was</w:t>
      </w:r>
      <w:r w:rsidR="002920DF" w:rsidRPr="00BE5613">
        <w:t xml:space="preserve"> excluded from the sample at the onset. The reason being, MSWM service in </w:t>
      </w:r>
      <w:r w:rsidR="008050DF" w:rsidRPr="00BE5613">
        <w:t>such a highly populated municipality</w:t>
      </w:r>
      <w:r w:rsidR="002920DF" w:rsidRPr="00BE5613">
        <w:t xml:space="preserve"> shows notable differences from the rest of the sample as </w:t>
      </w:r>
      <w:r w:rsidR="008050DF" w:rsidRPr="00BE5613">
        <w:t>Brno has</w:t>
      </w:r>
      <w:r w:rsidR="002920DF" w:rsidRPr="00BE5613">
        <w:t xml:space="preserve"> much wider possibilities for service optimization </w:t>
      </w:r>
      <w:proofErr w:type="gramStart"/>
      <w:r w:rsidR="002920DF" w:rsidRPr="00BE5613">
        <w:t>and also</w:t>
      </w:r>
      <w:proofErr w:type="gramEnd"/>
      <w:r w:rsidR="002920DF" w:rsidRPr="00BE5613">
        <w:t xml:space="preserve"> tend</w:t>
      </w:r>
      <w:r w:rsidR="008050DF" w:rsidRPr="00BE5613">
        <w:t>s</w:t>
      </w:r>
      <w:r w:rsidR="002920DF" w:rsidRPr="00BE5613">
        <w:t xml:space="preserve"> to provide a wider range of services than a</w:t>
      </w:r>
      <w:r w:rsidR="008319BF" w:rsidRPr="00BE5613">
        <w:t>n</w:t>
      </w:r>
      <w:r w:rsidR="002920DF" w:rsidRPr="00BE5613">
        <w:t xml:space="preserve"> </w:t>
      </w:r>
      <w:r w:rsidR="008319BF" w:rsidRPr="00BE5613">
        <w:t>average</w:t>
      </w:r>
      <w:r w:rsidR="002920DF" w:rsidRPr="00BE5613">
        <w:t xml:space="preserve"> small municipality. </w:t>
      </w:r>
      <w:proofErr w:type="gramStart"/>
      <w:r w:rsidR="002920DF" w:rsidRPr="00BE5613">
        <w:t>In spite of</w:t>
      </w:r>
      <w:proofErr w:type="gramEnd"/>
      <w:r w:rsidR="002920DF" w:rsidRPr="00BE5613">
        <w:t xml:space="preserve"> adopting the convexity assumption in the DEA estimation, </w:t>
      </w:r>
      <w:r w:rsidR="008050DF" w:rsidRPr="00BE5613">
        <w:t>including Brno</w:t>
      </w:r>
      <w:r w:rsidR="002920DF" w:rsidRPr="00BE5613">
        <w:t xml:space="preserve"> would render the sample less homogeneous</w:t>
      </w:r>
      <w:r w:rsidR="008050DF" w:rsidRPr="00BE5613">
        <w:t xml:space="preserve"> and Brno would</w:t>
      </w:r>
      <w:r w:rsidR="006F79CE" w:rsidRPr="00BE5613">
        <w:t xml:space="preserve"> appear as </w:t>
      </w:r>
      <w:r w:rsidR="008050DF" w:rsidRPr="00BE5613">
        <w:t xml:space="preserve">and </w:t>
      </w:r>
      <w:r w:rsidR="006F79CE" w:rsidRPr="00BE5613">
        <w:t xml:space="preserve">outlier </w:t>
      </w:r>
      <w:r w:rsidR="008050DF" w:rsidRPr="00BE5613">
        <w:t xml:space="preserve">with </w:t>
      </w:r>
      <w:r w:rsidR="008050DF" w:rsidRPr="00BE5613">
        <w:lastRenderedPageBreak/>
        <w:t>potentially distorting effects on</w:t>
      </w:r>
      <w:r w:rsidR="007E5638" w:rsidRPr="00BE5613">
        <w:t xml:space="preserve"> </w:t>
      </w:r>
      <w:r w:rsidR="002920DF" w:rsidRPr="00BE5613">
        <w:t>the estimated</w:t>
      </w:r>
      <w:r w:rsidR="006F79CE" w:rsidRPr="00BE5613">
        <w:t xml:space="preserve"> frontier. The data set refer</w:t>
      </w:r>
      <w:r w:rsidR="00B33FD1" w:rsidRPr="00BE5613">
        <w:t>s</w:t>
      </w:r>
      <w:r w:rsidR="006F79CE" w:rsidRPr="00BE5613">
        <w:t xml:space="preserve"> to the year 2012. This</w:t>
      </w:r>
      <w:r w:rsidR="007E5638" w:rsidRPr="00BE5613">
        <w:t xml:space="preserve"> year was chosen specifically </w:t>
      </w:r>
      <w:r w:rsidR="006F79CE" w:rsidRPr="00BE5613">
        <w:t xml:space="preserve">for </w:t>
      </w:r>
      <w:r w:rsidR="00920B61" w:rsidRPr="00BE5613">
        <w:t>being</w:t>
      </w:r>
      <w:r w:rsidR="007E5638" w:rsidRPr="00BE5613">
        <w:t xml:space="preserve"> the closest year to the last available census that </w:t>
      </w:r>
      <w:r w:rsidR="006F79CE" w:rsidRPr="00BE5613">
        <w:t>took place</w:t>
      </w:r>
      <w:r w:rsidR="007E5638" w:rsidRPr="00BE5613">
        <w:t xml:space="preserve"> in 2011 (with </w:t>
      </w:r>
      <w:r w:rsidR="00B33FD1" w:rsidRPr="00BE5613">
        <w:t xml:space="preserve">census </w:t>
      </w:r>
      <w:r w:rsidR="007E5638" w:rsidRPr="00BE5613">
        <w:t>data being published gradually in the following years), and thus provided detailed data about municipal characteristics</w:t>
      </w:r>
      <w:r w:rsidR="006F79CE" w:rsidRPr="00BE5613">
        <w:t>,</w:t>
      </w:r>
      <w:r w:rsidR="007E5638" w:rsidRPr="00BE5613">
        <w:t xml:space="preserve"> otherwise not regularly collected. Additional statistical data were obtained from databases of </w:t>
      </w:r>
      <w:r w:rsidR="006F79CE" w:rsidRPr="00BE5613">
        <w:t>the Czech S</w:t>
      </w:r>
      <w:r w:rsidR="007E5638" w:rsidRPr="00BE5613">
        <w:t xml:space="preserve">tatistical </w:t>
      </w:r>
      <w:r w:rsidR="006F79CE" w:rsidRPr="00BE5613">
        <w:t>O</w:t>
      </w:r>
      <w:r w:rsidR="007E5638" w:rsidRPr="00BE5613">
        <w:t xml:space="preserve">ffice, </w:t>
      </w:r>
      <w:r w:rsidR="006F79CE" w:rsidRPr="00BE5613">
        <w:t xml:space="preserve">Ministry of Finance of the Czech Republic, </w:t>
      </w:r>
      <w:r w:rsidR="007E5638" w:rsidRPr="00BE5613">
        <w:t xml:space="preserve">and </w:t>
      </w:r>
      <w:r w:rsidR="006F79CE" w:rsidRPr="00BE5613">
        <w:t>Ministry of the Environment of the Czech Republic</w:t>
      </w:r>
      <w:r w:rsidR="007E5638" w:rsidRPr="00BE5613">
        <w:t xml:space="preserve">. The final part of the data related to MSWM in individual </w:t>
      </w:r>
      <w:r w:rsidR="006F79CE" w:rsidRPr="00BE5613">
        <w:t>municipalities was</w:t>
      </w:r>
      <w:r w:rsidR="007E5638" w:rsidRPr="00BE5613">
        <w:t xml:space="preserve"> collected directly </w:t>
      </w:r>
      <w:r w:rsidR="006F79CE" w:rsidRPr="00BE5613">
        <w:t>by contacting their officials</w:t>
      </w:r>
      <w:r w:rsidR="007E5638" w:rsidRPr="00BE5613">
        <w:t xml:space="preserve"> using a combination of </w:t>
      </w:r>
      <w:r w:rsidR="006F79CE" w:rsidRPr="00BE5613">
        <w:t xml:space="preserve">an </w:t>
      </w:r>
      <w:r w:rsidR="007E5638" w:rsidRPr="00BE5613">
        <w:t xml:space="preserve">electronic questionnaire, personal </w:t>
      </w:r>
      <w:proofErr w:type="gramStart"/>
      <w:r w:rsidR="007E5638" w:rsidRPr="00BE5613">
        <w:t>visits</w:t>
      </w:r>
      <w:proofErr w:type="gramEnd"/>
      <w:r w:rsidR="007E5638" w:rsidRPr="00BE5613">
        <w:t xml:space="preserve"> and direct phone calls. </w:t>
      </w:r>
      <w:r w:rsidR="006F79CE" w:rsidRPr="00BE5613">
        <w:t>D</w:t>
      </w:r>
      <w:r w:rsidR="007E5638" w:rsidRPr="00BE5613">
        <w:t>ata availability and municipal responsiveness</w:t>
      </w:r>
      <w:r w:rsidR="006F79CE" w:rsidRPr="00BE5613">
        <w:t xml:space="preserve"> resulted in</w:t>
      </w:r>
      <w:r w:rsidR="007E5638" w:rsidRPr="00BE5613">
        <w:t xml:space="preserve"> </w:t>
      </w:r>
      <w:r w:rsidR="006F79CE" w:rsidRPr="00BE5613">
        <w:t xml:space="preserve">sufficient and reliable data for </w:t>
      </w:r>
      <w:r w:rsidR="008050DF" w:rsidRPr="00BE5613">
        <w:t>470</w:t>
      </w:r>
      <w:r w:rsidR="006F79CE" w:rsidRPr="00BE5613">
        <w:t xml:space="preserve"> municipalities</w:t>
      </w:r>
      <w:r w:rsidR="008050DF" w:rsidRPr="00BE5613">
        <w:t>.</w:t>
      </w:r>
    </w:p>
    <w:p w14:paraId="1953D288" w14:textId="77777777" w:rsidR="00187803" w:rsidRPr="00BE5613" w:rsidRDefault="00D84041" w:rsidP="00AA45FA">
      <w:pPr>
        <w:spacing w:line="480" w:lineRule="auto"/>
        <w:ind w:firstLine="567"/>
        <w:jc w:val="both"/>
      </w:pPr>
      <w:r w:rsidRPr="00BE5613">
        <w:t xml:space="preserve">Appendix </w:t>
      </w:r>
      <w:r w:rsidRPr="00BE5613">
        <w:fldChar w:fldCharType="begin"/>
      </w:r>
      <w:r w:rsidRPr="00BE5613">
        <w:instrText xml:space="preserve"> REF appendix_stats \h  \* MERGEFORMAT </w:instrText>
      </w:r>
      <w:r w:rsidRPr="00BE5613">
        <w:fldChar w:fldCharType="separate"/>
      </w:r>
      <w:r w:rsidR="00AA45FA" w:rsidRPr="00BE5613">
        <w:t>A</w:t>
      </w:r>
      <w:r w:rsidRPr="00BE5613">
        <w:fldChar w:fldCharType="end"/>
      </w:r>
      <w:r w:rsidRPr="00BE5613">
        <w:t xml:space="preserve"> displays basic statistics of the municipal data considered as inputs, </w:t>
      </w:r>
      <w:proofErr w:type="gramStart"/>
      <w:r w:rsidRPr="00BE5613">
        <w:t>outputs</w:t>
      </w:r>
      <w:proofErr w:type="gramEnd"/>
      <w:r w:rsidRPr="00BE5613">
        <w:t xml:space="preserve"> and contextual variables.</w:t>
      </w:r>
      <w:r w:rsidR="00D473F5" w:rsidRPr="00BE5613">
        <w:t xml:space="preserve"> </w:t>
      </w:r>
      <w:r w:rsidR="00187803" w:rsidRPr="00BE5613">
        <w:t>As was emphasized earlier, the most important factor for Czech municipalities is their expenditure on MSWM. This expenditure, M</w:t>
      </w:r>
      <w:r w:rsidR="007E5638" w:rsidRPr="00BE5613">
        <w:t>SWE</w:t>
      </w:r>
      <w:r w:rsidR="00187803" w:rsidRPr="00BE5613">
        <w:t>,</w:t>
      </w:r>
      <w:r w:rsidR="007E5638" w:rsidRPr="00BE5613">
        <w:t xml:space="preserve"> </w:t>
      </w:r>
      <w:r w:rsidR="00187803" w:rsidRPr="00BE5613">
        <w:t>is expressed</w:t>
      </w:r>
      <w:r w:rsidR="007E5638" w:rsidRPr="00BE5613">
        <w:t xml:space="preserve"> in </w:t>
      </w:r>
      <w:r w:rsidR="00D473F5" w:rsidRPr="00BE5613">
        <w:t xml:space="preserve">the </w:t>
      </w:r>
      <w:r w:rsidR="007E5638" w:rsidRPr="00BE5613">
        <w:t xml:space="preserve">Czech currency “koruna” (CZK) and </w:t>
      </w:r>
      <w:r w:rsidR="00D473F5" w:rsidRPr="00BE5613">
        <w:t>includes total operational cost</w:t>
      </w:r>
      <w:r w:rsidR="007E5638" w:rsidRPr="00BE5613">
        <w:t xml:space="preserve"> </w:t>
      </w:r>
      <w:r w:rsidR="00D473F5" w:rsidRPr="00BE5613">
        <w:t xml:space="preserve">spent </w:t>
      </w:r>
      <w:r w:rsidR="007E5638" w:rsidRPr="00BE5613">
        <w:t xml:space="preserve">on </w:t>
      </w:r>
      <w:r w:rsidR="00D473F5" w:rsidRPr="00BE5613">
        <w:t>provision of WM</w:t>
      </w:r>
      <w:r w:rsidR="007E5638" w:rsidRPr="00BE5613">
        <w:t xml:space="preserve"> service </w:t>
      </w:r>
      <w:r w:rsidR="00D473F5" w:rsidRPr="00BE5613">
        <w:t>in individual municipalities</w:t>
      </w:r>
      <w:r w:rsidR="007E5638" w:rsidRPr="00BE5613">
        <w:t xml:space="preserve">. </w:t>
      </w:r>
      <w:r w:rsidR="00072894" w:rsidRPr="00BE5613">
        <w:t>Since small municipalities generally do not run their own WM service, t</w:t>
      </w:r>
      <w:r w:rsidR="007E5638" w:rsidRPr="00BE5613">
        <w:t xml:space="preserve">hese include payments to </w:t>
      </w:r>
      <w:r w:rsidR="00D473F5" w:rsidRPr="00BE5613">
        <w:t>an</w:t>
      </w:r>
      <w:r w:rsidR="007E5638" w:rsidRPr="00BE5613">
        <w:t xml:space="preserve"> external </w:t>
      </w:r>
      <w:r w:rsidR="00D473F5" w:rsidRPr="00BE5613">
        <w:t xml:space="preserve">WM </w:t>
      </w:r>
      <w:r w:rsidR="007E5638" w:rsidRPr="00BE5613">
        <w:t xml:space="preserve">company for waste collection, </w:t>
      </w:r>
      <w:proofErr w:type="gramStart"/>
      <w:r w:rsidR="007E5638" w:rsidRPr="00BE5613">
        <w:t>transport</w:t>
      </w:r>
      <w:proofErr w:type="gramEnd"/>
      <w:r w:rsidR="007E5638" w:rsidRPr="00BE5613">
        <w:t xml:space="preserve"> and treatment </w:t>
      </w:r>
      <w:r w:rsidR="00D473F5" w:rsidRPr="00BE5613">
        <w:t>of</w:t>
      </w:r>
      <w:r w:rsidR="007E5638" w:rsidRPr="00BE5613">
        <w:t xml:space="preserve"> both residual and </w:t>
      </w:r>
      <w:r w:rsidR="00920B61" w:rsidRPr="00BE5613">
        <w:t>separated</w:t>
      </w:r>
      <w:r w:rsidR="007E5638" w:rsidRPr="00BE5613">
        <w:t xml:space="preserve"> waste. If </w:t>
      </w:r>
      <w:r w:rsidR="00D473F5" w:rsidRPr="00BE5613">
        <w:t>a</w:t>
      </w:r>
      <w:r w:rsidR="00DC5F40" w:rsidRPr="00BE5613">
        <w:t>n</w:t>
      </w:r>
      <w:r w:rsidR="00D473F5" w:rsidRPr="00BE5613">
        <w:t xml:space="preserve"> </w:t>
      </w:r>
      <w:r w:rsidR="007E5638" w:rsidRPr="00BE5613">
        <w:t xml:space="preserve">HWRC </w:t>
      </w:r>
      <w:r w:rsidR="00D473F5" w:rsidRPr="00BE5613">
        <w:t>is</w:t>
      </w:r>
      <w:r w:rsidR="007E5638" w:rsidRPr="00BE5613">
        <w:t xml:space="preserve"> present in the municipality (typically in municipalities over 1,000 </w:t>
      </w:r>
      <w:r w:rsidR="00D473F5" w:rsidRPr="00BE5613">
        <w:t>inhabitants</w:t>
      </w:r>
      <w:r w:rsidR="007E5638" w:rsidRPr="00BE5613">
        <w:t>), M</w:t>
      </w:r>
      <w:r w:rsidR="00187803" w:rsidRPr="00BE5613">
        <w:t xml:space="preserve">SWE include these costs as well. Owing to their typical small sizes, </w:t>
      </w:r>
      <w:r w:rsidR="007E5638" w:rsidRPr="00BE5613">
        <w:t xml:space="preserve">very few </w:t>
      </w:r>
      <w:r w:rsidR="00187803" w:rsidRPr="00BE5613">
        <w:t>Czech municipalities</w:t>
      </w:r>
      <w:r w:rsidR="007E5638" w:rsidRPr="00BE5613">
        <w:t xml:space="preserve"> run their own municipal </w:t>
      </w:r>
      <w:r w:rsidR="00187803" w:rsidRPr="00BE5613">
        <w:t>WM</w:t>
      </w:r>
      <w:r w:rsidR="007E5638" w:rsidRPr="00BE5613">
        <w:t xml:space="preserve"> service, </w:t>
      </w:r>
      <w:r w:rsidR="00187803" w:rsidRPr="00BE5613">
        <w:t xml:space="preserve">and resort to outsourcing from an external company. Outsourcing is the most common way of securing WM service, and this observation accords with that of Bel et al. (2010). </w:t>
      </w:r>
      <w:r w:rsidR="003F3EBD" w:rsidRPr="00BE5613">
        <w:t>If</w:t>
      </w:r>
      <w:r w:rsidR="00187803" w:rsidRPr="00BE5613">
        <w:t xml:space="preserve"> the municipality runs its own WM company, MSWE includes cost for personnel, collection equipment, and other cost related</w:t>
      </w:r>
      <w:r w:rsidR="00920B61" w:rsidRPr="00BE5613">
        <w:t xml:space="preserve"> to the provision of WM service, </w:t>
      </w:r>
      <w:r w:rsidR="00D22E79" w:rsidRPr="00BE5613">
        <w:t>which yields a metric directly comparable with the lump sum that would be paid to an external WM company.</w:t>
      </w:r>
    </w:p>
    <w:p w14:paraId="3FC07716" w14:textId="77777777" w:rsidR="009E2E5F" w:rsidRPr="00BE5613" w:rsidRDefault="00101093" w:rsidP="00AA45FA">
      <w:pPr>
        <w:spacing w:line="480" w:lineRule="auto"/>
        <w:ind w:firstLine="567"/>
        <w:jc w:val="both"/>
      </w:pPr>
      <w:r w:rsidRPr="00BE5613">
        <w:lastRenderedPageBreak/>
        <w:t>Three variables are proxies for municipality size</w:t>
      </w:r>
      <w:r w:rsidR="00CF64FA" w:rsidRPr="00BE5613">
        <w:t xml:space="preserve">, and include population size, covered built-up (urban) area and </w:t>
      </w:r>
      <w:r w:rsidR="00920B61" w:rsidRPr="00BE5613">
        <w:t>housing units</w:t>
      </w:r>
      <w:r w:rsidR="00CF64FA" w:rsidRPr="00BE5613">
        <w:t>.</w:t>
      </w:r>
      <w:r w:rsidR="009E2E5F" w:rsidRPr="00BE5613">
        <w:t xml:space="preserve"> </w:t>
      </w:r>
      <w:r w:rsidR="00CF64FA" w:rsidRPr="00BE5613">
        <w:t xml:space="preserve">Unlike </w:t>
      </w:r>
      <w:proofErr w:type="gramStart"/>
      <w:r w:rsidR="00CF64FA" w:rsidRPr="00BE5613">
        <w:t>the majority of</w:t>
      </w:r>
      <w:proofErr w:type="gramEnd"/>
      <w:r w:rsidR="00CF64FA" w:rsidRPr="00BE5613">
        <w:t xml:space="preserve"> available research (e.g., Simões et al., 2012; Rogge and De Jaeger, 2012; Pérez-López et al., 2021), this </w:t>
      </w:r>
      <w:r w:rsidR="00072894" w:rsidRPr="00BE5613">
        <w:t>study</w:t>
      </w:r>
      <w:r w:rsidR="009E2E5F" w:rsidRPr="00BE5613">
        <w:t xml:space="preserve"> prefers b</w:t>
      </w:r>
      <w:r w:rsidR="00CF64FA" w:rsidRPr="00BE5613">
        <w:t xml:space="preserve">uilt-up municipal area instead of total municipal area. </w:t>
      </w:r>
      <w:r w:rsidR="009E2E5F" w:rsidRPr="00BE5613">
        <w:t xml:space="preserve">Built-up area normally accounts for only a few percent of total area and excludes uninhabited surface areas like lakes, fields, forests, or meadows. Built-up area is a better proxy for inhabited surface area. </w:t>
      </w:r>
      <w:r w:rsidR="007E5638" w:rsidRPr="00BE5613">
        <w:t xml:space="preserve">Especially in municipalities with </w:t>
      </w:r>
      <w:r w:rsidR="009E2E5F" w:rsidRPr="00BE5613">
        <w:t xml:space="preserve">a </w:t>
      </w:r>
      <w:r w:rsidR="007E5638" w:rsidRPr="00BE5613">
        <w:t>low population</w:t>
      </w:r>
      <w:r w:rsidR="009E2E5F" w:rsidRPr="00BE5613">
        <w:t xml:space="preserve"> size</w:t>
      </w:r>
      <w:r w:rsidR="007E5638" w:rsidRPr="00BE5613">
        <w:t xml:space="preserve"> these two area</w:t>
      </w:r>
      <w:r w:rsidR="009E2E5F" w:rsidRPr="00BE5613">
        <w:t>l</w:t>
      </w:r>
      <w:r w:rsidR="007E5638" w:rsidRPr="00BE5613">
        <w:t xml:space="preserve"> </w:t>
      </w:r>
      <w:r w:rsidR="009E2E5F" w:rsidRPr="00BE5613">
        <w:t>metrics</w:t>
      </w:r>
      <w:r w:rsidR="007E5638" w:rsidRPr="00BE5613">
        <w:t xml:space="preserve"> </w:t>
      </w:r>
      <w:r w:rsidR="009E2E5F" w:rsidRPr="00BE5613">
        <w:t>tend to</w:t>
      </w:r>
      <w:r w:rsidR="007E5638" w:rsidRPr="00BE5613">
        <w:t xml:space="preserve"> differ greatly.</w:t>
      </w:r>
      <w:r w:rsidR="009E2E5F" w:rsidRPr="00BE5613">
        <w:t xml:space="preserve"> These three metrics of municipality size were applied as inputs (in Models I and II) or outpu</w:t>
      </w:r>
      <w:r w:rsidR="00136D8F" w:rsidRPr="00BE5613">
        <w:t xml:space="preserve">ts (in Model IV) simultaneously since a single measure might not always be able to capture properly the scope of the provided service in the presence of disparities in population, built-up </w:t>
      </w:r>
      <w:proofErr w:type="gramStart"/>
      <w:r w:rsidR="00136D8F" w:rsidRPr="00BE5613">
        <w:t>area</w:t>
      </w:r>
      <w:proofErr w:type="gramEnd"/>
      <w:r w:rsidR="00136D8F" w:rsidRPr="00BE5613">
        <w:t xml:space="preserve"> and </w:t>
      </w:r>
      <w:r w:rsidR="00920B61" w:rsidRPr="00BE5613">
        <w:t>housing units</w:t>
      </w:r>
      <w:r w:rsidR="00136D8F" w:rsidRPr="00BE5613">
        <w:t xml:space="preserve"> as indicators of demand. Municipalities differ in population density, the consequence being that one variable is not capable of capturing size effects. To illustrate the extent of municipal fragmentation in the Czech Republic, almost three quarters of municipalities in the data set have less than 1,000 inhabitants and less than 300 </w:t>
      </w:r>
      <w:r w:rsidR="00920B61" w:rsidRPr="00BE5613">
        <w:t>housing units</w:t>
      </w:r>
      <w:r w:rsidR="00136D8F" w:rsidRPr="00BE5613">
        <w:t>.</w:t>
      </w:r>
    </w:p>
    <w:p w14:paraId="55A54C00" w14:textId="77777777" w:rsidR="00136D8F" w:rsidRPr="00BE5613" w:rsidRDefault="00136D8F" w:rsidP="00AA45FA">
      <w:pPr>
        <w:spacing w:line="480" w:lineRule="auto"/>
        <w:ind w:firstLine="567"/>
        <w:jc w:val="both"/>
      </w:pPr>
      <w:r w:rsidRPr="00BE5613">
        <w:t xml:space="preserve">In terms of separated waste, standard types of waste </w:t>
      </w:r>
      <w:r w:rsidR="00AB0FAC" w:rsidRPr="00BE5613">
        <w:t xml:space="preserve">that were </w:t>
      </w:r>
      <w:r w:rsidR="003F3EBD" w:rsidRPr="00BE5613">
        <w:t>commonly collected in 2012</w:t>
      </w:r>
      <w:r w:rsidR="00AB0FAC" w:rsidRPr="00BE5613">
        <w:t xml:space="preserve"> using drop-off sites and HWRCs are </w:t>
      </w:r>
      <w:proofErr w:type="gramStart"/>
      <w:r w:rsidR="00AB0FAC" w:rsidRPr="00BE5613">
        <w:t>taken into account</w:t>
      </w:r>
      <w:proofErr w:type="gramEnd"/>
      <w:r w:rsidR="00AB0FAC" w:rsidRPr="00BE5613">
        <w:t xml:space="preserve">. </w:t>
      </w:r>
      <w:r w:rsidR="00920B61" w:rsidRPr="00BE5613">
        <w:t>Separately collected</w:t>
      </w:r>
      <w:r w:rsidR="00EE18DA" w:rsidRPr="00BE5613">
        <w:t xml:space="preserve"> waste fractions included paper and cardboard, plastics, and glass as main categories, and waste electric and electronic equipment (WEEE), metals, biodegradable waste (typically garden waste) and bulky waste</w:t>
      </w:r>
      <w:r w:rsidR="00EE18DA" w:rsidRPr="00BE5613">
        <w:rPr>
          <w:rStyle w:val="FootnoteReference"/>
        </w:rPr>
        <w:footnoteReference w:id="9"/>
      </w:r>
      <w:r w:rsidR="00EE18DA" w:rsidRPr="00BE5613">
        <w:t xml:space="preserve"> on a smaller scale. All summed with residual municipal solid waste, total municipal waste is obtained. For the sake of clarification, neither commercial waste nor industrial waste is considered in any form in this study</w:t>
      </w:r>
      <w:r w:rsidR="00072894" w:rsidRPr="00BE5613">
        <w:t>,</w:t>
      </w:r>
      <w:r w:rsidR="00EE18DA" w:rsidRPr="00BE5613">
        <w:t xml:space="preserve"> as according</w:t>
      </w:r>
      <w:r w:rsidR="00072894" w:rsidRPr="00BE5613">
        <w:t xml:space="preserve"> to</w:t>
      </w:r>
      <w:r w:rsidR="00EE18DA" w:rsidRPr="00BE5613">
        <w:t xml:space="preserve"> the Czech law commercial subjects are responsible for handling their waste on their own</w:t>
      </w:r>
      <w:r w:rsidR="0069743E" w:rsidRPr="00BE5613">
        <w:t xml:space="preserve">. Hence, only with </w:t>
      </w:r>
      <w:r w:rsidR="0069743E" w:rsidRPr="00BE5613">
        <w:lastRenderedPageBreak/>
        <w:t>very rare exceptions are municipalities</w:t>
      </w:r>
      <w:r w:rsidR="00EE18DA" w:rsidRPr="00BE5613">
        <w:t xml:space="preserve"> involved in this process</w:t>
      </w:r>
      <w:r w:rsidR="00920B61" w:rsidRPr="00BE5613">
        <w:t xml:space="preserve">, and generally </w:t>
      </w:r>
      <w:r w:rsidR="0069743E" w:rsidRPr="00BE5613">
        <w:t>they have no expenditure incurred in relation to these waste categories.</w:t>
      </w:r>
    </w:p>
    <w:p w14:paraId="41618101" w14:textId="77777777" w:rsidR="00FF1509" w:rsidRPr="00BE5613" w:rsidRDefault="00FF1509" w:rsidP="00AA45FA">
      <w:pPr>
        <w:spacing w:line="480" w:lineRule="auto"/>
      </w:pPr>
    </w:p>
    <w:p w14:paraId="549ED782" w14:textId="77777777" w:rsidR="0069743E" w:rsidRPr="00BE5613" w:rsidRDefault="0069743E" w:rsidP="00AA45FA">
      <w:pPr>
        <w:spacing w:line="480" w:lineRule="auto"/>
        <w:rPr>
          <w:b/>
        </w:rPr>
      </w:pPr>
      <w:r w:rsidRPr="00BE5613">
        <w:rPr>
          <w:b/>
        </w:rPr>
        <w:t>4. Results</w:t>
      </w:r>
      <w:r w:rsidR="007335D5" w:rsidRPr="00BE5613">
        <w:rPr>
          <w:b/>
        </w:rPr>
        <w:t xml:space="preserve"> and discussion</w:t>
      </w:r>
    </w:p>
    <w:p w14:paraId="6CBE6F64" w14:textId="77777777" w:rsidR="005F0579" w:rsidRPr="00BE5613" w:rsidRDefault="007335D5" w:rsidP="00AA45FA">
      <w:pPr>
        <w:spacing w:line="480" w:lineRule="auto"/>
        <w:ind w:firstLine="567"/>
        <w:jc w:val="both"/>
      </w:pPr>
      <w:r w:rsidRPr="00BE5613">
        <w:t xml:space="preserve">The analysis was </w:t>
      </w:r>
      <w:r w:rsidR="008075D5" w:rsidRPr="00BE5613">
        <w:t>conducted</w:t>
      </w:r>
      <w:r w:rsidRPr="00BE5613">
        <w:t xml:space="preserve"> in entirety in </w:t>
      </w:r>
      <w:r w:rsidR="005F0579" w:rsidRPr="00BE5613">
        <w:t xml:space="preserve">program R (R Core Team, 2020) with the help of functionalities of packages </w:t>
      </w:r>
      <w:proofErr w:type="spellStart"/>
      <w:r w:rsidR="005F0579" w:rsidRPr="00BE5613">
        <w:rPr>
          <w:rFonts w:ascii="Courier New" w:hAnsi="Courier New" w:cs="Courier New"/>
          <w:sz w:val="20"/>
          <w:szCs w:val="20"/>
        </w:rPr>
        <w:t>frontiles</w:t>
      </w:r>
      <w:proofErr w:type="spellEnd"/>
      <w:r w:rsidR="005F0579" w:rsidRPr="00BE5613">
        <w:rPr>
          <w:rFonts w:ascii="Courier New" w:hAnsi="Courier New" w:cs="Courier New"/>
          <w:sz w:val="20"/>
          <w:szCs w:val="20"/>
        </w:rPr>
        <w:t xml:space="preserve"> </w:t>
      </w:r>
      <w:r w:rsidR="005F0579" w:rsidRPr="00BE5613">
        <w:t>(</w:t>
      </w:r>
      <w:proofErr w:type="spellStart"/>
      <w:r w:rsidR="005F0579" w:rsidRPr="00BE5613">
        <w:t>Daouia</w:t>
      </w:r>
      <w:proofErr w:type="spellEnd"/>
      <w:r w:rsidR="005F0579" w:rsidRPr="00BE5613">
        <w:t xml:space="preserve"> and Laurent, 2013), </w:t>
      </w:r>
      <w:r w:rsidR="005F0579" w:rsidRPr="00BE5613">
        <w:rPr>
          <w:rFonts w:ascii="Courier New" w:hAnsi="Courier New" w:cs="Courier New"/>
          <w:sz w:val="20"/>
          <w:szCs w:val="20"/>
        </w:rPr>
        <w:t>gam</w:t>
      </w:r>
      <w:r w:rsidR="005F0579" w:rsidRPr="00BE5613">
        <w:t xml:space="preserve"> (Hastie, 2019), </w:t>
      </w:r>
      <w:r w:rsidR="005F0579" w:rsidRPr="00BE5613">
        <w:rPr>
          <w:rFonts w:ascii="Courier New" w:hAnsi="Courier New" w:cs="Courier New"/>
          <w:sz w:val="20"/>
          <w:szCs w:val="20"/>
        </w:rPr>
        <w:t>np</w:t>
      </w:r>
      <w:r w:rsidR="005F0579" w:rsidRPr="00BE5613">
        <w:t xml:space="preserve"> (</w:t>
      </w:r>
      <w:r w:rsidR="00C62FD1" w:rsidRPr="00BE5613">
        <w:t>Racine</w:t>
      </w:r>
      <w:r w:rsidR="00AB0FAC" w:rsidRPr="00BE5613">
        <w:t>,</w:t>
      </w:r>
      <w:r w:rsidR="00C62FD1" w:rsidRPr="00BE5613">
        <w:t xml:space="preserve"> 2020</w:t>
      </w:r>
      <w:r w:rsidR="005F0579" w:rsidRPr="00BE5613">
        <w:t xml:space="preserve">), </w:t>
      </w:r>
      <w:proofErr w:type="spellStart"/>
      <w:r w:rsidR="005F0579" w:rsidRPr="00BE5613">
        <w:rPr>
          <w:rFonts w:ascii="Courier New" w:hAnsi="Courier New" w:cs="Courier New"/>
          <w:sz w:val="20"/>
          <w:szCs w:val="20"/>
        </w:rPr>
        <w:t>rDEA</w:t>
      </w:r>
      <w:proofErr w:type="spellEnd"/>
      <w:r w:rsidR="005F0579" w:rsidRPr="00BE5613">
        <w:t xml:space="preserve"> (</w:t>
      </w:r>
      <w:proofErr w:type="spellStart"/>
      <w:r w:rsidR="00C62FD1" w:rsidRPr="00BE5613">
        <w:t>Simm</w:t>
      </w:r>
      <w:proofErr w:type="spellEnd"/>
      <w:r w:rsidR="005F0579" w:rsidRPr="00BE5613">
        <w:t xml:space="preserve"> and </w:t>
      </w:r>
      <w:proofErr w:type="spellStart"/>
      <w:r w:rsidR="00C62FD1" w:rsidRPr="00BE5613">
        <w:t>Besstremyannaya</w:t>
      </w:r>
      <w:proofErr w:type="spellEnd"/>
      <w:r w:rsidR="00C62FD1" w:rsidRPr="00BE5613">
        <w:t>, 2020</w:t>
      </w:r>
      <w:r w:rsidR="005F0579" w:rsidRPr="00BE5613">
        <w:t xml:space="preserve">). </w:t>
      </w:r>
      <w:r w:rsidR="00C62FD1" w:rsidRPr="00BE5613">
        <w:t>Most basal procedures demanded of the authors to prepare their own scripts.</w:t>
      </w:r>
    </w:p>
    <w:p w14:paraId="60C42F03" w14:textId="77777777" w:rsidR="006E0173" w:rsidRPr="00BE5613" w:rsidRDefault="002D71E9" w:rsidP="00AA45FA">
      <w:pPr>
        <w:spacing w:line="480" w:lineRule="auto"/>
        <w:ind w:firstLine="567"/>
        <w:jc w:val="both"/>
      </w:pPr>
      <w:r w:rsidRPr="00BE5613">
        <w:t>The a</w:t>
      </w:r>
      <w:r w:rsidR="008075D5" w:rsidRPr="00BE5613">
        <w:t>ssessment of performance in MSWM was implemented both for full frontiers at the expense of lessened robustness and for order-</w:t>
      </w:r>
      <w:r w:rsidR="008075D5" w:rsidRPr="00BE5613">
        <w:rPr>
          <w:i/>
        </w:rPr>
        <w:t xml:space="preserve">m </w:t>
      </w:r>
      <w:r w:rsidR="008075D5" w:rsidRPr="00BE5613">
        <w:t xml:space="preserve">partial frontiers in the hope of enhancing credibility. For partial frontiers, the value 150 for </w:t>
      </w:r>
      <w:r w:rsidR="008075D5" w:rsidRPr="00BE5613">
        <w:rPr>
          <w:i/>
        </w:rPr>
        <w:t>m</w:t>
      </w:r>
      <w:r w:rsidR="008075D5" w:rsidRPr="00BE5613">
        <w:t xml:space="preserve"> was chosen in accordance with the notes in Footnote </w:t>
      </w:r>
      <w:r w:rsidR="008075D5" w:rsidRPr="00BE5613">
        <w:fldChar w:fldCharType="begin"/>
      </w:r>
      <w:r w:rsidR="008075D5" w:rsidRPr="00BE5613">
        <w:instrText xml:space="preserve"> NOTEREF _Ref80953329 \h </w:instrText>
      </w:r>
      <w:r w:rsidR="00AA45FA" w:rsidRPr="00BE5613">
        <w:instrText xml:space="preserve"> \* MERGEFORMAT </w:instrText>
      </w:r>
      <w:r w:rsidR="008075D5" w:rsidRPr="00BE5613">
        <w:fldChar w:fldCharType="separate"/>
      </w:r>
      <w:r w:rsidR="00AA45FA" w:rsidRPr="00BE5613">
        <w:t>7</w:t>
      </w:r>
      <w:r w:rsidR="008075D5" w:rsidRPr="00BE5613">
        <w:fldChar w:fldCharType="end"/>
      </w:r>
      <w:r w:rsidR="008075D5" w:rsidRPr="00BE5613">
        <w:t xml:space="preserve"> since </w:t>
      </w:r>
      <w:r w:rsidR="00920B61" w:rsidRPr="00BE5613">
        <w:t>around</w:t>
      </w:r>
      <w:r w:rsidR="002F69A1" w:rsidRPr="00BE5613">
        <w:t xml:space="preserve"> </w:t>
      </w:r>
      <w:r w:rsidR="008075D5" w:rsidRPr="00BE5613">
        <w:t>this threshold the number of super-efficient firms stabilized for each of the four models.</w:t>
      </w:r>
      <w:r w:rsidR="00920B61" w:rsidRPr="00BE5613">
        <w:t xml:space="preserve"> The value for the order-</w:t>
      </w:r>
      <w:r w:rsidRPr="00BE5613">
        <w:rPr>
          <w:i/>
        </w:rPr>
        <w:t>m</w:t>
      </w:r>
      <w:r w:rsidRPr="00BE5613">
        <w:t xml:space="preserve"> depends on the data set at hand and is by no means unreasonable.</w:t>
      </w:r>
      <w:r w:rsidRPr="00BE5613">
        <w:rPr>
          <w:rStyle w:val="FootnoteReference"/>
        </w:rPr>
        <w:footnoteReference w:id="10"/>
      </w:r>
      <w:r w:rsidRPr="00BE5613">
        <w:t xml:space="preserve"> </w:t>
      </w:r>
      <w:r w:rsidR="00DA3DA0" w:rsidRPr="00BE5613">
        <w:t>In bootstrapping requisite for computations of conditional score estimates or the testing for separability, 2,000 bootstraps were</w:t>
      </w:r>
      <w:r w:rsidR="00DD5924" w:rsidRPr="00BE5613">
        <w:t xml:space="preserve"> always</w:t>
      </w:r>
      <w:r w:rsidR="00DA3DA0" w:rsidRPr="00BE5613">
        <w:t xml:space="preserve"> used.</w:t>
      </w:r>
      <w:r w:rsidR="00E14A58" w:rsidRPr="00BE5613">
        <w:t xml:space="preserve"> The </w:t>
      </w:r>
      <w:r w:rsidR="00920B61" w:rsidRPr="00BE5613">
        <w:t xml:space="preserve">selected </w:t>
      </w:r>
      <w:r w:rsidR="00E14A58" w:rsidRPr="00BE5613">
        <w:t xml:space="preserve">bandwidths of contextual variables </w:t>
      </w:r>
      <w:r w:rsidR="006E0173" w:rsidRPr="00BE5613">
        <w:t xml:space="preserve">are Table </w:t>
      </w:r>
      <w:r w:rsidR="006E0173" w:rsidRPr="00BE5613">
        <w:fldChar w:fldCharType="begin"/>
      </w:r>
      <w:r w:rsidR="006E0173" w:rsidRPr="00BE5613">
        <w:instrText xml:space="preserve"> REF table_bandwidths \h </w:instrText>
      </w:r>
      <w:r w:rsidR="00AA45FA" w:rsidRPr="00BE5613">
        <w:instrText xml:space="preserve"> \* MERGEFORMAT </w:instrText>
      </w:r>
      <w:r w:rsidR="006E0173" w:rsidRPr="00BE5613">
        <w:fldChar w:fldCharType="separate"/>
      </w:r>
      <w:r w:rsidR="00AA45FA" w:rsidRPr="00BE5613">
        <w:t>3</w:t>
      </w:r>
      <w:r w:rsidR="006E0173" w:rsidRPr="00BE5613">
        <w:fldChar w:fldCharType="end"/>
      </w:r>
      <w:r w:rsidR="006E0173" w:rsidRPr="00BE5613">
        <w:t>.</w:t>
      </w:r>
    </w:p>
    <w:p w14:paraId="614C5E47" w14:textId="77777777" w:rsidR="007504AC" w:rsidRPr="00BE5613" w:rsidRDefault="007504AC" w:rsidP="002D71E9">
      <w:pPr>
        <w:ind w:firstLine="708"/>
        <w:jc w:val="both"/>
      </w:pPr>
    </w:p>
    <w:p w14:paraId="49C9C1FA" w14:textId="77777777" w:rsidR="007504AC" w:rsidRPr="00BE5613" w:rsidRDefault="007504AC" w:rsidP="007504AC">
      <w:pPr>
        <w:jc w:val="both"/>
      </w:pPr>
      <w:r w:rsidRPr="00BE5613">
        <w:t xml:space="preserve">Table </w:t>
      </w:r>
      <w:bookmarkStart w:id="9" w:name="table_bandwidths"/>
      <w:r w:rsidRPr="00BE5613">
        <w:fldChar w:fldCharType="begin"/>
      </w:r>
      <w:r w:rsidRPr="00BE5613">
        <w:instrText xml:space="preserve"> SEQ Table \* ARABIC </w:instrText>
      </w:r>
      <w:r w:rsidRPr="00BE5613">
        <w:fldChar w:fldCharType="separate"/>
      </w:r>
      <w:r w:rsidR="00AA45FA" w:rsidRPr="00BE5613">
        <w:rPr>
          <w:noProof/>
        </w:rPr>
        <w:t>3</w:t>
      </w:r>
      <w:r w:rsidRPr="00BE5613">
        <w:fldChar w:fldCharType="end"/>
      </w:r>
      <w:bookmarkEnd w:id="9"/>
      <w:r w:rsidRPr="00BE5613">
        <w:t xml:space="preserve">: </w:t>
      </w:r>
      <w:r w:rsidR="00E14A58" w:rsidRPr="00BE5613">
        <w:t>Bandwidths selected by least squares cross-validation</w:t>
      </w:r>
    </w:p>
    <w:tbl>
      <w:tblPr>
        <w:tblW w:w="9127" w:type="dxa"/>
        <w:tblBorders>
          <w:top w:val="single" w:sz="4" w:space="0" w:color="auto"/>
          <w:bottom w:val="single" w:sz="4" w:space="0" w:color="auto"/>
          <w:insideH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162"/>
        <w:gridCol w:w="663"/>
        <w:gridCol w:w="664"/>
        <w:gridCol w:w="664"/>
        <w:gridCol w:w="664"/>
        <w:gridCol w:w="663"/>
        <w:gridCol w:w="664"/>
        <w:gridCol w:w="664"/>
        <w:gridCol w:w="664"/>
        <w:gridCol w:w="663"/>
        <w:gridCol w:w="664"/>
        <w:gridCol w:w="664"/>
        <w:gridCol w:w="664"/>
      </w:tblGrid>
      <w:tr w:rsidR="00E14A58" w:rsidRPr="00BE5613" w14:paraId="0BDF40B2" w14:textId="77777777">
        <w:trPr>
          <w:trHeight w:val="242"/>
        </w:trPr>
        <w:tc>
          <w:tcPr>
            <w:tcW w:w="1162" w:type="dxa"/>
            <w:shd w:val="clear" w:color="auto" w:fill="FFFFFF"/>
            <w:vAlign w:val="center"/>
          </w:tcPr>
          <w:p w14:paraId="5C237B25" w14:textId="77777777" w:rsidR="00E14A58" w:rsidRPr="00BE5613" w:rsidRDefault="00E14A58" w:rsidP="003D4C06">
            <w:pPr>
              <w:jc w:val="center"/>
              <w:rPr>
                <w:sz w:val="22"/>
                <w:szCs w:val="22"/>
              </w:rPr>
            </w:pPr>
            <w:r w:rsidRPr="00BE5613">
              <w:rPr>
                <w:sz w:val="22"/>
                <w:szCs w:val="22"/>
              </w:rPr>
              <w:t>Variable</w:t>
            </w:r>
          </w:p>
        </w:tc>
        <w:tc>
          <w:tcPr>
            <w:tcW w:w="663" w:type="dxa"/>
            <w:shd w:val="clear" w:color="auto" w:fill="FFFFFF"/>
            <w:vAlign w:val="center"/>
          </w:tcPr>
          <w:p w14:paraId="583826C9" w14:textId="77777777" w:rsidR="00E14A58" w:rsidRPr="00BE5613" w:rsidRDefault="00E14A58" w:rsidP="003D4C06">
            <w:pPr>
              <w:jc w:val="center"/>
              <w:rPr>
                <w:sz w:val="22"/>
                <w:szCs w:val="22"/>
              </w:rPr>
            </w:pPr>
            <w:r w:rsidRPr="00BE5613">
              <w:rPr>
                <w:sz w:val="22"/>
                <w:szCs w:val="22"/>
              </w:rPr>
              <w:t>z1</w:t>
            </w:r>
          </w:p>
        </w:tc>
        <w:tc>
          <w:tcPr>
            <w:tcW w:w="664" w:type="dxa"/>
            <w:shd w:val="clear" w:color="auto" w:fill="FFFFFF"/>
            <w:vAlign w:val="center"/>
          </w:tcPr>
          <w:p w14:paraId="7D34DFE2" w14:textId="77777777" w:rsidR="00E14A58" w:rsidRPr="00BE5613" w:rsidRDefault="00E14A58" w:rsidP="003D4C06">
            <w:pPr>
              <w:jc w:val="center"/>
              <w:rPr>
                <w:sz w:val="22"/>
                <w:szCs w:val="22"/>
              </w:rPr>
            </w:pPr>
            <w:r w:rsidRPr="00BE5613">
              <w:rPr>
                <w:sz w:val="22"/>
                <w:szCs w:val="22"/>
              </w:rPr>
              <w:t>z2</w:t>
            </w:r>
          </w:p>
        </w:tc>
        <w:tc>
          <w:tcPr>
            <w:tcW w:w="664" w:type="dxa"/>
            <w:shd w:val="clear" w:color="auto" w:fill="FFFFFF"/>
            <w:vAlign w:val="center"/>
          </w:tcPr>
          <w:p w14:paraId="707DCC65" w14:textId="77777777" w:rsidR="00E14A58" w:rsidRPr="00BE5613" w:rsidRDefault="00E14A58" w:rsidP="003D4C06">
            <w:pPr>
              <w:jc w:val="center"/>
              <w:rPr>
                <w:sz w:val="22"/>
                <w:szCs w:val="22"/>
              </w:rPr>
            </w:pPr>
            <w:r w:rsidRPr="00BE5613">
              <w:rPr>
                <w:sz w:val="22"/>
                <w:szCs w:val="22"/>
              </w:rPr>
              <w:t>z3</w:t>
            </w:r>
          </w:p>
        </w:tc>
        <w:tc>
          <w:tcPr>
            <w:tcW w:w="664" w:type="dxa"/>
            <w:shd w:val="clear" w:color="auto" w:fill="FFFFFF"/>
            <w:vAlign w:val="center"/>
          </w:tcPr>
          <w:p w14:paraId="25174317" w14:textId="77777777" w:rsidR="00E14A58" w:rsidRPr="00BE5613" w:rsidRDefault="00E14A58" w:rsidP="003D4C06">
            <w:pPr>
              <w:jc w:val="center"/>
              <w:rPr>
                <w:sz w:val="22"/>
                <w:szCs w:val="22"/>
              </w:rPr>
            </w:pPr>
            <w:r w:rsidRPr="00BE5613">
              <w:rPr>
                <w:sz w:val="22"/>
                <w:szCs w:val="22"/>
              </w:rPr>
              <w:t>z4</w:t>
            </w:r>
          </w:p>
        </w:tc>
        <w:tc>
          <w:tcPr>
            <w:tcW w:w="663" w:type="dxa"/>
            <w:shd w:val="clear" w:color="auto" w:fill="FFFFFF"/>
            <w:vAlign w:val="center"/>
          </w:tcPr>
          <w:p w14:paraId="0875A1B3" w14:textId="77777777" w:rsidR="00E14A58" w:rsidRPr="00BE5613" w:rsidRDefault="00E14A58" w:rsidP="003D4C06">
            <w:pPr>
              <w:jc w:val="center"/>
              <w:rPr>
                <w:sz w:val="22"/>
                <w:szCs w:val="22"/>
              </w:rPr>
            </w:pPr>
            <w:r w:rsidRPr="00BE5613">
              <w:rPr>
                <w:sz w:val="22"/>
                <w:szCs w:val="22"/>
              </w:rPr>
              <w:t>z5</w:t>
            </w:r>
          </w:p>
        </w:tc>
        <w:tc>
          <w:tcPr>
            <w:tcW w:w="664" w:type="dxa"/>
            <w:shd w:val="clear" w:color="auto" w:fill="FFFFFF"/>
            <w:vAlign w:val="center"/>
          </w:tcPr>
          <w:p w14:paraId="23C9096D" w14:textId="77777777" w:rsidR="00E14A58" w:rsidRPr="00BE5613" w:rsidRDefault="00E14A58" w:rsidP="003D4C06">
            <w:pPr>
              <w:jc w:val="center"/>
              <w:rPr>
                <w:sz w:val="22"/>
                <w:szCs w:val="22"/>
              </w:rPr>
            </w:pPr>
            <w:r w:rsidRPr="00BE5613">
              <w:rPr>
                <w:sz w:val="22"/>
                <w:szCs w:val="22"/>
              </w:rPr>
              <w:t>z6</w:t>
            </w:r>
          </w:p>
        </w:tc>
        <w:tc>
          <w:tcPr>
            <w:tcW w:w="664" w:type="dxa"/>
            <w:shd w:val="clear" w:color="auto" w:fill="FFFFFF"/>
            <w:vAlign w:val="center"/>
          </w:tcPr>
          <w:p w14:paraId="727B5351" w14:textId="77777777" w:rsidR="00E14A58" w:rsidRPr="00BE5613" w:rsidRDefault="00E14A58" w:rsidP="003D4C06">
            <w:pPr>
              <w:jc w:val="center"/>
              <w:rPr>
                <w:sz w:val="22"/>
                <w:szCs w:val="22"/>
              </w:rPr>
            </w:pPr>
            <w:r w:rsidRPr="00BE5613">
              <w:rPr>
                <w:sz w:val="22"/>
                <w:szCs w:val="22"/>
              </w:rPr>
              <w:t>z7</w:t>
            </w:r>
          </w:p>
        </w:tc>
        <w:tc>
          <w:tcPr>
            <w:tcW w:w="664" w:type="dxa"/>
            <w:shd w:val="clear" w:color="auto" w:fill="FFFFFF"/>
            <w:vAlign w:val="center"/>
          </w:tcPr>
          <w:p w14:paraId="00383787" w14:textId="77777777" w:rsidR="00E14A58" w:rsidRPr="00BE5613" w:rsidRDefault="00E14A58" w:rsidP="003D4C06">
            <w:pPr>
              <w:jc w:val="center"/>
              <w:rPr>
                <w:sz w:val="22"/>
                <w:szCs w:val="22"/>
              </w:rPr>
            </w:pPr>
            <w:r w:rsidRPr="00BE5613">
              <w:rPr>
                <w:sz w:val="22"/>
                <w:szCs w:val="22"/>
              </w:rPr>
              <w:t>z8</w:t>
            </w:r>
          </w:p>
        </w:tc>
        <w:tc>
          <w:tcPr>
            <w:tcW w:w="663" w:type="dxa"/>
            <w:shd w:val="clear" w:color="auto" w:fill="FFFFFF"/>
            <w:vAlign w:val="center"/>
          </w:tcPr>
          <w:p w14:paraId="07B6D524" w14:textId="77777777" w:rsidR="00E14A58" w:rsidRPr="00BE5613" w:rsidRDefault="00E14A58" w:rsidP="003D4C06">
            <w:pPr>
              <w:jc w:val="center"/>
              <w:rPr>
                <w:sz w:val="22"/>
                <w:szCs w:val="22"/>
              </w:rPr>
            </w:pPr>
            <w:r w:rsidRPr="00BE5613">
              <w:rPr>
                <w:sz w:val="22"/>
                <w:szCs w:val="22"/>
              </w:rPr>
              <w:t>z9</w:t>
            </w:r>
          </w:p>
        </w:tc>
        <w:tc>
          <w:tcPr>
            <w:tcW w:w="664" w:type="dxa"/>
            <w:shd w:val="clear" w:color="auto" w:fill="FFFFFF"/>
            <w:vAlign w:val="center"/>
          </w:tcPr>
          <w:p w14:paraId="0C1B882B" w14:textId="77777777" w:rsidR="00E14A58" w:rsidRPr="00BE5613" w:rsidRDefault="00E14A58" w:rsidP="003D4C06">
            <w:pPr>
              <w:jc w:val="center"/>
              <w:rPr>
                <w:sz w:val="22"/>
                <w:szCs w:val="22"/>
              </w:rPr>
            </w:pPr>
            <w:r w:rsidRPr="00BE5613">
              <w:rPr>
                <w:sz w:val="22"/>
                <w:szCs w:val="22"/>
              </w:rPr>
              <w:t>z10</w:t>
            </w:r>
          </w:p>
        </w:tc>
        <w:tc>
          <w:tcPr>
            <w:tcW w:w="664" w:type="dxa"/>
            <w:shd w:val="clear" w:color="auto" w:fill="FFFFFF"/>
            <w:vAlign w:val="center"/>
          </w:tcPr>
          <w:p w14:paraId="1743A36B" w14:textId="77777777" w:rsidR="00E14A58" w:rsidRPr="00BE5613" w:rsidRDefault="00E14A58" w:rsidP="003D4C06">
            <w:pPr>
              <w:jc w:val="center"/>
              <w:rPr>
                <w:sz w:val="22"/>
                <w:szCs w:val="22"/>
              </w:rPr>
            </w:pPr>
            <w:r w:rsidRPr="00BE5613">
              <w:rPr>
                <w:sz w:val="22"/>
                <w:szCs w:val="22"/>
              </w:rPr>
              <w:t>z11</w:t>
            </w:r>
          </w:p>
        </w:tc>
        <w:tc>
          <w:tcPr>
            <w:tcW w:w="664" w:type="dxa"/>
            <w:shd w:val="clear" w:color="auto" w:fill="FFFFFF"/>
            <w:vAlign w:val="center"/>
          </w:tcPr>
          <w:p w14:paraId="18E1073C" w14:textId="77777777" w:rsidR="00E14A58" w:rsidRPr="00BE5613" w:rsidRDefault="00E14A58" w:rsidP="003D4C06">
            <w:pPr>
              <w:jc w:val="center"/>
              <w:rPr>
                <w:sz w:val="22"/>
                <w:szCs w:val="22"/>
              </w:rPr>
            </w:pPr>
            <w:r w:rsidRPr="00BE5613">
              <w:rPr>
                <w:sz w:val="22"/>
                <w:szCs w:val="22"/>
              </w:rPr>
              <w:t>z12</w:t>
            </w:r>
          </w:p>
        </w:tc>
      </w:tr>
      <w:tr w:rsidR="00E14A58" w:rsidRPr="00BE5613" w14:paraId="4ABA0AFE" w14:textId="77777777">
        <w:trPr>
          <w:trHeight w:val="41"/>
        </w:trPr>
        <w:tc>
          <w:tcPr>
            <w:tcW w:w="1162" w:type="dxa"/>
            <w:shd w:val="clear" w:color="auto" w:fill="FFFFFF"/>
            <w:vAlign w:val="center"/>
          </w:tcPr>
          <w:p w14:paraId="0EC1B37A" w14:textId="77777777" w:rsidR="00E14A58" w:rsidRPr="00BE5613" w:rsidRDefault="00E14A58" w:rsidP="003D4C06">
            <w:pPr>
              <w:jc w:val="center"/>
              <w:rPr>
                <w:sz w:val="22"/>
                <w:szCs w:val="22"/>
              </w:rPr>
            </w:pPr>
            <w:r w:rsidRPr="00BE5613">
              <w:rPr>
                <w:sz w:val="22"/>
                <w:szCs w:val="22"/>
              </w:rPr>
              <w:t>Bandwidth</w:t>
            </w:r>
          </w:p>
        </w:tc>
        <w:tc>
          <w:tcPr>
            <w:tcW w:w="663" w:type="dxa"/>
            <w:shd w:val="clear" w:color="auto" w:fill="FFFFFF"/>
            <w:vAlign w:val="bottom"/>
          </w:tcPr>
          <w:p w14:paraId="380EF562" w14:textId="77777777" w:rsidR="00E14A58" w:rsidRPr="00BE5613" w:rsidRDefault="006E0173" w:rsidP="003D4C06">
            <w:pPr>
              <w:jc w:val="center"/>
              <w:rPr>
                <w:sz w:val="22"/>
                <w:szCs w:val="22"/>
              </w:rPr>
            </w:pPr>
            <w:r w:rsidRPr="00BE5613">
              <w:rPr>
                <w:sz w:val="22"/>
                <w:szCs w:val="22"/>
              </w:rPr>
              <w:t>0.942</w:t>
            </w:r>
          </w:p>
        </w:tc>
        <w:tc>
          <w:tcPr>
            <w:tcW w:w="664" w:type="dxa"/>
            <w:shd w:val="clear" w:color="auto" w:fill="FFFFFF"/>
            <w:vAlign w:val="bottom"/>
          </w:tcPr>
          <w:p w14:paraId="30E894EF" w14:textId="77777777" w:rsidR="00E14A58" w:rsidRPr="00BE5613" w:rsidRDefault="006E0173" w:rsidP="003D4C06">
            <w:pPr>
              <w:jc w:val="center"/>
              <w:rPr>
                <w:sz w:val="22"/>
                <w:szCs w:val="22"/>
              </w:rPr>
            </w:pPr>
            <w:r w:rsidRPr="00BE5613">
              <w:rPr>
                <w:sz w:val="22"/>
                <w:szCs w:val="22"/>
              </w:rPr>
              <w:t>0.145</w:t>
            </w:r>
          </w:p>
        </w:tc>
        <w:tc>
          <w:tcPr>
            <w:tcW w:w="664" w:type="dxa"/>
            <w:shd w:val="clear" w:color="auto" w:fill="FFFFFF"/>
            <w:vAlign w:val="bottom"/>
          </w:tcPr>
          <w:p w14:paraId="65A6509D" w14:textId="77777777" w:rsidR="00E14A58" w:rsidRPr="00BE5613" w:rsidRDefault="006E0173" w:rsidP="003D4C06">
            <w:pPr>
              <w:jc w:val="center"/>
              <w:rPr>
                <w:sz w:val="22"/>
                <w:szCs w:val="22"/>
              </w:rPr>
            </w:pPr>
            <w:r w:rsidRPr="00BE5613">
              <w:rPr>
                <w:sz w:val="22"/>
                <w:szCs w:val="22"/>
              </w:rPr>
              <w:t>0.919</w:t>
            </w:r>
          </w:p>
        </w:tc>
        <w:tc>
          <w:tcPr>
            <w:tcW w:w="664" w:type="dxa"/>
            <w:shd w:val="clear" w:color="auto" w:fill="FFFFFF"/>
            <w:vAlign w:val="bottom"/>
          </w:tcPr>
          <w:p w14:paraId="386F954A" w14:textId="77777777" w:rsidR="00E14A58" w:rsidRPr="00BE5613" w:rsidRDefault="006E0173" w:rsidP="003D4C06">
            <w:pPr>
              <w:jc w:val="center"/>
              <w:rPr>
                <w:sz w:val="22"/>
                <w:szCs w:val="22"/>
              </w:rPr>
            </w:pPr>
            <w:r w:rsidRPr="00BE5613">
              <w:rPr>
                <w:sz w:val="22"/>
                <w:szCs w:val="22"/>
              </w:rPr>
              <w:t>0.047</w:t>
            </w:r>
          </w:p>
        </w:tc>
        <w:tc>
          <w:tcPr>
            <w:tcW w:w="663" w:type="dxa"/>
            <w:shd w:val="clear" w:color="auto" w:fill="FFFFFF"/>
            <w:vAlign w:val="bottom"/>
          </w:tcPr>
          <w:p w14:paraId="2BBF1432" w14:textId="77777777" w:rsidR="00E14A58" w:rsidRPr="00BE5613" w:rsidRDefault="006E0173" w:rsidP="003D4C06">
            <w:pPr>
              <w:jc w:val="center"/>
              <w:rPr>
                <w:sz w:val="22"/>
                <w:szCs w:val="22"/>
              </w:rPr>
            </w:pPr>
            <w:r w:rsidRPr="00BE5613">
              <w:rPr>
                <w:sz w:val="22"/>
                <w:szCs w:val="22"/>
              </w:rPr>
              <w:t>4.038</w:t>
            </w:r>
          </w:p>
        </w:tc>
        <w:tc>
          <w:tcPr>
            <w:tcW w:w="664" w:type="dxa"/>
            <w:shd w:val="clear" w:color="auto" w:fill="FFFFFF"/>
            <w:vAlign w:val="bottom"/>
          </w:tcPr>
          <w:p w14:paraId="5C76939C" w14:textId="77777777" w:rsidR="00E14A58" w:rsidRPr="00BE5613" w:rsidRDefault="006E0173" w:rsidP="003D4C06">
            <w:pPr>
              <w:jc w:val="center"/>
              <w:rPr>
                <w:sz w:val="22"/>
                <w:szCs w:val="22"/>
              </w:rPr>
            </w:pPr>
            <w:r w:rsidRPr="00BE5613">
              <w:rPr>
                <w:sz w:val="22"/>
                <w:szCs w:val="22"/>
              </w:rPr>
              <w:t>147.67</w:t>
            </w:r>
          </w:p>
        </w:tc>
        <w:tc>
          <w:tcPr>
            <w:tcW w:w="664" w:type="dxa"/>
            <w:shd w:val="clear" w:color="auto" w:fill="FFFFFF"/>
            <w:vAlign w:val="bottom"/>
          </w:tcPr>
          <w:p w14:paraId="4C09B285" w14:textId="77777777" w:rsidR="00E14A58" w:rsidRPr="00BE5613" w:rsidRDefault="006E0173" w:rsidP="003D4C06">
            <w:pPr>
              <w:jc w:val="center"/>
              <w:rPr>
                <w:sz w:val="22"/>
                <w:szCs w:val="22"/>
              </w:rPr>
            </w:pPr>
            <w:r w:rsidRPr="00BE5613">
              <w:rPr>
                <w:sz w:val="22"/>
                <w:szCs w:val="22"/>
              </w:rPr>
              <w:t>0.075</w:t>
            </w:r>
          </w:p>
        </w:tc>
        <w:tc>
          <w:tcPr>
            <w:tcW w:w="664" w:type="dxa"/>
            <w:shd w:val="clear" w:color="auto" w:fill="FFFFFF"/>
            <w:vAlign w:val="bottom"/>
          </w:tcPr>
          <w:p w14:paraId="2B1272E8" w14:textId="77777777" w:rsidR="00E14A58" w:rsidRPr="00BE5613" w:rsidRDefault="006E0173" w:rsidP="003D4C06">
            <w:pPr>
              <w:jc w:val="center"/>
              <w:rPr>
                <w:sz w:val="22"/>
                <w:szCs w:val="22"/>
              </w:rPr>
            </w:pPr>
            <w:r w:rsidRPr="00BE5613">
              <w:rPr>
                <w:sz w:val="22"/>
                <w:szCs w:val="22"/>
              </w:rPr>
              <w:t>0.020</w:t>
            </w:r>
          </w:p>
        </w:tc>
        <w:tc>
          <w:tcPr>
            <w:tcW w:w="663" w:type="dxa"/>
            <w:shd w:val="clear" w:color="auto" w:fill="FFFFFF"/>
            <w:vAlign w:val="bottom"/>
          </w:tcPr>
          <w:p w14:paraId="7DCEF8E8" w14:textId="77777777" w:rsidR="00E14A58" w:rsidRPr="00BE5613" w:rsidRDefault="006E0173" w:rsidP="003D4C06">
            <w:pPr>
              <w:jc w:val="center"/>
              <w:rPr>
                <w:sz w:val="22"/>
                <w:szCs w:val="22"/>
              </w:rPr>
            </w:pPr>
            <w:r w:rsidRPr="00BE5613">
              <w:rPr>
                <w:sz w:val="22"/>
                <w:szCs w:val="22"/>
              </w:rPr>
              <w:t>0.017</w:t>
            </w:r>
          </w:p>
        </w:tc>
        <w:tc>
          <w:tcPr>
            <w:tcW w:w="664" w:type="dxa"/>
            <w:shd w:val="clear" w:color="auto" w:fill="FFFFFF"/>
            <w:vAlign w:val="bottom"/>
          </w:tcPr>
          <w:p w14:paraId="082FD931" w14:textId="77777777" w:rsidR="00E14A58" w:rsidRPr="00BE5613" w:rsidRDefault="006E0173" w:rsidP="003D4C06">
            <w:pPr>
              <w:jc w:val="center"/>
              <w:rPr>
                <w:sz w:val="22"/>
                <w:szCs w:val="22"/>
              </w:rPr>
            </w:pPr>
            <w:r w:rsidRPr="00BE5613">
              <w:rPr>
                <w:sz w:val="22"/>
                <w:szCs w:val="22"/>
              </w:rPr>
              <w:t>0.046</w:t>
            </w:r>
          </w:p>
        </w:tc>
        <w:tc>
          <w:tcPr>
            <w:tcW w:w="664" w:type="dxa"/>
            <w:shd w:val="clear" w:color="auto" w:fill="FFFFFF"/>
            <w:vAlign w:val="bottom"/>
          </w:tcPr>
          <w:p w14:paraId="2EABD87C" w14:textId="77777777" w:rsidR="00E14A58" w:rsidRPr="00BE5613" w:rsidRDefault="006E0173" w:rsidP="003D4C06">
            <w:pPr>
              <w:jc w:val="center"/>
              <w:rPr>
                <w:sz w:val="22"/>
                <w:szCs w:val="22"/>
              </w:rPr>
            </w:pPr>
            <w:r w:rsidRPr="00BE5613">
              <w:rPr>
                <w:sz w:val="22"/>
                <w:szCs w:val="22"/>
              </w:rPr>
              <w:t>0.103</w:t>
            </w:r>
          </w:p>
        </w:tc>
        <w:tc>
          <w:tcPr>
            <w:tcW w:w="664" w:type="dxa"/>
            <w:shd w:val="clear" w:color="auto" w:fill="FFFFFF"/>
            <w:vAlign w:val="bottom"/>
          </w:tcPr>
          <w:p w14:paraId="119CE2EB" w14:textId="77777777" w:rsidR="00E14A58" w:rsidRPr="00BE5613" w:rsidRDefault="006E0173" w:rsidP="006E0173">
            <w:pPr>
              <w:rPr>
                <w:sz w:val="22"/>
                <w:szCs w:val="22"/>
              </w:rPr>
            </w:pPr>
            <w:r w:rsidRPr="00BE5613">
              <w:rPr>
                <w:sz w:val="22"/>
                <w:szCs w:val="22"/>
              </w:rPr>
              <w:t>15.307</w:t>
            </w:r>
          </w:p>
        </w:tc>
      </w:tr>
    </w:tbl>
    <w:p w14:paraId="5E447FE6" w14:textId="77777777" w:rsidR="00870654" w:rsidRPr="00BE5613" w:rsidRDefault="006E0173" w:rsidP="006E0173">
      <w:pPr>
        <w:jc w:val="both"/>
        <w:rPr>
          <w:sz w:val="20"/>
          <w:szCs w:val="20"/>
        </w:rPr>
      </w:pPr>
      <w:r w:rsidRPr="00BE5613">
        <w:rPr>
          <w:sz w:val="20"/>
          <w:szCs w:val="20"/>
        </w:rPr>
        <w:t xml:space="preserve">Notes: Bandwidths </w:t>
      </w:r>
      <w:r w:rsidR="007513DC" w:rsidRPr="00BE5613">
        <w:rPr>
          <w:sz w:val="20"/>
          <w:szCs w:val="20"/>
        </w:rPr>
        <w:t>were</w:t>
      </w:r>
      <w:r w:rsidRPr="00BE5613">
        <w:rPr>
          <w:sz w:val="20"/>
          <w:szCs w:val="20"/>
        </w:rPr>
        <w:t xml:space="preserve"> estimated by the cross-validation method developed by Li and Racine (2008) and Li et al. (2013)</w:t>
      </w:r>
      <w:r w:rsidR="007513DC" w:rsidRPr="00BE5613">
        <w:rPr>
          <w:sz w:val="20"/>
          <w:szCs w:val="20"/>
        </w:rPr>
        <w:t>.</w:t>
      </w:r>
    </w:p>
    <w:p w14:paraId="04EB7B4B" w14:textId="77777777" w:rsidR="006E0173" w:rsidRPr="00BE5613" w:rsidRDefault="006E0173" w:rsidP="006E0173">
      <w:pPr>
        <w:jc w:val="both"/>
      </w:pPr>
    </w:p>
    <w:p w14:paraId="58E58C77" w14:textId="77777777" w:rsidR="002D71E9" w:rsidRPr="00BE5613" w:rsidRDefault="002D71E9" w:rsidP="00AA45FA">
      <w:pPr>
        <w:spacing w:line="480" w:lineRule="auto"/>
        <w:ind w:firstLine="567"/>
        <w:jc w:val="both"/>
      </w:pPr>
      <w:r w:rsidRPr="00BE5613">
        <w:t xml:space="preserve">The first-stage results are presented in </w:t>
      </w:r>
      <w:r w:rsidR="005057F4" w:rsidRPr="00BE5613">
        <w:t xml:space="preserve">the </w:t>
      </w:r>
      <w:r w:rsidRPr="00BE5613">
        <w:t xml:space="preserve">summarized form </w:t>
      </w:r>
      <w:r w:rsidR="005057F4" w:rsidRPr="00BE5613">
        <w:t>of</w:t>
      </w:r>
      <w:r w:rsidRPr="00BE5613">
        <w:t xml:space="preserve"> Table </w:t>
      </w:r>
      <w:r w:rsidRPr="00BE5613">
        <w:fldChar w:fldCharType="begin"/>
      </w:r>
      <w:r w:rsidRPr="00BE5613">
        <w:instrText xml:space="preserve"> REF table_scores \h </w:instrText>
      </w:r>
      <w:r w:rsidR="00AA45FA" w:rsidRPr="00BE5613">
        <w:instrText xml:space="preserve"> \* MERGEFORMAT </w:instrText>
      </w:r>
      <w:r w:rsidRPr="00BE5613">
        <w:fldChar w:fldCharType="separate"/>
      </w:r>
      <w:r w:rsidR="00AA45FA" w:rsidRPr="00BE5613">
        <w:t>4</w:t>
      </w:r>
      <w:r w:rsidRPr="00BE5613">
        <w:fldChar w:fldCharType="end"/>
      </w:r>
      <w:r w:rsidR="00DA3DA0" w:rsidRPr="00BE5613">
        <w:t xml:space="preserve">, the results of testing for separability is reported in Table </w:t>
      </w:r>
      <w:r w:rsidR="00DA3DA0" w:rsidRPr="00BE5613">
        <w:fldChar w:fldCharType="begin"/>
      </w:r>
      <w:r w:rsidR="00DA3DA0" w:rsidRPr="00BE5613">
        <w:instrText xml:space="preserve"> REF table_septest \h </w:instrText>
      </w:r>
      <w:r w:rsidR="00AA45FA" w:rsidRPr="00BE5613">
        <w:instrText xml:space="preserve"> \* MERGEFORMAT </w:instrText>
      </w:r>
      <w:r w:rsidR="00DA3DA0" w:rsidRPr="00BE5613">
        <w:fldChar w:fldCharType="separate"/>
      </w:r>
      <w:r w:rsidR="00AA45FA" w:rsidRPr="00BE5613">
        <w:t>5</w:t>
      </w:r>
      <w:r w:rsidR="00DA3DA0" w:rsidRPr="00BE5613">
        <w:fldChar w:fldCharType="end"/>
      </w:r>
      <w:r w:rsidR="005057F4" w:rsidRPr="00BE5613">
        <w:t>,</w:t>
      </w:r>
      <w:r w:rsidRPr="00BE5613">
        <w:t xml:space="preserve"> and some information is transferred to Appendix </w:t>
      </w:r>
      <w:r w:rsidRPr="00BE5613">
        <w:fldChar w:fldCharType="begin"/>
      </w:r>
      <w:r w:rsidRPr="00BE5613">
        <w:instrText xml:space="preserve"> REF appendix_cors \h  \* MERGEFORMAT </w:instrText>
      </w:r>
      <w:r w:rsidRPr="00BE5613">
        <w:fldChar w:fldCharType="separate"/>
      </w:r>
      <w:r w:rsidR="00AA45FA" w:rsidRPr="00BE5613">
        <w:t>B</w:t>
      </w:r>
      <w:r w:rsidRPr="00BE5613">
        <w:fldChar w:fldCharType="end"/>
      </w:r>
      <w:r w:rsidRPr="00BE5613">
        <w:t xml:space="preserve">. </w:t>
      </w:r>
      <w:r w:rsidR="005057F4" w:rsidRPr="00BE5613">
        <w:t xml:space="preserve">Table </w:t>
      </w:r>
      <w:r w:rsidR="005057F4" w:rsidRPr="00BE5613">
        <w:fldChar w:fldCharType="begin"/>
      </w:r>
      <w:r w:rsidR="005057F4" w:rsidRPr="00BE5613">
        <w:instrText xml:space="preserve"> REF table_scores \h </w:instrText>
      </w:r>
      <w:r w:rsidR="00AA45FA" w:rsidRPr="00BE5613">
        <w:instrText xml:space="preserve"> \* MERGEFORMAT </w:instrText>
      </w:r>
      <w:r w:rsidR="005057F4" w:rsidRPr="00BE5613">
        <w:fldChar w:fldCharType="separate"/>
      </w:r>
      <w:r w:rsidR="00AA45FA" w:rsidRPr="00BE5613">
        <w:t>4</w:t>
      </w:r>
      <w:r w:rsidR="005057F4" w:rsidRPr="00BE5613">
        <w:fldChar w:fldCharType="end"/>
      </w:r>
      <w:r w:rsidR="005057F4" w:rsidRPr="00BE5613">
        <w:t xml:space="preserve"> presents and juxtaposes statistical </w:t>
      </w:r>
      <w:proofErr w:type="spellStart"/>
      <w:r w:rsidR="005057F4" w:rsidRPr="00BE5613">
        <w:t>descriptives</w:t>
      </w:r>
      <w:proofErr w:type="spellEnd"/>
      <w:r w:rsidR="005057F4" w:rsidRPr="00BE5613">
        <w:t xml:space="preserve"> for unconditional scores (inclusive of the impact of the operating environment), unconditional scores (hypothetical if the operating environment exerted neutral effects), and UTC ratios. </w:t>
      </w:r>
      <w:r w:rsidR="00DA3DA0" w:rsidRPr="00BE5613">
        <w:t xml:space="preserve">Table </w:t>
      </w:r>
      <w:r w:rsidR="00DA3DA0" w:rsidRPr="00BE5613">
        <w:fldChar w:fldCharType="begin"/>
      </w:r>
      <w:r w:rsidR="00DA3DA0" w:rsidRPr="00BE5613">
        <w:instrText xml:space="preserve"> REF table_septest \h </w:instrText>
      </w:r>
      <w:r w:rsidR="00AA45FA" w:rsidRPr="00BE5613">
        <w:instrText xml:space="preserve"> \* MERGEFORMAT </w:instrText>
      </w:r>
      <w:r w:rsidR="00DA3DA0" w:rsidRPr="00BE5613">
        <w:fldChar w:fldCharType="separate"/>
      </w:r>
      <w:r w:rsidR="00AA45FA" w:rsidRPr="00BE5613">
        <w:t>5</w:t>
      </w:r>
      <w:r w:rsidR="00DA3DA0" w:rsidRPr="00BE5613">
        <w:fldChar w:fldCharType="end"/>
      </w:r>
      <w:r w:rsidR="00DA3DA0" w:rsidRPr="00BE5613">
        <w:t xml:space="preserve"> presents the bootstrap </w:t>
      </w:r>
      <w:r w:rsidR="00DA3DA0" w:rsidRPr="00BE5613">
        <w:lastRenderedPageBreak/>
        <w:t>results</w:t>
      </w:r>
      <w:r w:rsidR="00DD5924" w:rsidRPr="00BE5613">
        <w:t xml:space="preserve"> of the T</w:t>
      </w:r>
      <w:r w:rsidR="00DD5924" w:rsidRPr="00BE5613">
        <w:rPr>
          <w:vertAlign w:val="subscript"/>
        </w:rPr>
        <w:t>1</w:t>
      </w:r>
      <w:r w:rsidR="00DD5924" w:rsidRPr="00BE5613">
        <w:t xml:space="preserve"> and T</w:t>
      </w:r>
      <w:r w:rsidR="00DD5924" w:rsidRPr="00BE5613">
        <w:rPr>
          <w:vertAlign w:val="subscript"/>
        </w:rPr>
        <w:t>2</w:t>
      </w:r>
      <w:r w:rsidR="00DD5924" w:rsidRPr="00BE5613">
        <w:t xml:space="preserve"> separability tests according as the inequality conditions were met. A</w:t>
      </w:r>
      <w:r w:rsidR="005057F4" w:rsidRPr="00BE5613">
        <w:t xml:space="preserve">ppendix </w:t>
      </w:r>
      <w:r w:rsidR="005057F4" w:rsidRPr="00BE5613">
        <w:fldChar w:fldCharType="begin"/>
      </w:r>
      <w:r w:rsidR="005057F4" w:rsidRPr="00BE5613">
        <w:instrText xml:space="preserve"> REF appendix_cors \h  \* MERGEFORMAT </w:instrText>
      </w:r>
      <w:r w:rsidR="005057F4" w:rsidRPr="00BE5613">
        <w:fldChar w:fldCharType="separate"/>
      </w:r>
      <w:r w:rsidR="00AA45FA" w:rsidRPr="00BE5613">
        <w:t>B</w:t>
      </w:r>
      <w:r w:rsidR="005057F4" w:rsidRPr="00BE5613">
        <w:fldChar w:fldCharType="end"/>
      </w:r>
      <w:r w:rsidR="00766BE3" w:rsidRPr="00BE5613">
        <w:t xml:space="preserve"> presents Spearman correlation coefficients between the performance scores and UTC ratios that provide simple measures of congruence or disparity. </w:t>
      </w:r>
      <w:r w:rsidRPr="00BE5613">
        <w:t xml:space="preserve">Whilst for individual municipalities detailed results broken down at the </w:t>
      </w:r>
      <w:r w:rsidR="005057F4" w:rsidRPr="00BE5613">
        <w:t>municipal level</w:t>
      </w:r>
      <w:r w:rsidRPr="00BE5613">
        <w:t xml:space="preserve"> would be of relevance, </w:t>
      </w:r>
      <w:r w:rsidR="005057F4" w:rsidRPr="00BE5613">
        <w:t xml:space="preserve">of concern to this paper are two questions. A first question is whether there are differences in the assessments provided by the four models, each applying a different viewpoint on MW performance. A second question is whether WM performance is </w:t>
      </w:r>
      <w:r w:rsidR="00870654" w:rsidRPr="00BE5613">
        <w:t xml:space="preserve">globally </w:t>
      </w:r>
      <w:r w:rsidR="00DA3DA0" w:rsidRPr="00BE5613">
        <w:t>affected by contextual factors</w:t>
      </w:r>
      <w:r w:rsidR="00D879B2" w:rsidRPr="00BE5613">
        <w:t>, either favo</w:t>
      </w:r>
      <w:r w:rsidR="00870654" w:rsidRPr="00BE5613">
        <w:t>rably or unfavorably.</w:t>
      </w:r>
    </w:p>
    <w:p w14:paraId="794A8F1D" w14:textId="77777777" w:rsidR="00156716" w:rsidRPr="00BE5613" w:rsidRDefault="00645FB2" w:rsidP="00AA45FA">
      <w:pPr>
        <w:spacing w:line="480" w:lineRule="auto"/>
        <w:ind w:firstLine="567"/>
        <w:jc w:val="both"/>
      </w:pPr>
      <w:proofErr w:type="gramStart"/>
      <w:r w:rsidRPr="00BE5613">
        <w:t>First of all</w:t>
      </w:r>
      <w:proofErr w:type="gramEnd"/>
      <w:r w:rsidRPr="00BE5613">
        <w:t xml:space="preserve">, Table </w:t>
      </w:r>
      <w:r w:rsidRPr="00BE5613">
        <w:fldChar w:fldCharType="begin"/>
      </w:r>
      <w:r w:rsidRPr="00BE5613">
        <w:instrText xml:space="preserve"> REF table_septest \h </w:instrText>
      </w:r>
      <w:r w:rsidR="00AA45FA" w:rsidRPr="00BE5613">
        <w:instrText xml:space="preserve"> \* MERGEFORMAT </w:instrText>
      </w:r>
      <w:r w:rsidRPr="00BE5613">
        <w:fldChar w:fldCharType="separate"/>
      </w:r>
      <w:r w:rsidR="00AA45FA" w:rsidRPr="00BE5613">
        <w:t>5</w:t>
      </w:r>
      <w:r w:rsidRPr="00BE5613">
        <w:fldChar w:fldCharType="end"/>
      </w:r>
      <w:r w:rsidRPr="00BE5613">
        <w:t xml:space="preserve"> </w:t>
      </w:r>
      <w:r w:rsidR="00156716" w:rsidRPr="00BE5613">
        <w:t>reveals</w:t>
      </w:r>
      <w:r w:rsidRPr="00BE5613">
        <w:t xml:space="preserve"> that contextual variables in each model are not separable from the production technology and that the operating conditions do affect performance in </w:t>
      </w:r>
      <w:r w:rsidR="00BD5956" w:rsidRPr="00BE5613">
        <w:t>a measurable</w:t>
      </w:r>
      <w:r w:rsidRPr="00BE5613">
        <w:t xml:space="preserve"> sense. </w:t>
      </w:r>
      <w:r w:rsidR="00DA6844" w:rsidRPr="00BE5613">
        <w:t xml:space="preserve">The results argue convincingly </w:t>
      </w:r>
      <w:r w:rsidR="002F69A1" w:rsidRPr="00BE5613">
        <w:t xml:space="preserve">that conditional scores should be examined if </w:t>
      </w:r>
      <w:r w:rsidR="00156716" w:rsidRPr="00BE5613">
        <w:t xml:space="preserve">performance </w:t>
      </w:r>
      <w:r w:rsidR="002F69A1" w:rsidRPr="00BE5613">
        <w:t>is to be</w:t>
      </w:r>
      <w:r w:rsidR="00156716" w:rsidRPr="00BE5613">
        <w:t xml:space="preserve"> </w:t>
      </w:r>
      <w:r w:rsidR="00BD5956" w:rsidRPr="00BE5613">
        <w:t>reviewed</w:t>
      </w:r>
      <w:r w:rsidR="00156716" w:rsidRPr="00BE5613">
        <w:t xml:space="preserve"> </w:t>
      </w:r>
      <w:r w:rsidR="002F69A1" w:rsidRPr="00BE5613">
        <w:t>at</w:t>
      </w:r>
      <w:r w:rsidR="00156716" w:rsidRPr="00BE5613">
        <w:t xml:space="preserve"> the lev</w:t>
      </w:r>
      <w:r w:rsidR="00BD5956" w:rsidRPr="00BE5613">
        <w:t>el of individual municipalities and be fair to them.</w:t>
      </w:r>
      <w:r w:rsidR="00B32E4A" w:rsidRPr="00BE5613">
        <w:t xml:space="preserve"> The relatively large sample of municipalities in this case should assure that the </w:t>
      </w:r>
      <w:proofErr w:type="spellStart"/>
      <w:r w:rsidR="00B32E4A" w:rsidRPr="00BE5613">
        <w:t>asymptotics</w:t>
      </w:r>
      <w:proofErr w:type="spellEnd"/>
      <w:r w:rsidR="00B32E4A" w:rsidRPr="00BE5613">
        <w:t xml:space="preserve"> of these tests is valid.</w:t>
      </w:r>
    </w:p>
    <w:p w14:paraId="3C613C3A" w14:textId="77777777" w:rsidR="00021651" w:rsidRPr="00BE5613" w:rsidRDefault="002D71E9" w:rsidP="00AA45FA">
      <w:pPr>
        <w:spacing w:line="480" w:lineRule="auto"/>
        <w:ind w:firstLine="567"/>
        <w:jc w:val="both"/>
      </w:pPr>
      <w:r w:rsidRPr="00BE5613">
        <w:t xml:space="preserve">Table </w:t>
      </w:r>
      <w:r w:rsidRPr="00BE5613">
        <w:fldChar w:fldCharType="begin"/>
      </w:r>
      <w:r w:rsidRPr="00BE5613">
        <w:instrText xml:space="preserve"> REF table_scores \h </w:instrText>
      </w:r>
      <w:r w:rsidR="00AA45FA" w:rsidRPr="00BE5613">
        <w:instrText xml:space="preserve"> \* MERGEFORMAT </w:instrText>
      </w:r>
      <w:r w:rsidRPr="00BE5613">
        <w:fldChar w:fldCharType="separate"/>
      </w:r>
      <w:r w:rsidR="00AA45FA" w:rsidRPr="00BE5613">
        <w:t>4</w:t>
      </w:r>
      <w:r w:rsidRPr="00BE5613">
        <w:fldChar w:fldCharType="end"/>
      </w:r>
      <w:r w:rsidRPr="00BE5613">
        <w:t xml:space="preserve"> </w:t>
      </w:r>
      <w:r w:rsidR="00156716" w:rsidRPr="00BE5613">
        <w:t>confirms</w:t>
      </w:r>
      <w:r w:rsidR="00870654" w:rsidRPr="00BE5613">
        <w:t xml:space="preserve"> clearly that</w:t>
      </w:r>
      <w:r w:rsidR="00FF2109" w:rsidRPr="00BE5613">
        <w:t xml:space="preserve"> partial frontiers should be preferred over full frontiers, and that </w:t>
      </w:r>
      <w:r w:rsidR="00870654" w:rsidRPr="00BE5613">
        <w:t xml:space="preserve">there are differences </w:t>
      </w:r>
      <w:r w:rsidR="00E81256" w:rsidRPr="00BE5613">
        <w:t xml:space="preserve">across </w:t>
      </w:r>
      <w:r w:rsidR="00B1472E" w:rsidRPr="00BE5613">
        <w:t xml:space="preserve">the perception of </w:t>
      </w:r>
      <w:r w:rsidR="00E81256" w:rsidRPr="00BE5613">
        <w:t>MW performance by</w:t>
      </w:r>
      <w:r w:rsidR="00870654" w:rsidRPr="00BE5613">
        <w:t xml:space="preserve"> the models. A</w:t>
      </w:r>
      <w:r w:rsidR="00FF2109" w:rsidRPr="00BE5613">
        <w:t>s to the first point, the number of fully p</w:t>
      </w:r>
      <w:r w:rsidR="006C7FCF" w:rsidRPr="00BE5613">
        <w:t>erforming municipalities with unit</w:t>
      </w:r>
      <w:r w:rsidR="00B1472E" w:rsidRPr="00BE5613">
        <w:t xml:space="preserve"> </w:t>
      </w:r>
      <w:r w:rsidR="00FF2109" w:rsidRPr="00BE5613">
        <w:t>conditional score</w:t>
      </w:r>
      <w:r w:rsidR="006C7FCF" w:rsidRPr="00BE5613">
        <w:t>s</w:t>
      </w:r>
      <w:r w:rsidR="00FF2109" w:rsidRPr="00BE5613">
        <w:t xml:space="preserve"> is</w:t>
      </w:r>
      <w:r w:rsidR="006C7FCF" w:rsidRPr="00BE5613">
        <w:t xml:space="preserve"> high</w:t>
      </w:r>
      <w:r w:rsidR="00FE1075" w:rsidRPr="00BE5613">
        <w:t xml:space="preserve"> for </w:t>
      </w:r>
      <w:r w:rsidR="00B1472E" w:rsidRPr="00BE5613">
        <w:t xml:space="preserve">each model </w:t>
      </w:r>
      <w:proofErr w:type="gramStart"/>
      <w:r w:rsidR="00B1472E" w:rsidRPr="00BE5613">
        <w:t>definitely with</w:t>
      </w:r>
      <w:proofErr w:type="gramEnd"/>
      <w:r w:rsidR="00FE1075" w:rsidRPr="00BE5613">
        <w:t xml:space="preserve"> full frontiers</w:t>
      </w:r>
      <w:r w:rsidR="00B1472E" w:rsidRPr="00BE5613">
        <w:t xml:space="preserve"> and also to some degree for Models II and IV with partial frontiers.</w:t>
      </w:r>
      <w:r w:rsidR="00FE1075" w:rsidRPr="00BE5613">
        <w:t xml:space="preserve"> These situations are attributable to low discriminatory power, which </w:t>
      </w:r>
      <w:r w:rsidR="00E81256" w:rsidRPr="00BE5613">
        <w:t>may happen</w:t>
      </w:r>
      <w:r w:rsidR="00FF2109" w:rsidRPr="00BE5613">
        <w:t xml:space="preserve"> </w:t>
      </w:r>
      <w:r w:rsidR="00E81256" w:rsidRPr="00BE5613">
        <w:t>for various</w:t>
      </w:r>
      <w:r w:rsidR="00FF2109" w:rsidRPr="00BE5613">
        <w:t xml:space="preserve"> </w:t>
      </w:r>
      <w:r w:rsidR="00E81256" w:rsidRPr="00BE5613">
        <w:t>reasons</w:t>
      </w:r>
      <w:r w:rsidR="00FE1075" w:rsidRPr="00BE5613">
        <w:t xml:space="preserve"> </w:t>
      </w:r>
      <w:r w:rsidR="00FF2109" w:rsidRPr="00BE5613">
        <w:t>(</w:t>
      </w:r>
      <w:r w:rsidR="00E81256" w:rsidRPr="00BE5613">
        <w:t xml:space="preserve">e.g., </w:t>
      </w:r>
      <w:r w:rsidR="00FE1075" w:rsidRPr="00BE5613">
        <w:t xml:space="preserve">Simar, 2003; </w:t>
      </w:r>
      <w:proofErr w:type="spellStart"/>
      <w:r w:rsidR="00E81256" w:rsidRPr="00BE5613">
        <w:t>Podinovski</w:t>
      </w:r>
      <w:proofErr w:type="spellEnd"/>
      <w:r w:rsidR="00E81256" w:rsidRPr="00BE5613">
        <w:t xml:space="preserve"> and </w:t>
      </w:r>
      <w:proofErr w:type="spellStart"/>
      <w:r w:rsidR="00E81256" w:rsidRPr="00BE5613">
        <w:t>Thanassoulis</w:t>
      </w:r>
      <w:proofErr w:type="spellEnd"/>
      <w:r w:rsidR="00E81256" w:rsidRPr="00BE5613">
        <w:t>, 2007</w:t>
      </w:r>
      <w:r w:rsidR="00FE1075" w:rsidRPr="00BE5613">
        <w:t xml:space="preserve">), and </w:t>
      </w:r>
      <w:r w:rsidR="00140E72" w:rsidRPr="00BE5613">
        <w:t xml:space="preserve">it is </w:t>
      </w:r>
      <w:r w:rsidR="00FE1075" w:rsidRPr="00BE5613">
        <w:t>especially conditional scores</w:t>
      </w:r>
      <w:r w:rsidR="00140E72" w:rsidRPr="00BE5613">
        <w:t xml:space="preserve"> that</w:t>
      </w:r>
      <w:r w:rsidR="00FE1075" w:rsidRPr="00BE5613">
        <w:t xml:space="preserve"> are plagued by this property of DEA.</w:t>
      </w:r>
      <w:r w:rsidR="00140E72" w:rsidRPr="00BE5613">
        <w:t xml:space="preserve"> Furthermore</w:t>
      </w:r>
      <w:r w:rsidR="00FF2109" w:rsidRPr="00BE5613">
        <w:t>, with partial frontiers there are numerous super-efficient municipalities with scores greater than 1</w:t>
      </w:r>
      <w:r w:rsidR="00645FB2" w:rsidRPr="00BE5613">
        <w:t>, which yet provide a better ranking in terms of performance</w:t>
      </w:r>
      <w:r w:rsidR="00851A8B" w:rsidRPr="00BE5613">
        <w:t xml:space="preserve"> for the second stage as </w:t>
      </w:r>
      <w:r w:rsidR="004E71E4" w:rsidRPr="00BE5613">
        <w:t>they differentiate</w:t>
      </w:r>
      <w:r w:rsidR="00851A8B" w:rsidRPr="00BE5613">
        <w:t xml:space="preserve"> municipalities that would otherwise receive a unit score</w:t>
      </w:r>
      <w:r w:rsidR="00645FB2" w:rsidRPr="00BE5613">
        <w:t xml:space="preserve">. </w:t>
      </w:r>
      <w:r w:rsidR="00B1472E" w:rsidRPr="00BE5613">
        <w:t xml:space="preserve">All these are </w:t>
      </w:r>
      <w:proofErr w:type="spellStart"/>
      <w:r w:rsidR="00B1472E" w:rsidRPr="00BE5613">
        <w:t>unmistakeable</w:t>
      </w:r>
      <w:proofErr w:type="spellEnd"/>
      <w:r w:rsidR="00B1472E" w:rsidRPr="00BE5613">
        <w:t xml:space="preserve"> signs of </w:t>
      </w:r>
      <w:r w:rsidR="005C0865" w:rsidRPr="00BE5613">
        <w:t>lesser robustness of full frontiers (</w:t>
      </w:r>
      <w:proofErr w:type="gramStart"/>
      <w:r w:rsidR="005C0865" w:rsidRPr="00BE5613">
        <w:t>i.e.</w:t>
      </w:r>
      <w:proofErr w:type="gramEnd"/>
      <w:r w:rsidR="005C0865" w:rsidRPr="00BE5613">
        <w:t xml:space="preserve"> traditional full-sample DEA). </w:t>
      </w:r>
      <w:r w:rsidR="00140E72" w:rsidRPr="00BE5613">
        <w:lastRenderedPageBreak/>
        <w:t xml:space="preserve">Nonetheless, for Model IV there is a high incidence of unit conditional scores with partial frontiers, which is obviously a structural </w:t>
      </w:r>
      <w:r w:rsidR="00021651" w:rsidRPr="00BE5613">
        <w:t>legacy</w:t>
      </w:r>
      <w:r w:rsidR="00140E72" w:rsidRPr="00BE5613">
        <w:t xml:space="preserve"> of its chosen input-output set. Regarding </w:t>
      </w:r>
      <w:r w:rsidR="00B1472E" w:rsidRPr="00BE5613">
        <w:t xml:space="preserve">the </w:t>
      </w:r>
      <w:r w:rsidR="00140E72" w:rsidRPr="00BE5613">
        <w:t xml:space="preserve">second point and for partial frontiers, </w:t>
      </w:r>
      <w:r w:rsidR="00021651" w:rsidRPr="00BE5613">
        <w:t xml:space="preserve">there are some regularities manifested in </w:t>
      </w:r>
      <w:r w:rsidR="00FA7E85" w:rsidRPr="00BE5613">
        <w:t>scores</w:t>
      </w:r>
      <w:r w:rsidR="007C2213" w:rsidRPr="00BE5613">
        <w:t xml:space="preserve"> and</w:t>
      </w:r>
      <w:r w:rsidR="00FA7E85" w:rsidRPr="00BE5613">
        <w:t xml:space="preserve"> </w:t>
      </w:r>
      <w:r w:rsidR="007C2213" w:rsidRPr="00BE5613">
        <w:t xml:space="preserve">UTC ratios, which are </w:t>
      </w:r>
      <w:r w:rsidR="00021651" w:rsidRPr="00BE5613">
        <w:t xml:space="preserve">discernible in </w:t>
      </w:r>
      <w:r w:rsidR="00140E72" w:rsidRPr="00BE5613">
        <w:t>the</w:t>
      </w:r>
      <w:r w:rsidR="00021651" w:rsidRPr="00BE5613">
        <w:t>ir</w:t>
      </w:r>
      <w:r w:rsidR="00140E72" w:rsidRPr="00BE5613">
        <w:t xml:space="preserve"> distribution </w:t>
      </w:r>
      <w:r w:rsidR="00021651" w:rsidRPr="00BE5613">
        <w:t>(</w:t>
      </w:r>
      <w:r w:rsidR="00140E72" w:rsidRPr="00BE5613">
        <w:t>reflected especially in mean</w:t>
      </w:r>
      <w:r w:rsidR="00021651" w:rsidRPr="00BE5613">
        <w:t>s</w:t>
      </w:r>
      <w:r w:rsidR="00140E72" w:rsidRPr="00BE5613">
        <w:t xml:space="preserve">, </w:t>
      </w:r>
      <w:proofErr w:type="gramStart"/>
      <w:r w:rsidR="00140E72" w:rsidRPr="00BE5613">
        <w:t>median</w:t>
      </w:r>
      <w:r w:rsidR="00021651" w:rsidRPr="00BE5613">
        <w:t>s</w:t>
      </w:r>
      <w:proofErr w:type="gramEnd"/>
      <w:r w:rsidR="00140E72" w:rsidRPr="00BE5613">
        <w:t xml:space="preserve"> and range</w:t>
      </w:r>
      <w:r w:rsidR="00021651" w:rsidRPr="00BE5613">
        <w:t>s</w:t>
      </w:r>
      <w:r w:rsidR="00140E72" w:rsidRPr="00BE5613">
        <w:t>)</w:t>
      </w:r>
      <w:r w:rsidR="00021651" w:rsidRPr="00BE5613">
        <w:t xml:space="preserve">. </w:t>
      </w:r>
      <w:r w:rsidR="007C2213" w:rsidRPr="00BE5613">
        <w:t>The main finding is that, i</w:t>
      </w:r>
      <w:r w:rsidR="00021651" w:rsidRPr="00BE5613">
        <w:t>n general, local operating conditions of municipalities are conducive to MW performance granted that this is perceived through the prism of Models I and II</w:t>
      </w:r>
      <w:r w:rsidR="004E71E4" w:rsidRPr="00BE5613">
        <w:t xml:space="preserve"> (UTC ratios smaller than 1)</w:t>
      </w:r>
      <w:r w:rsidR="00021651" w:rsidRPr="00BE5613">
        <w:t xml:space="preserve">. </w:t>
      </w:r>
      <w:r w:rsidR="007C2213" w:rsidRPr="00BE5613">
        <w:t>Vice versa</w:t>
      </w:r>
      <w:r w:rsidR="00021651" w:rsidRPr="00BE5613">
        <w:t>, operating conditions are found detrimental to performance under Models III and IV</w:t>
      </w:r>
      <w:r w:rsidR="004E71E4" w:rsidRPr="00BE5613">
        <w:t xml:space="preserve"> (UTC ratios gr</w:t>
      </w:r>
      <w:r w:rsidR="00A6721A" w:rsidRPr="00BE5613">
        <w:t>e</w:t>
      </w:r>
      <w:r w:rsidR="004E71E4" w:rsidRPr="00BE5613">
        <w:t>ater than 1)</w:t>
      </w:r>
      <w:r w:rsidR="00021651" w:rsidRPr="00BE5613">
        <w:t xml:space="preserve">. In respect of the economic interpretation of the models explained in and around Table </w:t>
      </w:r>
      <w:r w:rsidR="00021651" w:rsidRPr="00BE5613">
        <w:fldChar w:fldCharType="begin"/>
      </w:r>
      <w:r w:rsidR="00021651" w:rsidRPr="00BE5613">
        <w:instrText xml:space="preserve"> REF table_inputoutupt_specs \h  \* MERGEFORMAT </w:instrText>
      </w:r>
      <w:r w:rsidR="00021651" w:rsidRPr="00BE5613">
        <w:fldChar w:fldCharType="separate"/>
      </w:r>
      <w:r w:rsidR="00AA45FA" w:rsidRPr="00BE5613">
        <w:t>1</w:t>
      </w:r>
      <w:r w:rsidR="00021651" w:rsidRPr="00BE5613">
        <w:fldChar w:fldCharType="end"/>
      </w:r>
      <w:r w:rsidR="00021651" w:rsidRPr="00BE5613">
        <w:t>, this pattern</w:t>
      </w:r>
      <w:r w:rsidR="00BE5D2E" w:rsidRPr="00BE5613">
        <w:t xml:space="preserve"> has these two implications:</w:t>
      </w:r>
    </w:p>
    <w:p w14:paraId="79505E19" w14:textId="77777777" w:rsidR="00BE5D2E" w:rsidRPr="00BE5613" w:rsidRDefault="00021651" w:rsidP="00AA45FA">
      <w:pPr>
        <w:numPr>
          <w:ilvl w:val="0"/>
          <w:numId w:val="12"/>
        </w:numPr>
        <w:spacing w:line="480" w:lineRule="auto"/>
        <w:jc w:val="both"/>
      </w:pPr>
      <w:r w:rsidRPr="00BE5613">
        <w:t xml:space="preserve">(Models I and II) </w:t>
      </w:r>
      <w:r w:rsidR="00BE5D2E" w:rsidRPr="00BE5613">
        <w:t>An average C</w:t>
      </w:r>
      <w:r w:rsidRPr="00BE5613">
        <w:t>zech municipalit</w:t>
      </w:r>
      <w:r w:rsidR="00BE5D2E" w:rsidRPr="00BE5613">
        <w:t>y</w:t>
      </w:r>
      <w:r w:rsidRPr="00BE5613">
        <w:t xml:space="preserve"> benefit</w:t>
      </w:r>
      <w:r w:rsidR="00BE5D2E" w:rsidRPr="00BE5613">
        <w:t>s</w:t>
      </w:r>
      <w:r w:rsidRPr="00BE5613">
        <w:t xml:space="preserve"> from </w:t>
      </w:r>
      <w:r w:rsidR="00BE5D2E" w:rsidRPr="00BE5613">
        <w:t xml:space="preserve">the adopted organization of MW service (contextual variables z1 – z9) and urban factors (contextual variables z10 – z12) in minimizing its expenditure whilst providing MW service to its citizens. Since urban factors such as land-use structure or population density are outside actual control, </w:t>
      </w:r>
      <w:r w:rsidR="00FA7E85" w:rsidRPr="00BE5613">
        <w:t xml:space="preserve">Czech municipalities </w:t>
      </w:r>
      <w:r w:rsidR="00EC576E" w:rsidRPr="00BE5613">
        <w:t>seem to exploit</w:t>
      </w:r>
      <w:r w:rsidR="007C2213" w:rsidRPr="00BE5613">
        <w:t xml:space="preserve"> </w:t>
      </w:r>
      <w:r w:rsidR="00FA7E85" w:rsidRPr="00BE5613">
        <w:t xml:space="preserve">organizational factors of waste collection in securing MW service </w:t>
      </w:r>
      <w:r w:rsidR="00EC576E" w:rsidRPr="00BE5613">
        <w:t>(</w:t>
      </w:r>
      <w:r w:rsidR="00FA7E85" w:rsidRPr="00BE5613">
        <w:t>assigned and prescribed by law</w:t>
      </w:r>
      <w:r w:rsidR="00EC576E" w:rsidRPr="00BE5613">
        <w:t>)</w:t>
      </w:r>
      <w:r w:rsidR="00FA7E85" w:rsidRPr="00BE5613">
        <w:t xml:space="preserve"> at a minimum of expenditure. </w:t>
      </w:r>
      <w:r w:rsidR="00EC576E" w:rsidRPr="00BE5613">
        <w:t>In addition, as the chief distinction between Models I and II is waste separation, an average Czech municipality worsens in MW performance when waste separation is added as an</w:t>
      </w:r>
      <w:r w:rsidR="003F7737" w:rsidRPr="00BE5613">
        <w:t>other</w:t>
      </w:r>
      <w:r w:rsidR="00EC576E" w:rsidRPr="00BE5613">
        <w:t xml:space="preserve"> criterion (average </w:t>
      </w:r>
      <w:r w:rsidR="009B6D59" w:rsidRPr="00BE5613">
        <w:t>un</w:t>
      </w:r>
      <w:r w:rsidR="00EC576E" w:rsidRPr="00BE5613">
        <w:t xml:space="preserve">conditional score 0.544 for Model II v. 0.677 for Model </w:t>
      </w:r>
      <w:r w:rsidR="003F7737" w:rsidRPr="00BE5613">
        <w:t>I</w:t>
      </w:r>
      <w:r w:rsidR="00EC576E" w:rsidRPr="00BE5613">
        <w:t>)</w:t>
      </w:r>
      <w:r w:rsidR="003F7737" w:rsidRPr="00BE5613">
        <w:t xml:space="preserve">, but it certainly enjoys favorable organizational and urban conditions (average UTC ratio 0.753 for Model II v. 0.566 for Model I). </w:t>
      </w:r>
    </w:p>
    <w:p w14:paraId="1B36EDE7" w14:textId="77777777" w:rsidR="003F7737" w:rsidRPr="00BE5613" w:rsidRDefault="00EF4CB7" w:rsidP="00AA45FA">
      <w:pPr>
        <w:numPr>
          <w:ilvl w:val="0"/>
          <w:numId w:val="12"/>
        </w:numPr>
        <w:spacing w:line="480" w:lineRule="auto"/>
        <w:jc w:val="both"/>
      </w:pPr>
      <w:r w:rsidRPr="00BE5613">
        <w:t>(Models III and IV) Discretionary o</w:t>
      </w:r>
      <w:r w:rsidR="003F7737" w:rsidRPr="00BE5613">
        <w:t>rganizational conditions (contextual variables z1 – z9) and urban factors (contextual variables z10 – z12) are to the detriment of an average Czech municipality</w:t>
      </w:r>
      <w:r w:rsidRPr="00BE5613">
        <w:t xml:space="preserve"> in maximizing waste separation. The second stage later separates the role of organizational and urban factors. Nonetheless, as Models III and IV differ in the </w:t>
      </w:r>
      <w:r w:rsidRPr="00BE5613">
        <w:lastRenderedPageBreak/>
        <w:t xml:space="preserve">qualification of inputs, it is obvious that an average Czech municipality performs better in waste separation relative to its expenditure on MW service than relative to </w:t>
      </w:r>
      <w:r w:rsidR="009B6D59" w:rsidRPr="00BE5613">
        <w:t xml:space="preserve">criteria of potential demand represented by population, built-up area, </w:t>
      </w:r>
      <w:r w:rsidR="00A6721A" w:rsidRPr="00BE5613">
        <w:t>housing units</w:t>
      </w:r>
      <w:r w:rsidR="009B6D59" w:rsidRPr="00BE5613">
        <w:t xml:space="preserve"> (average unconditional score 1.419 for Model III v. 0.730 for Model IV), and this appraisal is negligibly affected by operating conditions (average UTC ratio 1.442 for Model III v. 1.392 for Model I).</w:t>
      </w:r>
    </w:p>
    <w:p w14:paraId="25518479" w14:textId="77777777" w:rsidR="009B6D59" w:rsidRPr="00BE5613" w:rsidRDefault="00EF4CB7" w:rsidP="00AA45FA">
      <w:pPr>
        <w:spacing w:line="480" w:lineRule="auto"/>
        <w:jc w:val="both"/>
      </w:pPr>
      <w:r w:rsidRPr="00BE5613">
        <w:t>Simply spea</w:t>
      </w:r>
      <w:r w:rsidR="009B6D59" w:rsidRPr="00BE5613">
        <w:t>king, waste separation is not a</w:t>
      </w:r>
      <w:r w:rsidRPr="00BE5613">
        <w:t xml:space="preserve"> </w:t>
      </w:r>
      <w:r w:rsidR="009B6D59" w:rsidRPr="00BE5613">
        <w:t xml:space="preserve">singularly strong point of Czech municipalities, but they </w:t>
      </w:r>
      <w:r w:rsidR="003E3C25" w:rsidRPr="00BE5613">
        <w:t>stand out</w:t>
      </w:r>
      <w:r w:rsidR="009B6D59" w:rsidRPr="00BE5613">
        <w:t xml:space="preserve"> in </w:t>
      </w:r>
      <w:r w:rsidR="001E7AE5" w:rsidRPr="00BE5613">
        <w:t>configuring</w:t>
      </w:r>
      <w:r w:rsidR="009B6D59" w:rsidRPr="00BE5613">
        <w:t xml:space="preserve"> </w:t>
      </w:r>
      <w:r w:rsidR="001E7AE5" w:rsidRPr="00BE5613">
        <w:t xml:space="preserve">and organizing </w:t>
      </w:r>
      <w:r w:rsidR="009B6D59" w:rsidRPr="00BE5613">
        <w:t xml:space="preserve">waste collection to minimize </w:t>
      </w:r>
      <w:r w:rsidR="001E7AE5" w:rsidRPr="00BE5613">
        <w:t>their expenditure on MW service.</w:t>
      </w:r>
      <w:r w:rsidR="009B6D59" w:rsidRPr="00BE5613">
        <w:t xml:space="preserve"> </w:t>
      </w:r>
    </w:p>
    <w:p w14:paraId="4353C95C" w14:textId="77777777" w:rsidR="006E0173" w:rsidRPr="00BE5613" w:rsidRDefault="006E0173" w:rsidP="006E0173">
      <w:pPr>
        <w:jc w:val="both"/>
      </w:pPr>
      <w:r w:rsidRPr="00BE5613">
        <w:t xml:space="preserve">Table </w:t>
      </w:r>
      <w:bookmarkStart w:id="10" w:name="table_scores"/>
      <w:r w:rsidRPr="00BE5613">
        <w:fldChar w:fldCharType="begin"/>
      </w:r>
      <w:r w:rsidRPr="00BE5613">
        <w:instrText xml:space="preserve"> SEQ Table \* ARABIC </w:instrText>
      </w:r>
      <w:r w:rsidRPr="00BE5613">
        <w:fldChar w:fldCharType="separate"/>
      </w:r>
      <w:r w:rsidR="00AA45FA" w:rsidRPr="00BE5613">
        <w:rPr>
          <w:noProof/>
        </w:rPr>
        <w:t>4</w:t>
      </w:r>
      <w:r w:rsidRPr="00BE5613">
        <w:fldChar w:fldCharType="end"/>
      </w:r>
      <w:bookmarkEnd w:id="10"/>
      <w:r w:rsidRPr="00BE5613">
        <w:t>: Descriptive statistics of conditional and unconditional performance scores and UTC ratios yielded by different input-output specifications and frontier delineations</w:t>
      </w:r>
    </w:p>
    <w:tbl>
      <w:tblPr>
        <w:tblW w:w="9127" w:type="dxa"/>
        <w:tblBorders>
          <w:top w:val="single" w:sz="4" w:space="0" w:color="auto"/>
          <w:bottom w:val="single" w:sz="4" w:space="0" w:color="auto"/>
          <w:insideH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3147"/>
        <w:gridCol w:w="996"/>
        <w:gridCol w:w="997"/>
        <w:gridCol w:w="997"/>
        <w:gridCol w:w="996"/>
        <w:gridCol w:w="997"/>
        <w:gridCol w:w="997"/>
      </w:tblGrid>
      <w:tr w:rsidR="006E0173" w:rsidRPr="00BE5613" w14:paraId="2FB89A7E" w14:textId="77777777">
        <w:trPr>
          <w:trHeight w:val="448"/>
        </w:trPr>
        <w:tc>
          <w:tcPr>
            <w:tcW w:w="3147" w:type="dxa"/>
            <w:tcBorders>
              <w:bottom w:val="single" w:sz="4" w:space="0" w:color="auto"/>
            </w:tcBorders>
            <w:shd w:val="clear" w:color="auto" w:fill="FFFFFF"/>
            <w:vAlign w:val="center"/>
          </w:tcPr>
          <w:p w14:paraId="00609921" w14:textId="77777777" w:rsidR="006E0173" w:rsidRPr="00BE5613" w:rsidRDefault="006E0173" w:rsidP="003D4C06">
            <w:pPr>
              <w:jc w:val="center"/>
              <w:rPr>
                <w:b/>
                <w:sz w:val="22"/>
                <w:szCs w:val="22"/>
              </w:rPr>
            </w:pPr>
          </w:p>
        </w:tc>
        <w:tc>
          <w:tcPr>
            <w:tcW w:w="996" w:type="dxa"/>
            <w:tcBorders>
              <w:bottom w:val="single" w:sz="4" w:space="0" w:color="auto"/>
              <w:right w:val="nil"/>
            </w:tcBorders>
            <w:shd w:val="clear" w:color="auto" w:fill="FFFFFF"/>
            <w:vAlign w:val="center"/>
          </w:tcPr>
          <w:p w14:paraId="14DF3E23" w14:textId="77777777" w:rsidR="006E0173" w:rsidRPr="00BE5613" w:rsidRDefault="006E0173" w:rsidP="003D4C06">
            <w:pPr>
              <w:jc w:val="center"/>
              <w:rPr>
                <w:sz w:val="22"/>
                <w:szCs w:val="22"/>
              </w:rPr>
            </w:pPr>
            <w:r w:rsidRPr="00BE5613">
              <w:rPr>
                <w:sz w:val="22"/>
                <w:szCs w:val="22"/>
              </w:rPr>
              <w:t>Mean</w:t>
            </w:r>
          </w:p>
        </w:tc>
        <w:tc>
          <w:tcPr>
            <w:tcW w:w="997" w:type="dxa"/>
            <w:tcBorders>
              <w:left w:val="nil"/>
              <w:bottom w:val="single" w:sz="4" w:space="0" w:color="auto"/>
              <w:right w:val="nil"/>
            </w:tcBorders>
            <w:shd w:val="clear" w:color="auto" w:fill="FFFFFF"/>
            <w:vAlign w:val="center"/>
          </w:tcPr>
          <w:p w14:paraId="535F9291" w14:textId="77777777" w:rsidR="006E0173" w:rsidRPr="00BE5613" w:rsidRDefault="006E0173" w:rsidP="003D4C06">
            <w:pPr>
              <w:jc w:val="center"/>
              <w:rPr>
                <w:sz w:val="22"/>
                <w:szCs w:val="22"/>
              </w:rPr>
            </w:pPr>
            <w:r w:rsidRPr="00BE5613">
              <w:rPr>
                <w:sz w:val="22"/>
                <w:szCs w:val="22"/>
              </w:rPr>
              <w:t>Standard deviation</w:t>
            </w:r>
          </w:p>
        </w:tc>
        <w:tc>
          <w:tcPr>
            <w:tcW w:w="997" w:type="dxa"/>
            <w:tcBorders>
              <w:left w:val="nil"/>
              <w:bottom w:val="single" w:sz="4" w:space="0" w:color="auto"/>
              <w:right w:val="nil"/>
            </w:tcBorders>
            <w:shd w:val="clear" w:color="auto" w:fill="FFFFFF"/>
            <w:vAlign w:val="center"/>
          </w:tcPr>
          <w:p w14:paraId="1486A252" w14:textId="77777777" w:rsidR="006E0173" w:rsidRPr="00BE5613" w:rsidRDefault="006E0173" w:rsidP="003D4C06">
            <w:pPr>
              <w:jc w:val="center"/>
              <w:rPr>
                <w:sz w:val="22"/>
                <w:szCs w:val="22"/>
              </w:rPr>
            </w:pPr>
            <w:r w:rsidRPr="00BE5613">
              <w:rPr>
                <w:sz w:val="22"/>
                <w:szCs w:val="22"/>
              </w:rPr>
              <w:t>Median</w:t>
            </w:r>
          </w:p>
        </w:tc>
        <w:tc>
          <w:tcPr>
            <w:tcW w:w="996" w:type="dxa"/>
            <w:tcBorders>
              <w:left w:val="nil"/>
              <w:bottom w:val="single" w:sz="4" w:space="0" w:color="auto"/>
            </w:tcBorders>
            <w:shd w:val="clear" w:color="auto" w:fill="FFFFFF"/>
            <w:vAlign w:val="center"/>
          </w:tcPr>
          <w:p w14:paraId="0C0DE115" w14:textId="77777777" w:rsidR="006E0173" w:rsidRPr="00BE5613" w:rsidRDefault="006E0173" w:rsidP="003D4C06">
            <w:pPr>
              <w:jc w:val="center"/>
              <w:rPr>
                <w:sz w:val="22"/>
                <w:szCs w:val="22"/>
              </w:rPr>
            </w:pPr>
            <w:r w:rsidRPr="00BE5613">
              <w:rPr>
                <w:sz w:val="22"/>
                <w:szCs w:val="22"/>
              </w:rPr>
              <w:t>Minimum</w:t>
            </w:r>
          </w:p>
        </w:tc>
        <w:tc>
          <w:tcPr>
            <w:tcW w:w="997" w:type="dxa"/>
            <w:tcBorders>
              <w:bottom w:val="single" w:sz="4" w:space="0" w:color="auto"/>
            </w:tcBorders>
            <w:shd w:val="clear" w:color="auto" w:fill="FFFFFF"/>
            <w:vAlign w:val="center"/>
          </w:tcPr>
          <w:p w14:paraId="0B80AC70" w14:textId="77777777" w:rsidR="006E0173" w:rsidRPr="00BE5613" w:rsidRDefault="006E0173" w:rsidP="003D4C06">
            <w:pPr>
              <w:jc w:val="center"/>
              <w:rPr>
                <w:sz w:val="22"/>
                <w:szCs w:val="22"/>
              </w:rPr>
            </w:pPr>
            <w:r w:rsidRPr="00BE5613">
              <w:rPr>
                <w:sz w:val="22"/>
                <w:szCs w:val="22"/>
              </w:rPr>
              <w:t>Maximum</w:t>
            </w:r>
          </w:p>
        </w:tc>
        <w:tc>
          <w:tcPr>
            <w:tcW w:w="997" w:type="dxa"/>
            <w:tcBorders>
              <w:bottom w:val="single" w:sz="4" w:space="0" w:color="auto"/>
            </w:tcBorders>
            <w:shd w:val="clear" w:color="auto" w:fill="FFFFFF"/>
            <w:vAlign w:val="center"/>
          </w:tcPr>
          <w:p w14:paraId="6263F4F1" w14:textId="77777777" w:rsidR="006E0173" w:rsidRPr="00BE5613" w:rsidRDefault="006E0173" w:rsidP="003D4C06">
            <w:pPr>
              <w:jc w:val="center"/>
              <w:rPr>
                <w:sz w:val="22"/>
                <w:szCs w:val="22"/>
              </w:rPr>
            </w:pPr>
            <w:r w:rsidRPr="00BE5613">
              <w:rPr>
                <w:sz w:val="22"/>
                <w:szCs w:val="22"/>
              </w:rPr>
              <w:t xml:space="preserve"># </w:t>
            </w:r>
            <w:proofErr w:type="gramStart"/>
            <w:r w:rsidRPr="00BE5613">
              <w:rPr>
                <w:sz w:val="22"/>
                <w:szCs w:val="22"/>
              </w:rPr>
              <w:t>of</w:t>
            </w:r>
            <w:proofErr w:type="gramEnd"/>
            <w:r w:rsidRPr="00BE5613">
              <w:rPr>
                <w:sz w:val="22"/>
                <w:szCs w:val="22"/>
              </w:rPr>
              <w:t xml:space="preserve"> unit cases</w:t>
            </w:r>
          </w:p>
        </w:tc>
      </w:tr>
      <w:tr w:rsidR="006E0173" w:rsidRPr="00BE5613" w14:paraId="31AA18BE" w14:textId="77777777">
        <w:trPr>
          <w:trHeight w:val="41"/>
        </w:trPr>
        <w:tc>
          <w:tcPr>
            <w:tcW w:w="3147" w:type="dxa"/>
            <w:tcBorders>
              <w:bottom w:val="nil"/>
            </w:tcBorders>
            <w:shd w:val="clear" w:color="auto" w:fill="E6E6E6"/>
            <w:vAlign w:val="center"/>
          </w:tcPr>
          <w:p w14:paraId="580B9E8D" w14:textId="77777777" w:rsidR="006E0173" w:rsidRPr="00BE5613" w:rsidRDefault="006E0173" w:rsidP="003D4C06">
            <w:pPr>
              <w:ind w:left="142" w:right="255"/>
              <w:rPr>
                <w:sz w:val="22"/>
                <w:szCs w:val="22"/>
              </w:rPr>
            </w:pPr>
            <w:r w:rsidRPr="00BE5613">
              <w:rPr>
                <w:sz w:val="22"/>
                <w:szCs w:val="22"/>
              </w:rPr>
              <w:t>Model I</w:t>
            </w:r>
          </w:p>
        </w:tc>
        <w:tc>
          <w:tcPr>
            <w:tcW w:w="996" w:type="dxa"/>
            <w:tcBorders>
              <w:bottom w:val="nil"/>
              <w:right w:val="nil"/>
            </w:tcBorders>
            <w:shd w:val="clear" w:color="auto" w:fill="E6E6E6"/>
            <w:vAlign w:val="center"/>
          </w:tcPr>
          <w:p w14:paraId="50CE6BB3"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1A06A21F"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0B864EEA" w14:textId="77777777" w:rsidR="006E0173" w:rsidRPr="00BE5613" w:rsidRDefault="006E0173" w:rsidP="003D4C06">
            <w:pPr>
              <w:tabs>
                <w:tab w:val="left" w:pos="1673"/>
              </w:tabs>
              <w:ind w:left="224" w:right="114" w:hanging="142"/>
              <w:rPr>
                <w:sz w:val="22"/>
                <w:szCs w:val="22"/>
              </w:rPr>
            </w:pPr>
          </w:p>
        </w:tc>
        <w:tc>
          <w:tcPr>
            <w:tcW w:w="996" w:type="dxa"/>
            <w:tcBorders>
              <w:left w:val="nil"/>
              <w:bottom w:val="nil"/>
            </w:tcBorders>
            <w:shd w:val="clear" w:color="auto" w:fill="E6E6E6"/>
            <w:vAlign w:val="center"/>
          </w:tcPr>
          <w:p w14:paraId="3A8E1DB5" w14:textId="77777777" w:rsidR="006E0173" w:rsidRPr="00BE5613" w:rsidRDefault="006E0173" w:rsidP="003D4C06">
            <w:pPr>
              <w:tabs>
                <w:tab w:val="left" w:pos="1673"/>
              </w:tabs>
              <w:ind w:left="224" w:right="114" w:hanging="142"/>
              <w:rPr>
                <w:sz w:val="22"/>
                <w:szCs w:val="22"/>
              </w:rPr>
            </w:pPr>
          </w:p>
        </w:tc>
        <w:tc>
          <w:tcPr>
            <w:tcW w:w="997" w:type="dxa"/>
            <w:tcBorders>
              <w:bottom w:val="nil"/>
            </w:tcBorders>
            <w:shd w:val="clear" w:color="auto" w:fill="E6E6E6"/>
            <w:vAlign w:val="center"/>
          </w:tcPr>
          <w:p w14:paraId="79167328" w14:textId="77777777" w:rsidR="006E0173" w:rsidRPr="00BE5613" w:rsidRDefault="006E0173" w:rsidP="003D4C06">
            <w:pPr>
              <w:tabs>
                <w:tab w:val="left" w:pos="1673"/>
              </w:tabs>
              <w:jc w:val="center"/>
              <w:rPr>
                <w:sz w:val="22"/>
                <w:szCs w:val="22"/>
              </w:rPr>
            </w:pPr>
          </w:p>
        </w:tc>
        <w:tc>
          <w:tcPr>
            <w:tcW w:w="997" w:type="dxa"/>
            <w:tcBorders>
              <w:bottom w:val="nil"/>
            </w:tcBorders>
            <w:shd w:val="clear" w:color="auto" w:fill="E6E6E6"/>
            <w:vAlign w:val="center"/>
          </w:tcPr>
          <w:p w14:paraId="6D4CAD87" w14:textId="77777777" w:rsidR="006E0173" w:rsidRPr="00BE5613" w:rsidRDefault="006E0173" w:rsidP="003D4C06">
            <w:pPr>
              <w:tabs>
                <w:tab w:val="left" w:pos="1673"/>
              </w:tabs>
              <w:jc w:val="center"/>
              <w:rPr>
                <w:sz w:val="22"/>
                <w:szCs w:val="22"/>
              </w:rPr>
            </w:pPr>
          </w:p>
        </w:tc>
      </w:tr>
      <w:tr w:rsidR="006E0173" w:rsidRPr="00BE5613" w14:paraId="56D8F094" w14:textId="77777777">
        <w:trPr>
          <w:trHeight w:val="41"/>
        </w:trPr>
        <w:tc>
          <w:tcPr>
            <w:tcW w:w="3147" w:type="dxa"/>
            <w:tcBorders>
              <w:top w:val="nil"/>
              <w:bottom w:val="nil"/>
            </w:tcBorders>
            <w:shd w:val="clear" w:color="auto" w:fill="FFFFFF"/>
            <w:vAlign w:val="center"/>
          </w:tcPr>
          <w:p w14:paraId="6583FEDF" w14:textId="77777777" w:rsidR="006E0173" w:rsidRPr="00BE5613" w:rsidRDefault="006E0173" w:rsidP="003D4C06">
            <w:pPr>
              <w:ind w:left="142" w:right="255"/>
              <w:rPr>
                <w:sz w:val="22"/>
                <w:szCs w:val="22"/>
              </w:rPr>
            </w:pPr>
            <w:r w:rsidRPr="00BE5613">
              <w:rPr>
                <w:sz w:val="22"/>
                <w:szCs w:val="22"/>
              </w:rPr>
              <w:t>Unconditional score (full)</w:t>
            </w:r>
          </w:p>
        </w:tc>
        <w:tc>
          <w:tcPr>
            <w:tcW w:w="996" w:type="dxa"/>
            <w:tcBorders>
              <w:top w:val="nil"/>
              <w:bottom w:val="nil"/>
              <w:right w:val="nil"/>
            </w:tcBorders>
            <w:shd w:val="clear" w:color="auto" w:fill="FFFFFF"/>
            <w:vAlign w:val="bottom"/>
          </w:tcPr>
          <w:p w14:paraId="13D5A6A7" w14:textId="77777777" w:rsidR="006E0173" w:rsidRPr="00BE5613" w:rsidRDefault="006E0173" w:rsidP="003D4C06">
            <w:pPr>
              <w:jc w:val="center"/>
              <w:rPr>
                <w:sz w:val="22"/>
                <w:szCs w:val="22"/>
              </w:rPr>
            </w:pPr>
            <w:r w:rsidRPr="00BE5613">
              <w:rPr>
                <w:sz w:val="22"/>
                <w:szCs w:val="22"/>
              </w:rPr>
              <w:t>0.504</w:t>
            </w:r>
          </w:p>
        </w:tc>
        <w:tc>
          <w:tcPr>
            <w:tcW w:w="997" w:type="dxa"/>
            <w:tcBorders>
              <w:top w:val="nil"/>
              <w:left w:val="nil"/>
              <w:bottom w:val="nil"/>
              <w:right w:val="nil"/>
            </w:tcBorders>
            <w:shd w:val="clear" w:color="auto" w:fill="FFFFFF"/>
            <w:vAlign w:val="bottom"/>
          </w:tcPr>
          <w:p w14:paraId="06670EE4" w14:textId="77777777" w:rsidR="006E0173" w:rsidRPr="00BE5613" w:rsidRDefault="006E0173" w:rsidP="003D4C06">
            <w:pPr>
              <w:jc w:val="center"/>
              <w:rPr>
                <w:sz w:val="22"/>
                <w:szCs w:val="22"/>
              </w:rPr>
            </w:pPr>
            <w:r w:rsidRPr="00BE5613">
              <w:rPr>
                <w:sz w:val="22"/>
                <w:szCs w:val="22"/>
              </w:rPr>
              <w:t>0.175</w:t>
            </w:r>
          </w:p>
        </w:tc>
        <w:tc>
          <w:tcPr>
            <w:tcW w:w="997" w:type="dxa"/>
            <w:tcBorders>
              <w:top w:val="nil"/>
              <w:left w:val="nil"/>
              <w:bottom w:val="nil"/>
              <w:right w:val="nil"/>
            </w:tcBorders>
            <w:shd w:val="clear" w:color="auto" w:fill="FFFFFF"/>
            <w:vAlign w:val="bottom"/>
          </w:tcPr>
          <w:p w14:paraId="3AB2F979" w14:textId="77777777" w:rsidR="006E0173" w:rsidRPr="00BE5613" w:rsidRDefault="006E0173" w:rsidP="003D4C06">
            <w:pPr>
              <w:jc w:val="center"/>
              <w:rPr>
                <w:sz w:val="22"/>
                <w:szCs w:val="22"/>
              </w:rPr>
            </w:pPr>
            <w:r w:rsidRPr="00BE5613">
              <w:rPr>
                <w:sz w:val="22"/>
                <w:szCs w:val="22"/>
              </w:rPr>
              <w:t>0.485</w:t>
            </w:r>
          </w:p>
        </w:tc>
        <w:tc>
          <w:tcPr>
            <w:tcW w:w="996" w:type="dxa"/>
            <w:tcBorders>
              <w:top w:val="nil"/>
              <w:left w:val="nil"/>
              <w:bottom w:val="nil"/>
            </w:tcBorders>
            <w:shd w:val="clear" w:color="auto" w:fill="FFFFFF"/>
            <w:vAlign w:val="bottom"/>
          </w:tcPr>
          <w:p w14:paraId="7F197D15" w14:textId="77777777" w:rsidR="006E0173" w:rsidRPr="00BE5613" w:rsidRDefault="006E0173" w:rsidP="003D4C06">
            <w:pPr>
              <w:jc w:val="center"/>
              <w:rPr>
                <w:sz w:val="22"/>
                <w:szCs w:val="22"/>
              </w:rPr>
            </w:pPr>
            <w:r w:rsidRPr="00BE5613">
              <w:rPr>
                <w:sz w:val="22"/>
                <w:szCs w:val="22"/>
              </w:rPr>
              <w:t>0.091</w:t>
            </w:r>
          </w:p>
        </w:tc>
        <w:tc>
          <w:tcPr>
            <w:tcW w:w="997" w:type="dxa"/>
            <w:tcBorders>
              <w:top w:val="nil"/>
              <w:bottom w:val="nil"/>
            </w:tcBorders>
            <w:shd w:val="clear" w:color="auto" w:fill="FFFFFF"/>
            <w:vAlign w:val="bottom"/>
          </w:tcPr>
          <w:p w14:paraId="0FE07E93"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32648F44" w14:textId="77777777" w:rsidR="006E0173" w:rsidRPr="00BE5613" w:rsidRDefault="006E0173" w:rsidP="003D4C06">
            <w:pPr>
              <w:jc w:val="center"/>
              <w:rPr>
                <w:sz w:val="22"/>
                <w:szCs w:val="22"/>
              </w:rPr>
            </w:pPr>
            <w:r w:rsidRPr="00BE5613">
              <w:rPr>
                <w:sz w:val="22"/>
                <w:szCs w:val="22"/>
              </w:rPr>
              <w:t>8</w:t>
            </w:r>
          </w:p>
        </w:tc>
      </w:tr>
      <w:tr w:rsidR="006E0173" w:rsidRPr="00BE5613" w14:paraId="25FB35D2" w14:textId="77777777">
        <w:trPr>
          <w:trHeight w:val="41"/>
        </w:trPr>
        <w:tc>
          <w:tcPr>
            <w:tcW w:w="3147" w:type="dxa"/>
            <w:tcBorders>
              <w:top w:val="nil"/>
              <w:bottom w:val="nil"/>
            </w:tcBorders>
            <w:shd w:val="clear" w:color="auto" w:fill="FFFFFF"/>
            <w:vAlign w:val="center"/>
          </w:tcPr>
          <w:p w14:paraId="5B92458A" w14:textId="77777777" w:rsidR="006E0173" w:rsidRPr="00BE5613" w:rsidRDefault="006E0173" w:rsidP="003D4C06">
            <w:pPr>
              <w:ind w:left="142" w:right="255"/>
              <w:rPr>
                <w:sz w:val="22"/>
                <w:szCs w:val="22"/>
              </w:rPr>
            </w:pPr>
            <w:r w:rsidRPr="00BE5613">
              <w:rPr>
                <w:sz w:val="22"/>
                <w:szCs w:val="22"/>
              </w:rPr>
              <w:t>Conditional score (full)</w:t>
            </w:r>
          </w:p>
        </w:tc>
        <w:tc>
          <w:tcPr>
            <w:tcW w:w="996" w:type="dxa"/>
            <w:tcBorders>
              <w:top w:val="nil"/>
              <w:bottom w:val="nil"/>
              <w:right w:val="nil"/>
            </w:tcBorders>
            <w:shd w:val="clear" w:color="auto" w:fill="FFFFFF"/>
            <w:vAlign w:val="bottom"/>
          </w:tcPr>
          <w:p w14:paraId="1582AEEE" w14:textId="77777777" w:rsidR="006E0173" w:rsidRPr="00BE5613" w:rsidRDefault="006E0173" w:rsidP="003D4C06">
            <w:pPr>
              <w:jc w:val="center"/>
              <w:rPr>
                <w:sz w:val="22"/>
                <w:szCs w:val="22"/>
              </w:rPr>
            </w:pPr>
            <w:r w:rsidRPr="00BE5613">
              <w:rPr>
                <w:sz w:val="22"/>
                <w:szCs w:val="22"/>
              </w:rPr>
              <w:t>0.944</w:t>
            </w:r>
          </w:p>
        </w:tc>
        <w:tc>
          <w:tcPr>
            <w:tcW w:w="997" w:type="dxa"/>
            <w:tcBorders>
              <w:top w:val="nil"/>
              <w:left w:val="nil"/>
              <w:bottom w:val="nil"/>
              <w:right w:val="nil"/>
            </w:tcBorders>
            <w:shd w:val="clear" w:color="auto" w:fill="FFFFFF"/>
            <w:vAlign w:val="bottom"/>
          </w:tcPr>
          <w:p w14:paraId="517D943C" w14:textId="77777777" w:rsidR="006E0173" w:rsidRPr="00BE5613" w:rsidRDefault="006E0173" w:rsidP="003D4C06">
            <w:pPr>
              <w:jc w:val="center"/>
              <w:rPr>
                <w:sz w:val="22"/>
                <w:szCs w:val="22"/>
              </w:rPr>
            </w:pPr>
            <w:r w:rsidRPr="00BE5613">
              <w:rPr>
                <w:sz w:val="22"/>
                <w:szCs w:val="22"/>
              </w:rPr>
              <w:t>0.123</w:t>
            </w:r>
          </w:p>
        </w:tc>
        <w:tc>
          <w:tcPr>
            <w:tcW w:w="997" w:type="dxa"/>
            <w:tcBorders>
              <w:top w:val="nil"/>
              <w:left w:val="nil"/>
              <w:bottom w:val="nil"/>
              <w:right w:val="nil"/>
            </w:tcBorders>
            <w:shd w:val="clear" w:color="auto" w:fill="FFFFFF"/>
            <w:vAlign w:val="bottom"/>
          </w:tcPr>
          <w:p w14:paraId="59ACAF57" w14:textId="77777777" w:rsidR="006E0173" w:rsidRPr="00BE5613" w:rsidRDefault="006E0173" w:rsidP="003D4C06">
            <w:pPr>
              <w:jc w:val="center"/>
              <w:rPr>
                <w:sz w:val="22"/>
                <w:szCs w:val="22"/>
              </w:rPr>
            </w:pPr>
            <w:r w:rsidRPr="00BE5613">
              <w:rPr>
                <w:sz w:val="22"/>
                <w:szCs w:val="22"/>
              </w:rPr>
              <w:t>1.000</w:t>
            </w:r>
          </w:p>
        </w:tc>
        <w:tc>
          <w:tcPr>
            <w:tcW w:w="996" w:type="dxa"/>
            <w:tcBorders>
              <w:top w:val="nil"/>
              <w:left w:val="nil"/>
              <w:bottom w:val="nil"/>
            </w:tcBorders>
            <w:shd w:val="clear" w:color="auto" w:fill="FFFFFF"/>
            <w:vAlign w:val="bottom"/>
          </w:tcPr>
          <w:p w14:paraId="50CF8BE0" w14:textId="77777777" w:rsidR="006E0173" w:rsidRPr="00BE5613" w:rsidRDefault="006E0173" w:rsidP="003D4C06">
            <w:pPr>
              <w:jc w:val="center"/>
              <w:rPr>
                <w:sz w:val="22"/>
                <w:szCs w:val="22"/>
              </w:rPr>
            </w:pPr>
            <w:r w:rsidRPr="00BE5613">
              <w:rPr>
                <w:sz w:val="22"/>
                <w:szCs w:val="22"/>
              </w:rPr>
              <w:t>0.328</w:t>
            </w:r>
          </w:p>
        </w:tc>
        <w:tc>
          <w:tcPr>
            <w:tcW w:w="997" w:type="dxa"/>
            <w:tcBorders>
              <w:top w:val="nil"/>
              <w:bottom w:val="nil"/>
            </w:tcBorders>
            <w:shd w:val="clear" w:color="auto" w:fill="FFFFFF"/>
            <w:vAlign w:val="bottom"/>
          </w:tcPr>
          <w:p w14:paraId="4535E019"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3EE3031D" w14:textId="77777777" w:rsidR="006E0173" w:rsidRPr="00BE5613" w:rsidRDefault="006E0173" w:rsidP="003D4C06">
            <w:pPr>
              <w:jc w:val="center"/>
              <w:rPr>
                <w:sz w:val="22"/>
                <w:szCs w:val="22"/>
              </w:rPr>
            </w:pPr>
            <w:r w:rsidRPr="00BE5613">
              <w:rPr>
                <w:sz w:val="22"/>
                <w:szCs w:val="22"/>
              </w:rPr>
              <w:t>357</w:t>
            </w:r>
          </w:p>
        </w:tc>
      </w:tr>
      <w:tr w:rsidR="006E0173" w:rsidRPr="00BE5613" w14:paraId="611A7CDE" w14:textId="77777777">
        <w:trPr>
          <w:trHeight w:val="41"/>
        </w:trPr>
        <w:tc>
          <w:tcPr>
            <w:tcW w:w="3147" w:type="dxa"/>
            <w:tcBorders>
              <w:top w:val="nil"/>
              <w:bottom w:val="single" w:sz="4" w:space="0" w:color="auto"/>
            </w:tcBorders>
            <w:shd w:val="clear" w:color="auto" w:fill="FFFFFF"/>
            <w:vAlign w:val="center"/>
          </w:tcPr>
          <w:p w14:paraId="314C7B4D" w14:textId="77777777" w:rsidR="006E0173" w:rsidRPr="00BE5613" w:rsidRDefault="006E0173" w:rsidP="003D4C06">
            <w:pPr>
              <w:ind w:left="142" w:right="255"/>
              <w:rPr>
                <w:sz w:val="22"/>
                <w:szCs w:val="22"/>
              </w:rPr>
            </w:pPr>
            <w:r w:rsidRPr="00BE5613">
              <w:rPr>
                <w:sz w:val="22"/>
                <w:szCs w:val="22"/>
              </w:rPr>
              <w:t>UTC ratio (full)</w:t>
            </w:r>
          </w:p>
        </w:tc>
        <w:tc>
          <w:tcPr>
            <w:tcW w:w="996" w:type="dxa"/>
            <w:tcBorders>
              <w:top w:val="nil"/>
              <w:bottom w:val="single" w:sz="4" w:space="0" w:color="auto"/>
              <w:right w:val="nil"/>
            </w:tcBorders>
            <w:shd w:val="clear" w:color="auto" w:fill="FFFFFF"/>
            <w:vAlign w:val="bottom"/>
          </w:tcPr>
          <w:p w14:paraId="5E2313C9" w14:textId="77777777" w:rsidR="006E0173" w:rsidRPr="00BE5613" w:rsidRDefault="006E0173" w:rsidP="003D4C06">
            <w:pPr>
              <w:jc w:val="center"/>
              <w:rPr>
                <w:sz w:val="22"/>
                <w:szCs w:val="22"/>
              </w:rPr>
            </w:pPr>
            <w:r w:rsidRPr="00BE5613">
              <w:rPr>
                <w:sz w:val="22"/>
                <w:szCs w:val="22"/>
              </w:rPr>
              <w:t>2.089</w:t>
            </w:r>
          </w:p>
        </w:tc>
        <w:tc>
          <w:tcPr>
            <w:tcW w:w="997" w:type="dxa"/>
            <w:tcBorders>
              <w:top w:val="nil"/>
              <w:left w:val="nil"/>
              <w:bottom w:val="single" w:sz="4" w:space="0" w:color="auto"/>
              <w:right w:val="nil"/>
            </w:tcBorders>
            <w:shd w:val="clear" w:color="auto" w:fill="FFFFFF"/>
            <w:vAlign w:val="bottom"/>
          </w:tcPr>
          <w:p w14:paraId="02BAE58F" w14:textId="77777777" w:rsidR="006E0173" w:rsidRPr="00BE5613" w:rsidRDefault="006E0173" w:rsidP="003D4C06">
            <w:pPr>
              <w:jc w:val="center"/>
              <w:rPr>
                <w:sz w:val="22"/>
                <w:szCs w:val="22"/>
              </w:rPr>
            </w:pPr>
            <w:r w:rsidRPr="00BE5613">
              <w:rPr>
                <w:sz w:val="22"/>
                <w:szCs w:val="22"/>
              </w:rPr>
              <w:t>0.839</w:t>
            </w:r>
          </w:p>
        </w:tc>
        <w:tc>
          <w:tcPr>
            <w:tcW w:w="997" w:type="dxa"/>
            <w:tcBorders>
              <w:top w:val="nil"/>
              <w:left w:val="nil"/>
              <w:bottom w:val="single" w:sz="4" w:space="0" w:color="auto"/>
              <w:right w:val="nil"/>
            </w:tcBorders>
            <w:shd w:val="clear" w:color="auto" w:fill="FFFFFF"/>
            <w:vAlign w:val="bottom"/>
          </w:tcPr>
          <w:p w14:paraId="570542C4" w14:textId="77777777" w:rsidR="006E0173" w:rsidRPr="00BE5613" w:rsidRDefault="006E0173" w:rsidP="003D4C06">
            <w:pPr>
              <w:jc w:val="center"/>
              <w:rPr>
                <w:sz w:val="22"/>
                <w:szCs w:val="22"/>
              </w:rPr>
            </w:pPr>
            <w:r w:rsidRPr="00BE5613">
              <w:rPr>
                <w:sz w:val="22"/>
                <w:szCs w:val="22"/>
              </w:rPr>
              <w:t>1.927</w:t>
            </w:r>
          </w:p>
        </w:tc>
        <w:tc>
          <w:tcPr>
            <w:tcW w:w="996" w:type="dxa"/>
            <w:tcBorders>
              <w:top w:val="nil"/>
              <w:left w:val="nil"/>
              <w:bottom w:val="single" w:sz="4" w:space="0" w:color="auto"/>
            </w:tcBorders>
            <w:shd w:val="clear" w:color="auto" w:fill="FFFFFF"/>
            <w:vAlign w:val="bottom"/>
          </w:tcPr>
          <w:p w14:paraId="7FDF2C4C"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single" w:sz="4" w:space="0" w:color="auto"/>
            </w:tcBorders>
            <w:shd w:val="clear" w:color="auto" w:fill="FFFFFF"/>
            <w:vAlign w:val="bottom"/>
          </w:tcPr>
          <w:p w14:paraId="2FB36150" w14:textId="77777777" w:rsidR="006E0173" w:rsidRPr="00BE5613" w:rsidRDefault="006E0173" w:rsidP="003D4C06">
            <w:pPr>
              <w:jc w:val="center"/>
              <w:rPr>
                <w:sz w:val="22"/>
                <w:szCs w:val="22"/>
              </w:rPr>
            </w:pPr>
            <w:r w:rsidRPr="00BE5613">
              <w:rPr>
                <w:sz w:val="22"/>
                <w:szCs w:val="22"/>
              </w:rPr>
              <w:t>10.986</w:t>
            </w:r>
          </w:p>
        </w:tc>
        <w:tc>
          <w:tcPr>
            <w:tcW w:w="997" w:type="dxa"/>
            <w:tcBorders>
              <w:top w:val="nil"/>
              <w:bottom w:val="single" w:sz="4" w:space="0" w:color="auto"/>
            </w:tcBorders>
            <w:shd w:val="clear" w:color="auto" w:fill="FFFFFF"/>
            <w:vAlign w:val="bottom"/>
          </w:tcPr>
          <w:p w14:paraId="0FA8FDBA" w14:textId="77777777" w:rsidR="006E0173" w:rsidRPr="00BE5613" w:rsidRDefault="006E0173" w:rsidP="003D4C06">
            <w:pPr>
              <w:jc w:val="center"/>
              <w:rPr>
                <w:sz w:val="22"/>
                <w:szCs w:val="22"/>
              </w:rPr>
            </w:pPr>
            <w:r w:rsidRPr="00BE5613">
              <w:rPr>
                <w:sz w:val="22"/>
                <w:szCs w:val="22"/>
              </w:rPr>
              <w:t>8</w:t>
            </w:r>
          </w:p>
        </w:tc>
      </w:tr>
      <w:tr w:rsidR="006E0173" w:rsidRPr="00BE5613" w14:paraId="66CD31A3" w14:textId="77777777">
        <w:trPr>
          <w:trHeight w:val="41"/>
        </w:trPr>
        <w:tc>
          <w:tcPr>
            <w:tcW w:w="3147" w:type="dxa"/>
            <w:tcBorders>
              <w:top w:val="single" w:sz="4" w:space="0" w:color="auto"/>
              <w:bottom w:val="nil"/>
            </w:tcBorders>
            <w:shd w:val="clear" w:color="auto" w:fill="FFFFFF"/>
            <w:vAlign w:val="center"/>
          </w:tcPr>
          <w:p w14:paraId="5035489C" w14:textId="77777777" w:rsidR="006E0173" w:rsidRPr="00BE5613" w:rsidRDefault="006E0173" w:rsidP="003D4C06">
            <w:pPr>
              <w:ind w:left="142" w:right="255"/>
              <w:rPr>
                <w:sz w:val="22"/>
                <w:szCs w:val="22"/>
              </w:rPr>
            </w:pPr>
            <w:r w:rsidRPr="00BE5613">
              <w:rPr>
                <w:sz w:val="22"/>
                <w:szCs w:val="22"/>
              </w:rPr>
              <w:t>Unconditional score (partial)</w:t>
            </w:r>
          </w:p>
        </w:tc>
        <w:tc>
          <w:tcPr>
            <w:tcW w:w="996" w:type="dxa"/>
            <w:tcBorders>
              <w:top w:val="single" w:sz="4" w:space="0" w:color="auto"/>
              <w:bottom w:val="nil"/>
              <w:right w:val="nil"/>
            </w:tcBorders>
            <w:shd w:val="clear" w:color="auto" w:fill="FFFFFF"/>
            <w:vAlign w:val="bottom"/>
          </w:tcPr>
          <w:p w14:paraId="272F5B18" w14:textId="77777777" w:rsidR="006E0173" w:rsidRPr="00BE5613" w:rsidRDefault="006E0173" w:rsidP="003D4C06">
            <w:pPr>
              <w:jc w:val="center"/>
              <w:rPr>
                <w:sz w:val="22"/>
                <w:szCs w:val="22"/>
              </w:rPr>
            </w:pPr>
            <w:r w:rsidRPr="00BE5613">
              <w:rPr>
                <w:sz w:val="22"/>
                <w:szCs w:val="22"/>
              </w:rPr>
              <w:t>0.677</w:t>
            </w:r>
          </w:p>
        </w:tc>
        <w:tc>
          <w:tcPr>
            <w:tcW w:w="997" w:type="dxa"/>
            <w:tcBorders>
              <w:top w:val="single" w:sz="4" w:space="0" w:color="auto"/>
              <w:left w:val="nil"/>
              <w:bottom w:val="nil"/>
              <w:right w:val="nil"/>
            </w:tcBorders>
            <w:shd w:val="clear" w:color="auto" w:fill="FFFFFF"/>
            <w:vAlign w:val="bottom"/>
          </w:tcPr>
          <w:p w14:paraId="5EC67A10" w14:textId="77777777" w:rsidR="006E0173" w:rsidRPr="00BE5613" w:rsidRDefault="006E0173" w:rsidP="003D4C06">
            <w:pPr>
              <w:jc w:val="center"/>
              <w:rPr>
                <w:sz w:val="22"/>
                <w:szCs w:val="22"/>
              </w:rPr>
            </w:pPr>
            <w:r w:rsidRPr="00BE5613">
              <w:rPr>
                <w:sz w:val="22"/>
                <w:szCs w:val="22"/>
              </w:rPr>
              <w:t>0.397</w:t>
            </w:r>
          </w:p>
        </w:tc>
        <w:tc>
          <w:tcPr>
            <w:tcW w:w="997" w:type="dxa"/>
            <w:tcBorders>
              <w:top w:val="single" w:sz="4" w:space="0" w:color="auto"/>
              <w:left w:val="nil"/>
              <w:bottom w:val="nil"/>
              <w:right w:val="nil"/>
            </w:tcBorders>
            <w:shd w:val="clear" w:color="auto" w:fill="FFFFFF"/>
            <w:vAlign w:val="bottom"/>
          </w:tcPr>
          <w:p w14:paraId="7F45A98D" w14:textId="77777777" w:rsidR="006E0173" w:rsidRPr="00BE5613" w:rsidRDefault="006E0173" w:rsidP="003D4C06">
            <w:pPr>
              <w:jc w:val="center"/>
              <w:rPr>
                <w:sz w:val="22"/>
                <w:szCs w:val="22"/>
              </w:rPr>
            </w:pPr>
            <w:r w:rsidRPr="00BE5613">
              <w:rPr>
                <w:sz w:val="22"/>
                <w:szCs w:val="22"/>
              </w:rPr>
              <w:t>0.616</w:t>
            </w:r>
          </w:p>
        </w:tc>
        <w:tc>
          <w:tcPr>
            <w:tcW w:w="996" w:type="dxa"/>
            <w:tcBorders>
              <w:top w:val="single" w:sz="4" w:space="0" w:color="auto"/>
              <w:left w:val="nil"/>
              <w:bottom w:val="nil"/>
            </w:tcBorders>
            <w:shd w:val="clear" w:color="auto" w:fill="FFFFFF"/>
            <w:vAlign w:val="bottom"/>
          </w:tcPr>
          <w:p w14:paraId="2E867C16" w14:textId="77777777" w:rsidR="006E0173" w:rsidRPr="00BE5613" w:rsidRDefault="006E0173" w:rsidP="003D4C06">
            <w:pPr>
              <w:jc w:val="center"/>
              <w:rPr>
                <w:sz w:val="22"/>
                <w:szCs w:val="22"/>
              </w:rPr>
            </w:pPr>
            <w:r w:rsidRPr="00BE5613">
              <w:rPr>
                <w:sz w:val="22"/>
                <w:szCs w:val="22"/>
              </w:rPr>
              <w:t>0.003</w:t>
            </w:r>
          </w:p>
        </w:tc>
        <w:tc>
          <w:tcPr>
            <w:tcW w:w="997" w:type="dxa"/>
            <w:tcBorders>
              <w:top w:val="single" w:sz="4" w:space="0" w:color="auto"/>
              <w:bottom w:val="nil"/>
            </w:tcBorders>
            <w:shd w:val="clear" w:color="auto" w:fill="FFFFFF"/>
            <w:vAlign w:val="bottom"/>
          </w:tcPr>
          <w:p w14:paraId="78532730" w14:textId="77777777" w:rsidR="006E0173" w:rsidRPr="00BE5613" w:rsidRDefault="006E0173" w:rsidP="003D4C06">
            <w:pPr>
              <w:jc w:val="center"/>
              <w:rPr>
                <w:sz w:val="22"/>
                <w:szCs w:val="22"/>
              </w:rPr>
            </w:pPr>
            <w:r w:rsidRPr="00BE5613">
              <w:rPr>
                <w:sz w:val="22"/>
                <w:szCs w:val="22"/>
              </w:rPr>
              <w:t>2.865</w:t>
            </w:r>
          </w:p>
        </w:tc>
        <w:tc>
          <w:tcPr>
            <w:tcW w:w="997" w:type="dxa"/>
            <w:tcBorders>
              <w:top w:val="single" w:sz="4" w:space="0" w:color="auto"/>
              <w:bottom w:val="nil"/>
            </w:tcBorders>
            <w:shd w:val="clear" w:color="auto" w:fill="FFFFFF"/>
            <w:vAlign w:val="bottom"/>
          </w:tcPr>
          <w:p w14:paraId="29135C6B" w14:textId="77777777" w:rsidR="006E0173" w:rsidRPr="00BE5613" w:rsidRDefault="006E0173" w:rsidP="003D4C06">
            <w:pPr>
              <w:jc w:val="center"/>
              <w:rPr>
                <w:sz w:val="22"/>
                <w:szCs w:val="22"/>
              </w:rPr>
            </w:pPr>
            <w:r w:rsidRPr="00BE5613">
              <w:rPr>
                <w:sz w:val="22"/>
                <w:szCs w:val="22"/>
              </w:rPr>
              <w:t>7</w:t>
            </w:r>
          </w:p>
        </w:tc>
      </w:tr>
      <w:tr w:rsidR="006E0173" w:rsidRPr="00BE5613" w14:paraId="4A0C8B54" w14:textId="77777777">
        <w:trPr>
          <w:trHeight w:val="41"/>
        </w:trPr>
        <w:tc>
          <w:tcPr>
            <w:tcW w:w="3147" w:type="dxa"/>
            <w:tcBorders>
              <w:top w:val="nil"/>
              <w:bottom w:val="nil"/>
            </w:tcBorders>
            <w:shd w:val="clear" w:color="auto" w:fill="FFFFFF"/>
            <w:vAlign w:val="center"/>
          </w:tcPr>
          <w:p w14:paraId="68F61FF7" w14:textId="77777777" w:rsidR="006E0173" w:rsidRPr="00BE5613" w:rsidRDefault="006E0173" w:rsidP="003D4C06">
            <w:pPr>
              <w:ind w:left="142" w:right="255"/>
              <w:rPr>
                <w:sz w:val="22"/>
                <w:szCs w:val="22"/>
              </w:rPr>
            </w:pPr>
            <w:r w:rsidRPr="00BE5613">
              <w:rPr>
                <w:sz w:val="22"/>
                <w:szCs w:val="22"/>
              </w:rPr>
              <w:t>Conditional score (partial)</w:t>
            </w:r>
          </w:p>
        </w:tc>
        <w:tc>
          <w:tcPr>
            <w:tcW w:w="996" w:type="dxa"/>
            <w:tcBorders>
              <w:top w:val="nil"/>
              <w:bottom w:val="nil"/>
              <w:right w:val="nil"/>
            </w:tcBorders>
            <w:shd w:val="clear" w:color="auto" w:fill="FFFFFF"/>
            <w:vAlign w:val="bottom"/>
          </w:tcPr>
          <w:p w14:paraId="45353A32" w14:textId="77777777" w:rsidR="006E0173" w:rsidRPr="00BE5613" w:rsidRDefault="006E0173" w:rsidP="003D4C06">
            <w:pPr>
              <w:jc w:val="center"/>
              <w:rPr>
                <w:sz w:val="22"/>
                <w:szCs w:val="22"/>
              </w:rPr>
            </w:pPr>
            <w:r w:rsidRPr="00BE5613">
              <w:rPr>
                <w:sz w:val="22"/>
                <w:szCs w:val="22"/>
              </w:rPr>
              <w:t>0.597</w:t>
            </w:r>
          </w:p>
        </w:tc>
        <w:tc>
          <w:tcPr>
            <w:tcW w:w="997" w:type="dxa"/>
            <w:tcBorders>
              <w:top w:val="nil"/>
              <w:left w:val="nil"/>
              <w:bottom w:val="nil"/>
              <w:right w:val="nil"/>
            </w:tcBorders>
            <w:shd w:val="clear" w:color="auto" w:fill="FFFFFF"/>
            <w:vAlign w:val="bottom"/>
          </w:tcPr>
          <w:p w14:paraId="2606667C" w14:textId="77777777" w:rsidR="006E0173" w:rsidRPr="00BE5613" w:rsidRDefault="006E0173" w:rsidP="003D4C06">
            <w:pPr>
              <w:jc w:val="center"/>
              <w:rPr>
                <w:sz w:val="22"/>
                <w:szCs w:val="22"/>
              </w:rPr>
            </w:pPr>
            <w:r w:rsidRPr="00BE5613">
              <w:rPr>
                <w:sz w:val="22"/>
                <w:szCs w:val="22"/>
              </w:rPr>
              <w:t>0.320</w:t>
            </w:r>
          </w:p>
        </w:tc>
        <w:tc>
          <w:tcPr>
            <w:tcW w:w="997" w:type="dxa"/>
            <w:tcBorders>
              <w:top w:val="nil"/>
              <w:left w:val="nil"/>
              <w:bottom w:val="nil"/>
              <w:right w:val="nil"/>
            </w:tcBorders>
            <w:shd w:val="clear" w:color="auto" w:fill="FFFFFF"/>
            <w:vAlign w:val="bottom"/>
          </w:tcPr>
          <w:p w14:paraId="5E96601D" w14:textId="77777777" w:rsidR="006E0173" w:rsidRPr="00BE5613" w:rsidRDefault="006E0173" w:rsidP="003D4C06">
            <w:pPr>
              <w:jc w:val="center"/>
              <w:rPr>
                <w:sz w:val="22"/>
                <w:szCs w:val="22"/>
              </w:rPr>
            </w:pPr>
            <w:r w:rsidRPr="00BE5613">
              <w:rPr>
                <w:sz w:val="22"/>
                <w:szCs w:val="22"/>
              </w:rPr>
              <w:t>0.559</w:t>
            </w:r>
          </w:p>
        </w:tc>
        <w:tc>
          <w:tcPr>
            <w:tcW w:w="996" w:type="dxa"/>
            <w:tcBorders>
              <w:top w:val="nil"/>
              <w:left w:val="nil"/>
              <w:bottom w:val="nil"/>
            </w:tcBorders>
            <w:shd w:val="clear" w:color="auto" w:fill="FFFFFF"/>
            <w:vAlign w:val="bottom"/>
          </w:tcPr>
          <w:p w14:paraId="49F213CC" w14:textId="77777777" w:rsidR="006E0173" w:rsidRPr="00BE5613" w:rsidRDefault="006E0173" w:rsidP="003D4C06">
            <w:pPr>
              <w:jc w:val="center"/>
              <w:rPr>
                <w:sz w:val="22"/>
                <w:szCs w:val="22"/>
              </w:rPr>
            </w:pPr>
            <w:r w:rsidRPr="00BE5613">
              <w:rPr>
                <w:sz w:val="22"/>
                <w:szCs w:val="22"/>
              </w:rPr>
              <w:t>0.003</w:t>
            </w:r>
          </w:p>
        </w:tc>
        <w:tc>
          <w:tcPr>
            <w:tcW w:w="997" w:type="dxa"/>
            <w:tcBorders>
              <w:top w:val="nil"/>
              <w:bottom w:val="nil"/>
            </w:tcBorders>
            <w:shd w:val="clear" w:color="auto" w:fill="FFFFFF"/>
            <w:vAlign w:val="bottom"/>
          </w:tcPr>
          <w:p w14:paraId="66EE5C16" w14:textId="77777777" w:rsidR="006E0173" w:rsidRPr="00BE5613" w:rsidRDefault="006E0173" w:rsidP="003D4C06">
            <w:pPr>
              <w:jc w:val="center"/>
              <w:rPr>
                <w:sz w:val="22"/>
                <w:szCs w:val="22"/>
              </w:rPr>
            </w:pPr>
            <w:r w:rsidRPr="00BE5613">
              <w:rPr>
                <w:sz w:val="22"/>
                <w:szCs w:val="22"/>
              </w:rPr>
              <w:t>2.060</w:t>
            </w:r>
          </w:p>
        </w:tc>
        <w:tc>
          <w:tcPr>
            <w:tcW w:w="997" w:type="dxa"/>
            <w:tcBorders>
              <w:top w:val="nil"/>
              <w:bottom w:val="nil"/>
            </w:tcBorders>
            <w:shd w:val="clear" w:color="auto" w:fill="FFFFFF"/>
            <w:vAlign w:val="bottom"/>
          </w:tcPr>
          <w:p w14:paraId="614FB62B" w14:textId="77777777" w:rsidR="006E0173" w:rsidRPr="00BE5613" w:rsidRDefault="006E0173" w:rsidP="003D4C06">
            <w:pPr>
              <w:jc w:val="center"/>
              <w:rPr>
                <w:sz w:val="22"/>
                <w:szCs w:val="22"/>
              </w:rPr>
            </w:pPr>
            <w:r w:rsidRPr="00BE5613">
              <w:rPr>
                <w:sz w:val="22"/>
                <w:szCs w:val="22"/>
              </w:rPr>
              <w:t>7</w:t>
            </w:r>
          </w:p>
        </w:tc>
      </w:tr>
      <w:tr w:rsidR="006E0173" w:rsidRPr="00BE5613" w14:paraId="70E06FC1" w14:textId="77777777">
        <w:trPr>
          <w:trHeight w:val="41"/>
        </w:trPr>
        <w:tc>
          <w:tcPr>
            <w:tcW w:w="3147" w:type="dxa"/>
            <w:tcBorders>
              <w:top w:val="nil"/>
              <w:bottom w:val="nil"/>
            </w:tcBorders>
            <w:shd w:val="clear" w:color="auto" w:fill="FFFFFF"/>
            <w:vAlign w:val="center"/>
          </w:tcPr>
          <w:p w14:paraId="5E49EB15" w14:textId="77777777" w:rsidR="006E0173" w:rsidRPr="00BE5613" w:rsidRDefault="006E0173" w:rsidP="003D4C06">
            <w:pPr>
              <w:ind w:left="142" w:right="255"/>
              <w:rPr>
                <w:sz w:val="22"/>
                <w:szCs w:val="22"/>
              </w:rPr>
            </w:pPr>
            <w:r w:rsidRPr="00BE5613">
              <w:rPr>
                <w:sz w:val="22"/>
                <w:szCs w:val="22"/>
              </w:rPr>
              <w:t>UTC ratio (partial)</w:t>
            </w:r>
          </w:p>
        </w:tc>
        <w:tc>
          <w:tcPr>
            <w:tcW w:w="996" w:type="dxa"/>
            <w:tcBorders>
              <w:top w:val="nil"/>
              <w:bottom w:val="nil"/>
              <w:right w:val="nil"/>
            </w:tcBorders>
            <w:shd w:val="clear" w:color="auto" w:fill="FFFFFF"/>
            <w:vAlign w:val="bottom"/>
          </w:tcPr>
          <w:p w14:paraId="54CC6F1A" w14:textId="77777777" w:rsidR="006E0173" w:rsidRPr="00BE5613" w:rsidRDefault="006E0173" w:rsidP="003D4C06">
            <w:pPr>
              <w:jc w:val="center"/>
              <w:rPr>
                <w:sz w:val="22"/>
                <w:szCs w:val="22"/>
              </w:rPr>
            </w:pPr>
            <w:r w:rsidRPr="00BE5613">
              <w:rPr>
                <w:sz w:val="22"/>
                <w:szCs w:val="22"/>
              </w:rPr>
              <w:t>0.566</w:t>
            </w:r>
          </w:p>
        </w:tc>
        <w:tc>
          <w:tcPr>
            <w:tcW w:w="997" w:type="dxa"/>
            <w:tcBorders>
              <w:top w:val="nil"/>
              <w:left w:val="nil"/>
              <w:bottom w:val="nil"/>
              <w:right w:val="nil"/>
            </w:tcBorders>
            <w:shd w:val="clear" w:color="auto" w:fill="FFFFFF"/>
            <w:vAlign w:val="bottom"/>
          </w:tcPr>
          <w:p w14:paraId="41CF168E" w14:textId="77777777" w:rsidR="006E0173" w:rsidRPr="00BE5613" w:rsidRDefault="006E0173" w:rsidP="003D4C06">
            <w:pPr>
              <w:jc w:val="center"/>
              <w:rPr>
                <w:sz w:val="22"/>
                <w:szCs w:val="22"/>
              </w:rPr>
            </w:pPr>
            <w:r w:rsidRPr="00BE5613">
              <w:rPr>
                <w:sz w:val="22"/>
                <w:szCs w:val="22"/>
              </w:rPr>
              <w:t>0.288</w:t>
            </w:r>
          </w:p>
        </w:tc>
        <w:tc>
          <w:tcPr>
            <w:tcW w:w="997" w:type="dxa"/>
            <w:tcBorders>
              <w:top w:val="nil"/>
              <w:left w:val="nil"/>
              <w:bottom w:val="nil"/>
              <w:right w:val="nil"/>
            </w:tcBorders>
            <w:shd w:val="clear" w:color="auto" w:fill="FFFFFF"/>
            <w:vAlign w:val="bottom"/>
          </w:tcPr>
          <w:p w14:paraId="40A124D2" w14:textId="77777777" w:rsidR="006E0173" w:rsidRPr="00BE5613" w:rsidRDefault="006E0173" w:rsidP="003D4C06">
            <w:pPr>
              <w:jc w:val="center"/>
              <w:rPr>
                <w:sz w:val="22"/>
                <w:szCs w:val="22"/>
              </w:rPr>
            </w:pPr>
            <w:r w:rsidRPr="00BE5613">
              <w:rPr>
                <w:sz w:val="22"/>
                <w:szCs w:val="22"/>
              </w:rPr>
              <w:t>0.542</w:t>
            </w:r>
          </w:p>
        </w:tc>
        <w:tc>
          <w:tcPr>
            <w:tcW w:w="996" w:type="dxa"/>
            <w:tcBorders>
              <w:top w:val="nil"/>
              <w:left w:val="nil"/>
              <w:bottom w:val="nil"/>
            </w:tcBorders>
            <w:shd w:val="clear" w:color="auto" w:fill="FFFFFF"/>
            <w:vAlign w:val="bottom"/>
          </w:tcPr>
          <w:p w14:paraId="010E60F6" w14:textId="77777777" w:rsidR="006E0173" w:rsidRPr="00BE5613" w:rsidRDefault="006E0173" w:rsidP="003D4C06">
            <w:pPr>
              <w:jc w:val="center"/>
              <w:rPr>
                <w:sz w:val="22"/>
                <w:szCs w:val="22"/>
              </w:rPr>
            </w:pPr>
            <w:r w:rsidRPr="00BE5613">
              <w:rPr>
                <w:sz w:val="22"/>
                <w:szCs w:val="22"/>
              </w:rPr>
              <w:t>0.003</w:t>
            </w:r>
          </w:p>
        </w:tc>
        <w:tc>
          <w:tcPr>
            <w:tcW w:w="997" w:type="dxa"/>
            <w:tcBorders>
              <w:top w:val="nil"/>
              <w:bottom w:val="nil"/>
            </w:tcBorders>
            <w:shd w:val="clear" w:color="auto" w:fill="FFFFFF"/>
            <w:vAlign w:val="bottom"/>
          </w:tcPr>
          <w:p w14:paraId="1FAA7A96" w14:textId="77777777" w:rsidR="006E0173" w:rsidRPr="00BE5613" w:rsidRDefault="006E0173" w:rsidP="003D4C06">
            <w:pPr>
              <w:jc w:val="center"/>
              <w:rPr>
                <w:sz w:val="22"/>
                <w:szCs w:val="22"/>
              </w:rPr>
            </w:pPr>
            <w:r w:rsidRPr="00BE5613">
              <w:rPr>
                <w:sz w:val="22"/>
                <w:szCs w:val="22"/>
              </w:rPr>
              <w:t>1.741</w:t>
            </w:r>
          </w:p>
        </w:tc>
        <w:tc>
          <w:tcPr>
            <w:tcW w:w="997" w:type="dxa"/>
            <w:tcBorders>
              <w:top w:val="nil"/>
              <w:bottom w:val="nil"/>
            </w:tcBorders>
            <w:shd w:val="clear" w:color="auto" w:fill="FFFFFF"/>
            <w:vAlign w:val="bottom"/>
          </w:tcPr>
          <w:p w14:paraId="6A2D8F54" w14:textId="77777777" w:rsidR="006E0173" w:rsidRPr="00BE5613" w:rsidRDefault="00B1472E" w:rsidP="003D4C06">
            <w:pPr>
              <w:jc w:val="center"/>
              <w:rPr>
                <w:sz w:val="22"/>
                <w:szCs w:val="22"/>
              </w:rPr>
            </w:pPr>
            <w:r w:rsidRPr="00BE5613">
              <w:rPr>
                <w:sz w:val="22"/>
                <w:szCs w:val="22"/>
              </w:rPr>
              <w:t>7</w:t>
            </w:r>
          </w:p>
        </w:tc>
      </w:tr>
      <w:tr w:rsidR="006E0173" w:rsidRPr="00BE5613" w14:paraId="32C731F3" w14:textId="77777777">
        <w:trPr>
          <w:trHeight w:val="41"/>
        </w:trPr>
        <w:tc>
          <w:tcPr>
            <w:tcW w:w="3147" w:type="dxa"/>
            <w:tcBorders>
              <w:bottom w:val="nil"/>
            </w:tcBorders>
            <w:shd w:val="clear" w:color="auto" w:fill="E6E6E6"/>
            <w:vAlign w:val="center"/>
          </w:tcPr>
          <w:p w14:paraId="6D2C265D" w14:textId="77777777" w:rsidR="006E0173" w:rsidRPr="00BE5613" w:rsidRDefault="006E0173" w:rsidP="003D4C06">
            <w:pPr>
              <w:ind w:left="142" w:right="255"/>
              <w:rPr>
                <w:sz w:val="22"/>
                <w:szCs w:val="22"/>
              </w:rPr>
            </w:pPr>
            <w:r w:rsidRPr="00BE5613">
              <w:rPr>
                <w:sz w:val="22"/>
                <w:szCs w:val="22"/>
              </w:rPr>
              <w:t>Model II</w:t>
            </w:r>
          </w:p>
        </w:tc>
        <w:tc>
          <w:tcPr>
            <w:tcW w:w="996" w:type="dxa"/>
            <w:tcBorders>
              <w:bottom w:val="nil"/>
              <w:right w:val="nil"/>
            </w:tcBorders>
            <w:shd w:val="clear" w:color="auto" w:fill="E6E6E6"/>
            <w:vAlign w:val="center"/>
          </w:tcPr>
          <w:p w14:paraId="51C8A350"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192E12B3"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17902051" w14:textId="77777777" w:rsidR="006E0173" w:rsidRPr="00BE5613" w:rsidRDefault="006E0173" w:rsidP="003D4C06">
            <w:pPr>
              <w:tabs>
                <w:tab w:val="left" w:pos="1673"/>
              </w:tabs>
              <w:ind w:left="224" w:right="114" w:hanging="142"/>
              <w:rPr>
                <w:sz w:val="22"/>
                <w:szCs w:val="22"/>
              </w:rPr>
            </w:pPr>
          </w:p>
        </w:tc>
        <w:tc>
          <w:tcPr>
            <w:tcW w:w="996" w:type="dxa"/>
            <w:tcBorders>
              <w:left w:val="nil"/>
              <w:bottom w:val="nil"/>
            </w:tcBorders>
            <w:shd w:val="clear" w:color="auto" w:fill="E6E6E6"/>
            <w:vAlign w:val="center"/>
          </w:tcPr>
          <w:p w14:paraId="0F347B40" w14:textId="77777777" w:rsidR="006E0173" w:rsidRPr="00BE5613" w:rsidRDefault="006E0173" w:rsidP="003D4C06">
            <w:pPr>
              <w:tabs>
                <w:tab w:val="left" w:pos="1673"/>
              </w:tabs>
              <w:ind w:left="224" w:right="114" w:hanging="142"/>
              <w:rPr>
                <w:sz w:val="22"/>
                <w:szCs w:val="22"/>
              </w:rPr>
            </w:pPr>
          </w:p>
        </w:tc>
        <w:tc>
          <w:tcPr>
            <w:tcW w:w="997" w:type="dxa"/>
            <w:tcBorders>
              <w:bottom w:val="nil"/>
            </w:tcBorders>
            <w:shd w:val="clear" w:color="auto" w:fill="E6E6E6"/>
            <w:vAlign w:val="center"/>
          </w:tcPr>
          <w:p w14:paraId="6B690616" w14:textId="77777777" w:rsidR="006E0173" w:rsidRPr="00BE5613" w:rsidRDefault="006E0173" w:rsidP="003D4C06">
            <w:pPr>
              <w:tabs>
                <w:tab w:val="left" w:pos="1673"/>
              </w:tabs>
              <w:jc w:val="center"/>
              <w:rPr>
                <w:sz w:val="22"/>
                <w:szCs w:val="22"/>
              </w:rPr>
            </w:pPr>
          </w:p>
        </w:tc>
        <w:tc>
          <w:tcPr>
            <w:tcW w:w="997" w:type="dxa"/>
            <w:tcBorders>
              <w:bottom w:val="nil"/>
            </w:tcBorders>
            <w:shd w:val="clear" w:color="auto" w:fill="E6E6E6"/>
            <w:vAlign w:val="center"/>
          </w:tcPr>
          <w:p w14:paraId="371B70E7" w14:textId="77777777" w:rsidR="006E0173" w:rsidRPr="00BE5613" w:rsidRDefault="006E0173" w:rsidP="003D4C06">
            <w:pPr>
              <w:tabs>
                <w:tab w:val="left" w:pos="1673"/>
              </w:tabs>
              <w:jc w:val="center"/>
              <w:rPr>
                <w:sz w:val="22"/>
                <w:szCs w:val="22"/>
              </w:rPr>
            </w:pPr>
          </w:p>
        </w:tc>
      </w:tr>
      <w:tr w:rsidR="006E0173" w:rsidRPr="00BE5613" w14:paraId="28A289F0" w14:textId="77777777">
        <w:trPr>
          <w:trHeight w:val="41"/>
        </w:trPr>
        <w:tc>
          <w:tcPr>
            <w:tcW w:w="3147" w:type="dxa"/>
            <w:tcBorders>
              <w:top w:val="nil"/>
              <w:bottom w:val="nil"/>
            </w:tcBorders>
            <w:shd w:val="clear" w:color="auto" w:fill="FFFFFF"/>
            <w:vAlign w:val="center"/>
          </w:tcPr>
          <w:p w14:paraId="1ED3FD90" w14:textId="77777777" w:rsidR="006E0173" w:rsidRPr="00BE5613" w:rsidRDefault="006E0173" w:rsidP="003D4C06">
            <w:pPr>
              <w:ind w:left="142" w:right="255"/>
              <w:rPr>
                <w:sz w:val="22"/>
                <w:szCs w:val="22"/>
              </w:rPr>
            </w:pPr>
            <w:r w:rsidRPr="00BE5613">
              <w:rPr>
                <w:sz w:val="22"/>
                <w:szCs w:val="22"/>
              </w:rPr>
              <w:t>Unconditional score (full)</w:t>
            </w:r>
          </w:p>
        </w:tc>
        <w:tc>
          <w:tcPr>
            <w:tcW w:w="996" w:type="dxa"/>
            <w:tcBorders>
              <w:top w:val="nil"/>
              <w:bottom w:val="nil"/>
              <w:right w:val="nil"/>
            </w:tcBorders>
            <w:shd w:val="clear" w:color="auto" w:fill="FFFFFF"/>
            <w:vAlign w:val="bottom"/>
          </w:tcPr>
          <w:p w14:paraId="45B33F53" w14:textId="77777777" w:rsidR="006E0173" w:rsidRPr="00BE5613" w:rsidRDefault="006E0173" w:rsidP="003D4C06">
            <w:pPr>
              <w:jc w:val="center"/>
              <w:rPr>
                <w:sz w:val="22"/>
                <w:szCs w:val="22"/>
              </w:rPr>
            </w:pPr>
            <w:r w:rsidRPr="00BE5613">
              <w:rPr>
                <w:sz w:val="22"/>
                <w:szCs w:val="22"/>
              </w:rPr>
              <w:t>0.528</w:t>
            </w:r>
          </w:p>
        </w:tc>
        <w:tc>
          <w:tcPr>
            <w:tcW w:w="997" w:type="dxa"/>
            <w:tcBorders>
              <w:top w:val="nil"/>
              <w:left w:val="nil"/>
              <w:bottom w:val="nil"/>
              <w:right w:val="nil"/>
            </w:tcBorders>
            <w:shd w:val="clear" w:color="auto" w:fill="FFFFFF"/>
            <w:vAlign w:val="bottom"/>
          </w:tcPr>
          <w:p w14:paraId="08912DF8" w14:textId="77777777" w:rsidR="006E0173" w:rsidRPr="00BE5613" w:rsidRDefault="006E0173" w:rsidP="003D4C06">
            <w:pPr>
              <w:jc w:val="center"/>
              <w:rPr>
                <w:sz w:val="22"/>
                <w:szCs w:val="22"/>
              </w:rPr>
            </w:pPr>
            <w:r w:rsidRPr="00BE5613">
              <w:rPr>
                <w:sz w:val="22"/>
                <w:szCs w:val="22"/>
              </w:rPr>
              <w:t>0.185</w:t>
            </w:r>
          </w:p>
        </w:tc>
        <w:tc>
          <w:tcPr>
            <w:tcW w:w="997" w:type="dxa"/>
            <w:tcBorders>
              <w:top w:val="nil"/>
              <w:left w:val="nil"/>
              <w:bottom w:val="nil"/>
              <w:right w:val="nil"/>
            </w:tcBorders>
            <w:shd w:val="clear" w:color="auto" w:fill="FFFFFF"/>
            <w:vAlign w:val="bottom"/>
          </w:tcPr>
          <w:p w14:paraId="449D3C44" w14:textId="77777777" w:rsidR="006E0173" w:rsidRPr="00BE5613" w:rsidRDefault="006E0173" w:rsidP="003D4C06">
            <w:pPr>
              <w:jc w:val="center"/>
              <w:rPr>
                <w:sz w:val="22"/>
                <w:szCs w:val="22"/>
              </w:rPr>
            </w:pPr>
            <w:r w:rsidRPr="00BE5613">
              <w:rPr>
                <w:sz w:val="22"/>
                <w:szCs w:val="22"/>
              </w:rPr>
              <w:t>0.502</w:t>
            </w:r>
          </w:p>
        </w:tc>
        <w:tc>
          <w:tcPr>
            <w:tcW w:w="996" w:type="dxa"/>
            <w:tcBorders>
              <w:top w:val="nil"/>
              <w:left w:val="nil"/>
              <w:bottom w:val="nil"/>
            </w:tcBorders>
            <w:shd w:val="clear" w:color="auto" w:fill="FFFFFF"/>
            <w:vAlign w:val="bottom"/>
          </w:tcPr>
          <w:p w14:paraId="5F1DC6E1" w14:textId="77777777" w:rsidR="006E0173" w:rsidRPr="00BE5613" w:rsidRDefault="006E0173" w:rsidP="003D4C06">
            <w:pPr>
              <w:jc w:val="center"/>
              <w:rPr>
                <w:sz w:val="22"/>
                <w:szCs w:val="22"/>
              </w:rPr>
            </w:pPr>
            <w:r w:rsidRPr="00BE5613">
              <w:rPr>
                <w:sz w:val="22"/>
                <w:szCs w:val="22"/>
              </w:rPr>
              <w:t>0.121</w:t>
            </w:r>
          </w:p>
        </w:tc>
        <w:tc>
          <w:tcPr>
            <w:tcW w:w="997" w:type="dxa"/>
            <w:tcBorders>
              <w:top w:val="nil"/>
              <w:bottom w:val="nil"/>
            </w:tcBorders>
            <w:shd w:val="clear" w:color="auto" w:fill="FFFFFF"/>
            <w:vAlign w:val="bottom"/>
          </w:tcPr>
          <w:p w14:paraId="14639F33"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4CDF2BDD" w14:textId="77777777" w:rsidR="006E0173" w:rsidRPr="00BE5613" w:rsidRDefault="00B1472E" w:rsidP="003D4C06">
            <w:pPr>
              <w:jc w:val="center"/>
              <w:rPr>
                <w:sz w:val="22"/>
                <w:szCs w:val="22"/>
              </w:rPr>
            </w:pPr>
            <w:r w:rsidRPr="00BE5613">
              <w:rPr>
                <w:sz w:val="22"/>
                <w:szCs w:val="22"/>
              </w:rPr>
              <w:t>14</w:t>
            </w:r>
          </w:p>
        </w:tc>
      </w:tr>
      <w:tr w:rsidR="006E0173" w:rsidRPr="00BE5613" w14:paraId="1E77160A" w14:textId="77777777">
        <w:trPr>
          <w:trHeight w:val="41"/>
        </w:trPr>
        <w:tc>
          <w:tcPr>
            <w:tcW w:w="3147" w:type="dxa"/>
            <w:tcBorders>
              <w:top w:val="nil"/>
              <w:bottom w:val="nil"/>
            </w:tcBorders>
            <w:shd w:val="clear" w:color="auto" w:fill="FFFFFF"/>
            <w:vAlign w:val="center"/>
          </w:tcPr>
          <w:p w14:paraId="7E928F0E" w14:textId="77777777" w:rsidR="006E0173" w:rsidRPr="00BE5613" w:rsidRDefault="006E0173" w:rsidP="003D4C06">
            <w:pPr>
              <w:ind w:left="142" w:right="255"/>
              <w:rPr>
                <w:sz w:val="22"/>
                <w:szCs w:val="22"/>
              </w:rPr>
            </w:pPr>
            <w:r w:rsidRPr="00BE5613">
              <w:rPr>
                <w:sz w:val="22"/>
                <w:szCs w:val="22"/>
              </w:rPr>
              <w:t>Conditional score (full)</w:t>
            </w:r>
          </w:p>
        </w:tc>
        <w:tc>
          <w:tcPr>
            <w:tcW w:w="996" w:type="dxa"/>
            <w:tcBorders>
              <w:top w:val="nil"/>
              <w:bottom w:val="nil"/>
              <w:right w:val="nil"/>
            </w:tcBorders>
            <w:shd w:val="clear" w:color="auto" w:fill="FFFFFF"/>
            <w:vAlign w:val="bottom"/>
          </w:tcPr>
          <w:p w14:paraId="5787083E" w14:textId="77777777" w:rsidR="006E0173" w:rsidRPr="00BE5613" w:rsidRDefault="006E0173" w:rsidP="003D4C06">
            <w:pPr>
              <w:jc w:val="center"/>
              <w:rPr>
                <w:sz w:val="22"/>
                <w:szCs w:val="22"/>
              </w:rPr>
            </w:pPr>
            <w:r w:rsidRPr="00BE5613">
              <w:rPr>
                <w:sz w:val="22"/>
                <w:szCs w:val="22"/>
              </w:rPr>
              <w:t>0.957</w:t>
            </w:r>
          </w:p>
        </w:tc>
        <w:tc>
          <w:tcPr>
            <w:tcW w:w="997" w:type="dxa"/>
            <w:tcBorders>
              <w:top w:val="nil"/>
              <w:left w:val="nil"/>
              <w:bottom w:val="nil"/>
              <w:right w:val="nil"/>
            </w:tcBorders>
            <w:shd w:val="clear" w:color="auto" w:fill="FFFFFF"/>
            <w:vAlign w:val="bottom"/>
          </w:tcPr>
          <w:p w14:paraId="72540B9C" w14:textId="77777777" w:rsidR="006E0173" w:rsidRPr="00BE5613" w:rsidRDefault="006E0173" w:rsidP="003D4C06">
            <w:pPr>
              <w:jc w:val="center"/>
              <w:rPr>
                <w:sz w:val="22"/>
                <w:szCs w:val="22"/>
              </w:rPr>
            </w:pPr>
            <w:r w:rsidRPr="00BE5613">
              <w:rPr>
                <w:sz w:val="22"/>
                <w:szCs w:val="22"/>
              </w:rPr>
              <w:t>0.109</w:t>
            </w:r>
          </w:p>
        </w:tc>
        <w:tc>
          <w:tcPr>
            <w:tcW w:w="997" w:type="dxa"/>
            <w:tcBorders>
              <w:top w:val="nil"/>
              <w:left w:val="nil"/>
              <w:bottom w:val="nil"/>
              <w:right w:val="nil"/>
            </w:tcBorders>
            <w:shd w:val="clear" w:color="auto" w:fill="FFFFFF"/>
            <w:vAlign w:val="bottom"/>
          </w:tcPr>
          <w:p w14:paraId="1D4E5EC1" w14:textId="77777777" w:rsidR="006E0173" w:rsidRPr="00BE5613" w:rsidRDefault="006E0173" w:rsidP="003D4C06">
            <w:pPr>
              <w:jc w:val="center"/>
              <w:rPr>
                <w:sz w:val="22"/>
                <w:szCs w:val="22"/>
              </w:rPr>
            </w:pPr>
            <w:r w:rsidRPr="00BE5613">
              <w:rPr>
                <w:sz w:val="22"/>
                <w:szCs w:val="22"/>
              </w:rPr>
              <w:t>1.000</w:t>
            </w:r>
          </w:p>
        </w:tc>
        <w:tc>
          <w:tcPr>
            <w:tcW w:w="996" w:type="dxa"/>
            <w:tcBorders>
              <w:top w:val="nil"/>
              <w:left w:val="nil"/>
              <w:bottom w:val="nil"/>
            </w:tcBorders>
            <w:shd w:val="clear" w:color="auto" w:fill="FFFFFF"/>
            <w:vAlign w:val="bottom"/>
          </w:tcPr>
          <w:p w14:paraId="6295C7FC" w14:textId="77777777" w:rsidR="006E0173" w:rsidRPr="00BE5613" w:rsidRDefault="006E0173" w:rsidP="003D4C06">
            <w:pPr>
              <w:jc w:val="center"/>
              <w:rPr>
                <w:sz w:val="22"/>
                <w:szCs w:val="22"/>
              </w:rPr>
            </w:pPr>
            <w:r w:rsidRPr="00BE5613">
              <w:rPr>
                <w:sz w:val="22"/>
                <w:szCs w:val="22"/>
              </w:rPr>
              <w:t>0.375</w:t>
            </w:r>
          </w:p>
        </w:tc>
        <w:tc>
          <w:tcPr>
            <w:tcW w:w="997" w:type="dxa"/>
            <w:tcBorders>
              <w:top w:val="nil"/>
              <w:bottom w:val="nil"/>
            </w:tcBorders>
            <w:shd w:val="clear" w:color="auto" w:fill="FFFFFF"/>
            <w:vAlign w:val="bottom"/>
          </w:tcPr>
          <w:p w14:paraId="2725FF64"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77C367EE" w14:textId="77777777" w:rsidR="006E0173" w:rsidRPr="00BE5613" w:rsidRDefault="00B1472E" w:rsidP="003D4C06">
            <w:pPr>
              <w:jc w:val="center"/>
              <w:rPr>
                <w:sz w:val="22"/>
                <w:szCs w:val="22"/>
              </w:rPr>
            </w:pPr>
            <w:r w:rsidRPr="00BE5613">
              <w:rPr>
                <w:sz w:val="22"/>
                <w:szCs w:val="22"/>
              </w:rPr>
              <w:t>375</w:t>
            </w:r>
          </w:p>
        </w:tc>
      </w:tr>
      <w:tr w:rsidR="006E0173" w:rsidRPr="00BE5613" w14:paraId="29215154" w14:textId="77777777">
        <w:trPr>
          <w:trHeight w:val="41"/>
        </w:trPr>
        <w:tc>
          <w:tcPr>
            <w:tcW w:w="3147" w:type="dxa"/>
            <w:tcBorders>
              <w:top w:val="nil"/>
              <w:bottom w:val="single" w:sz="4" w:space="0" w:color="auto"/>
            </w:tcBorders>
            <w:shd w:val="clear" w:color="auto" w:fill="FFFFFF"/>
            <w:vAlign w:val="center"/>
          </w:tcPr>
          <w:p w14:paraId="59954BC8" w14:textId="77777777" w:rsidR="006E0173" w:rsidRPr="00BE5613" w:rsidRDefault="006E0173" w:rsidP="003D4C06">
            <w:pPr>
              <w:ind w:left="142" w:right="255"/>
              <w:rPr>
                <w:sz w:val="22"/>
                <w:szCs w:val="22"/>
              </w:rPr>
            </w:pPr>
            <w:r w:rsidRPr="00BE5613">
              <w:rPr>
                <w:sz w:val="22"/>
                <w:szCs w:val="22"/>
              </w:rPr>
              <w:t>UTC ratio (full)</w:t>
            </w:r>
          </w:p>
        </w:tc>
        <w:tc>
          <w:tcPr>
            <w:tcW w:w="996" w:type="dxa"/>
            <w:tcBorders>
              <w:top w:val="nil"/>
              <w:bottom w:val="single" w:sz="4" w:space="0" w:color="auto"/>
              <w:right w:val="nil"/>
            </w:tcBorders>
            <w:shd w:val="clear" w:color="auto" w:fill="FFFFFF"/>
            <w:vAlign w:val="bottom"/>
          </w:tcPr>
          <w:p w14:paraId="4F8922CE" w14:textId="77777777" w:rsidR="006E0173" w:rsidRPr="00BE5613" w:rsidRDefault="006E0173" w:rsidP="003D4C06">
            <w:pPr>
              <w:jc w:val="center"/>
              <w:rPr>
                <w:sz w:val="22"/>
                <w:szCs w:val="22"/>
              </w:rPr>
            </w:pPr>
            <w:r w:rsidRPr="00BE5613">
              <w:rPr>
                <w:sz w:val="22"/>
                <w:szCs w:val="22"/>
              </w:rPr>
              <w:t>2.018</w:t>
            </w:r>
          </w:p>
        </w:tc>
        <w:tc>
          <w:tcPr>
            <w:tcW w:w="997" w:type="dxa"/>
            <w:tcBorders>
              <w:top w:val="nil"/>
              <w:left w:val="nil"/>
              <w:bottom w:val="single" w:sz="4" w:space="0" w:color="auto"/>
              <w:right w:val="nil"/>
            </w:tcBorders>
            <w:shd w:val="clear" w:color="auto" w:fill="FFFFFF"/>
            <w:vAlign w:val="bottom"/>
          </w:tcPr>
          <w:p w14:paraId="5B0908EF" w14:textId="77777777" w:rsidR="006E0173" w:rsidRPr="00BE5613" w:rsidRDefault="006E0173" w:rsidP="003D4C06">
            <w:pPr>
              <w:jc w:val="center"/>
              <w:rPr>
                <w:sz w:val="22"/>
                <w:szCs w:val="22"/>
              </w:rPr>
            </w:pPr>
            <w:r w:rsidRPr="00BE5613">
              <w:rPr>
                <w:sz w:val="22"/>
                <w:szCs w:val="22"/>
              </w:rPr>
              <w:t>0.738</w:t>
            </w:r>
          </w:p>
        </w:tc>
        <w:tc>
          <w:tcPr>
            <w:tcW w:w="997" w:type="dxa"/>
            <w:tcBorders>
              <w:top w:val="nil"/>
              <w:left w:val="nil"/>
              <w:bottom w:val="single" w:sz="4" w:space="0" w:color="auto"/>
              <w:right w:val="nil"/>
            </w:tcBorders>
            <w:shd w:val="clear" w:color="auto" w:fill="FFFFFF"/>
            <w:vAlign w:val="bottom"/>
          </w:tcPr>
          <w:p w14:paraId="04A89956" w14:textId="77777777" w:rsidR="006E0173" w:rsidRPr="00BE5613" w:rsidRDefault="006E0173" w:rsidP="003D4C06">
            <w:pPr>
              <w:jc w:val="center"/>
              <w:rPr>
                <w:sz w:val="22"/>
                <w:szCs w:val="22"/>
              </w:rPr>
            </w:pPr>
            <w:r w:rsidRPr="00BE5613">
              <w:rPr>
                <w:sz w:val="22"/>
                <w:szCs w:val="22"/>
              </w:rPr>
              <w:t>1.895</w:t>
            </w:r>
          </w:p>
        </w:tc>
        <w:tc>
          <w:tcPr>
            <w:tcW w:w="996" w:type="dxa"/>
            <w:tcBorders>
              <w:top w:val="nil"/>
              <w:left w:val="nil"/>
              <w:bottom w:val="single" w:sz="4" w:space="0" w:color="auto"/>
            </w:tcBorders>
            <w:shd w:val="clear" w:color="auto" w:fill="FFFFFF"/>
            <w:vAlign w:val="bottom"/>
          </w:tcPr>
          <w:p w14:paraId="530F29EB" w14:textId="77777777" w:rsidR="006E0173" w:rsidRPr="00BE5613" w:rsidRDefault="006E0173" w:rsidP="003D4C06">
            <w:pPr>
              <w:jc w:val="center"/>
              <w:rPr>
                <w:sz w:val="22"/>
                <w:szCs w:val="22"/>
              </w:rPr>
            </w:pPr>
            <w:r w:rsidRPr="00BE5613">
              <w:rPr>
                <w:sz w:val="22"/>
                <w:szCs w:val="22"/>
              </w:rPr>
              <w:t>1.000</w:t>
            </w:r>
          </w:p>
        </w:tc>
        <w:tc>
          <w:tcPr>
            <w:tcW w:w="997" w:type="dxa"/>
            <w:tcBorders>
              <w:top w:val="nil"/>
              <w:bottom w:val="single" w:sz="4" w:space="0" w:color="auto"/>
            </w:tcBorders>
            <w:shd w:val="clear" w:color="auto" w:fill="FFFFFF"/>
            <w:vAlign w:val="bottom"/>
          </w:tcPr>
          <w:p w14:paraId="07C806A0" w14:textId="77777777" w:rsidR="006E0173" w:rsidRPr="00BE5613" w:rsidRDefault="006E0173" w:rsidP="003D4C06">
            <w:pPr>
              <w:jc w:val="center"/>
              <w:rPr>
                <w:sz w:val="22"/>
                <w:szCs w:val="22"/>
              </w:rPr>
            </w:pPr>
            <w:r w:rsidRPr="00BE5613">
              <w:rPr>
                <w:sz w:val="22"/>
                <w:szCs w:val="22"/>
              </w:rPr>
              <w:t>8.252</w:t>
            </w:r>
          </w:p>
        </w:tc>
        <w:tc>
          <w:tcPr>
            <w:tcW w:w="997" w:type="dxa"/>
            <w:tcBorders>
              <w:top w:val="nil"/>
              <w:bottom w:val="single" w:sz="4" w:space="0" w:color="auto"/>
            </w:tcBorders>
            <w:shd w:val="clear" w:color="auto" w:fill="FFFFFF"/>
            <w:vAlign w:val="bottom"/>
          </w:tcPr>
          <w:p w14:paraId="1FB2CAF8" w14:textId="77777777" w:rsidR="006E0173" w:rsidRPr="00BE5613" w:rsidRDefault="00B1472E" w:rsidP="003D4C06">
            <w:pPr>
              <w:jc w:val="center"/>
              <w:rPr>
                <w:sz w:val="22"/>
                <w:szCs w:val="22"/>
              </w:rPr>
            </w:pPr>
            <w:r w:rsidRPr="00BE5613">
              <w:rPr>
                <w:sz w:val="22"/>
                <w:szCs w:val="22"/>
              </w:rPr>
              <w:t>14</w:t>
            </w:r>
          </w:p>
        </w:tc>
      </w:tr>
      <w:tr w:rsidR="006E0173" w:rsidRPr="00BE5613" w14:paraId="40263325" w14:textId="77777777">
        <w:trPr>
          <w:trHeight w:val="41"/>
        </w:trPr>
        <w:tc>
          <w:tcPr>
            <w:tcW w:w="3147" w:type="dxa"/>
            <w:tcBorders>
              <w:top w:val="single" w:sz="4" w:space="0" w:color="auto"/>
              <w:bottom w:val="nil"/>
            </w:tcBorders>
            <w:shd w:val="clear" w:color="auto" w:fill="FFFFFF"/>
            <w:vAlign w:val="center"/>
          </w:tcPr>
          <w:p w14:paraId="7E39D70F" w14:textId="77777777" w:rsidR="006E0173" w:rsidRPr="00BE5613" w:rsidRDefault="006E0173" w:rsidP="003D4C06">
            <w:pPr>
              <w:ind w:left="142" w:right="255"/>
              <w:rPr>
                <w:sz w:val="22"/>
                <w:szCs w:val="22"/>
              </w:rPr>
            </w:pPr>
            <w:r w:rsidRPr="00BE5613">
              <w:rPr>
                <w:sz w:val="22"/>
                <w:szCs w:val="22"/>
              </w:rPr>
              <w:t>Unconditional score (partial)</w:t>
            </w:r>
          </w:p>
        </w:tc>
        <w:tc>
          <w:tcPr>
            <w:tcW w:w="996" w:type="dxa"/>
            <w:tcBorders>
              <w:top w:val="single" w:sz="4" w:space="0" w:color="auto"/>
              <w:bottom w:val="nil"/>
              <w:right w:val="nil"/>
            </w:tcBorders>
            <w:shd w:val="clear" w:color="auto" w:fill="FFFFFF"/>
            <w:vAlign w:val="bottom"/>
          </w:tcPr>
          <w:p w14:paraId="0BFC4899" w14:textId="77777777" w:rsidR="006E0173" w:rsidRPr="00BE5613" w:rsidRDefault="006E0173" w:rsidP="003D4C06">
            <w:pPr>
              <w:jc w:val="center"/>
              <w:rPr>
                <w:sz w:val="22"/>
                <w:szCs w:val="22"/>
              </w:rPr>
            </w:pPr>
            <w:r w:rsidRPr="00BE5613">
              <w:rPr>
                <w:sz w:val="22"/>
                <w:szCs w:val="22"/>
              </w:rPr>
              <w:t>0.544</w:t>
            </w:r>
          </w:p>
        </w:tc>
        <w:tc>
          <w:tcPr>
            <w:tcW w:w="997" w:type="dxa"/>
            <w:tcBorders>
              <w:top w:val="single" w:sz="4" w:space="0" w:color="auto"/>
              <w:left w:val="nil"/>
              <w:bottom w:val="nil"/>
              <w:right w:val="nil"/>
            </w:tcBorders>
            <w:shd w:val="clear" w:color="auto" w:fill="FFFFFF"/>
            <w:vAlign w:val="bottom"/>
          </w:tcPr>
          <w:p w14:paraId="6879C9A8" w14:textId="77777777" w:rsidR="006E0173" w:rsidRPr="00BE5613" w:rsidRDefault="006E0173" w:rsidP="003D4C06">
            <w:pPr>
              <w:jc w:val="center"/>
              <w:rPr>
                <w:sz w:val="22"/>
                <w:szCs w:val="22"/>
              </w:rPr>
            </w:pPr>
            <w:r w:rsidRPr="00BE5613">
              <w:rPr>
                <w:sz w:val="22"/>
                <w:szCs w:val="22"/>
              </w:rPr>
              <w:t>0.270</w:t>
            </w:r>
          </w:p>
        </w:tc>
        <w:tc>
          <w:tcPr>
            <w:tcW w:w="997" w:type="dxa"/>
            <w:tcBorders>
              <w:top w:val="single" w:sz="4" w:space="0" w:color="auto"/>
              <w:left w:val="nil"/>
              <w:bottom w:val="nil"/>
              <w:right w:val="nil"/>
            </w:tcBorders>
            <w:shd w:val="clear" w:color="auto" w:fill="FFFFFF"/>
            <w:vAlign w:val="bottom"/>
          </w:tcPr>
          <w:p w14:paraId="233A1517" w14:textId="77777777" w:rsidR="006E0173" w:rsidRPr="00BE5613" w:rsidRDefault="006E0173" w:rsidP="003D4C06">
            <w:pPr>
              <w:jc w:val="center"/>
              <w:rPr>
                <w:sz w:val="22"/>
                <w:szCs w:val="22"/>
              </w:rPr>
            </w:pPr>
            <w:r w:rsidRPr="00BE5613">
              <w:rPr>
                <w:sz w:val="22"/>
                <w:szCs w:val="22"/>
              </w:rPr>
              <w:t>0.522</w:t>
            </w:r>
          </w:p>
        </w:tc>
        <w:tc>
          <w:tcPr>
            <w:tcW w:w="996" w:type="dxa"/>
            <w:tcBorders>
              <w:top w:val="single" w:sz="4" w:space="0" w:color="auto"/>
              <w:left w:val="nil"/>
              <w:bottom w:val="nil"/>
            </w:tcBorders>
            <w:shd w:val="clear" w:color="auto" w:fill="FFFFFF"/>
            <w:vAlign w:val="bottom"/>
          </w:tcPr>
          <w:p w14:paraId="0647CBC8" w14:textId="77777777" w:rsidR="006E0173" w:rsidRPr="00BE5613" w:rsidRDefault="006E0173" w:rsidP="003D4C06">
            <w:pPr>
              <w:jc w:val="center"/>
              <w:rPr>
                <w:sz w:val="22"/>
                <w:szCs w:val="22"/>
              </w:rPr>
            </w:pPr>
            <w:r w:rsidRPr="00BE5613">
              <w:rPr>
                <w:sz w:val="22"/>
                <w:szCs w:val="22"/>
              </w:rPr>
              <w:t>0.003</w:t>
            </w:r>
          </w:p>
        </w:tc>
        <w:tc>
          <w:tcPr>
            <w:tcW w:w="997" w:type="dxa"/>
            <w:tcBorders>
              <w:top w:val="single" w:sz="4" w:space="0" w:color="auto"/>
              <w:bottom w:val="nil"/>
            </w:tcBorders>
            <w:shd w:val="clear" w:color="auto" w:fill="FFFFFF"/>
            <w:vAlign w:val="bottom"/>
          </w:tcPr>
          <w:p w14:paraId="0B616285" w14:textId="77777777" w:rsidR="006E0173" w:rsidRPr="00BE5613" w:rsidRDefault="006E0173" w:rsidP="003D4C06">
            <w:pPr>
              <w:jc w:val="center"/>
              <w:rPr>
                <w:sz w:val="22"/>
                <w:szCs w:val="22"/>
              </w:rPr>
            </w:pPr>
            <w:r w:rsidRPr="00BE5613">
              <w:rPr>
                <w:sz w:val="22"/>
                <w:szCs w:val="22"/>
              </w:rPr>
              <w:t>1.562</w:t>
            </w:r>
          </w:p>
        </w:tc>
        <w:tc>
          <w:tcPr>
            <w:tcW w:w="997" w:type="dxa"/>
            <w:tcBorders>
              <w:top w:val="single" w:sz="4" w:space="0" w:color="auto"/>
              <w:bottom w:val="nil"/>
            </w:tcBorders>
            <w:shd w:val="clear" w:color="auto" w:fill="FFFFFF"/>
            <w:vAlign w:val="bottom"/>
          </w:tcPr>
          <w:p w14:paraId="320D37E6" w14:textId="77777777" w:rsidR="006E0173" w:rsidRPr="00BE5613" w:rsidRDefault="006E0173" w:rsidP="003D4C06">
            <w:pPr>
              <w:jc w:val="center"/>
              <w:rPr>
                <w:sz w:val="22"/>
                <w:szCs w:val="22"/>
              </w:rPr>
            </w:pPr>
            <w:r w:rsidRPr="00BE5613">
              <w:rPr>
                <w:sz w:val="22"/>
                <w:szCs w:val="22"/>
              </w:rPr>
              <w:t>7</w:t>
            </w:r>
          </w:p>
        </w:tc>
      </w:tr>
      <w:tr w:rsidR="006E0173" w:rsidRPr="00BE5613" w14:paraId="4E688613" w14:textId="77777777">
        <w:trPr>
          <w:trHeight w:val="41"/>
        </w:trPr>
        <w:tc>
          <w:tcPr>
            <w:tcW w:w="3147" w:type="dxa"/>
            <w:tcBorders>
              <w:top w:val="nil"/>
              <w:bottom w:val="nil"/>
            </w:tcBorders>
            <w:shd w:val="clear" w:color="auto" w:fill="FFFFFF"/>
            <w:vAlign w:val="center"/>
          </w:tcPr>
          <w:p w14:paraId="1484DBF3" w14:textId="77777777" w:rsidR="006E0173" w:rsidRPr="00BE5613" w:rsidRDefault="006E0173" w:rsidP="003D4C06">
            <w:pPr>
              <w:ind w:left="142" w:right="255"/>
              <w:rPr>
                <w:sz w:val="22"/>
                <w:szCs w:val="22"/>
              </w:rPr>
            </w:pPr>
            <w:r w:rsidRPr="00BE5613">
              <w:rPr>
                <w:sz w:val="22"/>
                <w:szCs w:val="22"/>
              </w:rPr>
              <w:t>Conditional score (partial)</w:t>
            </w:r>
          </w:p>
        </w:tc>
        <w:tc>
          <w:tcPr>
            <w:tcW w:w="996" w:type="dxa"/>
            <w:tcBorders>
              <w:top w:val="nil"/>
              <w:bottom w:val="nil"/>
              <w:right w:val="nil"/>
            </w:tcBorders>
            <w:shd w:val="clear" w:color="auto" w:fill="FFFFFF"/>
            <w:vAlign w:val="bottom"/>
          </w:tcPr>
          <w:p w14:paraId="47F6B405" w14:textId="77777777" w:rsidR="006E0173" w:rsidRPr="00BE5613" w:rsidRDefault="006E0173" w:rsidP="003D4C06">
            <w:pPr>
              <w:jc w:val="center"/>
              <w:rPr>
                <w:sz w:val="22"/>
                <w:szCs w:val="22"/>
              </w:rPr>
            </w:pPr>
            <w:r w:rsidRPr="00BE5613">
              <w:rPr>
                <w:sz w:val="22"/>
                <w:szCs w:val="22"/>
              </w:rPr>
              <w:t>0.811</w:t>
            </w:r>
          </w:p>
        </w:tc>
        <w:tc>
          <w:tcPr>
            <w:tcW w:w="997" w:type="dxa"/>
            <w:tcBorders>
              <w:top w:val="nil"/>
              <w:left w:val="nil"/>
              <w:bottom w:val="nil"/>
              <w:right w:val="nil"/>
            </w:tcBorders>
            <w:shd w:val="clear" w:color="auto" w:fill="FFFFFF"/>
            <w:vAlign w:val="bottom"/>
          </w:tcPr>
          <w:p w14:paraId="5E650D3D" w14:textId="77777777" w:rsidR="006E0173" w:rsidRPr="00BE5613" w:rsidRDefault="006E0173" w:rsidP="003D4C06">
            <w:pPr>
              <w:jc w:val="center"/>
              <w:rPr>
                <w:sz w:val="22"/>
                <w:szCs w:val="22"/>
              </w:rPr>
            </w:pPr>
            <w:r w:rsidRPr="00BE5613">
              <w:rPr>
                <w:sz w:val="22"/>
                <w:szCs w:val="22"/>
              </w:rPr>
              <w:t>0.353</w:t>
            </w:r>
          </w:p>
        </w:tc>
        <w:tc>
          <w:tcPr>
            <w:tcW w:w="997" w:type="dxa"/>
            <w:tcBorders>
              <w:top w:val="nil"/>
              <w:left w:val="nil"/>
              <w:bottom w:val="nil"/>
              <w:right w:val="nil"/>
            </w:tcBorders>
            <w:shd w:val="clear" w:color="auto" w:fill="FFFFFF"/>
            <w:vAlign w:val="bottom"/>
          </w:tcPr>
          <w:p w14:paraId="65B9CCCD" w14:textId="77777777" w:rsidR="006E0173" w:rsidRPr="00BE5613" w:rsidRDefault="006E0173" w:rsidP="003D4C06">
            <w:pPr>
              <w:jc w:val="center"/>
              <w:rPr>
                <w:sz w:val="22"/>
                <w:szCs w:val="22"/>
              </w:rPr>
            </w:pPr>
            <w:r w:rsidRPr="00BE5613">
              <w:rPr>
                <w:sz w:val="22"/>
                <w:szCs w:val="22"/>
              </w:rPr>
              <w:t>0.866</w:t>
            </w:r>
          </w:p>
        </w:tc>
        <w:tc>
          <w:tcPr>
            <w:tcW w:w="996" w:type="dxa"/>
            <w:tcBorders>
              <w:top w:val="nil"/>
              <w:left w:val="nil"/>
              <w:bottom w:val="nil"/>
            </w:tcBorders>
            <w:shd w:val="clear" w:color="auto" w:fill="FFFFFF"/>
            <w:vAlign w:val="bottom"/>
          </w:tcPr>
          <w:p w14:paraId="23F2C70A" w14:textId="77777777" w:rsidR="006E0173" w:rsidRPr="00BE5613" w:rsidRDefault="006E0173" w:rsidP="003D4C06">
            <w:pPr>
              <w:jc w:val="center"/>
              <w:rPr>
                <w:sz w:val="22"/>
                <w:szCs w:val="22"/>
              </w:rPr>
            </w:pPr>
            <w:r w:rsidRPr="00BE5613">
              <w:rPr>
                <w:sz w:val="22"/>
                <w:szCs w:val="22"/>
              </w:rPr>
              <w:t>0.003</w:t>
            </w:r>
          </w:p>
        </w:tc>
        <w:tc>
          <w:tcPr>
            <w:tcW w:w="997" w:type="dxa"/>
            <w:tcBorders>
              <w:top w:val="nil"/>
              <w:bottom w:val="nil"/>
            </w:tcBorders>
            <w:shd w:val="clear" w:color="auto" w:fill="FFFFFF"/>
            <w:vAlign w:val="bottom"/>
          </w:tcPr>
          <w:p w14:paraId="33CA9A0F" w14:textId="77777777" w:rsidR="006E0173" w:rsidRPr="00BE5613" w:rsidRDefault="006E0173" w:rsidP="003D4C06">
            <w:pPr>
              <w:jc w:val="center"/>
              <w:rPr>
                <w:sz w:val="22"/>
                <w:szCs w:val="22"/>
              </w:rPr>
            </w:pPr>
            <w:r w:rsidRPr="00BE5613">
              <w:rPr>
                <w:sz w:val="22"/>
                <w:szCs w:val="22"/>
              </w:rPr>
              <w:t>3.431</w:t>
            </w:r>
          </w:p>
        </w:tc>
        <w:tc>
          <w:tcPr>
            <w:tcW w:w="997" w:type="dxa"/>
            <w:tcBorders>
              <w:top w:val="nil"/>
              <w:bottom w:val="nil"/>
            </w:tcBorders>
            <w:shd w:val="clear" w:color="auto" w:fill="FFFFFF"/>
            <w:vAlign w:val="bottom"/>
          </w:tcPr>
          <w:p w14:paraId="7E84F99A" w14:textId="77777777" w:rsidR="006E0173" w:rsidRPr="00BE5613" w:rsidRDefault="00B1472E" w:rsidP="003D4C06">
            <w:pPr>
              <w:jc w:val="center"/>
              <w:rPr>
                <w:sz w:val="22"/>
                <w:szCs w:val="22"/>
              </w:rPr>
            </w:pPr>
            <w:r w:rsidRPr="00BE5613">
              <w:rPr>
                <w:sz w:val="22"/>
                <w:szCs w:val="22"/>
              </w:rPr>
              <w:t>30</w:t>
            </w:r>
          </w:p>
        </w:tc>
      </w:tr>
      <w:tr w:rsidR="006E0173" w:rsidRPr="00BE5613" w14:paraId="6F9678D3" w14:textId="77777777">
        <w:trPr>
          <w:trHeight w:val="41"/>
        </w:trPr>
        <w:tc>
          <w:tcPr>
            <w:tcW w:w="3147" w:type="dxa"/>
            <w:tcBorders>
              <w:top w:val="nil"/>
              <w:bottom w:val="nil"/>
            </w:tcBorders>
            <w:shd w:val="clear" w:color="auto" w:fill="FFFFFF"/>
            <w:vAlign w:val="center"/>
          </w:tcPr>
          <w:p w14:paraId="1AEC6DEE" w14:textId="77777777" w:rsidR="006E0173" w:rsidRPr="00BE5613" w:rsidRDefault="006E0173" w:rsidP="003D4C06">
            <w:pPr>
              <w:ind w:left="142" w:right="255"/>
              <w:rPr>
                <w:sz w:val="22"/>
                <w:szCs w:val="22"/>
              </w:rPr>
            </w:pPr>
            <w:r w:rsidRPr="00BE5613">
              <w:rPr>
                <w:sz w:val="22"/>
                <w:szCs w:val="22"/>
              </w:rPr>
              <w:t>UTC ratio (partial)</w:t>
            </w:r>
          </w:p>
        </w:tc>
        <w:tc>
          <w:tcPr>
            <w:tcW w:w="996" w:type="dxa"/>
            <w:tcBorders>
              <w:top w:val="nil"/>
              <w:bottom w:val="nil"/>
              <w:right w:val="nil"/>
            </w:tcBorders>
            <w:shd w:val="clear" w:color="auto" w:fill="FFFFFF"/>
            <w:vAlign w:val="bottom"/>
          </w:tcPr>
          <w:p w14:paraId="7B4213EE" w14:textId="77777777" w:rsidR="006E0173" w:rsidRPr="00BE5613" w:rsidRDefault="006E0173" w:rsidP="003D4C06">
            <w:pPr>
              <w:jc w:val="center"/>
              <w:rPr>
                <w:sz w:val="22"/>
                <w:szCs w:val="22"/>
              </w:rPr>
            </w:pPr>
            <w:r w:rsidRPr="00BE5613">
              <w:rPr>
                <w:sz w:val="22"/>
                <w:szCs w:val="22"/>
              </w:rPr>
              <w:t>0.753</w:t>
            </w:r>
          </w:p>
        </w:tc>
        <w:tc>
          <w:tcPr>
            <w:tcW w:w="997" w:type="dxa"/>
            <w:tcBorders>
              <w:top w:val="nil"/>
              <w:left w:val="nil"/>
              <w:bottom w:val="nil"/>
              <w:right w:val="nil"/>
            </w:tcBorders>
            <w:shd w:val="clear" w:color="auto" w:fill="FFFFFF"/>
            <w:vAlign w:val="bottom"/>
          </w:tcPr>
          <w:p w14:paraId="310394D0" w14:textId="77777777" w:rsidR="006E0173" w:rsidRPr="00BE5613" w:rsidRDefault="006E0173" w:rsidP="003D4C06">
            <w:pPr>
              <w:jc w:val="center"/>
              <w:rPr>
                <w:sz w:val="22"/>
                <w:szCs w:val="22"/>
              </w:rPr>
            </w:pPr>
            <w:r w:rsidRPr="00BE5613">
              <w:rPr>
                <w:sz w:val="22"/>
                <w:szCs w:val="22"/>
              </w:rPr>
              <w:t>0.281</w:t>
            </w:r>
          </w:p>
        </w:tc>
        <w:tc>
          <w:tcPr>
            <w:tcW w:w="997" w:type="dxa"/>
            <w:tcBorders>
              <w:top w:val="nil"/>
              <w:left w:val="nil"/>
              <w:bottom w:val="nil"/>
              <w:right w:val="nil"/>
            </w:tcBorders>
            <w:shd w:val="clear" w:color="auto" w:fill="FFFFFF"/>
            <w:vAlign w:val="bottom"/>
          </w:tcPr>
          <w:p w14:paraId="7170B312" w14:textId="77777777" w:rsidR="006E0173" w:rsidRPr="00BE5613" w:rsidRDefault="006E0173" w:rsidP="003D4C06">
            <w:pPr>
              <w:jc w:val="center"/>
              <w:rPr>
                <w:sz w:val="22"/>
                <w:szCs w:val="22"/>
              </w:rPr>
            </w:pPr>
            <w:r w:rsidRPr="00BE5613">
              <w:rPr>
                <w:sz w:val="22"/>
                <w:szCs w:val="22"/>
              </w:rPr>
              <w:t>0.814</w:t>
            </w:r>
          </w:p>
        </w:tc>
        <w:tc>
          <w:tcPr>
            <w:tcW w:w="996" w:type="dxa"/>
            <w:tcBorders>
              <w:top w:val="nil"/>
              <w:left w:val="nil"/>
              <w:bottom w:val="nil"/>
            </w:tcBorders>
            <w:shd w:val="clear" w:color="auto" w:fill="FFFFFF"/>
            <w:vAlign w:val="bottom"/>
          </w:tcPr>
          <w:p w14:paraId="0B92ACA2" w14:textId="77777777" w:rsidR="006E0173" w:rsidRPr="00BE5613" w:rsidRDefault="006E0173" w:rsidP="003D4C06">
            <w:pPr>
              <w:jc w:val="center"/>
              <w:rPr>
                <w:sz w:val="22"/>
                <w:szCs w:val="22"/>
              </w:rPr>
            </w:pPr>
            <w:r w:rsidRPr="00BE5613">
              <w:rPr>
                <w:sz w:val="22"/>
                <w:szCs w:val="22"/>
              </w:rPr>
              <w:t>0.003</w:t>
            </w:r>
          </w:p>
        </w:tc>
        <w:tc>
          <w:tcPr>
            <w:tcW w:w="997" w:type="dxa"/>
            <w:tcBorders>
              <w:top w:val="nil"/>
              <w:bottom w:val="nil"/>
            </w:tcBorders>
            <w:shd w:val="clear" w:color="auto" w:fill="FFFFFF"/>
            <w:vAlign w:val="bottom"/>
          </w:tcPr>
          <w:p w14:paraId="14F57655" w14:textId="77777777" w:rsidR="006E0173" w:rsidRPr="00BE5613" w:rsidRDefault="006E0173" w:rsidP="003D4C06">
            <w:pPr>
              <w:jc w:val="center"/>
              <w:rPr>
                <w:sz w:val="22"/>
                <w:szCs w:val="22"/>
              </w:rPr>
            </w:pPr>
            <w:r w:rsidRPr="00BE5613">
              <w:rPr>
                <w:sz w:val="22"/>
                <w:szCs w:val="22"/>
              </w:rPr>
              <w:t>1.880</w:t>
            </w:r>
          </w:p>
        </w:tc>
        <w:tc>
          <w:tcPr>
            <w:tcW w:w="997" w:type="dxa"/>
            <w:tcBorders>
              <w:top w:val="nil"/>
              <w:bottom w:val="nil"/>
            </w:tcBorders>
            <w:shd w:val="clear" w:color="auto" w:fill="FFFFFF"/>
            <w:vAlign w:val="bottom"/>
          </w:tcPr>
          <w:p w14:paraId="27C94630" w14:textId="77777777" w:rsidR="006E0173" w:rsidRPr="00BE5613" w:rsidRDefault="00B1472E" w:rsidP="003D4C06">
            <w:pPr>
              <w:jc w:val="center"/>
              <w:rPr>
                <w:sz w:val="22"/>
                <w:szCs w:val="22"/>
              </w:rPr>
            </w:pPr>
            <w:r w:rsidRPr="00BE5613">
              <w:rPr>
                <w:sz w:val="22"/>
                <w:szCs w:val="22"/>
              </w:rPr>
              <w:t>39</w:t>
            </w:r>
          </w:p>
        </w:tc>
      </w:tr>
      <w:tr w:rsidR="006E0173" w:rsidRPr="00BE5613" w14:paraId="0AE8D233" w14:textId="77777777">
        <w:trPr>
          <w:trHeight w:val="41"/>
        </w:trPr>
        <w:tc>
          <w:tcPr>
            <w:tcW w:w="3147" w:type="dxa"/>
            <w:tcBorders>
              <w:bottom w:val="nil"/>
            </w:tcBorders>
            <w:shd w:val="clear" w:color="auto" w:fill="E6E6E6"/>
            <w:vAlign w:val="center"/>
          </w:tcPr>
          <w:p w14:paraId="7AA62B3D" w14:textId="77777777" w:rsidR="006E0173" w:rsidRPr="00BE5613" w:rsidRDefault="006E0173" w:rsidP="003D4C06">
            <w:pPr>
              <w:ind w:left="142" w:right="255"/>
              <w:rPr>
                <w:sz w:val="22"/>
                <w:szCs w:val="22"/>
              </w:rPr>
            </w:pPr>
            <w:r w:rsidRPr="00BE5613">
              <w:rPr>
                <w:sz w:val="22"/>
                <w:szCs w:val="22"/>
              </w:rPr>
              <w:t>Model III</w:t>
            </w:r>
          </w:p>
        </w:tc>
        <w:tc>
          <w:tcPr>
            <w:tcW w:w="996" w:type="dxa"/>
            <w:tcBorders>
              <w:bottom w:val="nil"/>
              <w:right w:val="nil"/>
            </w:tcBorders>
            <w:shd w:val="clear" w:color="auto" w:fill="E6E6E6"/>
            <w:vAlign w:val="center"/>
          </w:tcPr>
          <w:p w14:paraId="53D5B546"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489830D8"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1196B653" w14:textId="77777777" w:rsidR="006E0173" w:rsidRPr="00BE5613" w:rsidRDefault="006E0173" w:rsidP="003D4C06">
            <w:pPr>
              <w:tabs>
                <w:tab w:val="left" w:pos="1673"/>
              </w:tabs>
              <w:ind w:left="224" w:right="114" w:hanging="142"/>
              <w:rPr>
                <w:sz w:val="22"/>
                <w:szCs w:val="22"/>
              </w:rPr>
            </w:pPr>
          </w:p>
        </w:tc>
        <w:tc>
          <w:tcPr>
            <w:tcW w:w="996" w:type="dxa"/>
            <w:tcBorders>
              <w:left w:val="nil"/>
              <w:bottom w:val="nil"/>
            </w:tcBorders>
            <w:shd w:val="clear" w:color="auto" w:fill="E6E6E6"/>
            <w:vAlign w:val="center"/>
          </w:tcPr>
          <w:p w14:paraId="5DDD3830" w14:textId="77777777" w:rsidR="006E0173" w:rsidRPr="00BE5613" w:rsidRDefault="006E0173" w:rsidP="003D4C06">
            <w:pPr>
              <w:tabs>
                <w:tab w:val="left" w:pos="1673"/>
              </w:tabs>
              <w:ind w:left="224" w:right="114" w:hanging="142"/>
              <w:rPr>
                <w:sz w:val="22"/>
                <w:szCs w:val="22"/>
              </w:rPr>
            </w:pPr>
          </w:p>
        </w:tc>
        <w:tc>
          <w:tcPr>
            <w:tcW w:w="997" w:type="dxa"/>
            <w:tcBorders>
              <w:bottom w:val="nil"/>
            </w:tcBorders>
            <w:shd w:val="clear" w:color="auto" w:fill="E6E6E6"/>
            <w:vAlign w:val="center"/>
          </w:tcPr>
          <w:p w14:paraId="0AC15F75" w14:textId="77777777" w:rsidR="006E0173" w:rsidRPr="00BE5613" w:rsidRDefault="006E0173" w:rsidP="003D4C06">
            <w:pPr>
              <w:tabs>
                <w:tab w:val="left" w:pos="1673"/>
              </w:tabs>
              <w:jc w:val="center"/>
              <w:rPr>
                <w:sz w:val="22"/>
                <w:szCs w:val="22"/>
              </w:rPr>
            </w:pPr>
          </w:p>
        </w:tc>
        <w:tc>
          <w:tcPr>
            <w:tcW w:w="997" w:type="dxa"/>
            <w:tcBorders>
              <w:bottom w:val="nil"/>
            </w:tcBorders>
            <w:shd w:val="clear" w:color="auto" w:fill="E6E6E6"/>
            <w:vAlign w:val="center"/>
          </w:tcPr>
          <w:p w14:paraId="3777D310" w14:textId="77777777" w:rsidR="006E0173" w:rsidRPr="00BE5613" w:rsidRDefault="006E0173" w:rsidP="003D4C06">
            <w:pPr>
              <w:jc w:val="center"/>
              <w:rPr>
                <w:sz w:val="22"/>
                <w:szCs w:val="22"/>
              </w:rPr>
            </w:pPr>
          </w:p>
        </w:tc>
      </w:tr>
      <w:tr w:rsidR="00B1472E" w:rsidRPr="00BE5613" w14:paraId="300096D0" w14:textId="77777777">
        <w:trPr>
          <w:trHeight w:val="41"/>
        </w:trPr>
        <w:tc>
          <w:tcPr>
            <w:tcW w:w="3147" w:type="dxa"/>
            <w:tcBorders>
              <w:top w:val="nil"/>
              <w:bottom w:val="nil"/>
            </w:tcBorders>
            <w:shd w:val="clear" w:color="auto" w:fill="FFFFFF"/>
            <w:vAlign w:val="center"/>
          </w:tcPr>
          <w:p w14:paraId="20D4A9A6" w14:textId="77777777" w:rsidR="00B1472E" w:rsidRPr="00BE5613" w:rsidRDefault="00B1472E" w:rsidP="003D4C06">
            <w:pPr>
              <w:ind w:left="142" w:right="255"/>
              <w:rPr>
                <w:sz w:val="22"/>
                <w:szCs w:val="22"/>
              </w:rPr>
            </w:pPr>
            <w:r w:rsidRPr="00BE5613">
              <w:rPr>
                <w:sz w:val="22"/>
                <w:szCs w:val="22"/>
              </w:rPr>
              <w:t>Unconditional score (full)</w:t>
            </w:r>
          </w:p>
        </w:tc>
        <w:tc>
          <w:tcPr>
            <w:tcW w:w="996" w:type="dxa"/>
            <w:tcBorders>
              <w:top w:val="nil"/>
              <w:bottom w:val="nil"/>
              <w:right w:val="nil"/>
            </w:tcBorders>
            <w:shd w:val="clear" w:color="auto" w:fill="FFFFFF"/>
            <w:vAlign w:val="bottom"/>
          </w:tcPr>
          <w:p w14:paraId="197D04D9" w14:textId="77777777" w:rsidR="00B1472E" w:rsidRPr="00BE5613" w:rsidRDefault="00B1472E" w:rsidP="003D4C06">
            <w:pPr>
              <w:jc w:val="center"/>
              <w:rPr>
                <w:sz w:val="22"/>
                <w:szCs w:val="22"/>
              </w:rPr>
            </w:pPr>
            <w:r w:rsidRPr="00BE5613">
              <w:rPr>
                <w:sz w:val="22"/>
                <w:szCs w:val="22"/>
              </w:rPr>
              <w:t>0.456</w:t>
            </w:r>
          </w:p>
        </w:tc>
        <w:tc>
          <w:tcPr>
            <w:tcW w:w="997" w:type="dxa"/>
            <w:tcBorders>
              <w:top w:val="nil"/>
              <w:left w:val="nil"/>
              <w:bottom w:val="nil"/>
              <w:right w:val="nil"/>
            </w:tcBorders>
            <w:shd w:val="clear" w:color="auto" w:fill="FFFFFF"/>
            <w:vAlign w:val="bottom"/>
          </w:tcPr>
          <w:p w14:paraId="6C2FAD81" w14:textId="77777777" w:rsidR="00B1472E" w:rsidRPr="00BE5613" w:rsidRDefault="00B1472E" w:rsidP="003D4C06">
            <w:pPr>
              <w:jc w:val="center"/>
              <w:rPr>
                <w:sz w:val="22"/>
                <w:szCs w:val="22"/>
              </w:rPr>
            </w:pPr>
            <w:r w:rsidRPr="00BE5613">
              <w:rPr>
                <w:sz w:val="22"/>
                <w:szCs w:val="22"/>
              </w:rPr>
              <w:t>0.214</w:t>
            </w:r>
          </w:p>
        </w:tc>
        <w:tc>
          <w:tcPr>
            <w:tcW w:w="997" w:type="dxa"/>
            <w:tcBorders>
              <w:top w:val="nil"/>
              <w:left w:val="nil"/>
              <w:bottom w:val="nil"/>
              <w:right w:val="nil"/>
            </w:tcBorders>
            <w:shd w:val="clear" w:color="auto" w:fill="FFFFFF"/>
            <w:vAlign w:val="bottom"/>
          </w:tcPr>
          <w:p w14:paraId="7C20224C" w14:textId="77777777" w:rsidR="00B1472E" w:rsidRPr="00BE5613" w:rsidRDefault="00B1472E" w:rsidP="003D4C06">
            <w:pPr>
              <w:jc w:val="center"/>
              <w:rPr>
                <w:sz w:val="22"/>
                <w:szCs w:val="22"/>
              </w:rPr>
            </w:pPr>
            <w:r w:rsidRPr="00BE5613">
              <w:rPr>
                <w:sz w:val="22"/>
                <w:szCs w:val="22"/>
              </w:rPr>
              <w:t>0.438</w:t>
            </w:r>
          </w:p>
        </w:tc>
        <w:tc>
          <w:tcPr>
            <w:tcW w:w="996" w:type="dxa"/>
            <w:tcBorders>
              <w:top w:val="nil"/>
              <w:left w:val="nil"/>
              <w:bottom w:val="nil"/>
            </w:tcBorders>
            <w:shd w:val="clear" w:color="auto" w:fill="FFFFFF"/>
            <w:vAlign w:val="bottom"/>
          </w:tcPr>
          <w:p w14:paraId="77D0C84C" w14:textId="77777777" w:rsidR="00B1472E" w:rsidRPr="00BE5613" w:rsidRDefault="00B1472E" w:rsidP="003D4C06">
            <w:pPr>
              <w:jc w:val="center"/>
              <w:rPr>
                <w:sz w:val="22"/>
                <w:szCs w:val="22"/>
              </w:rPr>
            </w:pPr>
            <w:r w:rsidRPr="00BE5613">
              <w:rPr>
                <w:sz w:val="22"/>
                <w:szCs w:val="22"/>
              </w:rPr>
              <w:t>0.002</w:t>
            </w:r>
          </w:p>
        </w:tc>
        <w:tc>
          <w:tcPr>
            <w:tcW w:w="997" w:type="dxa"/>
            <w:tcBorders>
              <w:top w:val="nil"/>
              <w:bottom w:val="nil"/>
            </w:tcBorders>
            <w:shd w:val="clear" w:color="auto" w:fill="FFFFFF"/>
            <w:vAlign w:val="bottom"/>
          </w:tcPr>
          <w:p w14:paraId="1FA11435" w14:textId="77777777" w:rsidR="00B1472E" w:rsidRPr="00BE5613" w:rsidRDefault="00B1472E"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0190EDD4" w14:textId="77777777" w:rsidR="00B1472E" w:rsidRPr="00BE5613" w:rsidRDefault="00B1472E" w:rsidP="003D4C06">
            <w:pPr>
              <w:jc w:val="center"/>
              <w:rPr>
                <w:sz w:val="22"/>
                <w:szCs w:val="22"/>
              </w:rPr>
            </w:pPr>
            <w:r w:rsidRPr="00BE5613">
              <w:rPr>
                <w:sz w:val="22"/>
                <w:szCs w:val="22"/>
              </w:rPr>
              <w:t>9</w:t>
            </w:r>
          </w:p>
        </w:tc>
      </w:tr>
      <w:tr w:rsidR="00B1472E" w:rsidRPr="00BE5613" w14:paraId="4051B033" w14:textId="77777777">
        <w:trPr>
          <w:trHeight w:val="41"/>
        </w:trPr>
        <w:tc>
          <w:tcPr>
            <w:tcW w:w="3147" w:type="dxa"/>
            <w:tcBorders>
              <w:top w:val="nil"/>
              <w:bottom w:val="nil"/>
            </w:tcBorders>
            <w:shd w:val="clear" w:color="auto" w:fill="FFFFFF"/>
            <w:vAlign w:val="center"/>
          </w:tcPr>
          <w:p w14:paraId="21A67744" w14:textId="77777777" w:rsidR="00B1472E" w:rsidRPr="00BE5613" w:rsidRDefault="00B1472E" w:rsidP="003D4C06">
            <w:pPr>
              <w:ind w:left="142" w:right="255"/>
              <w:rPr>
                <w:sz w:val="22"/>
                <w:szCs w:val="22"/>
              </w:rPr>
            </w:pPr>
            <w:r w:rsidRPr="00BE5613">
              <w:rPr>
                <w:sz w:val="22"/>
                <w:szCs w:val="22"/>
              </w:rPr>
              <w:t>Conditional score (full)</w:t>
            </w:r>
          </w:p>
        </w:tc>
        <w:tc>
          <w:tcPr>
            <w:tcW w:w="996" w:type="dxa"/>
            <w:tcBorders>
              <w:top w:val="nil"/>
              <w:bottom w:val="nil"/>
              <w:right w:val="nil"/>
            </w:tcBorders>
            <w:shd w:val="clear" w:color="auto" w:fill="FFFFFF"/>
            <w:vAlign w:val="bottom"/>
          </w:tcPr>
          <w:p w14:paraId="0A3A388C" w14:textId="77777777" w:rsidR="00B1472E" w:rsidRPr="00BE5613" w:rsidRDefault="00B1472E" w:rsidP="003D4C06">
            <w:pPr>
              <w:jc w:val="center"/>
              <w:rPr>
                <w:sz w:val="22"/>
                <w:szCs w:val="22"/>
              </w:rPr>
            </w:pPr>
            <w:r w:rsidRPr="00BE5613">
              <w:rPr>
                <w:sz w:val="22"/>
                <w:szCs w:val="22"/>
              </w:rPr>
              <w:t>0.880</w:t>
            </w:r>
          </w:p>
        </w:tc>
        <w:tc>
          <w:tcPr>
            <w:tcW w:w="997" w:type="dxa"/>
            <w:tcBorders>
              <w:top w:val="nil"/>
              <w:left w:val="nil"/>
              <w:bottom w:val="nil"/>
              <w:right w:val="nil"/>
            </w:tcBorders>
            <w:shd w:val="clear" w:color="auto" w:fill="FFFFFF"/>
            <w:vAlign w:val="bottom"/>
          </w:tcPr>
          <w:p w14:paraId="7697FD9A" w14:textId="77777777" w:rsidR="00B1472E" w:rsidRPr="00BE5613" w:rsidRDefault="00B1472E" w:rsidP="003D4C06">
            <w:pPr>
              <w:jc w:val="center"/>
              <w:rPr>
                <w:sz w:val="22"/>
                <w:szCs w:val="22"/>
              </w:rPr>
            </w:pPr>
            <w:r w:rsidRPr="00BE5613">
              <w:rPr>
                <w:sz w:val="22"/>
                <w:szCs w:val="22"/>
              </w:rPr>
              <w:t>0.230</w:t>
            </w:r>
          </w:p>
        </w:tc>
        <w:tc>
          <w:tcPr>
            <w:tcW w:w="997" w:type="dxa"/>
            <w:tcBorders>
              <w:top w:val="nil"/>
              <w:left w:val="nil"/>
              <w:bottom w:val="nil"/>
              <w:right w:val="nil"/>
            </w:tcBorders>
            <w:shd w:val="clear" w:color="auto" w:fill="FFFFFF"/>
            <w:vAlign w:val="bottom"/>
          </w:tcPr>
          <w:p w14:paraId="3FE901FB" w14:textId="77777777" w:rsidR="00B1472E" w:rsidRPr="00BE5613" w:rsidRDefault="00B1472E" w:rsidP="003D4C06">
            <w:pPr>
              <w:jc w:val="center"/>
              <w:rPr>
                <w:sz w:val="22"/>
                <w:szCs w:val="22"/>
              </w:rPr>
            </w:pPr>
            <w:r w:rsidRPr="00BE5613">
              <w:rPr>
                <w:sz w:val="22"/>
                <w:szCs w:val="22"/>
              </w:rPr>
              <w:t>1.000</w:t>
            </w:r>
          </w:p>
        </w:tc>
        <w:tc>
          <w:tcPr>
            <w:tcW w:w="996" w:type="dxa"/>
            <w:tcBorders>
              <w:top w:val="nil"/>
              <w:left w:val="nil"/>
              <w:bottom w:val="nil"/>
            </w:tcBorders>
            <w:shd w:val="clear" w:color="auto" w:fill="FFFFFF"/>
            <w:vAlign w:val="bottom"/>
          </w:tcPr>
          <w:p w14:paraId="68FDD42C" w14:textId="77777777" w:rsidR="00B1472E" w:rsidRPr="00BE5613" w:rsidRDefault="00B1472E" w:rsidP="003D4C06">
            <w:pPr>
              <w:jc w:val="center"/>
              <w:rPr>
                <w:sz w:val="22"/>
                <w:szCs w:val="22"/>
              </w:rPr>
            </w:pPr>
            <w:r w:rsidRPr="00BE5613">
              <w:rPr>
                <w:sz w:val="22"/>
                <w:szCs w:val="22"/>
              </w:rPr>
              <w:t>0.012</w:t>
            </w:r>
          </w:p>
        </w:tc>
        <w:tc>
          <w:tcPr>
            <w:tcW w:w="997" w:type="dxa"/>
            <w:tcBorders>
              <w:top w:val="nil"/>
              <w:bottom w:val="nil"/>
            </w:tcBorders>
            <w:shd w:val="clear" w:color="auto" w:fill="FFFFFF"/>
            <w:vAlign w:val="bottom"/>
          </w:tcPr>
          <w:p w14:paraId="6CC17B97" w14:textId="77777777" w:rsidR="00B1472E" w:rsidRPr="00BE5613" w:rsidRDefault="00B1472E"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55AF475D" w14:textId="77777777" w:rsidR="00B1472E" w:rsidRPr="00BE5613" w:rsidRDefault="00B1472E" w:rsidP="003D4C06">
            <w:pPr>
              <w:jc w:val="center"/>
              <w:rPr>
                <w:sz w:val="22"/>
                <w:szCs w:val="22"/>
              </w:rPr>
            </w:pPr>
            <w:r w:rsidRPr="00BE5613">
              <w:rPr>
                <w:sz w:val="22"/>
                <w:szCs w:val="22"/>
              </w:rPr>
              <w:t>338</w:t>
            </w:r>
          </w:p>
        </w:tc>
      </w:tr>
      <w:tr w:rsidR="00B1472E" w:rsidRPr="00BE5613" w14:paraId="47EA92A6" w14:textId="77777777">
        <w:trPr>
          <w:trHeight w:val="41"/>
        </w:trPr>
        <w:tc>
          <w:tcPr>
            <w:tcW w:w="3147" w:type="dxa"/>
            <w:tcBorders>
              <w:top w:val="nil"/>
              <w:bottom w:val="single" w:sz="4" w:space="0" w:color="auto"/>
            </w:tcBorders>
            <w:shd w:val="clear" w:color="auto" w:fill="FFFFFF"/>
            <w:vAlign w:val="center"/>
          </w:tcPr>
          <w:p w14:paraId="18E16035" w14:textId="77777777" w:rsidR="00B1472E" w:rsidRPr="00BE5613" w:rsidRDefault="00B1472E" w:rsidP="003D4C06">
            <w:pPr>
              <w:ind w:left="142" w:right="255"/>
              <w:rPr>
                <w:sz w:val="22"/>
                <w:szCs w:val="22"/>
              </w:rPr>
            </w:pPr>
            <w:r w:rsidRPr="00BE5613">
              <w:rPr>
                <w:sz w:val="22"/>
                <w:szCs w:val="22"/>
              </w:rPr>
              <w:t>UTC ratio (full)</w:t>
            </w:r>
          </w:p>
        </w:tc>
        <w:tc>
          <w:tcPr>
            <w:tcW w:w="996" w:type="dxa"/>
            <w:tcBorders>
              <w:top w:val="nil"/>
              <w:bottom w:val="single" w:sz="4" w:space="0" w:color="auto"/>
              <w:right w:val="nil"/>
            </w:tcBorders>
            <w:shd w:val="clear" w:color="auto" w:fill="FFFFFF"/>
            <w:vAlign w:val="bottom"/>
          </w:tcPr>
          <w:p w14:paraId="19349644" w14:textId="77777777" w:rsidR="00B1472E" w:rsidRPr="00BE5613" w:rsidRDefault="00B1472E" w:rsidP="003D4C06">
            <w:pPr>
              <w:jc w:val="center"/>
              <w:rPr>
                <w:sz w:val="22"/>
                <w:szCs w:val="22"/>
              </w:rPr>
            </w:pPr>
            <w:r w:rsidRPr="00BE5613">
              <w:rPr>
                <w:sz w:val="22"/>
                <w:szCs w:val="22"/>
              </w:rPr>
              <w:t>3.588</w:t>
            </w:r>
          </w:p>
        </w:tc>
        <w:tc>
          <w:tcPr>
            <w:tcW w:w="997" w:type="dxa"/>
            <w:tcBorders>
              <w:top w:val="nil"/>
              <w:left w:val="nil"/>
              <w:bottom w:val="single" w:sz="4" w:space="0" w:color="auto"/>
              <w:right w:val="nil"/>
            </w:tcBorders>
            <w:shd w:val="clear" w:color="auto" w:fill="FFFFFF"/>
            <w:vAlign w:val="bottom"/>
          </w:tcPr>
          <w:p w14:paraId="11756D59" w14:textId="77777777" w:rsidR="00B1472E" w:rsidRPr="00BE5613" w:rsidRDefault="00B1472E" w:rsidP="003D4C06">
            <w:pPr>
              <w:jc w:val="center"/>
              <w:rPr>
                <w:sz w:val="22"/>
                <w:szCs w:val="22"/>
              </w:rPr>
            </w:pPr>
            <w:r w:rsidRPr="00BE5613">
              <w:rPr>
                <w:sz w:val="22"/>
                <w:szCs w:val="22"/>
              </w:rPr>
              <w:t>19.398</w:t>
            </w:r>
          </w:p>
        </w:tc>
        <w:tc>
          <w:tcPr>
            <w:tcW w:w="997" w:type="dxa"/>
            <w:tcBorders>
              <w:top w:val="nil"/>
              <w:left w:val="nil"/>
              <w:bottom w:val="single" w:sz="4" w:space="0" w:color="auto"/>
              <w:right w:val="nil"/>
            </w:tcBorders>
            <w:shd w:val="clear" w:color="auto" w:fill="FFFFFF"/>
            <w:vAlign w:val="bottom"/>
          </w:tcPr>
          <w:p w14:paraId="60F09D1D" w14:textId="77777777" w:rsidR="00B1472E" w:rsidRPr="00BE5613" w:rsidRDefault="00B1472E" w:rsidP="003D4C06">
            <w:pPr>
              <w:jc w:val="center"/>
              <w:rPr>
                <w:sz w:val="22"/>
                <w:szCs w:val="22"/>
              </w:rPr>
            </w:pPr>
            <w:r w:rsidRPr="00BE5613">
              <w:rPr>
                <w:sz w:val="22"/>
                <w:szCs w:val="22"/>
              </w:rPr>
              <w:t>1.892</w:t>
            </w:r>
          </w:p>
        </w:tc>
        <w:tc>
          <w:tcPr>
            <w:tcW w:w="996" w:type="dxa"/>
            <w:tcBorders>
              <w:top w:val="nil"/>
              <w:left w:val="nil"/>
              <w:bottom w:val="single" w:sz="4" w:space="0" w:color="auto"/>
            </w:tcBorders>
            <w:shd w:val="clear" w:color="auto" w:fill="FFFFFF"/>
            <w:vAlign w:val="bottom"/>
          </w:tcPr>
          <w:p w14:paraId="09C83AB4" w14:textId="77777777" w:rsidR="00B1472E" w:rsidRPr="00BE5613" w:rsidRDefault="00B1472E" w:rsidP="003D4C06">
            <w:pPr>
              <w:jc w:val="center"/>
              <w:rPr>
                <w:sz w:val="22"/>
                <w:szCs w:val="22"/>
              </w:rPr>
            </w:pPr>
            <w:r w:rsidRPr="00BE5613">
              <w:rPr>
                <w:sz w:val="22"/>
                <w:szCs w:val="22"/>
              </w:rPr>
              <w:t>1.000</w:t>
            </w:r>
          </w:p>
        </w:tc>
        <w:tc>
          <w:tcPr>
            <w:tcW w:w="997" w:type="dxa"/>
            <w:tcBorders>
              <w:top w:val="nil"/>
              <w:bottom w:val="single" w:sz="4" w:space="0" w:color="auto"/>
            </w:tcBorders>
            <w:shd w:val="clear" w:color="auto" w:fill="FFFFFF"/>
            <w:vAlign w:val="bottom"/>
          </w:tcPr>
          <w:p w14:paraId="6180C4B6" w14:textId="77777777" w:rsidR="00B1472E" w:rsidRPr="00BE5613" w:rsidRDefault="00B1472E" w:rsidP="003D4C06">
            <w:pPr>
              <w:jc w:val="center"/>
              <w:rPr>
                <w:sz w:val="22"/>
                <w:szCs w:val="22"/>
              </w:rPr>
            </w:pPr>
            <w:r w:rsidRPr="00BE5613">
              <w:rPr>
                <w:sz w:val="22"/>
                <w:szCs w:val="22"/>
              </w:rPr>
              <w:t>41.470</w:t>
            </w:r>
          </w:p>
        </w:tc>
        <w:tc>
          <w:tcPr>
            <w:tcW w:w="997" w:type="dxa"/>
            <w:tcBorders>
              <w:top w:val="nil"/>
              <w:bottom w:val="single" w:sz="4" w:space="0" w:color="auto"/>
            </w:tcBorders>
            <w:shd w:val="clear" w:color="auto" w:fill="FFFFFF"/>
            <w:vAlign w:val="bottom"/>
          </w:tcPr>
          <w:p w14:paraId="2407523C" w14:textId="77777777" w:rsidR="00B1472E" w:rsidRPr="00BE5613" w:rsidRDefault="00B1472E" w:rsidP="003D4C06">
            <w:pPr>
              <w:jc w:val="center"/>
              <w:rPr>
                <w:sz w:val="22"/>
                <w:szCs w:val="22"/>
              </w:rPr>
            </w:pPr>
            <w:r w:rsidRPr="00BE5613">
              <w:rPr>
                <w:sz w:val="22"/>
                <w:szCs w:val="22"/>
              </w:rPr>
              <w:t>12</w:t>
            </w:r>
          </w:p>
        </w:tc>
      </w:tr>
      <w:tr w:rsidR="006E0173" w:rsidRPr="00BE5613" w14:paraId="07164C3F" w14:textId="77777777">
        <w:trPr>
          <w:trHeight w:val="41"/>
        </w:trPr>
        <w:tc>
          <w:tcPr>
            <w:tcW w:w="3147" w:type="dxa"/>
            <w:tcBorders>
              <w:top w:val="single" w:sz="4" w:space="0" w:color="auto"/>
              <w:bottom w:val="nil"/>
            </w:tcBorders>
            <w:shd w:val="clear" w:color="auto" w:fill="FFFFFF"/>
            <w:vAlign w:val="center"/>
          </w:tcPr>
          <w:p w14:paraId="0D08D5C1" w14:textId="77777777" w:rsidR="006E0173" w:rsidRPr="00BE5613" w:rsidRDefault="006E0173" w:rsidP="003D4C06">
            <w:pPr>
              <w:ind w:left="142" w:right="255"/>
              <w:rPr>
                <w:sz w:val="22"/>
                <w:szCs w:val="22"/>
              </w:rPr>
            </w:pPr>
            <w:r w:rsidRPr="00BE5613">
              <w:rPr>
                <w:sz w:val="22"/>
                <w:szCs w:val="22"/>
              </w:rPr>
              <w:t>Unconditional score (partial)</w:t>
            </w:r>
          </w:p>
        </w:tc>
        <w:tc>
          <w:tcPr>
            <w:tcW w:w="996" w:type="dxa"/>
            <w:tcBorders>
              <w:top w:val="single" w:sz="4" w:space="0" w:color="auto"/>
              <w:bottom w:val="nil"/>
              <w:right w:val="nil"/>
            </w:tcBorders>
            <w:shd w:val="clear" w:color="auto" w:fill="FFFFFF"/>
            <w:vAlign w:val="bottom"/>
          </w:tcPr>
          <w:p w14:paraId="26FD12B9" w14:textId="77777777" w:rsidR="006E0173" w:rsidRPr="00BE5613" w:rsidRDefault="006E0173" w:rsidP="003D4C06">
            <w:pPr>
              <w:jc w:val="center"/>
              <w:rPr>
                <w:sz w:val="22"/>
                <w:szCs w:val="22"/>
              </w:rPr>
            </w:pPr>
            <w:r w:rsidRPr="00BE5613">
              <w:rPr>
                <w:sz w:val="22"/>
                <w:szCs w:val="22"/>
              </w:rPr>
              <w:t>1.419</w:t>
            </w:r>
          </w:p>
        </w:tc>
        <w:tc>
          <w:tcPr>
            <w:tcW w:w="997" w:type="dxa"/>
            <w:tcBorders>
              <w:top w:val="single" w:sz="4" w:space="0" w:color="auto"/>
              <w:left w:val="nil"/>
              <w:bottom w:val="nil"/>
              <w:right w:val="nil"/>
            </w:tcBorders>
            <w:shd w:val="clear" w:color="auto" w:fill="FFFFFF"/>
            <w:vAlign w:val="bottom"/>
          </w:tcPr>
          <w:p w14:paraId="55C4133B" w14:textId="77777777" w:rsidR="006E0173" w:rsidRPr="00BE5613" w:rsidRDefault="006E0173" w:rsidP="003D4C06">
            <w:pPr>
              <w:jc w:val="center"/>
              <w:rPr>
                <w:sz w:val="22"/>
                <w:szCs w:val="22"/>
              </w:rPr>
            </w:pPr>
            <w:r w:rsidRPr="00BE5613">
              <w:rPr>
                <w:sz w:val="22"/>
                <w:szCs w:val="22"/>
              </w:rPr>
              <w:t>0.611</w:t>
            </w:r>
          </w:p>
        </w:tc>
        <w:tc>
          <w:tcPr>
            <w:tcW w:w="997" w:type="dxa"/>
            <w:tcBorders>
              <w:top w:val="single" w:sz="4" w:space="0" w:color="auto"/>
              <w:left w:val="nil"/>
              <w:bottom w:val="nil"/>
              <w:right w:val="nil"/>
            </w:tcBorders>
            <w:shd w:val="clear" w:color="auto" w:fill="FFFFFF"/>
            <w:vAlign w:val="bottom"/>
          </w:tcPr>
          <w:p w14:paraId="5E2297F9" w14:textId="77777777" w:rsidR="006E0173" w:rsidRPr="00BE5613" w:rsidRDefault="006E0173" w:rsidP="003D4C06">
            <w:pPr>
              <w:jc w:val="center"/>
              <w:rPr>
                <w:sz w:val="22"/>
                <w:szCs w:val="22"/>
              </w:rPr>
            </w:pPr>
            <w:r w:rsidRPr="00BE5613">
              <w:rPr>
                <w:sz w:val="22"/>
                <w:szCs w:val="22"/>
              </w:rPr>
              <w:t>1.329</w:t>
            </w:r>
          </w:p>
        </w:tc>
        <w:tc>
          <w:tcPr>
            <w:tcW w:w="996" w:type="dxa"/>
            <w:tcBorders>
              <w:top w:val="single" w:sz="4" w:space="0" w:color="auto"/>
              <w:left w:val="nil"/>
              <w:bottom w:val="nil"/>
            </w:tcBorders>
            <w:shd w:val="clear" w:color="auto" w:fill="FFFFFF"/>
            <w:vAlign w:val="bottom"/>
          </w:tcPr>
          <w:p w14:paraId="702D079E" w14:textId="77777777" w:rsidR="006E0173" w:rsidRPr="00BE5613" w:rsidRDefault="006E0173" w:rsidP="003D4C06">
            <w:pPr>
              <w:jc w:val="center"/>
              <w:rPr>
                <w:sz w:val="22"/>
                <w:szCs w:val="22"/>
              </w:rPr>
            </w:pPr>
            <w:r w:rsidRPr="00BE5613">
              <w:rPr>
                <w:sz w:val="22"/>
                <w:szCs w:val="22"/>
              </w:rPr>
              <w:t>0.547</w:t>
            </w:r>
          </w:p>
        </w:tc>
        <w:tc>
          <w:tcPr>
            <w:tcW w:w="997" w:type="dxa"/>
            <w:tcBorders>
              <w:top w:val="single" w:sz="4" w:space="0" w:color="auto"/>
              <w:bottom w:val="nil"/>
            </w:tcBorders>
            <w:shd w:val="clear" w:color="auto" w:fill="FFFFFF"/>
            <w:vAlign w:val="bottom"/>
          </w:tcPr>
          <w:p w14:paraId="0A8A2247" w14:textId="77777777" w:rsidR="006E0173" w:rsidRPr="00BE5613" w:rsidRDefault="006E0173" w:rsidP="003D4C06">
            <w:pPr>
              <w:jc w:val="center"/>
              <w:rPr>
                <w:sz w:val="22"/>
                <w:szCs w:val="22"/>
              </w:rPr>
            </w:pPr>
            <w:r w:rsidRPr="00BE5613">
              <w:rPr>
                <w:sz w:val="22"/>
                <w:szCs w:val="22"/>
              </w:rPr>
              <w:t>7.820</w:t>
            </w:r>
          </w:p>
        </w:tc>
        <w:tc>
          <w:tcPr>
            <w:tcW w:w="997" w:type="dxa"/>
            <w:tcBorders>
              <w:top w:val="single" w:sz="4" w:space="0" w:color="auto"/>
              <w:bottom w:val="nil"/>
            </w:tcBorders>
            <w:shd w:val="clear" w:color="auto" w:fill="FFFFFF"/>
            <w:vAlign w:val="bottom"/>
          </w:tcPr>
          <w:p w14:paraId="7051A43B" w14:textId="77777777" w:rsidR="006E0173" w:rsidRPr="00BE5613" w:rsidRDefault="006E0173" w:rsidP="003D4C06">
            <w:pPr>
              <w:jc w:val="center"/>
              <w:rPr>
                <w:sz w:val="22"/>
                <w:szCs w:val="22"/>
              </w:rPr>
            </w:pPr>
            <w:r w:rsidRPr="00BE5613">
              <w:rPr>
                <w:sz w:val="22"/>
                <w:szCs w:val="22"/>
              </w:rPr>
              <w:t>7</w:t>
            </w:r>
          </w:p>
        </w:tc>
      </w:tr>
      <w:tr w:rsidR="006E0173" w:rsidRPr="00BE5613" w14:paraId="314E8E08" w14:textId="77777777">
        <w:trPr>
          <w:trHeight w:val="41"/>
        </w:trPr>
        <w:tc>
          <w:tcPr>
            <w:tcW w:w="3147" w:type="dxa"/>
            <w:tcBorders>
              <w:top w:val="nil"/>
              <w:bottom w:val="nil"/>
            </w:tcBorders>
            <w:shd w:val="clear" w:color="auto" w:fill="FFFFFF"/>
            <w:vAlign w:val="center"/>
          </w:tcPr>
          <w:p w14:paraId="7D77B412" w14:textId="77777777" w:rsidR="006E0173" w:rsidRPr="00BE5613" w:rsidRDefault="006E0173" w:rsidP="003D4C06">
            <w:pPr>
              <w:ind w:left="142" w:right="255"/>
              <w:rPr>
                <w:sz w:val="22"/>
                <w:szCs w:val="22"/>
              </w:rPr>
            </w:pPr>
            <w:r w:rsidRPr="00BE5613">
              <w:rPr>
                <w:sz w:val="22"/>
                <w:szCs w:val="22"/>
              </w:rPr>
              <w:t>Conditional score (partial)</w:t>
            </w:r>
          </w:p>
        </w:tc>
        <w:tc>
          <w:tcPr>
            <w:tcW w:w="996" w:type="dxa"/>
            <w:tcBorders>
              <w:top w:val="nil"/>
              <w:bottom w:val="nil"/>
              <w:right w:val="nil"/>
            </w:tcBorders>
            <w:shd w:val="clear" w:color="auto" w:fill="FFFFFF"/>
            <w:vAlign w:val="bottom"/>
          </w:tcPr>
          <w:p w14:paraId="744416AA" w14:textId="77777777" w:rsidR="006E0173" w:rsidRPr="00BE5613" w:rsidRDefault="006E0173" w:rsidP="003D4C06">
            <w:pPr>
              <w:jc w:val="center"/>
              <w:rPr>
                <w:sz w:val="22"/>
                <w:szCs w:val="22"/>
              </w:rPr>
            </w:pPr>
            <w:r w:rsidRPr="00BE5613">
              <w:rPr>
                <w:sz w:val="22"/>
                <w:szCs w:val="22"/>
              </w:rPr>
              <w:t>1.424</w:t>
            </w:r>
          </w:p>
        </w:tc>
        <w:tc>
          <w:tcPr>
            <w:tcW w:w="997" w:type="dxa"/>
            <w:tcBorders>
              <w:top w:val="nil"/>
              <w:left w:val="nil"/>
              <w:bottom w:val="nil"/>
              <w:right w:val="nil"/>
            </w:tcBorders>
            <w:shd w:val="clear" w:color="auto" w:fill="FFFFFF"/>
            <w:vAlign w:val="bottom"/>
          </w:tcPr>
          <w:p w14:paraId="732668F9" w14:textId="77777777" w:rsidR="006E0173" w:rsidRPr="00BE5613" w:rsidRDefault="006E0173" w:rsidP="003D4C06">
            <w:pPr>
              <w:jc w:val="center"/>
              <w:rPr>
                <w:sz w:val="22"/>
                <w:szCs w:val="22"/>
              </w:rPr>
            </w:pPr>
            <w:r w:rsidRPr="00BE5613">
              <w:rPr>
                <w:sz w:val="22"/>
                <w:szCs w:val="22"/>
              </w:rPr>
              <w:t>0.523</w:t>
            </w:r>
          </w:p>
        </w:tc>
        <w:tc>
          <w:tcPr>
            <w:tcW w:w="997" w:type="dxa"/>
            <w:tcBorders>
              <w:top w:val="nil"/>
              <w:left w:val="nil"/>
              <w:bottom w:val="nil"/>
              <w:right w:val="nil"/>
            </w:tcBorders>
            <w:shd w:val="clear" w:color="auto" w:fill="FFFFFF"/>
            <w:vAlign w:val="bottom"/>
          </w:tcPr>
          <w:p w14:paraId="239603FB" w14:textId="77777777" w:rsidR="006E0173" w:rsidRPr="00BE5613" w:rsidRDefault="006E0173" w:rsidP="003D4C06">
            <w:pPr>
              <w:jc w:val="center"/>
              <w:rPr>
                <w:sz w:val="22"/>
                <w:szCs w:val="22"/>
              </w:rPr>
            </w:pPr>
            <w:r w:rsidRPr="00BE5613">
              <w:rPr>
                <w:sz w:val="22"/>
                <w:szCs w:val="22"/>
              </w:rPr>
              <w:t>1.329</w:t>
            </w:r>
          </w:p>
        </w:tc>
        <w:tc>
          <w:tcPr>
            <w:tcW w:w="996" w:type="dxa"/>
            <w:tcBorders>
              <w:top w:val="nil"/>
              <w:left w:val="nil"/>
              <w:bottom w:val="nil"/>
            </w:tcBorders>
            <w:shd w:val="clear" w:color="auto" w:fill="FFFFFF"/>
            <w:vAlign w:val="bottom"/>
          </w:tcPr>
          <w:p w14:paraId="4D2380D6" w14:textId="77777777" w:rsidR="006E0173" w:rsidRPr="00BE5613" w:rsidRDefault="006E0173" w:rsidP="003D4C06">
            <w:pPr>
              <w:jc w:val="center"/>
              <w:rPr>
                <w:sz w:val="22"/>
                <w:szCs w:val="22"/>
              </w:rPr>
            </w:pPr>
            <w:r w:rsidRPr="00BE5613">
              <w:rPr>
                <w:sz w:val="22"/>
                <w:szCs w:val="22"/>
              </w:rPr>
              <w:t>0.617</w:t>
            </w:r>
          </w:p>
        </w:tc>
        <w:tc>
          <w:tcPr>
            <w:tcW w:w="997" w:type="dxa"/>
            <w:tcBorders>
              <w:top w:val="nil"/>
              <w:bottom w:val="nil"/>
            </w:tcBorders>
            <w:shd w:val="clear" w:color="auto" w:fill="FFFFFF"/>
            <w:vAlign w:val="bottom"/>
          </w:tcPr>
          <w:p w14:paraId="6612649C" w14:textId="77777777" w:rsidR="006E0173" w:rsidRPr="00BE5613" w:rsidRDefault="006E0173" w:rsidP="003D4C06">
            <w:pPr>
              <w:jc w:val="center"/>
              <w:rPr>
                <w:sz w:val="22"/>
                <w:szCs w:val="22"/>
              </w:rPr>
            </w:pPr>
            <w:r w:rsidRPr="00BE5613">
              <w:rPr>
                <w:sz w:val="22"/>
                <w:szCs w:val="22"/>
              </w:rPr>
              <w:t>6.617</w:t>
            </w:r>
          </w:p>
        </w:tc>
        <w:tc>
          <w:tcPr>
            <w:tcW w:w="997" w:type="dxa"/>
            <w:tcBorders>
              <w:top w:val="nil"/>
              <w:bottom w:val="nil"/>
            </w:tcBorders>
            <w:shd w:val="clear" w:color="auto" w:fill="FFFFFF"/>
            <w:vAlign w:val="bottom"/>
          </w:tcPr>
          <w:p w14:paraId="6AAAB0D3" w14:textId="77777777" w:rsidR="006E0173" w:rsidRPr="00BE5613" w:rsidRDefault="006E0173" w:rsidP="003D4C06">
            <w:pPr>
              <w:jc w:val="center"/>
              <w:rPr>
                <w:sz w:val="22"/>
                <w:szCs w:val="22"/>
              </w:rPr>
            </w:pPr>
            <w:r w:rsidRPr="00BE5613">
              <w:rPr>
                <w:sz w:val="22"/>
                <w:szCs w:val="22"/>
              </w:rPr>
              <w:t>7</w:t>
            </w:r>
          </w:p>
        </w:tc>
      </w:tr>
      <w:tr w:rsidR="006E0173" w:rsidRPr="00BE5613" w14:paraId="5C208461" w14:textId="77777777">
        <w:trPr>
          <w:trHeight w:val="41"/>
        </w:trPr>
        <w:tc>
          <w:tcPr>
            <w:tcW w:w="3147" w:type="dxa"/>
            <w:tcBorders>
              <w:top w:val="nil"/>
              <w:bottom w:val="single" w:sz="4" w:space="0" w:color="auto"/>
            </w:tcBorders>
            <w:shd w:val="clear" w:color="auto" w:fill="FFFFFF"/>
            <w:vAlign w:val="center"/>
          </w:tcPr>
          <w:p w14:paraId="2DAB9AA8" w14:textId="77777777" w:rsidR="006E0173" w:rsidRPr="00BE5613" w:rsidRDefault="006E0173" w:rsidP="003D4C06">
            <w:pPr>
              <w:ind w:left="142" w:right="255"/>
              <w:rPr>
                <w:sz w:val="22"/>
                <w:szCs w:val="22"/>
              </w:rPr>
            </w:pPr>
            <w:r w:rsidRPr="00BE5613">
              <w:rPr>
                <w:sz w:val="22"/>
                <w:szCs w:val="22"/>
              </w:rPr>
              <w:t>UTC ratio (partial)</w:t>
            </w:r>
          </w:p>
        </w:tc>
        <w:tc>
          <w:tcPr>
            <w:tcW w:w="996" w:type="dxa"/>
            <w:tcBorders>
              <w:top w:val="nil"/>
              <w:bottom w:val="single" w:sz="4" w:space="0" w:color="auto"/>
              <w:right w:val="nil"/>
            </w:tcBorders>
            <w:shd w:val="clear" w:color="auto" w:fill="FFFFFF"/>
            <w:vAlign w:val="bottom"/>
          </w:tcPr>
          <w:p w14:paraId="2B58D907" w14:textId="77777777" w:rsidR="006E0173" w:rsidRPr="00BE5613" w:rsidRDefault="006E0173" w:rsidP="003D4C06">
            <w:pPr>
              <w:jc w:val="center"/>
              <w:rPr>
                <w:sz w:val="22"/>
                <w:szCs w:val="22"/>
              </w:rPr>
            </w:pPr>
            <w:r w:rsidRPr="00BE5613">
              <w:rPr>
                <w:sz w:val="22"/>
                <w:szCs w:val="22"/>
              </w:rPr>
              <w:t>1.442</w:t>
            </w:r>
          </w:p>
        </w:tc>
        <w:tc>
          <w:tcPr>
            <w:tcW w:w="997" w:type="dxa"/>
            <w:tcBorders>
              <w:top w:val="nil"/>
              <w:left w:val="nil"/>
              <w:bottom w:val="single" w:sz="4" w:space="0" w:color="auto"/>
              <w:right w:val="nil"/>
            </w:tcBorders>
            <w:shd w:val="clear" w:color="auto" w:fill="FFFFFF"/>
            <w:vAlign w:val="bottom"/>
          </w:tcPr>
          <w:p w14:paraId="0A8AABA7" w14:textId="77777777" w:rsidR="006E0173" w:rsidRPr="00BE5613" w:rsidRDefault="006E0173" w:rsidP="003D4C06">
            <w:pPr>
              <w:jc w:val="center"/>
              <w:rPr>
                <w:sz w:val="22"/>
                <w:szCs w:val="22"/>
              </w:rPr>
            </w:pPr>
            <w:r w:rsidRPr="00BE5613">
              <w:rPr>
                <w:sz w:val="22"/>
                <w:szCs w:val="22"/>
              </w:rPr>
              <w:t>0.466</w:t>
            </w:r>
          </w:p>
        </w:tc>
        <w:tc>
          <w:tcPr>
            <w:tcW w:w="997" w:type="dxa"/>
            <w:tcBorders>
              <w:top w:val="nil"/>
              <w:left w:val="nil"/>
              <w:bottom w:val="single" w:sz="4" w:space="0" w:color="auto"/>
              <w:right w:val="nil"/>
            </w:tcBorders>
            <w:shd w:val="clear" w:color="auto" w:fill="FFFFFF"/>
            <w:vAlign w:val="bottom"/>
          </w:tcPr>
          <w:p w14:paraId="04E7CB70" w14:textId="77777777" w:rsidR="006E0173" w:rsidRPr="00BE5613" w:rsidRDefault="006E0173" w:rsidP="003D4C06">
            <w:pPr>
              <w:jc w:val="center"/>
              <w:rPr>
                <w:sz w:val="22"/>
                <w:szCs w:val="22"/>
              </w:rPr>
            </w:pPr>
            <w:r w:rsidRPr="00BE5613">
              <w:rPr>
                <w:sz w:val="22"/>
                <w:szCs w:val="22"/>
              </w:rPr>
              <w:t>1.354</w:t>
            </w:r>
          </w:p>
        </w:tc>
        <w:tc>
          <w:tcPr>
            <w:tcW w:w="996" w:type="dxa"/>
            <w:tcBorders>
              <w:top w:val="nil"/>
              <w:left w:val="nil"/>
              <w:bottom w:val="single" w:sz="4" w:space="0" w:color="auto"/>
            </w:tcBorders>
            <w:shd w:val="clear" w:color="auto" w:fill="FFFFFF"/>
            <w:vAlign w:val="bottom"/>
          </w:tcPr>
          <w:p w14:paraId="4B7429C8" w14:textId="77777777" w:rsidR="006E0173" w:rsidRPr="00BE5613" w:rsidRDefault="006E0173" w:rsidP="003D4C06">
            <w:pPr>
              <w:jc w:val="center"/>
              <w:rPr>
                <w:sz w:val="22"/>
                <w:szCs w:val="22"/>
              </w:rPr>
            </w:pPr>
            <w:r w:rsidRPr="00BE5613">
              <w:rPr>
                <w:sz w:val="22"/>
                <w:szCs w:val="22"/>
              </w:rPr>
              <w:t>0.675</w:t>
            </w:r>
          </w:p>
        </w:tc>
        <w:tc>
          <w:tcPr>
            <w:tcW w:w="997" w:type="dxa"/>
            <w:tcBorders>
              <w:top w:val="nil"/>
              <w:bottom w:val="single" w:sz="4" w:space="0" w:color="auto"/>
            </w:tcBorders>
            <w:shd w:val="clear" w:color="auto" w:fill="FFFFFF"/>
            <w:vAlign w:val="bottom"/>
          </w:tcPr>
          <w:p w14:paraId="4273A9EF" w14:textId="77777777" w:rsidR="006E0173" w:rsidRPr="00BE5613" w:rsidRDefault="006E0173" w:rsidP="003D4C06">
            <w:pPr>
              <w:jc w:val="center"/>
              <w:rPr>
                <w:sz w:val="22"/>
                <w:szCs w:val="22"/>
              </w:rPr>
            </w:pPr>
            <w:r w:rsidRPr="00BE5613">
              <w:rPr>
                <w:sz w:val="22"/>
                <w:szCs w:val="22"/>
              </w:rPr>
              <w:t>5.451</w:t>
            </w:r>
          </w:p>
        </w:tc>
        <w:tc>
          <w:tcPr>
            <w:tcW w:w="997" w:type="dxa"/>
            <w:tcBorders>
              <w:top w:val="nil"/>
              <w:bottom w:val="single" w:sz="4" w:space="0" w:color="auto"/>
            </w:tcBorders>
            <w:shd w:val="clear" w:color="auto" w:fill="FFFFFF"/>
            <w:vAlign w:val="bottom"/>
          </w:tcPr>
          <w:p w14:paraId="6A4B0C37" w14:textId="77777777" w:rsidR="006E0173" w:rsidRPr="00BE5613" w:rsidRDefault="006E0173" w:rsidP="003D4C06">
            <w:pPr>
              <w:jc w:val="center"/>
              <w:rPr>
                <w:sz w:val="22"/>
                <w:szCs w:val="22"/>
              </w:rPr>
            </w:pPr>
            <w:r w:rsidRPr="00BE5613">
              <w:rPr>
                <w:sz w:val="22"/>
                <w:szCs w:val="22"/>
              </w:rPr>
              <w:t>7</w:t>
            </w:r>
          </w:p>
        </w:tc>
      </w:tr>
      <w:tr w:rsidR="006E0173" w:rsidRPr="00BE5613" w14:paraId="7A612CD0" w14:textId="77777777">
        <w:trPr>
          <w:trHeight w:val="41"/>
        </w:trPr>
        <w:tc>
          <w:tcPr>
            <w:tcW w:w="3147" w:type="dxa"/>
            <w:tcBorders>
              <w:bottom w:val="nil"/>
            </w:tcBorders>
            <w:shd w:val="clear" w:color="auto" w:fill="E6E6E6"/>
            <w:vAlign w:val="center"/>
          </w:tcPr>
          <w:p w14:paraId="66835461" w14:textId="77777777" w:rsidR="006E0173" w:rsidRPr="00BE5613" w:rsidRDefault="006E0173" w:rsidP="003D4C06">
            <w:pPr>
              <w:ind w:left="142" w:right="255"/>
              <w:rPr>
                <w:sz w:val="22"/>
                <w:szCs w:val="22"/>
              </w:rPr>
            </w:pPr>
            <w:r w:rsidRPr="00BE5613">
              <w:rPr>
                <w:sz w:val="22"/>
                <w:szCs w:val="22"/>
              </w:rPr>
              <w:t>Model IV</w:t>
            </w:r>
          </w:p>
        </w:tc>
        <w:tc>
          <w:tcPr>
            <w:tcW w:w="996" w:type="dxa"/>
            <w:tcBorders>
              <w:bottom w:val="nil"/>
              <w:right w:val="nil"/>
            </w:tcBorders>
            <w:shd w:val="clear" w:color="auto" w:fill="E6E6E6"/>
            <w:vAlign w:val="center"/>
          </w:tcPr>
          <w:p w14:paraId="5748F098"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2442CB84" w14:textId="77777777" w:rsidR="006E0173" w:rsidRPr="00BE5613" w:rsidRDefault="006E0173" w:rsidP="003D4C06">
            <w:pPr>
              <w:tabs>
                <w:tab w:val="left" w:pos="1673"/>
              </w:tabs>
              <w:ind w:left="224" w:right="114" w:hanging="142"/>
              <w:rPr>
                <w:sz w:val="22"/>
                <w:szCs w:val="22"/>
              </w:rPr>
            </w:pPr>
          </w:p>
        </w:tc>
        <w:tc>
          <w:tcPr>
            <w:tcW w:w="997" w:type="dxa"/>
            <w:tcBorders>
              <w:left w:val="nil"/>
              <w:bottom w:val="nil"/>
              <w:right w:val="nil"/>
            </w:tcBorders>
            <w:shd w:val="clear" w:color="auto" w:fill="E6E6E6"/>
            <w:vAlign w:val="center"/>
          </w:tcPr>
          <w:p w14:paraId="318647B1" w14:textId="77777777" w:rsidR="006E0173" w:rsidRPr="00BE5613" w:rsidRDefault="006E0173" w:rsidP="003D4C06">
            <w:pPr>
              <w:tabs>
                <w:tab w:val="left" w:pos="1673"/>
              </w:tabs>
              <w:ind w:left="224" w:right="114" w:hanging="142"/>
              <w:rPr>
                <w:sz w:val="22"/>
                <w:szCs w:val="22"/>
              </w:rPr>
            </w:pPr>
          </w:p>
        </w:tc>
        <w:tc>
          <w:tcPr>
            <w:tcW w:w="996" w:type="dxa"/>
            <w:tcBorders>
              <w:left w:val="nil"/>
              <w:bottom w:val="nil"/>
            </w:tcBorders>
            <w:shd w:val="clear" w:color="auto" w:fill="E6E6E6"/>
            <w:vAlign w:val="center"/>
          </w:tcPr>
          <w:p w14:paraId="077928BF" w14:textId="77777777" w:rsidR="006E0173" w:rsidRPr="00BE5613" w:rsidRDefault="006E0173" w:rsidP="003D4C06">
            <w:pPr>
              <w:tabs>
                <w:tab w:val="left" w:pos="1673"/>
              </w:tabs>
              <w:ind w:left="224" w:right="114" w:hanging="142"/>
              <w:rPr>
                <w:sz w:val="22"/>
                <w:szCs w:val="22"/>
              </w:rPr>
            </w:pPr>
          </w:p>
        </w:tc>
        <w:tc>
          <w:tcPr>
            <w:tcW w:w="997" w:type="dxa"/>
            <w:tcBorders>
              <w:bottom w:val="nil"/>
            </w:tcBorders>
            <w:shd w:val="clear" w:color="auto" w:fill="E6E6E6"/>
            <w:vAlign w:val="center"/>
          </w:tcPr>
          <w:p w14:paraId="4E1CD9E3" w14:textId="77777777" w:rsidR="006E0173" w:rsidRPr="00BE5613" w:rsidRDefault="006E0173" w:rsidP="003D4C06">
            <w:pPr>
              <w:tabs>
                <w:tab w:val="left" w:pos="1673"/>
              </w:tabs>
              <w:jc w:val="center"/>
              <w:rPr>
                <w:sz w:val="22"/>
                <w:szCs w:val="22"/>
              </w:rPr>
            </w:pPr>
          </w:p>
        </w:tc>
        <w:tc>
          <w:tcPr>
            <w:tcW w:w="997" w:type="dxa"/>
            <w:tcBorders>
              <w:bottom w:val="nil"/>
            </w:tcBorders>
            <w:shd w:val="clear" w:color="auto" w:fill="E6E6E6"/>
            <w:vAlign w:val="center"/>
          </w:tcPr>
          <w:p w14:paraId="43DFC3A3" w14:textId="77777777" w:rsidR="006E0173" w:rsidRPr="00BE5613" w:rsidRDefault="006E0173" w:rsidP="003D4C06">
            <w:pPr>
              <w:jc w:val="center"/>
              <w:rPr>
                <w:sz w:val="22"/>
                <w:szCs w:val="22"/>
              </w:rPr>
            </w:pPr>
          </w:p>
        </w:tc>
      </w:tr>
      <w:tr w:rsidR="00614DAF" w:rsidRPr="00BE5613" w14:paraId="7E505475" w14:textId="77777777">
        <w:trPr>
          <w:trHeight w:val="41"/>
        </w:trPr>
        <w:tc>
          <w:tcPr>
            <w:tcW w:w="3147" w:type="dxa"/>
            <w:tcBorders>
              <w:top w:val="nil"/>
              <w:bottom w:val="nil"/>
            </w:tcBorders>
            <w:shd w:val="clear" w:color="auto" w:fill="FFFFFF"/>
            <w:vAlign w:val="center"/>
          </w:tcPr>
          <w:p w14:paraId="7D011747" w14:textId="77777777" w:rsidR="00614DAF" w:rsidRPr="00BE5613" w:rsidRDefault="00614DAF" w:rsidP="003D4C06">
            <w:pPr>
              <w:ind w:left="142" w:right="255"/>
              <w:rPr>
                <w:sz w:val="22"/>
                <w:szCs w:val="22"/>
              </w:rPr>
            </w:pPr>
            <w:r w:rsidRPr="00BE5613">
              <w:rPr>
                <w:sz w:val="22"/>
                <w:szCs w:val="22"/>
              </w:rPr>
              <w:t>Unconditional score (full)</w:t>
            </w:r>
          </w:p>
        </w:tc>
        <w:tc>
          <w:tcPr>
            <w:tcW w:w="996" w:type="dxa"/>
            <w:tcBorders>
              <w:top w:val="nil"/>
              <w:bottom w:val="nil"/>
              <w:right w:val="nil"/>
            </w:tcBorders>
            <w:shd w:val="clear" w:color="auto" w:fill="FFFFFF"/>
            <w:vAlign w:val="bottom"/>
          </w:tcPr>
          <w:p w14:paraId="2DE6F867" w14:textId="77777777" w:rsidR="00614DAF" w:rsidRPr="00BE5613" w:rsidRDefault="00614DAF" w:rsidP="003D4C06">
            <w:pPr>
              <w:jc w:val="center"/>
              <w:rPr>
                <w:sz w:val="22"/>
                <w:szCs w:val="22"/>
              </w:rPr>
            </w:pPr>
            <w:r w:rsidRPr="00BE5613">
              <w:rPr>
                <w:sz w:val="22"/>
                <w:szCs w:val="22"/>
              </w:rPr>
              <w:t>0.454</w:t>
            </w:r>
          </w:p>
        </w:tc>
        <w:tc>
          <w:tcPr>
            <w:tcW w:w="997" w:type="dxa"/>
            <w:tcBorders>
              <w:top w:val="nil"/>
              <w:left w:val="nil"/>
              <w:bottom w:val="nil"/>
              <w:right w:val="nil"/>
            </w:tcBorders>
            <w:shd w:val="clear" w:color="auto" w:fill="FFFFFF"/>
            <w:vAlign w:val="bottom"/>
          </w:tcPr>
          <w:p w14:paraId="10D459C4" w14:textId="77777777" w:rsidR="00614DAF" w:rsidRPr="00BE5613" w:rsidRDefault="00614DAF" w:rsidP="003D4C06">
            <w:pPr>
              <w:jc w:val="center"/>
              <w:rPr>
                <w:sz w:val="22"/>
                <w:szCs w:val="22"/>
              </w:rPr>
            </w:pPr>
            <w:r w:rsidRPr="00BE5613">
              <w:rPr>
                <w:sz w:val="22"/>
                <w:szCs w:val="22"/>
              </w:rPr>
              <w:t>0.210</w:t>
            </w:r>
          </w:p>
        </w:tc>
        <w:tc>
          <w:tcPr>
            <w:tcW w:w="997" w:type="dxa"/>
            <w:tcBorders>
              <w:top w:val="nil"/>
              <w:left w:val="nil"/>
              <w:bottom w:val="nil"/>
              <w:right w:val="nil"/>
            </w:tcBorders>
            <w:shd w:val="clear" w:color="auto" w:fill="FFFFFF"/>
            <w:vAlign w:val="bottom"/>
          </w:tcPr>
          <w:p w14:paraId="3D847F95" w14:textId="77777777" w:rsidR="00614DAF" w:rsidRPr="00BE5613" w:rsidRDefault="00614DAF" w:rsidP="003D4C06">
            <w:pPr>
              <w:jc w:val="center"/>
              <w:rPr>
                <w:sz w:val="22"/>
                <w:szCs w:val="22"/>
              </w:rPr>
            </w:pPr>
            <w:r w:rsidRPr="00BE5613">
              <w:rPr>
                <w:sz w:val="22"/>
                <w:szCs w:val="22"/>
              </w:rPr>
              <w:t>0.440</w:t>
            </w:r>
          </w:p>
        </w:tc>
        <w:tc>
          <w:tcPr>
            <w:tcW w:w="996" w:type="dxa"/>
            <w:tcBorders>
              <w:top w:val="nil"/>
              <w:left w:val="nil"/>
              <w:bottom w:val="nil"/>
            </w:tcBorders>
            <w:shd w:val="clear" w:color="auto" w:fill="FFFFFF"/>
            <w:vAlign w:val="bottom"/>
          </w:tcPr>
          <w:p w14:paraId="1F1F46A1" w14:textId="77777777" w:rsidR="00614DAF" w:rsidRPr="00BE5613" w:rsidRDefault="00614DAF" w:rsidP="003D4C06">
            <w:pPr>
              <w:jc w:val="center"/>
              <w:rPr>
                <w:sz w:val="22"/>
                <w:szCs w:val="22"/>
              </w:rPr>
            </w:pPr>
            <w:r w:rsidRPr="00BE5613">
              <w:rPr>
                <w:sz w:val="22"/>
                <w:szCs w:val="22"/>
              </w:rPr>
              <w:t>0.002</w:t>
            </w:r>
          </w:p>
        </w:tc>
        <w:tc>
          <w:tcPr>
            <w:tcW w:w="997" w:type="dxa"/>
            <w:tcBorders>
              <w:top w:val="nil"/>
              <w:bottom w:val="nil"/>
            </w:tcBorders>
            <w:shd w:val="clear" w:color="auto" w:fill="FFFFFF"/>
            <w:vAlign w:val="bottom"/>
          </w:tcPr>
          <w:p w14:paraId="0DE55D9E" w14:textId="77777777" w:rsidR="00614DAF" w:rsidRPr="00BE5613" w:rsidRDefault="00614DAF"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334522AF" w14:textId="77777777" w:rsidR="00614DAF" w:rsidRPr="00BE5613" w:rsidRDefault="00614DAF" w:rsidP="003D4C06">
            <w:pPr>
              <w:jc w:val="center"/>
              <w:rPr>
                <w:sz w:val="22"/>
                <w:szCs w:val="22"/>
              </w:rPr>
            </w:pPr>
            <w:r w:rsidRPr="00BE5613">
              <w:rPr>
                <w:sz w:val="22"/>
                <w:szCs w:val="22"/>
              </w:rPr>
              <w:t>15</w:t>
            </w:r>
          </w:p>
        </w:tc>
      </w:tr>
      <w:tr w:rsidR="00614DAF" w:rsidRPr="00BE5613" w14:paraId="2D6F1C79" w14:textId="77777777">
        <w:trPr>
          <w:trHeight w:val="41"/>
        </w:trPr>
        <w:tc>
          <w:tcPr>
            <w:tcW w:w="3147" w:type="dxa"/>
            <w:tcBorders>
              <w:top w:val="nil"/>
              <w:bottom w:val="nil"/>
            </w:tcBorders>
            <w:shd w:val="clear" w:color="auto" w:fill="FFFFFF"/>
            <w:vAlign w:val="center"/>
          </w:tcPr>
          <w:p w14:paraId="6AC5183E" w14:textId="77777777" w:rsidR="00614DAF" w:rsidRPr="00BE5613" w:rsidRDefault="00614DAF" w:rsidP="003D4C06">
            <w:pPr>
              <w:ind w:left="142" w:right="255"/>
              <w:rPr>
                <w:sz w:val="22"/>
                <w:szCs w:val="22"/>
              </w:rPr>
            </w:pPr>
            <w:r w:rsidRPr="00BE5613">
              <w:rPr>
                <w:sz w:val="22"/>
                <w:szCs w:val="22"/>
              </w:rPr>
              <w:t>Conditional score (full)</w:t>
            </w:r>
          </w:p>
        </w:tc>
        <w:tc>
          <w:tcPr>
            <w:tcW w:w="996" w:type="dxa"/>
            <w:tcBorders>
              <w:top w:val="nil"/>
              <w:bottom w:val="nil"/>
              <w:right w:val="nil"/>
            </w:tcBorders>
            <w:shd w:val="clear" w:color="auto" w:fill="FFFFFF"/>
            <w:vAlign w:val="bottom"/>
          </w:tcPr>
          <w:p w14:paraId="263FF996" w14:textId="77777777" w:rsidR="00614DAF" w:rsidRPr="00BE5613" w:rsidRDefault="00614DAF" w:rsidP="003D4C06">
            <w:pPr>
              <w:jc w:val="center"/>
              <w:rPr>
                <w:sz w:val="22"/>
                <w:szCs w:val="22"/>
              </w:rPr>
            </w:pPr>
            <w:r w:rsidRPr="00BE5613">
              <w:rPr>
                <w:sz w:val="22"/>
                <w:szCs w:val="22"/>
              </w:rPr>
              <w:t>0.883</w:t>
            </w:r>
          </w:p>
        </w:tc>
        <w:tc>
          <w:tcPr>
            <w:tcW w:w="997" w:type="dxa"/>
            <w:tcBorders>
              <w:top w:val="nil"/>
              <w:left w:val="nil"/>
              <w:bottom w:val="nil"/>
              <w:right w:val="nil"/>
            </w:tcBorders>
            <w:shd w:val="clear" w:color="auto" w:fill="FFFFFF"/>
            <w:vAlign w:val="bottom"/>
          </w:tcPr>
          <w:p w14:paraId="7F56BB17" w14:textId="77777777" w:rsidR="00614DAF" w:rsidRPr="00BE5613" w:rsidRDefault="00614DAF" w:rsidP="003D4C06">
            <w:pPr>
              <w:jc w:val="center"/>
              <w:rPr>
                <w:sz w:val="22"/>
                <w:szCs w:val="22"/>
              </w:rPr>
            </w:pPr>
            <w:r w:rsidRPr="00BE5613">
              <w:rPr>
                <w:sz w:val="22"/>
                <w:szCs w:val="22"/>
              </w:rPr>
              <w:t>0.225</w:t>
            </w:r>
          </w:p>
        </w:tc>
        <w:tc>
          <w:tcPr>
            <w:tcW w:w="997" w:type="dxa"/>
            <w:tcBorders>
              <w:top w:val="nil"/>
              <w:left w:val="nil"/>
              <w:bottom w:val="nil"/>
              <w:right w:val="nil"/>
            </w:tcBorders>
            <w:shd w:val="clear" w:color="auto" w:fill="FFFFFF"/>
            <w:vAlign w:val="bottom"/>
          </w:tcPr>
          <w:p w14:paraId="3D546C20" w14:textId="77777777" w:rsidR="00614DAF" w:rsidRPr="00BE5613" w:rsidRDefault="00614DAF" w:rsidP="003D4C06">
            <w:pPr>
              <w:jc w:val="center"/>
              <w:rPr>
                <w:sz w:val="22"/>
                <w:szCs w:val="22"/>
              </w:rPr>
            </w:pPr>
            <w:r w:rsidRPr="00BE5613">
              <w:rPr>
                <w:sz w:val="22"/>
                <w:szCs w:val="22"/>
              </w:rPr>
              <w:t>1.000</w:t>
            </w:r>
          </w:p>
        </w:tc>
        <w:tc>
          <w:tcPr>
            <w:tcW w:w="996" w:type="dxa"/>
            <w:tcBorders>
              <w:top w:val="nil"/>
              <w:left w:val="nil"/>
              <w:bottom w:val="nil"/>
            </w:tcBorders>
            <w:shd w:val="clear" w:color="auto" w:fill="FFFFFF"/>
            <w:vAlign w:val="bottom"/>
          </w:tcPr>
          <w:p w14:paraId="6AC4CA62" w14:textId="77777777" w:rsidR="00614DAF" w:rsidRPr="00BE5613" w:rsidRDefault="00614DAF" w:rsidP="003D4C06">
            <w:pPr>
              <w:jc w:val="center"/>
              <w:rPr>
                <w:sz w:val="22"/>
                <w:szCs w:val="22"/>
              </w:rPr>
            </w:pPr>
            <w:r w:rsidRPr="00BE5613">
              <w:rPr>
                <w:sz w:val="22"/>
                <w:szCs w:val="22"/>
              </w:rPr>
              <w:t>0.012</w:t>
            </w:r>
          </w:p>
        </w:tc>
        <w:tc>
          <w:tcPr>
            <w:tcW w:w="997" w:type="dxa"/>
            <w:tcBorders>
              <w:top w:val="nil"/>
              <w:bottom w:val="nil"/>
            </w:tcBorders>
            <w:shd w:val="clear" w:color="auto" w:fill="FFFFFF"/>
            <w:vAlign w:val="bottom"/>
          </w:tcPr>
          <w:p w14:paraId="1A950BBD" w14:textId="77777777" w:rsidR="00614DAF" w:rsidRPr="00BE5613" w:rsidRDefault="00614DAF" w:rsidP="003D4C06">
            <w:pPr>
              <w:jc w:val="center"/>
              <w:rPr>
                <w:sz w:val="22"/>
                <w:szCs w:val="22"/>
              </w:rPr>
            </w:pPr>
            <w:r w:rsidRPr="00BE5613">
              <w:rPr>
                <w:sz w:val="22"/>
                <w:szCs w:val="22"/>
              </w:rPr>
              <w:t>1.000</w:t>
            </w:r>
          </w:p>
        </w:tc>
        <w:tc>
          <w:tcPr>
            <w:tcW w:w="997" w:type="dxa"/>
            <w:tcBorders>
              <w:top w:val="nil"/>
              <w:bottom w:val="nil"/>
            </w:tcBorders>
            <w:shd w:val="clear" w:color="auto" w:fill="FFFFFF"/>
            <w:vAlign w:val="bottom"/>
          </w:tcPr>
          <w:p w14:paraId="62F007FB" w14:textId="77777777" w:rsidR="00614DAF" w:rsidRPr="00BE5613" w:rsidRDefault="00614DAF" w:rsidP="003D4C06">
            <w:pPr>
              <w:jc w:val="center"/>
              <w:rPr>
                <w:sz w:val="22"/>
                <w:szCs w:val="22"/>
              </w:rPr>
            </w:pPr>
            <w:r w:rsidRPr="00BE5613">
              <w:rPr>
                <w:sz w:val="22"/>
                <w:szCs w:val="22"/>
              </w:rPr>
              <w:t>342</w:t>
            </w:r>
          </w:p>
        </w:tc>
      </w:tr>
      <w:tr w:rsidR="00614DAF" w:rsidRPr="00BE5613" w14:paraId="30BEF8D5" w14:textId="77777777">
        <w:trPr>
          <w:trHeight w:val="41"/>
        </w:trPr>
        <w:tc>
          <w:tcPr>
            <w:tcW w:w="3147" w:type="dxa"/>
            <w:tcBorders>
              <w:top w:val="nil"/>
              <w:bottom w:val="single" w:sz="4" w:space="0" w:color="auto"/>
            </w:tcBorders>
            <w:shd w:val="clear" w:color="auto" w:fill="FFFFFF"/>
            <w:vAlign w:val="center"/>
          </w:tcPr>
          <w:p w14:paraId="1AA42434" w14:textId="77777777" w:rsidR="00614DAF" w:rsidRPr="00BE5613" w:rsidRDefault="00614DAF" w:rsidP="003D4C06">
            <w:pPr>
              <w:ind w:left="142" w:right="255"/>
              <w:rPr>
                <w:sz w:val="22"/>
                <w:szCs w:val="22"/>
              </w:rPr>
            </w:pPr>
            <w:r w:rsidRPr="00BE5613">
              <w:rPr>
                <w:sz w:val="22"/>
                <w:szCs w:val="22"/>
              </w:rPr>
              <w:t>UTC ratio (full)</w:t>
            </w:r>
          </w:p>
        </w:tc>
        <w:tc>
          <w:tcPr>
            <w:tcW w:w="996" w:type="dxa"/>
            <w:tcBorders>
              <w:top w:val="nil"/>
              <w:bottom w:val="single" w:sz="4" w:space="0" w:color="auto"/>
              <w:right w:val="nil"/>
            </w:tcBorders>
            <w:shd w:val="clear" w:color="auto" w:fill="FFFFFF"/>
            <w:vAlign w:val="bottom"/>
          </w:tcPr>
          <w:p w14:paraId="260D94FE" w14:textId="77777777" w:rsidR="00614DAF" w:rsidRPr="00BE5613" w:rsidRDefault="00614DAF" w:rsidP="003D4C06">
            <w:pPr>
              <w:jc w:val="center"/>
              <w:rPr>
                <w:sz w:val="22"/>
                <w:szCs w:val="22"/>
              </w:rPr>
            </w:pPr>
            <w:r w:rsidRPr="00BE5613">
              <w:rPr>
                <w:sz w:val="22"/>
                <w:szCs w:val="22"/>
              </w:rPr>
              <w:t>3.655</w:t>
            </w:r>
          </w:p>
        </w:tc>
        <w:tc>
          <w:tcPr>
            <w:tcW w:w="997" w:type="dxa"/>
            <w:tcBorders>
              <w:top w:val="nil"/>
              <w:left w:val="nil"/>
              <w:bottom w:val="single" w:sz="4" w:space="0" w:color="auto"/>
              <w:right w:val="nil"/>
            </w:tcBorders>
            <w:shd w:val="clear" w:color="auto" w:fill="FFFFFF"/>
            <w:vAlign w:val="bottom"/>
          </w:tcPr>
          <w:p w14:paraId="72198D4B" w14:textId="77777777" w:rsidR="00614DAF" w:rsidRPr="00BE5613" w:rsidRDefault="00614DAF" w:rsidP="003D4C06">
            <w:pPr>
              <w:jc w:val="center"/>
              <w:rPr>
                <w:sz w:val="22"/>
                <w:szCs w:val="22"/>
              </w:rPr>
            </w:pPr>
            <w:r w:rsidRPr="00BE5613">
              <w:rPr>
                <w:sz w:val="22"/>
                <w:szCs w:val="22"/>
              </w:rPr>
              <w:t>19.435</w:t>
            </w:r>
          </w:p>
        </w:tc>
        <w:tc>
          <w:tcPr>
            <w:tcW w:w="997" w:type="dxa"/>
            <w:tcBorders>
              <w:top w:val="nil"/>
              <w:left w:val="nil"/>
              <w:bottom w:val="single" w:sz="4" w:space="0" w:color="auto"/>
              <w:right w:val="nil"/>
            </w:tcBorders>
            <w:shd w:val="clear" w:color="auto" w:fill="FFFFFF"/>
            <w:vAlign w:val="bottom"/>
          </w:tcPr>
          <w:p w14:paraId="594E58DA" w14:textId="77777777" w:rsidR="00614DAF" w:rsidRPr="00BE5613" w:rsidRDefault="00614DAF" w:rsidP="003D4C06">
            <w:pPr>
              <w:jc w:val="center"/>
              <w:rPr>
                <w:sz w:val="22"/>
                <w:szCs w:val="22"/>
              </w:rPr>
            </w:pPr>
            <w:r w:rsidRPr="00BE5613">
              <w:rPr>
                <w:sz w:val="22"/>
                <w:szCs w:val="22"/>
              </w:rPr>
              <w:t>1.906</w:t>
            </w:r>
          </w:p>
        </w:tc>
        <w:tc>
          <w:tcPr>
            <w:tcW w:w="996" w:type="dxa"/>
            <w:tcBorders>
              <w:top w:val="nil"/>
              <w:left w:val="nil"/>
              <w:bottom w:val="single" w:sz="4" w:space="0" w:color="auto"/>
            </w:tcBorders>
            <w:shd w:val="clear" w:color="auto" w:fill="FFFFFF"/>
            <w:vAlign w:val="bottom"/>
          </w:tcPr>
          <w:p w14:paraId="2DB37E89" w14:textId="77777777" w:rsidR="00614DAF" w:rsidRPr="00BE5613" w:rsidRDefault="00614DAF" w:rsidP="003D4C06">
            <w:pPr>
              <w:jc w:val="center"/>
              <w:rPr>
                <w:sz w:val="22"/>
                <w:szCs w:val="22"/>
              </w:rPr>
            </w:pPr>
            <w:r w:rsidRPr="00BE5613">
              <w:rPr>
                <w:sz w:val="22"/>
                <w:szCs w:val="22"/>
              </w:rPr>
              <w:t>1.000</w:t>
            </w:r>
          </w:p>
        </w:tc>
        <w:tc>
          <w:tcPr>
            <w:tcW w:w="997" w:type="dxa"/>
            <w:tcBorders>
              <w:top w:val="nil"/>
              <w:bottom w:val="single" w:sz="4" w:space="0" w:color="auto"/>
            </w:tcBorders>
            <w:shd w:val="clear" w:color="auto" w:fill="FFFFFF"/>
            <w:vAlign w:val="bottom"/>
          </w:tcPr>
          <w:p w14:paraId="5A0A115B" w14:textId="77777777" w:rsidR="00614DAF" w:rsidRPr="00BE5613" w:rsidRDefault="00614DAF" w:rsidP="003D4C06">
            <w:pPr>
              <w:jc w:val="center"/>
              <w:rPr>
                <w:sz w:val="22"/>
                <w:szCs w:val="22"/>
              </w:rPr>
            </w:pPr>
            <w:r w:rsidRPr="00BE5613">
              <w:rPr>
                <w:sz w:val="22"/>
                <w:szCs w:val="22"/>
              </w:rPr>
              <w:t>41.470</w:t>
            </w:r>
          </w:p>
        </w:tc>
        <w:tc>
          <w:tcPr>
            <w:tcW w:w="997" w:type="dxa"/>
            <w:tcBorders>
              <w:top w:val="nil"/>
              <w:bottom w:val="single" w:sz="4" w:space="0" w:color="auto"/>
            </w:tcBorders>
            <w:shd w:val="clear" w:color="auto" w:fill="FFFFFF"/>
            <w:vAlign w:val="bottom"/>
          </w:tcPr>
          <w:p w14:paraId="4F48A3C1" w14:textId="77777777" w:rsidR="00614DAF" w:rsidRPr="00BE5613" w:rsidRDefault="00614DAF" w:rsidP="003D4C06">
            <w:pPr>
              <w:jc w:val="center"/>
              <w:rPr>
                <w:sz w:val="22"/>
                <w:szCs w:val="22"/>
              </w:rPr>
            </w:pPr>
            <w:r w:rsidRPr="00BE5613">
              <w:rPr>
                <w:sz w:val="22"/>
                <w:szCs w:val="22"/>
              </w:rPr>
              <w:t>17</w:t>
            </w:r>
          </w:p>
        </w:tc>
      </w:tr>
      <w:tr w:rsidR="00614DAF" w:rsidRPr="00BE5613" w14:paraId="7C745AFE" w14:textId="77777777">
        <w:trPr>
          <w:trHeight w:val="41"/>
        </w:trPr>
        <w:tc>
          <w:tcPr>
            <w:tcW w:w="3147" w:type="dxa"/>
            <w:tcBorders>
              <w:top w:val="single" w:sz="4" w:space="0" w:color="auto"/>
              <w:bottom w:val="nil"/>
            </w:tcBorders>
            <w:shd w:val="clear" w:color="auto" w:fill="FFFFFF"/>
            <w:vAlign w:val="center"/>
          </w:tcPr>
          <w:p w14:paraId="295CD56D" w14:textId="77777777" w:rsidR="00614DAF" w:rsidRPr="00BE5613" w:rsidRDefault="00614DAF" w:rsidP="003D4C06">
            <w:pPr>
              <w:ind w:left="142" w:right="255"/>
              <w:rPr>
                <w:sz w:val="22"/>
                <w:szCs w:val="22"/>
              </w:rPr>
            </w:pPr>
            <w:r w:rsidRPr="00BE5613">
              <w:rPr>
                <w:sz w:val="22"/>
                <w:szCs w:val="22"/>
              </w:rPr>
              <w:t>Unconditional score (partial)</w:t>
            </w:r>
          </w:p>
        </w:tc>
        <w:tc>
          <w:tcPr>
            <w:tcW w:w="996" w:type="dxa"/>
            <w:tcBorders>
              <w:top w:val="single" w:sz="4" w:space="0" w:color="auto"/>
              <w:bottom w:val="nil"/>
              <w:right w:val="nil"/>
            </w:tcBorders>
            <w:shd w:val="clear" w:color="auto" w:fill="FFFFFF"/>
            <w:vAlign w:val="bottom"/>
          </w:tcPr>
          <w:p w14:paraId="69748C77" w14:textId="77777777" w:rsidR="00614DAF" w:rsidRPr="00BE5613" w:rsidRDefault="00614DAF" w:rsidP="003D4C06">
            <w:pPr>
              <w:jc w:val="center"/>
              <w:rPr>
                <w:sz w:val="22"/>
                <w:szCs w:val="22"/>
              </w:rPr>
            </w:pPr>
            <w:r w:rsidRPr="00BE5613">
              <w:rPr>
                <w:sz w:val="22"/>
                <w:szCs w:val="22"/>
              </w:rPr>
              <w:t>0.730</w:t>
            </w:r>
          </w:p>
        </w:tc>
        <w:tc>
          <w:tcPr>
            <w:tcW w:w="997" w:type="dxa"/>
            <w:tcBorders>
              <w:top w:val="single" w:sz="4" w:space="0" w:color="auto"/>
              <w:left w:val="nil"/>
              <w:bottom w:val="nil"/>
              <w:right w:val="nil"/>
            </w:tcBorders>
            <w:shd w:val="clear" w:color="auto" w:fill="FFFFFF"/>
            <w:vAlign w:val="bottom"/>
          </w:tcPr>
          <w:p w14:paraId="373D9137" w14:textId="77777777" w:rsidR="00614DAF" w:rsidRPr="00BE5613" w:rsidRDefault="00614DAF" w:rsidP="003D4C06">
            <w:pPr>
              <w:jc w:val="center"/>
              <w:rPr>
                <w:sz w:val="22"/>
                <w:szCs w:val="22"/>
              </w:rPr>
            </w:pPr>
            <w:r w:rsidRPr="00BE5613">
              <w:rPr>
                <w:sz w:val="22"/>
                <w:szCs w:val="22"/>
              </w:rPr>
              <w:t>0.269</w:t>
            </w:r>
          </w:p>
        </w:tc>
        <w:tc>
          <w:tcPr>
            <w:tcW w:w="997" w:type="dxa"/>
            <w:tcBorders>
              <w:top w:val="single" w:sz="4" w:space="0" w:color="auto"/>
              <w:left w:val="nil"/>
              <w:bottom w:val="nil"/>
              <w:right w:val="nil"/>
            </w:tcBorders>
            <w:shd w:val="clear" w:color="auto" w:fill="FFFFFF"/>
            <w:vAlign w:val="bottom"/>
          </w:tcPr>
          <w:p w14:paraId="4FF8B89B" w14:textId="77777777" w:rsidR="00614DAF" w:rsidRPr="00BE5613" w:rsidRDefault="00614DAF" w:rsidP="003D4C06">
            <w:pPr>
              <w:jc w:val="center"/>
              <w:rPr>
                <w:sz w:val="22"/>
                <w:szCs w:val="22"/>
              </w:rPr>
            </w:pPr>
            <w:r w:rsidRPr="00BE5613">
              <w:rPr>
                <w:sz w:val="22"/>
                <w:szCs w:val="22"/>
              </w:rPr>
              <w:t>0.784</w:t>
            </w:r>
          </w:p>
        </w:tc>
        <w:tc>
          <w:tcPr>
            <w:tcW w:w="996" w:type="dxa"/>
            <w:tcBorders>
              <w:top w:val="single" w:sz="4" w:space="0" w:color="auto"/>
              <w:left w:val="nil"/>
              <w:bottom w:val="nil"/>
            </w:tcBorders>
            <w:shd w:val="clear" w:color="auto" w:fill="FFFFFF"/>
            <w:vAlign w:val="bottom"/>
          </w:tcPr>
          <w:p w14:paraId="13CEF30B" w14:textId="77777777" w:rsidR="00614DAF" w:rsidRPr="00BE5613" w:rsidRDefault="00614DAF" w:rsidP="003D4C06">
            <w:pPr>
              <w:jc w:val="center"/>
              <w:rPr>
                <w:sz w:val="22"/>
                <w:szCs w:val="22"/>
              </w:rPr>
            </w:pPr>
            <w:r w:rsidRPr="00BE5613">
              <w:rPr>
                <w:sz w:val="22"/>
                <w:szCs w:val="22"/>
              </w:rPr>
              <w:t>0.003</w:t>
            </w:r>
          </w:p>
        </w:tc>
        <w:tc>
          <w:tcPr>
            <w:tcW w:w="997" w:type="dxa"/>
            <w:tcBorders>
              <w:top w:val="single" w:sz="4" w:space="0" w:color="auto"/>
              <w:bottom w:val="nil"/>
            </w:tcBorders>
            <w:shd w:val="clear" w:color="auto" w:fill="FFFFFF"/>
            <w:vAlign w:val="bottom"/>
          </w:tcPr>
          <w:p w14:paraId="054EB395" w14:textId="77777777" w:rsidR="00614DAF" w:rsidRPr="00BE5613" w:rsidRDefault="00614DAF" w:rsidP="003D4C06">
            <w:pPr>
              <w:jc w:val="center"/>
              <w:rPr>
                <w:sz w:val="22"/>
                <w:szCs w:val="22"/>
              </w:rPr>
            </w:pPr>
            <w:r w:rsidRPr="00BE5613">
              <w:rPr>
                <w:sz w:val="22"/>
                <w:szCs w:val="22"/>
              </w:rPr>
              <w:t>1.479</w:t>
            </w:r>
          </w:p>
        </w:tc>
        <w:tc>
          <w:tcPr>
            <w:tcW w:w="997" w:type="dxa"/>
            <w:tcBorders>
              <w:top w:val="single" w:sz="4" w:space="0" w:color="auto"/>
              <w:bottom w:val="nil"/>
            </w:tcBorders>
            <w:shd w:val="clear" w:color="auto" w:fill="FFFFFF"/>
            <w:vAlign w:val="bottom"/>
          </w:tcPr>
          <w:p w14:paraId="374C12A7" w14:textId="77777777" w:rsidR="00614DAF" w:rsidRPr="00BE5613" w:rsidRDefault="00614DAF" w:rsidP="003D4C06">
            <w:pPr>
              <w:jc w:val="center"/>
              <w:rPr>
                <w:sz w:val="22"/>
                <w:szCs w:val="22"/>
              </w:rPr>
            </w:pPr>
            <w:r w:rsidRPr="00BE5613">
              <w:rPr>
                <w:sz w:val="22"/>
                <w:szCs w:val="22"/>
              </w:rPr>
              <w:t>46</w:t>
            </w:r>
          </w:p>
        </w:tc>
      </w:tr>
      <w:tr w:rsidR="00614DAF" w:rsidRPr="00BE5613" w14:paraId="7D94B063" w14:textId="77777777">
        <w:trPr>
          <w:trHeight w:val="41"/>
        </w:trPr>
        <w:tc>
          <w:tcPr>
            <w:tcW w:w="3147" w:type="dxa"/>
            <w:tcBorders>
              <w:top w:val="nil"/>
              <w:bottom w:val="nil"/>
            </w:tcBorders>
            <w:shd w:val="clear" w:color="auto" w:fill="FFFFFF"/>
            <w:vAlign w:val="center"/>
          </w:tcPr>
          <w:p w14:paraId="16D3C9AC" w14:textId="77777777" w:rsidR="00614DAF" w:rsidRPr="00BE5613" w:rsidRDefault="00614DAF" w:rsidP="003D4C06">
            <w:pPr>
              <w:ind w:left="142" w:right="255"/>
              <w:rPr>
                <w:sz w:val="22"/>
                <w:szCs w:val="22"/>
              </w:rPr>
            </w:pPr>
            <w:r w:rsidRPr="00BE5613">
              <w:rPr>
                <w:sz w:val="22"/>
                <w:szCs w:val="22"/>
              </w:rPr>
              <w:t>Conditional score (partial)</w:t>
            </w:r>
          </w:p>
        </w:tc>
        <w:tc>
          <w:tcPr>
            <w:tcW w:w="996" w:type="dxa"/>
            <w:tcBorders>
              <w:top w:val="nil"/>
              <w:bottom w:val="nil"/>
              <w:right w:val="nil"/>
            </w:tcBorders>
            <w:shd w:val="clear" w:color="auto" w:fill="FFFFFF"/>
            <w:vAlign w:val="bottom"/>
          </w:tcPr>
          <w:p w14:paraId="55EC87A7" w14:textId="77777777" w:rsidR="00614DAF" w:rsidRPr="00BE5613" w:rsidRDefault="00614DAF" w:rsidP="003D4C06">
            <w:pPr>
              <w:jc w:val="center"/>
              <w:rPr>
                <w:sz w:val="22"/>
                <w:szCs w:val="22"/>
              </w:rPr>
            </w:pPr>
            <w:r w:rsidRPr="00BE5613">
              <w:rPr>
                <w:sz w:val="22"/>
                <w:szCs w:val="22"/>
              </w:rPr>
              <w:t>0.718</w:t>
            </w:r>
          </w:p>
        </w:tc>
        <w:tc>
          <w:tcPr>
            <w:tcW w:w="997" w:type="dxa"/>
            <w:tcBorders>
              <w:top w:val="nil"/>
              <w:left w:val="nil"/>
              <w:bottom w:val="nil"/>
              <w:right w:val="nil"/>
            </w:tcBorders>
            <w:shd w:val="clear" w:color="auto" w:fill="FFFFFF"/>
            <w:vAlign w:val="bottom"/>
          </w:tcPr>
          <w:p w14:paraId="6E1CE609" w14:textId="77777777" w:rsidR="00614DAF" w:rsidRPr="00BE5613" w:rsidRDefault="00614DAF" w:rsidP="003D4C06">
            <w:pPr>
              <w:jc w:val="center"/>
              <w:rPr>
                <w:sz w:val="22"/>
                <w:szCs w:val="22"/>
              </w:rPr>
            </w:pPr>
            <w:r w:rsidRPr="00BE5613">
              <w:rPr>
                <w:sz w:val="22"/>
                <w:szCs w:val="22"/>
              </w:rPr>
              <w:t>0.266</w:t>
            </w:r>
          </w:p>
        </w:tc>
        <w:tc>
          <w:tcPr>
            <w:tcW w:w="997" w:type="dxa"/>
            <w:tcBorders>
              <w:top w:val="nil"/>
              <w:left w:val="nil"/>
              <w:bottom w:val="nil"/>
              <w:right w:val="nil"/>
            </w:tcBorders>
            <w:shd w:val="clear" w:color="auto" w:fill="FFFFFF"/>
            <w:vAlign w:val="bottom"/>
          </w:tcPr>
          <w:p w14:paraId="65B1D556" w14:textId="77777777" w:rsidR="00614DAF" w:rsidRPr="00BE5613" w:rsidRDefault="00614DAF" w:rsidP="003D4C06">
            <w:pPr>
              <w:jc w:val="center"/>
              <w:rPr>
                <w:sz w:val="22"/>
                <w:szCs w:val="22"/>
              </w:rPr>
            </w:pPr>
            <w:r w:rsidRPr="00BE5613">
              <w:rPr>
                <w:sz w:val="22"/>
                <w:szCs w:val="22"/>
              </w:rPr>
              <w:t>0.761</w:t>
            </w:r>
          </w:p>
        </w:tc>
        <w:tc>
          <w:tcPr>
            <w:tcW w:w="996" w:type="dxa"/>
            <w:tcBorders>
              <w:top w:val="nil"/>
              <w:left w:val="nil"/>
              <w:bottom w:val="nil"/>
            </w:tcBorders>
            <w:shd w:val="clear" w:color="auto" w:fill="FFFFFF"/>
            <w:vAlign w:val="bottom"/>
          </w:tcPr>
          <w:p w14:paraId="72523DFF" w14:textId="77777777" w:rsidR="00614DAF" w:rsidRPr="00BE5613" w:rsidRDefault="00614DAF" w:rsidP="003D4C06">
            <w:pPr>
              <w:jc w:val="center"/>
              <w:rPr>
                <w:sz w:val="22"/>
                <w:szCs w:val="22"/>
              </w:rPr>
            </w:pPr>
            <w:r w:rsidRPr="00BE5613">
              <w:rPr>
                <w:sz w:val="22"/>
                <w:szCs w:val="22"/>
              </w:rPr>
              <w:t>0.003</w:t>
            </w:r>
          </w:p>
        </w:tc>
        <w:tc>
          <w:tcPr>
            <w:tcW w:w="997" w:type="dxa"/>
            <w:tcBorders>
              <w:top w:val="nil"/>
              <w:bottom w:val="nil"/>
            </w:tcBorders>
            <w:shd w:val="clear" w:color="auto" w:fill="FFFFFF"/>
            <w:vAlign w:val="bottom"/>
          </w:tcPr>
          <w:p w14:paraId="58216635" w14:textId="77777777" w:rsidR="00614DAF" w:rsidRPr="00BE5613" w:rsidRDefault="00614DAF" w:rsidP="003D4C06">
            <w:pPr>
              <w:jc w:val="center"/>
              <w:rPr>
                <w:sz w:val="22"/>
                <w:szCs w:val="22"/>
              </w:rPr>
            </w:pPr>
            <w:r w:rsidRPr="00BE5613">
              <w:rPr>
                <w:sz w:val="22"/>
                <w:szCs w:val="22"/>
              </w:rPr>
              <w:t>1.297</w:t>
            </w:r>
          </w:p>
        </w:tc>
        <w:tc>
          <w:tcPr>
            <w:tcW w:w="997" w:type="dxa"/>
            <w:tcBorders>
              <w:top w:val="nil"/>
              <w:bottom w:val="nil"/>
            </w:tcBorders>
            <w:shd w:val="clear" w:color="auto" w:fill="FFFFFF"/>
            <w:vAlign w:val="bottom"/>
          </w:tcPr>
          <w:p w14:paraId="145AE1CA" w14:textId="77777777" w:rsidR="00614DAF" w:rsidRPr="00BE5613" w:rsidRDefault="00614DAF" w:rsidP="003D4C06">
            <w:pPr>
              <w:jc w:val="center"/>
              <w:rPr>
                <w:sz w:val="22"/>
                <w:szCs w:val="22"/>
              </w:rPr>
            </w:pPr>
            <w:r w:rsidRPr="00BE5613">
              <w:rPr>
                <w:sz w:val="22"/>
                <w:szCs w:val="22"/>
              </w:rPr>
              <w:t>54</w:t>
            </w:r>
          </w:p>
        </w:tc>
      </w:tr>
      <w:tr w:rsidR="00614DAF" w:rsidRPr="00BE5613" w14:paraId="4815FCB2" w14:textId="77777777">
        <w:trPr>
          <w:trHeight w:val="41"/>
        </w:trPr>
        <w:tc>
          <w:tcPr>
            <w:tcW w:w="3147" w:type="dxa"/>
            <w:tcBorders>
              <w:top w:val="nil"/>
              <w:bottom w:val="single" w:sz="4" w:space="0" w:color="auto"/>
            </w:tcBorders>
            <w:shd w:val="clear" w:color="auto" w:fill="FFFFFF"/>
            <w:vAlign w:val="center"/>
          </w:tcPr>
          <w:p w14:paraId="4C3FB409" w14:textId="77777777" w:rsidR="00614DAF" w:rsidRPr="00BE5613" w:rsidRDefault="00614DAF" w:rsidP="003D4C06">
            <w:pPr>
              <w:ind w:left="142" w:right="255"/>
              <w:rPr>
                <w:sz w:val="22"/>
                <w:szCs w:val="22"/>
              </w:rPr>
            </w:pPr>
            <w:r w:rsidRPr="00BE5613">
              <w:rPr>
                <w:sz w:val="22"/>
                <w:szCs w:val="22"/>
              </w:rPr>
              <w:t>UTC ratio (partial)</w:t>
            </w:r>
          </w:p>
        </w:tc>
        <w:tc>
          <w:tcPr>
            <w:tcW w:w="996" w:type="dxa"/>
            <w:tcBorders>
              <w:top w:val="nil"/>
              <w:bottom w:val="single" w:sz="4" w:space="0" w:color="auto"/>
              <w:right w:val="nil"/>
            </w:tcBorders>
            <w:shd w:val="clear" w:color="auto" w:fill="FFFFFF"/>
            <w:vAlign w:val="bottom"/>
          </w:tcPr>
          <w:p w14:paraId="42EA90AA" w14:textId="77777777" w:rsidR="00614DAF" w:rsidRPr="00BE5613" w:rsidRDefault="00614DAF" w:rsidP="003D4C06">
            <w:pPr>
              <w:jc w:val="center"/>
              <w:rPr>
                <w:sz w:val="22"/>
                <w:szCs w:val="22"/>
              </w:rPr>
            </w:pPr>
            <w:r w:rsidRPr="00BE5613">
              <w:rPr>
                <w:sz w:val="22"/>
                <w:szCs w:val="22"/>
              </w:rPr>
              <w:t>1.392</w:t>
            </w:r>
          </w:p>
        </w:tc>
        <w:tc>
          <w:tcPr>
            <w:tcW w:w="997" w:type="dxa"/>
            <w:tcBorders>
              <w:top w:val="nil"/>
              <w:left w:val="nil"/>
              <w:bottom w:val="single" w:sz="4" w:space="0" w:color="auto"/>
              <w:right w:val="nil"/>
            </w:tcBorders>
            <w:shd w:val="clear" w:color="auto" w:fill="FFFFFF"/>
            <w:vAlign w:val="bottom"/>
          </w:tcPr>
          <w:p w14:paraId="3BBCA9F7" w14:textId="77777777" w:rsidR="00614DAF" w:rsidRPr="00BE5613" w:rsidRDefault="00614DAF" w:rsidP="003D4C06">
            <w:pPr>
              <w:jc w:val="center"/>
              <w:rPr>
                <w:sz w:val="22"/>
                <w:szCs w:val="22"/>
              </w:rPr>
            </w:pPr>
            <w:r w:rsidRPr="00BE5613">
              <w:rPr>
                <w:sz w:val="22"/>
                <w:szCs w:val="22"/>
              </w:rPr>
              <w:t>0.819</w:t>
            </w:r>
          </w:p>
        </w:tc>
        <w:tc>
          <w:tcPr>
            <w:tcW w:w="997" w:type="dxa"/>
            <w:tcBorders>
              <w:top w:val="nil"/>
              <w:left w:val="nil"/>
              <w:bottom w:val="single" w:sz="4" w:space="0" w:color="auto"/>
              <w:right w:val="nil"/>
            </w:tcBorders>
            <w:shd w:val="clear" w:color="auto" w:fill="FFFFFF"/>
            <w:vAlign w:val="bottom"/>
          </w:tcPr>
          <w:p w14:paraId="4FD14B43" w14:textId="77777777" w:rsidR="00614DAF" w:rsidRPr="00BE5613" w:rsidRDefault="00614DAF" w:rsidP="003D4C06">
            <w:pPr>
              <w:jc w:val="center"/>
              <w:rPr>
                <w:sz w:val="22"/>
                <w:szCs w:val="22"/>
              </w:rPr>
            </w:pPr>
            <w:r w:rsidRPr="00BE5613">
              <w:rPr>
                <w:sz w:val="22"/>
                <w:szCs w:val="22"/>
              </w:rPr>
              <w:t>1.273</w:t>
            </w:r>
          </w:p>
        </w:tc>
        <w:tc>
          <w:tcPr>
            <w:tcW w:w="996" w:type="dxa"/>
            <w:tcBorders>
              <w:top w:val="nil"/>
              <w:left w:val="nil"/>
              <w:bottom w:val="single" w:sz="4" w:space="0" w:color="auto"/>
            </w:tcBorders>
            <w:shd w:val="clear" w:color="auto" w:fill="FFFFFF"/>
            <w:vAlign w:val="bottom"/>
          </w:tcPr>
          <w:p w14:paraId="2B411DB6" w14:textId="77777777" w:rsidR="00614DAF" w:rsidRPr="00BE5613" w:rsidRDefault="00614DAF" w:rsidP="003D4C06">
            <w:pPr>
              <w:jc w:val="center"/>
              <w:rPr>
                <w:sz w:val="22"/>
                <w:szCs w:val="22"/>
              </w:rPr>
            </w:pPr>
            <w:r w:rsidRPr="00BE5613">
              <w:rPr>
                <w:sz w:val="22"/>
                <w:szCs w:val="22"/>
              </w:rPr>
              <w:t>0.439</w:t>
            </w:r>
          </w:p>
        </w:tc>
        <w:tc>
          <w:tcPr>
            <w:tcW w:w="997" w:type="dxa"/>
            <w:tcBorders>
              <w:top w:val="nil"/>
              <w:bottom w:val="single" w:sz="4" w:space="0" w:color="auto"/>
            </w:tcBorders>
            <w:shd w:val="clear" w:color="auto" w:fill="FFFFFF"/>
            <w:vAlign w:val="bottom"/>
          </w:tcPr>
          <w:p w14:paraId="7C1D96D2" w14:textId="77777777" w:rsidR="00614DAF" w:rsidRPr="00BE5613" w:rsidRDefault="00614DAF" w:rsidP="003D4C06">
            <w:pPr>
              <w:jc w:val="center"/>
              <w:rPr>
                <w:sz w:val="22"/>
                <w:szCs w:val="22"/>
              </w:rPr>
            </w:pPr>
            <w:r w:rsidRPr="00BE5613">
              <w:rPr>
                <w:sz w:val="22"/>
                <w:szCs w:val="22"/>
              </w:rPr>
              <w:t>11.967</w:t>
            </w:r>
          </w:p>
        </w:tc>
        <w:tc>
          <w:tcPr>
            <w:tcW w:w="997" w:type="dxa"/>
            <w:tcBorders>
              <w:top w:val="nil"/>
              <w:bottom w:val="single" w:sz="4" w:space="0" w:color="auto"/>
            </w:tcBorders>
            <w:shd w:val="clear" w:color="auto" w:fill="FFFFFF"/>
            <w:vAlign w:val="bottom"/>
          </w:tcPr>
          <w:p w14:paraId="162FEFFA" w14:textId="77777777" w:rsidR="00614DAF" w:rsidRPr="00BE5613" w:rsidRDefault="00614DAF" w:rsidP="003D4C06">
            <w:pPr>
              <w:jc w:val="center"/>
              <w:rPr>
                <w:sz w:val="22"/>
                <w:szCs w:val="22"/>
              </w:rPr>
            </w:pPr>
            <w:r w:rsidRPr="00BE5613">
              <w:rPr>
                <w:sz w:val="22"/>
                <w:szCs w:val="22"/>
              </w:rPr>
              <w:t>7</w:t>
            </w:r>
          </w:p>
        </w:tc>
      </w:tr>
    </w:tbl>
    <w:p w14:paraId="0E8C1F52" w14:textId="77777777" w:rsidR="006E0173" w:rsidRPr="00BE5613" w:rsidRDefault="006E0173" w:rsidP="006E0173">
      <w:pPr>
        <w:jc w:val="both"/>
        <w:rPr>
          <w:sz w:val="20"/>
          <w:szCs w:val="20"/>
        </w:rPr>
      </w:pPr>
      <w:r w:rsidRPr="00BE5613">
        <w:rPr>
          <w:sz w:val="20"/>
          <w:szCs w:val="20"/>
        </w:rPr>
        <w:t xml:space="preserve">Notes: For partial frontiers, the choice of </w:t>
      </w:r>
      <w:r w:rsidRPr="00BE5613">
        <w:rPr>
          <w:i/>
          <w:sz w:val="20"/>
          <w:szCs w:val="20"/>
        </w:rPr>
        <w:t>m</w:t>
      </w:r>
      <w:r w:rsidRPr="00BE5613">
        <w:rPr>
          <w:sz w:val="20"/>
          <w:szCs w:val="20"/>
        </w:rPr>
        <w:t xml:space="preserve"> = 150 was adopted. The last column, # of unit cases, states the number of fully performing municipalities (for unconditional or conditional scores) or the number of municipalities where the local operating environment does not alter performance (for UTC ratios).</w:t>
      </w:r>
    </w:p>
    <w:p w14:paraId="309A3A6C" w14:textId="77777777" w:rsidR="006E0173" w:rsidRPr="00BE5613" w:rsidRDefault="006E0173" w:rsidP="006E0173"/>
    <w:p w14:paraId="27C00C77" w14:textId="0EE8C821" w:rsidR="007513DC" w:rsidRPr="00BE5613" w:rsidRDefault="007513DC" w:rsidP="00AA45FA">
      <w:pPr>
        <w:spacing w:line="480" w:lineRule="auto"/>
        <w:ind w:firstLine="567"/>
        <w:jc w:val="both"/>
      </w:pPr>
      <w:r w:rsidRPr="00BE5613">
        <w:t xml:space="preserve">Municipalities with unit unconditional scores for full or partial frontiers whose counts are given in the last column of Table </w:t>
      </w:r>
      <w:r w:rsidRPr="00BE5613">
        <w:fldChar w:fldCharType="begin"/>
      </w:r>
      <w:r w:rsidRPr="00BE5613">
        <w:instrText xml:space="preserve"> REF table_scores \h </w:instrText>
      </w:r>
      <w:r w:rsidR="00A67730" w:rsidRPr="00BE5613">
        <w:instrText xml:space="preserve"> \* MERGEFORMAT </w:instrText>
      </w:r>
      <w:r w:rsidRPr="00BE5613">
        <w:fldChar w:fldCharType="separate"/>
      </w:r>
      <w:r w:rsidR="00AA45FA" w:rsidRPr="00BE5613">
        <w:rPr>
          <w:noProof/>
        </w:rPr>
        <w:t>4</w:t>
      </w:r>
      <w:r w:rsidRPr="00BE5613">
        <w:fldChar w:fldCharType="end"/>
      </w:r>
      <w:r w:rsidRPr="00BE5613">
        <w:t xml:space="preserve"> are best performers. They are relatively diverse with no significant feature that would distinguish them from the rest. They include municipalities that vary vastly in size, have various waste collection frequencies and MSWE per capita comparable to others. They outstand from others in significantly higher-than-average collected recyclables per capita, together with a higher-than-average share of collected recyclables on total generated municipal waste.</w:t>
      </w:r>
    </w:p>
    <w:p w14:paraId="0DAAF2CC" w14:textId="77777777" w:rsidR="006E0173" w:rsidRPr="00BE5613" w:rsidRDefault="006E0173" w:rsidP="006E0173"/>
    <w:p w14:paraId="72312D1C" w14:textId="77777777" w:rsidR="006E0173" w:rsidRPr="00BE5613" w:rsidRDefault="006E0173" w:rsidP="006E0173">
      <w:pPr>
        <w:jc w:val="both"/>
      </w:pPr>
      <w:r w:rsidRPr="00BE5613">
        <w:t xml:space="preserve">Table </w:t>
      </w:r>
      <w:bookmarkStart w:id="11" w:name="table_septest"/>
      <w:r w:rsidRPr="00BE5613">
        <w:fldChar w:fldCharType="begin"/>
      </w:r>
      <w:r w:rsidRPr="00BE5613">
        <w:instrText xml:space="preserve"> SEQ Table \* ARABIC </w:instrText>
      </w:r>
      <w:r w:rsidRPr="00BE5613">
        <w:fldChar w:fldCharType="separate"/>
      </w:r>
      <w:r w:rsidR="00AA45FA" w:rsidRPr="00BE5613">
        <w:rPr>
          <w:noProof/>
        </w:rPr>
        <w:t>5</w:t>
      </w:r>
      <w:r w:rsidRPr="00BE5613">
        <w:fldChar w:fldCharType="end"/>
      </w:r>
      <w:bookmarkEnd w:id="11"/>
      <w:r w:rsidRPr="00BE5613">
        <w:t>: Results of the separability tests</w:t>
      </w:r>
    </w:p>
    <w:tbl>
      <w:tblPr>
        <w:tblW w:w="9127" w:type="dxa"/>
        <w:tblBorders>
          <w:top w:val="single" w:sz="4" w:space="0" w:color="auto"/>
          <w:bottom w:val="single" w:sz="4" w:space="0" w:color="auto"/>
          <w:insideH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446"/>
        <w:gridCol w:w="960"/>
        <w:gridCol w:w="960"/>
        <w:gridCol w:w="960"/>
        <w:gridCol w:w="960"/>
        <w:gridCol w:w="960"/>
        <w:gridCol w:w="960"/>
        <w:gridCol w:w="960"/>
        <w:gridCol w:w="961"/>
      </w:tblGrid>
      <w:tr w:rsidR="006E0173" w:rsidRPr="00BE5613" w14:paraId="332CA02B" w14:textId="77777777">
        <w:trPr>
          <w:trHeight w:val="277"/>
        </w:trPr>
        <w:tc>
          <w:tcPr>
            <w:tcW w:w="1446" w:type="dxa"/>
            <w:vMerge w:val="restart"/>
            <w:tcBorders>
              <w:right w:val="nil"/>
            </w:tcBorders>
            <w:shd w:val="clear" w:color="auto" w:fill="FFFFFF"/>
            <w:vAlign w:val="center"/>
          </w:tcPr>
          <w:p w14:paraId="639C836E" w14:textId="77777777" w:rsidR="006E0173" w:rsidRPr="00BE5613" w:rsidRDefault="006E0173" w:rsidP="003D4C06">
            <w:pPr>
              <w:jc w:val="center"/>
              <w:rPr>
                <w:b/>
                <w:sz w:val="22"/>
                <w:szCs w:val="22"/>
              </w:rPr>
            </w:pPr>
          </w:p>
        </w:tc>
        <w:tc>
          <w:tcPr>
            <w:tcW w:w="1920" w:type="dxa"/>
            <w:gridSpan w:val="2"/>
            <w:tcBorders>
              <w:left w:val="nil"/>
              <w:bottom w:val="single" w:sz="4" w:space="0" w:color="auto"/>
            </w:tcBorders>
            <w:shd w:val="clear" w:color="auto" w:fill="FFFFFF"/>
            <w:vAlign w:val="center"/>
          </w:tcPr>
          <w:p w14:paraId="066B0156" w14:textId="77777777" w:rsidR="006E0173" w:rsidRPr="00BE5613" w:rsidRDefault="006E0173" w:rsidP="003D4C06">
            <w:pPr>
              <w:jc w:val="center"/>
              <w:rPr>
                <w:sz w:val="22"/>
                <w:szCs w:val="22"/>
              </w:rPr>
            </w:pPr>
            <w:r w:rsidRPr="00BE5613">
              <w:rPr>
                <w:sz w:val="22"/>
                <w:szCs w:val="22"/>
              </w:rPr>
              <w:t>Model I</w:t>
            </w:r>
          </w:p>
        </w:tc>
        <w:tc>
          <w:tcPr>
            <w:tcW w:w="1920" w:type="dxa"/>
            <w:gridSpan w:val="2"/>
            <w:tcBorders>
              <w:bottom w:val="single" w:sz="4" w:space="0" w:color="auto"/>
              <w:right w:val="nil"/>
            </w:tcBorders>
            <w:shd w:val="clear" w:color="auto" w:fill="FFFFFF"/>
            <w:vAlign w:val="center"/>
          </w:tcPr>
          <w:p w14:paraId="521EE2B5" w14:textId="77777777" w:rsidR="006E0173" w:rsidRPr="00BE5613" w:rsidRDefault="006E0173" w:rsidP="003D4C06">
            <w:pPr>
              <w:jc w:val="center"/>
              <w:rPr>
                <w:sz w:val="22"/>
                <w:szCs w:val="22"/>
              </w:rPr>
            </w:pPr>
            <w:r w:rsidRPr="00BE5613">
              <w:rPr>
                <w:sz w:val="22"/>
                <w:szCs w:val="22"/>
              </w:rPr>
              <w:t>Model II</w:t>
            </w:r>
          </w:p>
        </w:tc>
        <w:tc>
          <w:tcPr>
            <w:tcW w:w="1920" w:type="dxa"/>
            <w:gridSpan w:val="2"/>
            <w:tcBorders>
              <w:left w:val="nil"/>
              <w:bottom w:val="single" w:sz="4" w:space="0" w:color="auto"/>
            </w:tcBorders>
            <w:shd w:val="clear" w:color="auto" w:fill="FFFFFF"/>
            <w:vAlign w:val="center"/>
          </w:tcPr>
          <w:p w14:paraId="05EC28E0" w14:textId="77777777" w:rsidR="006E0173" w:rsidRPr="00BE5613" w:rsidRDefault="006E0173" w:rsidP="003D4C06">
            <w:pPr>
              <w:jc w:val="center"/>
              <w:rPr>
                <w:sz w:val="22"/>
                <w:szCs w:val="22"/>
              </w:rPr>
            </w:pPr>
            <w:r w:rsidRPr="00BE5613">
              <w:rPr>
                <w:sz w:val="22"/>
                <w:szCs w:val="22"/>
              </w:rPr>
              <w:t>Model III</w:t>
            </w:r>
          </w:p>
        </w:tc>
        <w:tc>
          <w:tcPr>
            <w:tcW w:w="1921" w:type="dxa"/>
            <w:gridSpan w:val="2"/>
            <w:tcBorders>
              <w:bottom w:val="single" w:sz="4" w:space="0" w:color="auto"/>
            </w:tcBorders>
            <w:shd w:val="clear" w:color="auto" w:fill="FFFFFF"/>
            <w:vAlign w:val="center"/>
          </w:tcPr>
          <w:p w14:paraId="4FE8DB29" w14:textId="77777777" w:rsidR="006E0173" w:rsidRPr="00BE5613" w:rsidRDefault="006E0173" w:rsidP="003D4C06">
            <w:pPr>
              <w:jc w:val="center"/>
              <w:rPr>
                <w:sz w:val="22"/>
                <w:szCs w:val="22"/>
              </w:rPr>
            </w:pPr>
            <w:r w:rsidRPr="00BE5613">
              <w:rPr>
                <w:sz w:val="22"/>
                <w:szCs w:val="22"/>
              </w:rPr>
              <w:t>Model IV</w:t>
            </w:r>
          </w:p>
        </w:tc>
      </w:tr>
      <w:tr w:rsidR="006E0173" w:rsidRPr="00BE5613" w14:paraId="23D0AB5E" w14:textId="77777777">
        <w:trPr>
          <w:trHeight w:val="242"/>
        </w:trPr>
        <w:tc>
          <w:tcPr>
            <w:tcW w:w="1446" w:type="dxa"/>
            <w:vMerge/>
            <w:tcBorders>
              <w:bottom w:val="single" w:sz="4" w:space="0" w:color="auto"/>
              <w:right w:val="nil"/>
            </w:tcBorders>
            <w:shd w:val="clear" w:color="auto" w:fill="FFFFFF"/>
            <w:vAlign w:val="center"/>
          </w:tcPr>
          <w:p w14:paraId="52095727" w14:textId="77777777" w:rsidR="006E0173" w:rsidRPr="00BE5613" w:rsidRDefault="006E0173" w:rsidP="003D4C06">
            <w:pPr>
              <w:jc w:val="center"/>
              <w:rPr>
                <w:b/>
                <w:sz w:val="22"/>
                <w:szCs w:val="22"/>
              </w:rPr>
            </w:pPr>
          </w:p>
        </w:tc>
        <w:tc>
          <w:tcPr>
            <w:tcW w:w="960" w:type="dxa"/>
            <w:tcBorders>
              <w:left w:val="nil"/>
              <w:bottom w:val="single" w:sz="4" w:space="0" w:color="auto"/>
              <w:right w:val="nil"/>
            </w:tcBorders>
            <w:shd w:val="clear" w:color="auto" w:fill="FFFFFF"/>
            <w:vAlign w:val="center"/>
          </w:tcPr>
          <w:p w14:paraId="4B616296"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1</w:t>
            </w:r>
            <w:r w:rsidRPr="00BE5613">
              <w:rPr>
                <w:sz w:val="22"/>
                <w:szCs w:val="22"/>
              </w:rPr>
              <w:t xml:space="preserve"> test</w:t>
            </w:r>
          </w:p>
        </w:tc>
        <w:tc>
          <w:tcPr>
            <w:tcW w:w="960" w:type="dxa"/>
            <w:tcBorders>
              <w:left w:val="nil"/>
              <w:bottom w:val="single" w:sz="4" w:space="0" w:color="auto"/>
            </w:tcBorders>
            <w:shd w:val="clear" w:color="auto" w:fill="FFFFFF"/>
            <w:vAlign w:val="center"/>
          </w:tcPr>
          <w:p w14:paraId="720FF226"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2</w:t>
            </w:r>
            <w:r w:rsidRPr="00BE5613">
              <w:rPr>
                <w:sz w:val="22"/>
                <w:szCs w:val="22"/>
              </w:rPr>
              <w:t xml:space="preserve"> test</w:t>
            </w:r>
          </w:p>
        </w:tc>
        <w:tc>
          <w:tcPr>
            <w:tcW w:w="960" w:type="dxa"/>
            <w:tcBorders>
              <w:bottom w:val="single" w:sz="4" w:space="0" w:color="auto"/>
              <w:right w:val="nil"/>
            </w:tcBorders>
            <w:shd w:val="clear" w:color="auto" w:fill="FFFFFF"/>
            <w:vAlign w:val="center"/>
          </w:tcPr>
          <w:p w14:paraId="68C99DF4"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1</w:t>
            </w:r>
            <w:r w:rsidRPr="00BE5613">
              <w:rPr>
                <w:sz w:val="22"/>
                <w:szCs w:val="22"/>
              </w:rPr>
              <w:t xml:space="preserve"> test</w:t>
            </w:r>
          </w:p>
        </w:tc>
        <w:tc>
          <w:tcPr>
            <w:tcW w:w="960" w:type="dxa"/>
            <w:tcBorders>
              <w:left w:val="nil"/>
              <w:bottom w:val="single" w:sz="4" w:space="0" w:color="auto"/>
              <w:right w:val="nil"/>
            </w:tcBorders>
            <w:shd w:val="clear" w:color="auto" w:fill="FFFFFF"/>
            <w:vAlign w:val="center"/>
          </w:tcPr>
          <w:p w14:paraId="19BD871D"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2</w:t>
            </w:r>
            <w:r w:rsidRPr="00BE5613">
              <w:rPr>
                <w:sz w:val="22"/>
                <w:szCs w:val="22"/>
              </w:rPr>
              <w:t xml:space="preserve"> test</w:t>
            </w:r>
          </w:p>
        </w:tc>
        <w:tc>
          <w:tcPr>
            <w:tcW w:w="960" w:type="dxa"/>
            <w:tcBorders>
              <w:left w:val="nil"/>
              <w:bottom w:val="single" w:sz="4" w:space="0" w:color="auto"/>
              <w:right w:val="nil"/>
            </w:tcBorders>
            <w:shd w:val="clear" w:color="auto" w:fill="FFFFFF"/>
            <w:vAlign w:val="center"/>
          </w:tcPr>
          <w:p w14:paraId="16F5257A"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1</w:t>
            </w:r>
            <w:r w:rsidRPr="00BE5613">
              <w:rPr>
                <w:sz w:val="22"/>
                <w:szCs w:val="22"/>
              </w:rPr>
              <w:t xml:space="preserve"> test</w:t>
            </w:r>
          </w:p>
        </w:tc>
        <w:tc>
          <w:tcPr>
            <w:tcW w:w="960" w:type="dxa"/>
            <w:tcBorders>
              <w:left w:val="nil"/>
              <w:bottom w:val="single" w:sz="4" w:space="0" w:color="auto"/>
            </w:tcBorders>
            <w:shd w:val="clear" w:color="auto" w:fill="FFFFFF"/>
            <w:vAlign w:val="center"/>
          </w:tcPr>
          <w:p w14:paraId="55AB66CD"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2</w:t>
            </w:r>
            <w:r w:rsidRPr="00BE5613">
              <w:rPr>
                <w:sz w:val="22"/>
                <w:szCs w:val="22"/>
              </w:rPr>
              <w:t xml:space="preserve"> test</w:t>
            </w:r>
          </w:p>
        </w:tc>
        <w:tc>
          <w:tcPr>
            <w:tcW w:w="960" w:type="dxa"/>
            <w:tcBorders>
              <w:bottom w:val="single" w:sz="4" w:space="0" w:color="auto"/>
            </w:tcBorders>
            <w:shd w:val="clear" w:color="auto" w:fill="FFFFFF"/>
            <w:vAlign w:val="center"/>
          </w:tcPr>
          <w:p w14:paraId="2B93AA21"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1</w:t>
            </w:r>
            <w:r w:rsidRPr="00BE5613">
              <w:rPr>
                <w:sz w:val="22"/>
                <w:szCs w:val="22"/>
              </w:rPr>
              <w:t xml:space="preserve"> test</w:t>
            </w:r>
          </w:p>
        </w:tc>
        <w:tc>
          <w:tcPr>
            <w:tcW w:w="961" w:type="dxa"/>
            <w:tcBorders>
              <w:bottom w:val="single" w:sz="4" w:space="0" w:color="auto"/>
            </w:tcBorders>
            <w:shd w:val="clear" w:color="auto" w:fill="FFFFFF"/>
            <w:vAlign w:val="center"/>
          </w:tcPr>
          <w:p w14:paraId="5AF27DCB" w14:textId="77777777" w:rsidR="006E0173" w:rsidRPr="00BE5613" w:rsidRDefault="006E0173" w:rsidP="003D4C06">
            <w:pPr>
              <w:jc w:val="center"/>
              <w:rPr>
                <w:sz w:val="22"/>
                <w:szCs w:val="22"/>
              </w:rPr>
            </w:pPr>
            <w:r w:rsidRPr="00BE5613">
              <w:rPr>
                <w:sz w:val="22"/>
                <w:szCs w:val="22"/>
              </w:rPr>
              <w:t>T</w:t>
            </w:r>
            <w:r w:rsidRPr="00BE5613">
              <w:rPr>
                <w:sz w:val="22"/>
                <w:szCs w:val="22"/>
                <w:vertAlign w:val="subscript"/>
              </w:rPr>
              <w:t>2</w:t>
            </w:r>
            <w:r w:rsidRPr="00BE5613">
              <w:rPr>
                <w:sz w:val="22"/>
                <w:szCs w:val="22"/>
              </w:rPr>
              <w:t xml:space="preserve"> test</w:t>
            </w:r>
          </w:p>
        </w:tc>
      </w:tr>
      <w:tr w:rsidR="006E0173" w:rsidRPr="00BE5613" w14:paraId="70635518" w14:textId="77777777">
        <w:trPr>
          <w:trHeight w:val="41"/>
        </w:trPr>
        <w:tc>
          <w:tcPr>
            <w:tcW w:w="1446" w:type="dxa"/>
            <w:tcBorders>
              <w:top w:val="nil"/>
              <w:bottom w:val="nil"/>
              <w:right w:val="nil"/>
            </w:tcBorders>
            <w:shd w:val="clear" w:color="auto" w:fill="FFFFFF"/>
            <w:vAlign w:val="center"/>
          </w:tcPr>
          <w:p w14:paraId="174AE7BA" w14:textId="77777777" w:rsidR="006E0173" w:rsidRPr="00BE5613" w:rsidRDefault="006E0173" w:rsidP="003D4C06">
            <w:pPr>
              <w:ind w:left="142" w:right="255"/>
              <w:rPr>
                <w:sz w:val="22"/>
                <w:szCs w:val="22"/>
              </w:rPr>
            </w:pPr>
            <w:r w:rsidRPr="00BE5613">
              <w:rPr>
                <w:sz w:val="22"/>
                <w:szCs w:val="22"/>
              </w:rPr>
              <w:t>Statistic</w:t>
            </w:r>
          </w:p>
        </w:tc>
        <w:tc>
          <w:tcPr>
            <w:tcW w:w="960" w:type="dxa"/>
            <w:tcBorders>
              <w:top w:val="nil"/>
              <w:left w:val="nil"/>
              <w:bottom w:val="nil"/>
              <w:right w:val="nil"/>
            </w:tcBorders>
            <w:shd w:val="clear" w:color="auto" w:fill="FFFFFF"/>
            <w:vAlign w:val="bottom"/>
          </w:tcPr>
          <w:p w14:paraId="2FA8955A" w14:textId="77777777" w:rsidR="006E0173" w:rsidRPr="00BE5613" w:rsidRDefault="006E0173" w:rsidP="003D4C06">
            <w:pPr>
              <w:jc w:val="center"/>
              <w:rPr>
                <w:sz w:val="22"/>
                <w:szCs w:val="22"/>
              </w:rPr>
            </w:pPr>
            <w:r w:rsidRPr="00BE5613">
              <w:rPr>
                <w:sz w:val="22"/>
                <w:szCs w:val="22"/>
              </w:rPr>
              <w:t>-36.927</w:t>
            </w:r>
          </w:p>
        </w:tc>
        <w:tc>
          <w:tcPr>
            <w:tcW w:w="960" w:type="dxa"/>
            <w:tcBorders>
              <w:top w:val="nil"/>
              <w:left w:val="nil"/>
              <w:bottom w:val="nil"/>
            </w:tcBorders>
            <w:shd w:val="clear" w:color="auto" w:fill="FFFFFF"/>
            <w:vAlign w:val="bottom"/>
          </w:tcPr>
          <w:p w14:paraId="71765BCF" w14:textId="77777777" w:rsidR="006E0173" w:rsidRPr="00BE5613" w:rsidRDefault="006E0173" w:rsidP="003D4C06">
            <w:pPr>
              <w:jc w:val="center"/>
              <w:rPr>
                <w:sz w:val="22"/>
                <w:szCs w:val="22"/>
              </w:rPr>
            </w:pPr>
            <w:r w:rsidRPr="00BE5613">
              <w:rPr>
                <w:sz w:val="22"/>
                <w:szCs w:val="22"/>
              </w:rPr>
              <w:t>-23.281</w:t>
            </w:r>
          </w:p>
        </w:tc>
        <w:tc>
          <w:tcPr>
            <w:tcW w:w="960" w:type="dxa"/>
            <w:tcBorders>
              <w:top w:val="nil"/>
              <w:bottom w:val="nil"/>
              <w:right w:val="nil"/>
            </w:tcBorders>
            <w:shd w:val="clear" w:color="auto" w:fill="FFFFFF"/>
            <w:vAlign w:val="bottom"/>
          </w:tcPr>
          <w:p w14:paraId="64AD044A" w14:textId="77777777" w:rsidR="006E0173" w:rsidRPr="00BE5613" w:rsidRDefault="006E0173" w:rsidP="003D4C06">
            <w:pPr>
              <w:jc w:val="center"/>
              <w:rPr>
                <w:sz w:val="22"/>
                <w:szCs w:val="22"/>
              </w:rPr>
            </w:pPr>
            <w:r w:rsidRPr="00BE5613">
              <w:rPr>
                <w:sz w:val="22"/>
                <w:szCs w:val="22"/>
              </w:rPr>
              <w:t>NA</w:t>
            </w:r>
          </w:p>
        </w:tc>
        <w:tc>
          <w:tcPr>
            <w:tcW w:w="960" w:type="dxa"/>
            <w:tcBorders>
              <w:top w:val="nil"/>
              <w:left w:val="nil"/>
              <w:bottom w:val="nil"/>
              <w:right w:val="nil"/>
            </w:tcBorders>
            <w:shd w:val="clear" w:color="auto" w:fill="FFFFFF"/>
            <w:vAlign w:val="bottom"/>
          </w:tcPr>
          <w:p w14:paraId="5C8A80E5" w14:textId="77777777" w:rsidR="006E0173" w:rsidRPr="00BE5613" w:rsidRDefault="006E0173" w:rsidP="003D4C06">
            <w:pPr>
              <w:jc w:val="center"/>
              <w:rPr>
                <w:sz w:val="22"/>
                <w:szCs w:val="22"/>
              </w:rPr>
            </w:pPr>
            <w:r w:rsidRPr="00BE5613">
              <w:rPr>
                <w:sz w:val="22"/>
                <w:szCs w:val="22"/>
              </w:rPr>
              <w:t>-9.839</w:t>
            </w:r>
          </w:p>
        </w:tc>
        <w:tc>
          <w:tcPr>
            <w:tcW w:w="960" w:type="dxa"/>
            <w:tcBorders>
              <w:top w:val="nil"/>
              <w:left w:val="nil"/>
              <w:bottom w:val="nil"/>
              <w:right w:val="nil"/>
            </w:tcBorders>
            <w:shd w:val="clear" w:color="auto" w:fill="FFFFFF"/>
            <w:vAlign w:val="bottom"/>
          </w:tcPr>
          <w:p w14:paraId="487FAE41" w14:textId="77777777" w:rsidR="006E0173" w:rsidRPr="00BE5613" w:rsidRDefault="006E0173" w:rsidP="003D4C06">
            <w:pPr>
              <w:jc w:val="center"/>
              <w:rPr>
                <w:sz w:val="22"/>
                <w:szCs w:val="22"/>
              </w:rPr>
            </w:pPr>
            <w:r w:rsidRPr="00BE5613">
              <w:rPr>
                <w:sz w:val="22"/>
                <w:szCs w:val="22"/>
              </w:rPr>
              <w:t>-13.205</w:t>
            </w:r>
          </w:p>
        </w:tc>
        <w:tc>
          <w:tcPr>
            <w:tcW w:w="960" w:type="dxa"/>
            <w:tcBorders>
              <w:top w:val="nil"/>
              <w:left w:val="nil"/>
              <w:bottom w:val="nil"/>
            </w:tcBorders>
            <w:shd w:val="clear" w:color="auto" w:fill="FFFFFF"/>
            <w:vAlign w:val="bottom"/>
          </w:tcPr>
          <w:p w14:paraId="654CBE04" w14:textId="77777777" w:rsidR="006E0173" w:rsidRPr="00BE5613" w:rsidRDefault="006E0173" w:rsidP="003D4C06">
            <w:pPr>
              <w:jc w:val="center"/>
              <w:rPr>
                <w:sz w:val="22"/>
                <w:szCs w:val="22"/>
              </w:rPr>
            </w:pPr>
            <w:r w:rsidRPr="00BE5613">
              <w:rPr>
                <w:sz w:val="22"/>
                <w:szCs w:val="22"/>
              </w:rPr>
              <w:t>NA</w:t>
            </w:r>
          </w:p>
        </w:tc>
        <w:tc>
          <w:tcPr>
            <w:tcW w:w="960" w:type="dxa"/>
            <w:tcBorders>
              <w:top w:val="nil"/>
              <w:bottom w:val="nil"/>
            </w:tcBorders>
            <w:shd w:val="clear" w:color="auto" w:fill="FFFFFF"/>
            <w:vAlign w:val="bottom"/>
          </w:tcPr>
          <w:p w14:paraId="4C228774" w14:textId="77777777" w:rsidR="006E0173" w:rsidRPr="00BE5613" w:rsidRDefault="006E0173" w:rsidP="003D4C06">
            <w:pPr>
              <w:jc w:val="center"/>
              <w:rPr>
                <w:sz w:val="22"/>
                <w:szCs w:val="22"/>
              </w:rPr>
            </w:pPr>
            <w:r w:rsidRPr="00BE5613">
              <w:rPr>
                <w:sz w:val="22"/>
                <w:szCs w:val="22"/>
              </w:rPr>
              <w:t>NA</w:t>
            </w:r>
          </w:p>
        </w:tc>
        <w:tc>
          <w:tcPr>
            <w:tcW w:w="961" w:type="dxa"/>
            <w:tcBorders>
              <w:top w:val="nil"/>
              <w:bottom w:val="nil"/>
            </w:tcBorders>
            <w:shd w:val="clear" w:color="auto" w:fill="FFFFFF"/>
            <w:vAlign w:val="bottom"/>
          </w:tcPr>
          <w:p w14:paraId="63B34B79" w14:textId="77777777" w:rsidR="006E0173" w:rsidRPr="00BE5613" w:rsidRDefault="006E0173" w:rsidP="003D4C06">
            <w:pPr>
              <w:jc w:val="center"/>
              <w:rPr>
                <w:sz w:val="22"/>
                <w:szCs w:val="22"/>
              </w:rPr>
            </w:pPr>
            <w:r w:rsidRPr="00BE5613">
              <w:rPr>
                <w:sz w:val="22"/>
                <w:szCs w:val="22"/>
              </w:rPr>
              <w:t>-7.783</w:t>
            </w:r>
          </w:p>
        </w:tc>
      </w:tr>
      <w:tr w:rsidR="006E0173" w:rsidRPr="00BE5613" w14:paraId="3B0CDB55" w14:textId="77777777">
        <w:trPr>
          <w:trHeight w:val="41"/>
        </w:trPr>
        <w:tc>
          <w:tcPr>
            <w:tcW w:w="1446" w:type="dxa"/>
            <w:tcBorders>
              <w:top w:val="nil"/>
              <w:bottom w:val="single" w:sz="4" w:space="0" w:color="auto"/>
              <w:right w:val="nil"/>
            </w:tcBorders>
            <w:shd w:val="clear" w:color="auto" w:fill="FFFFFF"/>
            <w:vAlign w:val="center"/>
          </w:tcPr>
          <w:p w14:paraId="2DC46864" w14:textId="77777777" w:rsidR="006E0173" w:rsidRPr="00BE5613" w:rsidRDefault="006E0173" w:rsidP="003D4C06">
            <w:pPr>
              <w:ind w:left="142" w:right="114"/>
              <w:rPr>
                <w:sz w:val="22"/>
                <w:szCs w:val="22"/>
              </w:rPr>
            </w:pPr>
            <w:r w:rsidRPr="00BE5613">
              <w:rPr>
                <w:sz w:val="22"/>
                <w:szCs w:val="22"/>
              </w:rPr>
              <w:t>Significance</w:t>
            </w:r>
          </w:p>
        </w:tc>
        <w:tc>
          <w:tcPr>
            <w:tcW w:w="960" w:type="dxa"/>
            <w:tcBorders>
              <w:top w:val="nil"/>
              <w:left w:val="nil"/>
              <w:bottom w:val="single" w:sz="4" w:space="0" w:color="auto"/>
              <w:right w:val="nil"/>
            </w:tcBorders>
            <w:shd w:val="clear" w:color="auto" w:fill="FFFFFF"/>
            <w:vAlign w:val="bottom"/>
          </w:tcPr>
          <w:p w14:paraId="62E582BE" w14:textId="77777777" w:rsidR="006E0173" w:rsidRPr="00BE5613" w:rsidRDefault="006E0173" w:rsidP="003D4C06">
            <w:pPr>
              <w:jc w:val="center"/>
              <w:rPr>
                <w:sz w:val="22"/>
                <w:szCs w:val="22"/>
              </w:rPr>
            </w:pPr>
            <w:r w:rsidRPr="00BE5613">
              <w:rPr>
                <w:sz w:val="22"/>
                <w:szCs w:val="22"/>
              </w:rPr>
              <w:t>0.000</w:t>
            </w:r>
            <w:r w:rsidRPr="00BE5613">
              <w:rPr>
                <w:b/>
                <w:i/>
                <w:sz w:val="22"/>
                <w:szCs w:val="22"/>
                <w:vertAlign w:val="superscript"/>
              </w:rPr>
              <w:t>***</w:t>
            </w:r>
          </w:p>
        </w:tc>
        <w:tc>
          <w:tcPr>
            <w:tcW w:w="960" w:type="dxa"/>
            <w:tcBorders>
              <w:top w:val="nil"/>
              <w:left w:val="nil"/>
              <w:bottom w:val="single" w:sz="4" w:space="0" w:color="auto"/>
            </w:tcBorders>
            <w:shd w:val="clear" w:color="auto" w:fill="FFFFFF"/>
            <w:vAlign w:val="bottom"/>
          </w:tcPr>
          <w:p w14:paraId="19D598A1" w14:textId="77777777" w:rsidR="006E0173" w:rsidRPr="00BE5613" w:rsidRDefault="006E0173" w:rsidP="003D4C06">
            <w:pPr>
              <w:jc w:val="center"/>
              <w:rPr>
                <w:sz w:val="22"/>
                <w:szCs w:val="22"/>
              </w:rPr>
            </w:pPr>
            <w:r w:rsidRPr="00BE5613">
              <w:rPr>
                <w:sz w:val="22"/>
                <w:szCs w:val="22"/>
              </w:rPr>
              <w:t>0.000</w:t>
            </w:r>
            <w:r w:rsidRPr="00BE5613">
              <w:rPr>
                <w:b/>
                <w:i/>
                <w:sz w:val="22"/>
                <w:szCs w:val="22"/>
                <w:vertAlign w:val="superscript"/>
              </w:rPr>
              <w:t>***</w:t>
            </w:r>
          </w:p>
        </w:tc>
        <w:tc>
          <w:tcPr>
            <w:tcW w:w="960" w:type="dxa"/>
            <w:tcBorders>
              <w:top w:val="nil"/>
              <w:bottom w:val="single" w:sz="4" w:space="0" w:color="auto"/>
              <w:right w:val="nil"/>
            </w:tcBorders>
            <w:shd w:val="clear" w:color="auto" w:fill="FFFFFF"/>
            <w:vAlign w:val="bottom"/>
          </w:tcPr>
          <w:p w14:paraId="324D17A7" w14:textId="77777777" w:rsidR="006E0173" w:rsidRPr="00BE5613" w:rsidRDefault="006E0173" w:rsidP="003D4C06">
            <w:pPr>
              <w:jc w:val="center"/>
              <w:rPr>
                <w:sz w:val="22"/>
                <w:szCs w:val="22"/>
              </w:rPr>
            </w:pPr>
            <w:r w:rsidRPr="00BE5613">
              <w:rPr>
                <w:sz w:val="22"/>
                <w:szCs w:val="22"/>
              </w:rPr>
              <w:t>NA</w:t>
            </w:r>
          </w:p>
        </w:tc>
        <w:tc>
          <w:tcPr>
            <w:tcW w:w="960" w:type="dxa"/>
            <w:tcBorders>
              <w:top w:val="nil"/>
              <w:left w:val="nil"/>
              <w:bottom w:val="single" w:sz="4" w:space="0" w:color="auto"/>
              <w:right w:val="nil"/>
            </w:tcBorders>
            <w:shd w:val="clear" w:color="auto" w:fill="FFFFFF"/>
            <w:vAlign w:val="bottom"/>
          </w:tcPr>
          <w:p w14:paraId="5291403A" w14:textId="77777777" w:rsidR="006E0173" w:rsidRPr="00BE5613" w:rsidRDefault="006E0173" w:rsidP="003D4C06">
            <w:pPr>
              <w:jc w:val="center"/>
              <w:rPr>
                <w:sz w:val="22"/>
                <w:szCs w:val="22"/>
              </w:rPr>
            </w:pPr>
            <w:r w:rsidRPr="00BE5613">
              <w:rPr>
                <w:sz w:val="22"/>
                <w:szCs w:val="22"/>
              </w:rPr>
              <w:t>0.000</w:t>
            </w:r>
            <w:r w:rsidRPr="00BE5613">
              <w:rPr>
                <w:b/>
                <w:i/>
                <w:sz w:val="22"/>
                <w:szCs w:val="22"/>
                <w:vertAlign w:val="superscript"/>
              </w:rPr>
              <w:t>***</w:t>
            </w:r>
          </w:p>
        </w:tc>
        <w:tc>
          <w:tcPr>
            <w:tcW w:w="960" w:type="dxa"/>
            <w:tcBorders>
              <w:top w:val="nil"/>
              <w:left w:val="nil"/>
              <w:bottom w:val="single" w:sz="4" w:space="0" w:color="auto"/>
              <w:right w:val="nil"/>
            </w:tcBorders>
            <w:shd w:val="clear" w:color="auto" w:fill="FFFFFF"/>
            <w:vAlign w:val="bottom"/>
          </w:tcPr>
          <w:p w14:paraId="2959D3C1" w14:textId="77777777" w:rsidR="006E0173" w:rsidRPr="00BE5613" w:rsidRDefault="006E0173" w:rsidP="003D4C06">
            <w:pPr>
              <w:jc w:val="center"/>
              <w:rPr>
                <w:sz w:val="22"/>
                <w:szCs w:val="22"/>
              </w:rPr>
            </w:pPr>
            <w:r w:rsidRPr="00BE5613">
              <w:rPr>
                <w:sz w:val="22"/>
                <w:szCs w:val="22"/>
              </w:rPr>
              <w:t>0.000</w:t>
            </w:r>
            <w:r w:rsidRPr="00BE5613">
              <w:rPr>
                <w:b/>
                <w:i/>
                <w:sz w:val="22"/>
                <w:szCs w:val="22"/>
                <w:vertAlign w:val="superscript"/>
              </w:rPr>
              <w:t>***</w:t>
            </w:r>
          </w:p>
        </w:tc>
        <w:tc>
          <w:tcPr>
            <w:tcW w:w="960" w:type="dxa"/>
            <w:tcBorders>
              <w:top w:val="nil"/>
              <w:left w:val="nil"/>
              <w:bottom w:val="single" w:sz="4" w:space="0" w:color="auto"/>
            </w:tcBorders>
            <w:shd w:val="clear" w:color="auto" w:fill="FFFFFF"/>
            <w:vAlign w:val="bottom"/>
          </w:tcPr>
          <w:p w14:paraId="761D4F0E" w14:textId="77777777" w:rsidR="006E0173" w:rsidRPr="00BE5613" w:rsidRDefault="006E0173" w:rsidP="003D4C06">
            <w:pPr>
              <w:jc w:val="center"/>
              <w:rPr>
                <w:sz w:val="22"/>
                <w:szCs w:val="22"/>
              </w:rPr>
            </w:pPr>
            <w:r w:rsidRPr="00BE5613">
              <w:rPr>
                <w:sz w:val="22"/>
                <w:szCs w:val="22"/>
              </w:rPr>
              <w:t>NA</w:t>
            </w:r>
          </w:p>
        </w:tc>
        <w:tc>
          <w:tcPr>
            <w:tcW w:w="960" w:type="dxa"/>
            <w:tcBorders>
              <w:top w:val="nil"/>
              <w:bottom w:val="single" w:sz="4" w:space="0" w:color="auto"/>
            </w:tcBorders>
            <w:shd w:val="clear" w:color="auto" w:fill="FFFFFF"/>
            <w:vAlign w:val="bottom"/>
          </w:tcPr>
          <w:p w14:paraId="5D6EB1E9" w14:textId="77777777" w:rsidR="006E0173" w:rsidRPr="00BE5613" w:rsidRDefault="006E0173" w:rsidP="003D4C06">
            <w:pPr>
              <w:jc w:val="center"/>
              <w:rPr>
                <w:sz w:val="22"/>
                <w:szCs w:val="22"/>
              </w:rPr>
            </w:pPr>
            <w:r w:rsidRPr="00BE5613">
              <w:rPr>
                <w:sz w:val="22"/>
                <w:szCs w:val="22"/>
              </w:rPr>
              <w:t>NA</w:t>
            </w:r>
          </w:p>
        </w:tc>
        <w:tc>
          <w:tcPr>
            <w:tcW w:w="961" w:type="dxa"/>
            <w:tcBorders>
              <w:top w:val="nil"/>
              <w:bottom w:val="single" w:sz="4" w:space="0" w:color="auto"/>
            </w:tcBorders>
            <w:shd w:val="clear" w:color="auto" w:fill="FFFFFF"/>
            <w:vAlign w:val="bottom"/>
          </w:tcPr>
          <w:p w14:paraId="7AAC3226" w14:textId="77777777" w:rsidR="006E0173" w:rsidRPr="00BE5613" w:rsidRDefault="006E0173" w:rsidP="003D4C06">
            <w:pPr>
              <w:jc w:val="center"/>
              <w:rPr>
                <w:sz w:val="22"/>
                <w:szCs w:val="22"/>
              </w:rPr>
            </w:pPr>
            <w:r w:rsidRPr="00BE5613">
              <w:rPr>
                <w:sz w:val="22"/>
                <w:szCs w:val="22"/>
              </w:rPr>
              <w:t>0.000</w:t>
            </w:r>
            <w:r w:rsidRPr="00BE5613">
              <w:rPr>
                <w:b/>
                <w:i/>
                <w:sz w:val="22"/>
                <w:szCs w:val="22"/>
                <w:vertAlign w:val="superscript"/>
              </w:rPr>
              <w:t>***</w:t>
            </w:r>
          </w:p>
        </w:tc>
      </w:tr>
    </w:tbl>
    <w:p w14:paraId="77472BB6" w14:textId="77777777" w:rsidR="006E0173" w:rsidRPr="00BE5613" w:rsidRDefault="006E0173" w:rsidP="006E0173">
      <w:pPr>
        <w:jc w:val="both"/>
        <w:rPr>
          <w:sz w:val="20"/>
          <w:szCs w:val="20"/>
        </w:rPr>
      </w:pPr>
      <w:r w:rsidRPr="00BE5613">
        <w:rPr>
          <w:sz w:val="20"/>
          <w:szCs w:val="20"/>
        </w:rPr>
        <w:t>Notes: The T</w:t>
      </w:r>
      <w:r w:rsidRPr="00BE5613">
        <w:rPr>
          <w:sz w:val="20"/>
          <w:szCs w:val="20"/>
          <w:vertAlign w:val="subscript"/>
        </w:rPr>
        <w:t>1</w:t>
      </w:r>
      <w:r w:rsidRPr="00BE5613">
        <w:rPr>
          <w:sz w:val="20"/>
          <w:szCs w:val="20"/>
        </w:rPr>
        <w:t xml:space="preserve"> test is applicable wherever the number of inputs, </w:t>
      </w:r>
      <w:r w:rsidRPr="00BE5613">
        <w:rPr>
          <w:i/>
          <w:sz w:val="20"/>
          <w:szCs w:val="20"/>
        </w:rPr>
        <w:t>p</w:t>
      </w:r>
      <w:r w:rsidRPr="00BE5613">
        <w:rPr>
          <w:sz w:val="20"/>
          <w:szCs w:val="20"/>
        </w:rPr>
        <w:t xml:space="preserve">, and the number of outputs, </w:t>
      </w:r>
      <w:r w:rsidRPr="00BE5613">
        <w:rPr>
          <w:i/>
          <w:sz w:val="20"/>
          <w:szCs w:val="20"/>
        </w:rPr>
        <w:t>q</w:t>
      </w:r>
      <w:r w:rsidRPr="00BE5613">
        <w:rPr>
          <w:sz w:val="20"/>
          <w:szCs w:val="20"/>
        </w:rPr>
        <w:t>, satisfy the inequality 2</w:t>
      </w:r>
      <w:proofErr w:type="gramStart"/>
      <w:r w:rsidRPr="00BE5613">
        <w:rPr>
          <w:sz w:val="20"/>
          <w:szCs w:val="20"/>
        </w:rPr>
        <w:t>/(</w:t>
      </w:r>
      <w:proofErr w:type="gramEnd"/>
      <w:r w:rsidRPr="00BE5613">
        <w:rPr>
          <w:i/>
          <w:sz w:val="20"/>
          <w:szCs w:val="20"/>
        </w:rPr>
        <w:t>p</w:t>
      </w:r>
      <w:r w:rsidRPr="00BE5613">
        <w:rPr>
          <w:sz w:val="20"/>
          <w:szCs w:val="20"/>
        </w:rPr>
        <w:t xml:space="preserve"> + </w:t>
      </w:r>
      <w:r w:rsidRPr="00BE5613">
        <w:rPr>
          <w:i/>
          <w:sz w:val="20"/>
          <w:szCs w:val="20"/>
        </w:rPr>
        <w:t>q</w:t>
      </w:r>
      <w:r w:rsidRPr="00BE5613">
        <w:rPr>
          <w:sz w:val="20"/>
          <w:szCs w:val="20"/>
        </w:rPr>
        <w:t xml:space="preserve"> + 1) </w:t>
      </w:r>
      <w:r w:rsidRPr="00BE5613">
        <w:rPr>
          <w:sz w:val="20"/>
          <w:szCs w:val="20"/>
        </w:rPr>
        <w:sym w:font="Symbol" w:char="F020"/>
      </w:r>
      <w:r w:rsidRPr="00BE5613">
        <w:rPr>
          <w:sz w:val="20"/>
          <w:szCs w:val="20"/>
        </w:rPr>
        <w:sym w:font="Symbol" w:char="F0B3"/>
      </w:r>
      <w:r w:rsidRPr="00BE5613">
        <w:rPr>
          <w:sz w:val="20"/>
          <w:szCs w:val="20"/>
        </w:rPr>
        <w:t xml:space="preserve"> 0.40. Likewise, the T</w:t>
      </w:r>
      <w:r w:rsidRPr="00BE5613">
        <w:rPr>
          <w:sz w:val="20"/>
          <w:szCs w:val="20"/>
          <w:vertAlign w:val="subscript"/>
        </w:rPr>
        <w:t>2</w:t>
      </w:r>
      <w:r w:rsidRPr="00BE5613">
        <w:rPr>
          <w:sz w:val="20"/>
          <w:szCs w:val="20"/>
        </w:rPr>
        <w:t xml:space="preserve"> test is established for cases when 2</w:t>
      </w:r>
      <w:proofErr w:type="gramStart"/>
      <w:r w:rsidRPr="00BE5613">
        <w:rPr>
          <w:sz w:val="20"/>
          <w:szCs w:val="20"/>
        </w:rPr>
        <w:t>/(</w:t>
      </w:r>
      <w:proofErr w:type="gramEnd"/>
      <w:r w:rsidRPr="00BE5613">
        <w:rPr>
          <w:i/>
          <w:sz w:val="20"/>
          <w:szCs w:val="20"/>
        </w:rPr>
        <w:t>p</w:t>
      </w:r>
      <w:r w:rsidRPr="00BE5613">
        <w:rPr>
          <w:sz w:val="20"/>
          <w:szCs w:val="20"/>
        </w:rPr>
        <w:t xml:space="preserve"> + </w:t>
      </w:r>
      <w:r w:rsidRPr="00BE5613">
        <w:rPr>
          <w:i/>
          <w:sz w:val="20"/>
          <w:szCs w:val="20"/>
        </w:rPr>
        <w:t>q</w:t>
      </w:r>
      <w:r w:rsidRPr="00BE5613">
        <w:rPr>
          <w:sz w:val="20"/>
          <w:szCs w:val="20"/>
        </w:rPr>
        <w:t xml:space="preserve"> + 1) </w:t>
      </w:r>
      <w:r w:rsidRPr="00BE5613">
        <w:rPr>
          <w:sz w:val="20"/>
          <w:szCs w:val="20"/>
        </w:rPr>
        <w:sym w:font="Symbol" w:char="F020"/>
      </w:r>
      <w:r w:rsidRPr="00BE5613">
        <w:rPr>
          <w:sz w:val="20"/>
          <w:szCs w:val="20"/>
        </w:rPr>
        <w:t xml:space="preserve">&lt; 0.50. If neither test is applicable, this is indicated by NA. The significance label </w:t>
      </w:r>
      <w:r w:rsidRPr="00BE5613">
        <w:rPr>
          <w:b/>
          <w:i/>
          <w:sz w:val="20"/>
          <w:szCs w:val="20"/>
          <w:vertAlign w:val="superscript"/>
        </w:rPr>
        <w:t>***</w:t>
      </w:r>
      <w:r w:rsidRPr="00BE5613">
        <w:rPr>
          <w:sz w:val="20"/>
          <w:szCs w:val="20"/>
        </w:rPr>
        <w:t xml:space="preserve"> answers to a p-value </w:t>
      </w:r>
      <w:r w:rsidRPr="00BE5613">
        <w:rPr>
          <w:sz w:val="20"/>
          <w:szCs w:val="20"/>
        </w:rPr>
        <w:sym w:font="Symbol" w:char="F0A3"/>
      </w:r>
      <w:r w:rsidRPr="00BE5613">
        <w:rPr>
          <w:sz w:val="20"/>
          <w:szCs w:val="20"/>
        </w:rPr>
        <w:t xml:space="preserve"> 0.001.  </w:t>
      </w:r>
    </w:p>
    <w:p w14:paraId="0064CB2C" w14:textId="77777777" w:rsidR="006E0173" w:rsidRPr="00BE5613" w:rsidRDefault="006E0173" w:rsidP="006E0173"/>
    <w:p w14:paraId="35D319BF" w14:textId="77777777" w:rsidR="00CE0109" w:rsidRPr="00BE5613" w:rsidRDefault="000241C4" w:rsidP="00AA45FA">
      <w:pPr>
        <w:spacing w:line="480" w:lineRule="auto"/>
        <w:ind w:firstLine="567"/>
        <w:jc w:val="both"/>
      </w:pPr>
      <w:r w:rsidRPr="00BE5613">
        <w:t xml:space="preserve">With different models applied, a traditional enquiry is whether there is some similarity between unconditional scores, conditional </w:t>
      </w:r>
      <w:proofErr w:type="gramStart"/>
      <w:r w:rsidRPr="00BE5613">
        <w:t>scores</w:t>
      </w:r>
      <w:proofErr w:type="gramEnd"/>
      <w:r w:rsidRPr="00BE5613">
        <w:t xml:space="preserve"> and UTC ratios, and whether they yield comparable information. Yet, b</w:t>
      </w:r>
      <w:r w:rsidR="00B32E4A" w:rsidRPr="00BE5613">
        <w:t xml:space="preserve">y reason of a complicated and intractable mathematical structure of scores stemming out of even basic DEA models with different input-output configurations, there is no need to presume relationships of a linear format. </w:t>
      </w:r>
      <w:r w:rsidRPr="00BE5613">
        <w:t xml:space="preserve">Therefore, for both full and partial frontiers, Appendix </w:t>
      </w:r>
      <w:r w:rsidRPr="00BE5613">
        <w:fldChar w:fldCharType="begin"/>
      </w:r>
      <w:r w:rsidRPr="00BE5613">
        <w:instrText xml:space="preserve"> REF appendix_cors \h  \* MERGEFORMAT </w:instrText>
      </w:r>
      <w:r w:rsidRPr="00BE5613">
        <w:fldChar w:fldCharType="separate"/>
      </w:r>
      <w:r w:rsidR="00AA45FA" w:rsidRPr="00BE5613">
        <w:t>B</w:t>
      </w:r>
      <w:r w:rsidRPr="00BE5613">
        <w:fldChar w:fldCharType="end"/>
      </w:r>
      <w:r w:rsidRPr="00BE5613">
        <w:t xml:space="preserve"> reports Spearman correlation coefficients instead of commonly employed Pearson correlation coefficients. Pair-wise relationships in the case of </w:t>
      </w:r>
      <w:r w:rsidR="005C0865" w:rsidRPr="00BE5613">
        <w:t>non-</w:t>
      </w:r>
      <w:r w:rsidRPr="00BE5613">
        <w:t>robust full frontiers are somewhat erratic as opp</w:t>
      </w:r>
      <w:r w:rsidR="00614DAF" w:rsidRPr="00BE5613">
        <w:t>osed to partial frontiers with more</w:t>
      </w:r>
      <w:r w:rsidRPr="00BE5613">
        <w:t xml:space="preserve"> </w:t>
      </w:r>
      <w:r w:rsidR="00614DAF" w:rsidRPr="00BE5613">
        <w:t>systematic pat</w:t>
      </w:r>
      <w:r w:rsidR="005C0865" w:rsidRPr="00BE5613">
        <w:t>t</w:t>
      </w:r>
      <w:r w:rsidR="00614DAF" w:rsidRPr="00BE5613">
        <w:t xml:space="preserve">erns. </w:t>
      </w:r>
      <w:r w:rsidR="005C0865" w:rsidRPr="00BE5613">
        <w:t xml:space="preserve">The unsteadiness of correlations with full frontiers results from the truncation of scores from above by one. </w:t>
      </w:r>
      <w:r w:rsidR="007A1F56" w:rsidRPr="00BE5613">
        <w:t xml:space="preserve">A meaningful ranking of municipalities is sabotaged by the occurrence of numerous unit conditional scores. Hence, it is sensible only to review the case of partial frontiers. There is universally a high degree of congruence in the scores and UTC ratios of Models I, II and </w:t>
      </w:r>
      <w:r w:rsidR="00805FED" w:rsidRPr="00BE5613">
        <w:t>III</w:t>
      </w:r>
      <w:r w:rsidR="007A1F56" w:rsidRPr="00BE5613">
        <w:t xml:space="preserve">, or even between Models I and II. In these </w:t>
      </w:r>
      <w:proofErr w:type="gramStart"/>
      <w:r w:rsidR="007A1F56" w:rsidRPr="00BE5613">
        <w:t>cases</w:t>
      </w:r>
      <w:proofErr w:type="gramEnd"/>
      <w:r w:rsidR="007A1F56" w:rsidRPr="00BE5613">
        <w:t xml:space="preserve"> Spearman </w:t>
      </w:r>
      <w:r w:rsidR="007A1F56" w:rsidRPr="00BE5613">
        <w:lastRenderedPageBreak/>
        <w:t xml:space="preserve">correlations are </w:t>
      </w:r>
      <w:r w:rsidR="00EF67FD" w:rsidRPr="00BE5613">
        <w:t xml:space="preserve">greater than 0.885. In contrast, there are regular inverse patterns of assessment between Models I and III as well as between Models II and III with Spearman correlation coefficients ranging from -0.633 to -0.227, suggesting thus a tendency to an opposite ranking. Diverse patterns with more harmonious and discordant rankings are within Model IV and between Model IV and any other model, which follows from a higher proportion of unit unconditional and conditional scores (46 and 54 cases, respectively). All things considered, Models I and II are very similar in terms of assessments and dissimilar from Model III. </w:t>
      </w:r>
      <w:r w:rsidR="00CE0109" w:rsidRPr="00BE5613">
        <w:t xml:space="preserve">The reason </w:t>
      </w:r>
      <w:proofErr w:type="gramStart"/>
      <w:r w:rsidR="00CE0109" w:rsidRPr="00BE5613">
        <w:t>being,</w:t>
      </w:r>
      <w:proofErr w:type="gramEnd"/>
      <w:r w:rsidR="00CE0109" w:rsidRPr="00BE5613">
        <w:t xml:space="preserve"> the input-output configurations of Model I and II are alike and they follow an input orientation. Model III is output-oriented with an altogether modified input-output set. Hence, Models III and IV inspect MW performance from a different angle than Models I and II do.</w:t>
      </w:r>
    </w:p>
    <w:p w14:paraId="7E8F8828" w14:textId="77777777" w:rsidR="008C4617" w:rsidRPr="00BE5613" w:rsidRDefault="00C43D8D" w:rsidP="00AA45FA">
      <w:pPr>
        <w:spacing w:line="480" w:lineRule="auto"/>
        <w:ind w:firstLine="567"/>
        <w:jc w:val="both"/>
      </w:pPr>
      <w:r w:rsidRPr="00BE5613">
        <w:t xml:space="preserve">In the second stage of the analysis UTC ratios were regressed upon contextual variables in a GAM framework for either frontier </w:t>
      </w:r>
      <w:proofErr w:type="gramStart"/>
      <w:r w:rsidRPr="00BE5613">
        <w:t>and</w:t>
      </w:r>
      <w:proofErr w:type="gramEnd"/>
      <w:r w:rsidRPr="00BE5613">
        <w:t xml:space="preserve"> for each of Models I – IV, yielding thus 2 </w:t>
      </w:r>
      <w:r w:rsidRPr="00BE5613">
        <w:sym w:font="Symbol" w:char="F0B4"/>
      </w:r>
      <w:r w:rsidRPr="00BE5613">
        <w:t xml:space="preserve"> 4 = 8 regressions. </w:t>
      </w:r>
      <w:r w:rsidR="00FA0064" w:rsidRPr="00BE5613">
        <w:t xml:space="preserve">Each fit </w:t>
      </w:r>
      <w:r w:rsidR="00B52054" w:rsidRPr="00BE5613">
        <w:t>obeyed</w:t>
      </w:r>
      <w:r w:rsidR="00FA0064" w:rsidRPr="00BE5613">
        <w:t xml:space="preserve"> the same specification schematically described by equation </w:t>
      </w:r>
      <w:r w:rsidRPr="00BE5613">
        <w:t>(</w:t>
      </w:r>
      <w:r w:rsidRPr="00BE5613">
        <w:fldChar w:fldCharType="begin"/>
      </w:r>
      <w:r w:rsidRPr="00BE5613">
        <w:instrText xml:space="preserve"> REF eq_gam \h  \* MERGEFORMAT </w:instrText>
      </w:r>
      <w:r w:rsidRPr="00BE5613">
        <w:fldChar w:fldCharType="separate"/>
      </w:r>
      <w:r w:rsidR="00AA45FA" w:rsidRPr="00BE5613">
        <w:t>6</w:t>
      </w:r>
      <w:r w:rsidRPr="00BE5613">
        <w:fldChar w:fldCharType="end"/>
      </w:r>
      <w:r w:rsidRPr="00BE5613">
        <w:t>)</w:t>
      </w:r>
      <w:r w:rsidR="00FA0064" w:rsidRPr="00BE5613">
        <w:t xml:space="preserve">. The </w:t>
      </w:r>
      <w:r w:rsidRPr="00BE5613">
        <w:t>“yes/no” and “yes/partly/no” factors</w:t>
      </w:r>
      <w:r w:rsidR="00FA0064" w:rsidRPr="00BE5613">
        <w:t xml:space="preserve"> z2, z4, z7, z8 and z9</w:t>
      </w:r>
      <w:r w:rsidRPr="00BE5613">
        <w:t xml:space="preserve"> were included in t</w:t>
      </w:r>
      <w:r w:rsidR="00FA0064" w:rsidRPr="00BE5613">
        <w:t xml:space="preserve">he parametric part of the model, whilst the </w:t>
      </w:r>
      <w:r w:rsidRPr="00BE5613">
        <w:t xml:space="preserve">discrete and continuous numeric factors </w:t>
      </w:r>
      <w:r w:rsidR="00FA0064" w:rsidRPr="00BE5613">
        <w:t xml:space="preserve">z1, z3, z5, z6, z10, z11 and z12 were cast into the non-parametric part and smoothed. </w:t>
      </w:r>
      <w:r w:rsidR="00783FEF" w:rsidRPr="00BE5613">
        <w:t>For partial frontiers, A</w:t>
      </w:r>
      <w:r w:rsidR="00FA0064" w:rsidRPr="00BE5613">
        <w:t xml:space="preserve">ppendix </w:t>
      </w:r>
      <w:r w:rsidR="00FA0064" w:rsidRPr="00BE5613">
        <w:fldChar w:fldCharType="begin"/>
      </w:r>
      <w:r w:rsidR="00FA0064" w:rsidRPr="00BE5613">
        <w:instrText xml:space="preserve"> REF appendix_effects \h  \* MERGEFORMAT </w:instrText>
      </w:r>
      <w:r w:rsidR="00FA0064" w:rsidRPr="00BE5613">
        <w:fldChar w:fldCharType="separate"/>
      </w:r>
      <w:r w:rsidR="00AA45FA" w:rsidRPr="00BE5613">
        <w:t>C</w:t>
      </w:r>
      <w:r w:rsidR="00FA0064" w:rsidRPr="00BE5613">
        <w:fldChar w:fldCharType="end"/>
      </w:r>
      <w:r w:rsidR="00FA0064" w:rsidRPr="00BE5613">
        <w:t xml:space="preserve"> reports fitted smoothed trajectories </w:t>
      </w:r>
      <w:r w:rsidR="00783FEF" w:rsidRPr="00BE5613">
        <w:t xml:space="preserve">(variables z1, z3, z5, z6, z10, z11 and z12) </w:t>
      </w:r>
      <w:r w:rsidR="00FA0064" w:rsidRPr="00BE5613">
        <w:t xml:space="preserve">or </w:t>
      </w:r>
      <w:r w:rsidR="007331EA" w:rsidRPr="00BE5613">
        <w:t xml:space="preserve">estimated </w:t>
      </w:r>
      <w:r w:rsidR="00783FEF" w:rsidRPr="00BE5613">
        <w:t xml:space="preserve">regression coefficients (variables z2, z4, z7, z8 and z9) </w:t>
      </w:r>
      <w:r w:rsidR="003A3947" w:rsidRPr="00BE5613">
        <w:t xml:space="preserve">endowed </w:t>
      </w:r>
      <w:r w:rsidR="00783FEF" w:rsidRPr="00BE5613">
        <w:t xml:space="preserve">with approximate 0.95 confidence bands. </w:t>
      </w:r>
      <w:r w:rsidR="007331EA" w:rsidRPr="00BE5613">
        <w:t>Regression coefficients corresponding to</w:t>
      </w:r>
      <w:r w:rsidR="00B278C4" w:rsidRPr="00BE5613">
        <w:t xml:space="preserve"> nominal</w:t>
      </w:r>
      <w:r w:rsidR="007331EA" w:rsidRPr="00BE5613">
        <w:t xml:space="preserve"> a</w:t>
      </w:r>
      <w:r w:rsidR="00783FEF" w:rsidRPr="00BE5613">
        <w:t>nswers “yes”, “no” and “partly” are displayed at 0, 1 and 0.50 (only</w:t>
      </w:r>
      <w:r w:rsidR="007331EA" w:rsidRPr="00BE5613">
        <w:t xml:space="preserve"> for z9). </w:t>
      </w:r>
      <w:proofErr w:type="gramStart"/>
      <w:r w:rsidR="00B278C4" w:rsidRPr="00BE5613">
        <w:t>In order to</w:t>
      </w:r>
      <w:proofErr w:type="gramEnd"/>
      <w:r w:rsidR="00B278C4" w:rsidRPr="00BE5613">
        <w:t xml:space="preserve"> enhance the portrayal</w:t>
      </w:r>
      <w:r w:rsidR="00B52054" w:rsidRPr="00BE5613">
        <w:t>s</w:t>
      </w:r>
      <w:r w:rsidR="00B278C4" w:rsidRPr="00BE5613">
        <w:t xml:space="preserve"> </w:t>
      </w:r>
      <w:r w:rsidR="00B52054" w:rsidRPr="00BE5613">
        <w:t xml:space="preserve">in Appendix </w:t>
      </w:r>
      <w:r w:rsidR="00B52054" w:rsidRPr="00BE5613">
        <w:fldChar w:fldCharType="begin"/>
      </w:r>
      <w:r w:rsidR="00B52054" w:rsidRPr="00BE5613">
        <w:instrText xml:space="preserve"> REF appendix_effects \h  \* MERGEFORMAT </w:instrText>
      </w:r>
      <w:r w:rsidR="00B52054" w:rsidRPr="00BE5613">
        <w:fldChar w:fldCharType="separate"/>
      </w:r>
      <w:r w:rsidR="00AA45FA" w:rsidRPr="00BE5613">
        <w:t>C</w:t>
      </w:r>
      <w:r w:rsidR="00B52054" w:rsidRPr="00BE5613">
        <w:fldChar w:fldCharType="end"/>
      </w:r>
      <w:r w:rsidR="00B278C4" w:rsidRPr="00BE5613">
        <w:t xml:space="preserve">, original values 0, 1 and 0.50 (only for z9) were slightly jittered to avoid concentration in just one stick on the horizontal axis. </w:t>
      </w:r>
      <w:r w:rsidR="00B52054" w:rsidRPr="00BE5613">
        <w:t>Jittering was applied only for nominal variables. Smoothed p</w:t>
      </w:r>
      <w:r w:rsidR="007331EA" w:rsidRPr="00BE5613">
        <w:t xml:space="preserve">aths and their upward or downward sloping trends give an indication of the effects of numeric contextual variables upon performance, whilst levels of estimated </w:t>
      </w:r>
      <w:r w:rsidR="007331EA" w:rsidRPr="00BE5613">
        <w:lastRenderedPageBreak/>
        <w:t>regression coefficients have a similar use for nominal variables.</w:t>
      </w:r>
      <w:r w:rsidR="00B278C4" w:rsidRPr="00BE5613">
        <w:t xml:space="preserve"> For the sake of visual inspection</w:t>
      </w:r>
      <w:r w:rsidR="007331EA" w:rsidRPr="00BE5613">
        <w:t xml:space="preserve">, </w:t>
      </w:r>
      <w:proofErr w:type="gramStart"/>
      <w:r w:rsidR="00B278C4" w:rsidRPr="00BE5613">
        <w:t>as long as</w:t>
      </w:r>
      <w:proofErr w:type="gramEnd"/>
      <w:r w:rsidR="007331EA" w:rsidRPr="00BE5613">
        <w:t xml:space="preserve"> a horizontal line can </w:t>
      </w:r>
      <w:r w:rsidR="00B278C4" w:rsidRPr="00BE5613">
        <w:t xml:space="preserve">pass trough the confidence bands, no effect is detected for the variable in question and its insignificance is established. </w:t>
      </w:r>
      <w:r w:rsidR="007331EA" w:rsidRPr="00BE5613">
        <w:t xml:space="preserve">Table </w:t>
      </w:r>
      <w:r w:rsidR="007331EA" w:rsidRPr="00BE5613">
        <w:fldChar w:fldCharType="begin"/>
      </w:r>
      <w:r w:rsidR="007331EA" w:rsidRPr="00BE5613">
        <w:instrText xml:space="preserve"> REF table_secondstage \h  \* MERGEFORMAT </w:instrText>
      </w:r>
      <w:r w:rsidR="007331EA" w:rsidRPr="00BE5613">
        <w:fldChar w:fldCharType="separate"/>
      </w:r>
      <w:r w:rsidR="00AA45FA" w:rsidRPr="00BE5613">
        <w:t>6</w:t>
      </w:r>
      <w:r w:rsidR="007331EA" w:rsidRPr="00BE5613">
        <w:fldChar w:fldCharType="end"/>
      </w:r>
      <w:r w:rsidR="00B52054" w:rsidRPr="00BE5613">
        <w:t xml:space="preserve"> reports the results of a formal assessment </w:t>
      </w:r>
      <w:r w:rsidR="003A3947" w:rsidRPr="00BE5613">
        <w:t>of significance grounded on a score test</w:t>
      </w:r>
      <w:r w:rsidR="00FB2F0D" w:rsidRPr="00BE5613">
        <w:t xml:space="preserve"> as well as R</w:t>
      </w:r>
      <w:r w:rsidR="006D487E" w:rsidRPr="00BE5613">
        <w:t>-</w:t>
      </w:r>
      <w:r w:rsidR="00FB2F0D" w:rsidRPr="00BE5613">
        <w:t>squared measures associated with the fits</w:t>
      </w:r>
      <w:r w:rsidR="003A3947" w:rsidRPr="00BE5613">
        <w:t>. For ease of reading,</w:t>
      </w:r>
      <w:r w:rsidR="00FB2F0D" w:rsidRPr="00BE5613">
        <w:t xml:space="preserve"> Table </w:t>
      </w:r>
      <w:r w:rsidR="00FB2F0D" w:rsidRPr="00BE5613">
        <w:fldChar w:fldCharType="begin"/>
      </w:r>
      <w:r w:rsidR="00FB2F0D" w:rsidRPr="00BE5613">
        <w:instrText xml:space="preserve"> REF table_secondstage \h  \* MERGEFORMAT </w:instrText>
      </w:r>
      <w:r w:rsidR="00FB2F0D" w:rsidRPr="00BE5613">
        <w:fldChar w:fldCharType="separate"/>
      </w:r>
      <w:r w:rsidR="00AA45FA" w:rsidRPr="00BE5613">
        <w:t>6</w:t>
      </w:r>
      <w:r w:rsidR="00FB2F0D" w:rsidRPr="00BE5613">
        <w:fldChar w:fldCharType="end"/>
      </w:r>
      <w:r w:rsidR="00FB2F0D" w:rsidRPr="00BE5613">
        <w:t xml:space="preserve"> displays significance labels only and do not report</w:t>
      </w:r>
      <w:r w:rsidR="003A3947" w:rsidRPr="00BE5613">
        <w:t xml:space="preserve"> p-values. </w:t>
      </w:r>
      <w:r w:rsidR="008C4617" w:rsidRPr="00BE5613">
        <w:t>Lower R</w:t>
      </w:r>
      <w:r w:rsidR="006D487E" w:rsidRPr="00BE5613">
        <w:t>-</w:t>
      </w:r>
      <w:r w:rsidR="008C4617" w:rsidRPr="00BE5613">
        <w:t>squared values with some fits may be unsettling, but these are not an issue in the present analysis as it is generally conceded that in the second stage one cannot expect to have a high R</w:t>
      </w:r>
      <w:r w:rsidR="006D487E" w:rsidRPr="00BE5613">
        <w:t>-</w:t>
      </w:r>
      <w:r w:rsidR="008C4617" w:rsidRPr="00BE5613">
        <w:t>square</w:t>
      </w:r>
      <w:r w:rsidR="006D487E" w:rsidRPr="00BE5613">
        <w:t>d. Here</w:t>
      </w:r>
      <w:r w:rsidR="00A6721A" w:rsidRPr="00BE5613">
        <w:t>,</w:t>
      </w:r>
      <w:r w:rsidR="006D487E" w:rsidRPr="00BE5613">
        <w:t xml:space="preserve"> applicable for UTC ratios as well, </w:t>
      </w:r>
      <w:proofErr w:type="spellStart"/>
      <w:r w:rsidR="008C4617" w:rsidRPr="00BE5613">
        <w:t>Sarra</w:t>
      </w:r>
      <w:proofErr w:type="spellEnd"/>
      <w:r w:rsidR="008C4617" w:rsidRPr="00BE5613">
        <w:t xml:space="preserve"> et al. (2017) note that DEA scores are mainly determined by the internal organization of the production process, and external variables then account only for small fractions attributable to operational variables not controlled by the municipality. Nevertheless, knowledge about municipal characteristics and environmental factors that are significant for MW performance are inevitably helpful to the municipality. This knowledge is invaluable primarily for controllable contextual variables (z1 – z9) as these constitute indirect drivers of performance.</w:t>
      </w:r>
    </w:p>
    <w:p w14:paraId="6367519A" w14:textId="77777777" w:rsidR="00C43D8D" w:rsidRPr="00BE5613" w:rsidRDefault="00C43D8D" w:rsidP="00C43D8D">
      <w:pPr>
        <w:jc w:val="both"/>
      </w:pPr>
      <w:r w:rsidRPr="00BE5613">
        <w:t xml:space="preserve">Table </w:t>
      </w:r>
      <w:bookmarkStart w:id="12" w:name="table_secondstage"/>
      <w:r w:rsidRPr="00BE5613">
        <w:fldChar w:fldCharType="begin"/>
      </w:r>
      <w:r w:rsidRPr="00BE5613">
        <w:instrText xml:space="preserve"> SEQ Table \* ARABIC </w:instrText>
      </w:r>
      <w:r w:rsidRPr="00BE5613">
        <w:fldChar w:fldCharType="separate"/>
      </w:r>
      <w:r w:rsidR="00AA45FA" w:rsidRPr="00BE5613">
        <w:rPr>
          <w:noProof/>
        </w:rPr>
        <w:t>6</w:t>
      </w:r>
      <w:r w:rsidRPr="00BE5613">
        <w:fldChar w:fldCharType="end"/>
      </w:r>
      <w:bookmarkEnd w:id="12"/>
      <w:r w:rsidRPr="00BE5613">
        <w:t xml:space="preserve">: Results of the second-stage non-parametric regressions of UTC on contextual variables </w:t>
      </w:r>
    </w:p>
    <w:tbl>
      <w:tblPr>
        <w:tblW w:w="9127" w:type="dxa"/>
        <w:tblBorders>
          <w:top w:val="single" w:sz="4" w:space="0" w:color="auto"/>
          <w:bottom w:val="single" w:sz="4" w:space="0" w:color="auto"/>
          <w:insideH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1446"/>
        <w:gridCol w:w="960"/>
        <w:gridCol w:w="960"/>
        <w:gridCol w:w="960"/>
        <w:gridCol w:w="960"/>
        <w:gridCol w:w="960"/>
        <w:gridCol w:w="960"/>
        <w:gridCol w:w="960"/>
        <w:gridCol w:w="961"/>
      </w:tblGrid>
      <w:tr w:rsidR="00C43D8D" w:rsidRPr="00BE5613" w14:paraId="479B6807" w14:textId="77777777">
        <w:trPr>
          <w:trHeight w:val="277"/>
        </w:trPr>
        <w:tc>
          <w:tcPr>
            <w:tcW w:w="1446" w:type="dxa"/>
            <w:vMerge w:val="restart"/>
            <w:tcBorders>
              <w:right w:val="nil"/>
            </w:tcBorders>
            <w:shd w:val="clear" w:color="auto" w:fill="FFFFFF"/>
            <w:vAlign w:val="center"/>
          </w:tcPr>
          <w:p w14:paraId="0DB27084" w14:textId="77777777" w:rsidR="00C43D8D" w:rsidRPr="00BE5613" w:rsidRDefault="00C43D8D" w:rsidP="003D4C06">
            <w:pPr>
              <w:jc w:val="center"/>
              <w:rPr>
                <w:b/>
                <w:sz w:val="22"/>
                <w:szCs w:val="22"/>
              </w:rPr>
            </w:pPr>
            <w:r w:rsidRPr="00BE5613">
              <w:rPr>
                <w:b/>
                <w:sz w:val="22"/>
                <w:szCs w:val="22"/>
              </w:rPr>
              <w:t>Variable</w:t>
            </w:r>
          </w:p>
        </w:tc>
        <w:tc>
          <w:tcPr>
            <w:tcW w:w="1920" w:type="dxa"/>
            <w:gridSpan w:val="2"/>
            <w:tcBorders>
              <w:left w:val="nil"/>
              <w:bottom w:val="single" w:sz="4" w:space="0" w:color="auto"/>
            </w:tcBorders>
            <w:shd w:val="clear" w:color="auto" w:fill="FFFFFF"/>
            <w:vAlign w:val="center"/>
          </w:tcPr>
          <w:p w14:paraId="11933D31" w14:textId="77777777" w:rsidR="00C43D8D" w:rsidRPr="00BE5613" w:rsidRDefault="00C43D8D" w:rsidP="003D4C06">
            <w:pPr>
              <w:jc w:val="center"/>
              <w:rPr>
                <w:sz w:val="22"/>
                <w:szCs w:val="22"/>
              </w:rPr>
            </w:pPr>
            <w:r w:rsidRPr="00BE5613">
              <w:rPr>
                <w:sz w:val="22"/>
                <w:szCs w:val="22"/>
              </w:rPr>
              <w:t>Model I</w:t>
            </w:r>
          </w:p>
        </w:tc>
        <w:tc>
          <w:tcPr>
            <w:tcW w:w="1920" w:type="dxa"/>
            <w:gridSpan w:val="2"/>
            <w:tcBorders>
              <w:bottom w:val="single" w:sz="4" w:space="0" w:color="auto"/>
              <w:right w:val="nil"/>
            </w:tcBorders>
            <w:shd w:val="clear" w:color="auto" w:fill="FFFFFF"/>
            <w:vAlign w:val="center"/>
          </w:tcPr>
          <w:p w14:paraId="589F2DFB" w14:textId="77777777" w:rsidR="00C43D8D" w:rsidRPr="00BE5613" w:rsidRDefault="00C43D8D" w:rsidP="003D4C06">
            <w:pPr>
              <w:jc w:val="center"/>
              <w:rPr>
                <w:sz w:val="22"/>
                <w:szCs w:val="22"/>
              </w:rPr>
            </w:pPr>
            <w:r w:rsidRPr="00BE5613">
              <w:rPr>
                <w:sz w:val="22"/>
                <w:szCs w:val="22"/>
              </w:rPr>
              <w:t>Model II</w:t>
            </w:r>
          </w:p>
        </w:tc>
        <w:tc>
          <w:tcPr>
            <w:tcW w:w="1920" w:type="dxa"/>
            <w:gridSpan w:val="2"/>
            <w:tcBorders>
              <w:left w:val="nil"/>
              <w:bottom w:val="single" w:sz="4" w:space="0" w:color="auto"/>
            </w:tcBorders>
            <w:shd w:val="clear" w:color="auto" w:fill="FFFFFF"/>
            <w:vAlign w:val="center"/>
          </w:tcPr>
          <w:p w14:paraId="6DB3E453" w14:textId="77777777" w:rsidR="00C43D8D" w:rsidRPr="00BE5613" w:rsidRDefault="00C43D8D" w:rsidP="003D4C06">
            <w:pPr>
              <w:jc w:val="center"/>
              <w:rPr>
                <w:sz w:val="22"/>
                <w:szCs w:val="22"/>
              </w:rPr>
            </w:pPr>
            <w:r w:rsidRPr="00BE5613">
              <w:rPr>
                <w:sz w:val="22"/>
                <w:szCs w:val="22"/>
              </w:rPr>
              <w:t>Model III</w:t>
            </w:r>
          </w:p>
        </w:tc>
        <w:tc>
          <w:tcPr>
            <w:tcW w:w="1921" w:type="dxa"/>
            <w:gridSpan w:val="2"/>
            <w:tcBorders>
              <w:bottom w:val="single" w:sz="4" w:space="0" w:color="auto"/>
            </w:tcBorders>
            <w:shd w:val="clear" w:color="auto" w:fill="FFFFFF"/>
            <w:vAlign w:val="center"/>
          </w:tcPr>
          <w:p w14:paraId="294B44CE" w14:textId="77777777" w:rsidR="00C43D8D" w:rsidRPr="00BE5613" w:rsidRDefault="00C43D8D" w:rsidP="003D4C06">
            <w:pPr>
              <w:jc w:val="center"/>
              <w:rPr>
                <w:sz w:val="22"/>
                <w:szCs w:val="22"/>
              </w:rPr>
            </w:pPr>
            <w:r w:rsidRPr="00BE5613">
              <w:rPr>
                <w:sz w:val="22"/>
                <w:szCs w:val="22"/>
              </w:rPr>
              <w:t>Model IV</w:t>
            </w:r>
          </w:p>
        </w:tc>
      </w:tr>
      <w:tr w:rsidR="00C43D8D" w:rsidRPr="00BE5613" w14:paraId="53605A58" w14:textId="77777777">
        <w:trPr>
          <w:trHeight w:val="242"/>
        </w:trPr>
        <w:tc>
          <w:tcPr>
            <w:tcW w:w="1446" w:type="dxa"/>
            <w:vMerge/>
            <w:tcBorders>
              <w:bottom w:val="single" w:sz="4" w:space="0" w:color="auto"/>
              <w:right w:val="nil"/>
            </w:tcBorders>
            <w:shd w:val="clear" w:color="auto" w:fill="FFFFFF"/>
            <w:vAlign w:val="center"/>
          </w:tcPr>
          <w:p w14:paraId="2FF2C28A" w14:textId="77777777" w:rsidR="00C43D8D" w:rsidRPr="00BE5613" w:rsidRDefault="00C43D8D" w:rsidP="003D4C06">
            <w:pPr>
              <w:jc w:val="center"/>
              <w:rPr>
                <w:b/>
                <w:sz w:val="22"/>
                <w:szCs w:val="22"/>
              </w:rPr>
            </w:pPr>
          </w:p>
        </w:tc>
        <w:tc>
          <w:tcPr>
            <w:tcW w:w="960" w:type="dxa"/>
            <w:tcBorders>
              <w:left w:val="nil"/>
              <w:bottom w:val="single" w:sz="4" w:space="0" w:color="auto"/>
              <w:right w:val="nil"/>
            </w:tcBorders>
            <w:shd w:val="clear" w:color="auto" w:fill="FFFFFF"/>
            <w:vAlign w:val="center"/>
          </w:tcPr>
          <w:p w14:paraId="0F1DF47D" w14:textId="77777777" w:rsidR="00C43D8D" w:rsidRPr="00BE5613" w:rsidRDefault="00C43D8D" w:rsidP="003D4C06">
            <w:pPr>
              <w:jc w:val="center"/>
              <w:rPr>
                <w:sz w:val="22"/>
                <w:szCs w:val="22"/>
              </w:rPr>
            </w:pPr>
            <w:r w:rsidRPr="00BE5613">
              <w:rPr>
                <w:sz w:val="22"/>
                <w:szCs w:val="22"/>
              </w:rPr>
              <w:t>Full frontier</w:t>
            </w:r>
          </w:p>
        </w:tc>
        <w:tc>
          <w:tcPr>
            <w:tcW w:w="960" w:type="dxa"/>
            <w:tcBorders>
              <w:left w:val="nil"/>
              <w:bottom w:val="single" w:sz="4" w:space="0" w:color="auto"/>
            </w:tcBorders>
            <w:shd w:val="clear" w:color="auto" w:fill="FFFFFF"/>
            <w:vAlign w:val="center"/>
          </w:tcPr>
          <w:p w14:paraId="0B391669" w14:textId="77777777" w:rsidR="00C43D8D" w:rsidRPr="00BE5613" w:rsidRDefault="00C43D8D" w:rsidP="003D4C06">
            <w:pPr>
              <w:jc w:val="center"/>
              <w:rPr>
                <w:sz w:val="22"/>
                <w:szCs w:val="22"/>
              </w:rPr>
            </w:pPr>
            <w:r w:rsidRPr="00BE5613">
              <w:rPr>
                <w:sz w:val="22"/>
                <w:szCs w:val="22"/>
              </w:rPr>
              <w:t>Partial frontier</w:t>
            </w:r>
          </w:p>
        </w:tc>
        <w:tc>
          <w:tcPr>
            <w:tcW w:w="960" w:type="dxa"/>
            <w:tcBorders>
              <w:bottom w:val="single" w:sz="4" w:space="0" w:color="auto"/>
              <w:right w:val="nil"/>
            </w:tcBorders>
            <w:shd w:val="clear" w:color="auto" w:fill="FFFFFF"/>
            <w:vAlign w:val="center"/>
          </w:tcPr>
          <w:p w14:paraId="281D7A0F" w14:textId="77777777" w:rsidR="00C43D8D" w:rsidRPr="00BE5613" w:rsidRDefault="00C43D8D" w:rsidP="003D4C06">
            <w:pPr>
              <w:jc w:val="center"/>
              <w:rPr>
                <w:sz w:val="22"/>
                <w:szCs w:val="22"/>
              </w:rPr>
            </w:pPr>
            <w:r w:rsidRPr="00BE5613">
              <w:rPr>
                <w:sz w:val="22"/>
                <w:szCs w:val="22"/>
              </w:rPr>
              <w:t>Full frontier</w:t>
            </w:r>
          </w:p>
        </w:tc>
        <w:tc>
          <w:tcPr>
            <w:tcW w:w="960" w:type="dxa"/>
            <w:tcBorders>
              <w:left w:val="nil"/>
              <w:bottom w:val="single" w:sz="4" w:space="0" w:color="auto"/>
              <w:right w:val="nil"/>
            </w:tcBorders>
            <w:shd w:val="clear" w:color="auto" w:fill="FFFFFF"/>
            <w:vAlign w:val="center"/>
          </w:tcPr>
          <w:p w14:paraId="0DE068F8" w14:textId="77777777" w:rsidR="00C43D8D" w:rsidRPr="00BE5613" w:rsidRDefault="00C43D8D" w:rsidP="003D4C06">
            <w:pPr>
              <w:jc w:val="center"/>
              <w:rPr>
                <w:sz w:val="22"/>
                <w:szCs w:val="22"/>
              </w:rPr>
            </w:pPr>
            <w:r w:rsidRPr="00BE5613">
              <w:rPr>
                <w:sz w:val="22"/>
                <w:szCs w:val="22"/>
              </w:rPr>
              <w:t>Partial frontier</w:t>
            </w:r>
          </w:p>
        </w:tc>
        <w:tc>
          <w:tcPr>
            <w:tcW w:w="960" w:type="dxa"/>
            <w:tcBorders>
              <w:left w:val="nil"/>
              <w:bottom w:val="single" w:sz="4" w:space="0" w:color="auto"/>
              <w:right w:val="nil"/>
            </w:tcBorders>
            <w:shd w:val="clear" w:color="auto" w:fill="FFFFFF"/>
            <w:vAlign w:val="center"/>
          </w:tcPr>
          <w:p w14:paraId="7527AB90" w14:textId="77777777" w:rsidR="00C43D8D" w:rsidRPr="00BE5613" w:rsidRDefault="00C43D8D" w:rsidP="003D4C06">
            <w:pPr>
              <w:jc w:val="center"/>
              <w:rPr>
                <w:sz w:val="22"/>
                <w:szCs w:val="22"/>
              </w:rPr>
            </w:pPr>
            <w:r w:rsidRPr="00BE5613">
              <w:rPr>
                <w:sz w:val="22"/>
                <w:szCs w:val="22"/>
              </w:rPr>
              <w:t>Full frontier</w:t>
            </w:r>
          </w:p>
        </w:tc>
        <w:tc>
          <w:tcPr>
            <w:tcW w:w="960" w:type="dxa"/>
            <w:tcBorders>
              <w:left w:val="nil"/>
              <w:bottom w:val="single" w:sz="4" w:space="0" w:color="auto"/>
            </w:tcBorders>
            <w:shd w:val="clear" w:color="auto" w:fill="FFFFFF"/>
            <w:vAlign w:val="center"/>
          </w:tcPr>
          <w:p w14:paraId="0DED995E" w14:textId="77777777" w:rsidR="00C43D8D" w:rsidRPr="00BE5613" w:rsidRDefault="00C43D8D" w:rsidP="003D4C06">
            <w:pPr>
              <w:jc w:val="center"/>
              <w:rPr>
                <w:sz w:val="22"/>
                <w:szCs w:val="22"/>
              </w:rPr>
            </w:pPr>
            <w:r w:rsidRPr="00BE5613">
              <w:rPr>
                <w:sz w:val="22"/>
                <w:szCs w:val="22"/>
              </w:rPr>
              <w:t>Partial frontier</w:t>
            </w:r>
          </w:p>
        </w:tc>
        <w:tc>
          <w:tcPr>
            <w:tcW w:w="960" w:type="dxa"/>
            <w:tcBorders>
              <w:bottom w:val="single" w:sz="4" w:space="0" w:color="auto"/>
            </w:tcBorders>
            <w:shd w:val="clear" w:color="auto" w:fill="FFFFFF"/>
            <w:vAlign w:val="center"/>
          </w:tcPr>
          <w:p w14:paraId="6F216DE8" w14:textId="77777777" w:rsidR="00C43D8D" w:rsidRPr="00BE5613" w:rsidRDefault="00C43D8D" w:rsidP="003D4C06">
            <w:pPr>
              <w:jc w:val="center"/>
              <w:rPr>
                <w:sz w:val="22"/>
                <w:szCs w:val="22"/>
              </w:rPr>
            </w:pPr>
            <w:r w:rsidRPr="00BE5613">
              <w:rPr>
                <w:sz w:val="22"/>
                <w:szCs w:val="22"/>
              </w:rPr>
              <w:t>Full frontier</w:t>
            </w:r>
          </w:p>
        </w:tc>
        <w:tc>
          <w:tcPr>
            <w:tcW w:w="961" w:type="dxa"/>
            <w:tcBorders>
              <w:bottom w:val="single" w:sz="4" w:space="0" w:color="auto"/>
            </w:tcBorders>
            <w:shd w:val="clear" w:color="auto" w:fill="FFFFFF"/>
            <w:vAlign w:val="center"/>
          </w:tcPr>
          <w:p w14:paraId="70825769" w14:textId="77777777" w:rsidR="00C43D8D" w:rsidRPr="00BE5613" w:rsidRDefault="00C43D8D" w:rsidP="003D4C06">
            <w:pPr>
              <w:jc w:val="center"/>
              <w:rPr>
                <w:sz w:val="22"/>
                <w:szCs w:val="22"/>
              </w:rPr>
            </w:pPr>
            <w:r w:rsidRPr="00BE5613">
              <w:rPr>
                <w:sz w:val="22"/>
                <w:szCs w:val="22"/>
              </w:rPr>
              <w:t>Partial frontier</w:t>
            </w:r>
          </w:p>
        </w:tc>
      </w:tr>
      <w:tr w:rsidR="00C43D8D" w:rsidRPr="00BE5613" w14:paraId="486B256E" w14:textId="77777777">
        <w:trPr>
          <w:trHeight w:val="41"/>
        </w:trPr>
        <w:tc>
          <w:tcPr>
            <w:tcW w:w="1446" w:type="dxa"/>
            <w:tcBorders>
              <w:top w:val="nil"/>
              <w:bottom w:val="nil"/>
              <w:right w:val="nil"/>
            </w:tcBorders>
            <w:shd w:val="clear" w:color="auto" w:fill="FFFFFF"/>
            <w:vAlign w:val="center"/>
          </w:tcPr>
          <w:p w14:paraId="3276BDE8" w14:textId="77777777" w:rsidR="00C43D8D" w:rsidRPr="00BE5613" w:rsidRDefault="00C43D8D" w:rsidP="003D4C06">
            <w:pPr>
              <w:ind w:left="142" w:right="255"/>
              <w:rPr>
                <w:sz w:val="22"/>
                <w:szCs w:val="22"/>
              </w:rPr>
            </w:pPr>
            <w:r w:rsidRPr="00BE5613">
              <w:rPr>
                <w:sz w:val="22"/>
                <w:szCs w:val="22"/>
              </w:rPr>
              <w:t>z1</w:t>
            </w:r>
          </w:p>
        </w:tc>
        <w:tc>
          <w:tcPr>
            <w:tcW w:w="960" w:type="dxa"/>
            <w:tcBorders>
              <w:top w:val="nil"/>
              <w:left w:val="nil"/>
              <w:bottom w:val="nil"/>
              <w:right w:val="nil"/>
            </w:tcBorders>
            <w:shd w:val="clear" w:color="auto" w:fill="FFFFFF"/>
            <w:vAlign w:val="bottom"/>
          </w:tcPr>
          <w:p w14:paraId="10604241"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57DA6A57" w14:textId="77777777" w:rsidR="00C43D8D" w:rsidRPr="00BE5613" w:rsidRDefault="00C43D8D" w:rsidP="003D4C06">
            <w:pPr>
              <w:jc w:val="center"/>
              <w:rPr>
                <w:sz w:val="22"/>
                <w:szCs w:val="22"/>
              </w:rPr>
            </w:pPr>
          </w:p>
        </w:tc>
        <w:tc>
          <w:tcPr>
            <w:tcW w:w="960" w:type="dxa"/>
            <w:tcBorders>
              <w:top w:val="nil"/>
              <w:bottom w:val="nil"/>
              <w:right w:val="nil"/>
            </w:tcBorders>
            <w:shd w:val="clear" w:color="auto" w:fill="FFFFFF"/>
            <w:vAlign w:val="bottom"/>
          </w:tcPr>
          <w:p w14:paraId="712E6451"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1BCB7A07"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68152918"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0ED673A9" w14:textId="77777777" w:rsidR="00C43D8D" w:rsidRPr="00BE5613" w:rsidRDefault="00C43D8D" w:rsidP="003D4C06">
            <w:pPr>
              <w:jc w:val="center"/>
              <w:rPr>
                <w:sz w:val="22"/>
                <w:szCs w:val="22"/>
              </w:rPr>
            </w:pPr>
          </w:p>
        </w:tc>
        <w:tc>
          <w:tcPr>
            <w:tcW w:w="960" w:type="dxa"/>
            <w:tcBorders>
              <w:top w:val="nil"/>
              <w:bottom w:val="nil"/>
            </w:tcBorders>
            <w:shd w:val="clear" w:color="auto" w:fill="FFFFFF"/>
            <w:vAlign w:val="bottom"/>
          </w:tcPr>
          <w:p w14:paraId="541FCA1F"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6299FC26" w14:textId="77777777" w:rsidR="00C43D8D" w:rsidRPr="00BE5613" w:rsidRDefault="00C43D8D" w:rsidP="003D4C06">
            <w:pPr>
              <w:jc w:val="center"/>
              <w:rPr>
                <w:sz w:val="22"/>
                <w:szCs w:val="22"/>
              </w:rPr>
            </w:pPr>
          </w:p>
        </w:tc>
      </w:tr>
      <w:tr w:rsidR="00C43D8D" w:rsidRPr="00BE5613" w14:paraId="430A45D1" w14:textId="77777777">
        <w:trPr>
          <w:trHeight w:val="41"/>
        </w:trPr>
        <w:tc>
          <w:tcPr>
            <w:tcW w:w="1446" w:type="dxa"/>
            <w:tcBorders>
              <w:top w:val="nil"/>
              <w:bottom w:val="nil"/>
              <w:right w:val="nil"/>
            </w:tcBorders>
            <w:shd w:val="clear" w:color="auto" w:fill="FFFFFF"/>
            <w:vAlign w:val="center"/>
          </w:tcPr>
          <w:p w14:paraId="5187CED1" w14:textId="77777777" w:rsidR="00C43D8D" w:rsidRPr="00BE5613" w:rsidRDefault="00C43D8D" w:rsidP="003D4C06">
            <w:pPr>
              <w:ind w:left="142" w:right="255"/>
              <w:rPr>
                <w:sz w:val="22"/>
                <w:szCs w:val="22"/>
              </w:rPr>
            </w:pPr>
            <w:r w:rsidRPr="00BE5613">
              <w:rPr>
                <w:sz w:val="22"/>
                <w:szCs w:val="22"/>
              </w:rPr>
              <w:t>z2</w:t>
            </w:r>
          </w:p>
        </w:tc>
        <w:tc>
          <w:tcPr>
            <w:tcW w:w="960" w:type="dxa"/>
            <w:tcBorders>
              <w:top w:val="nil"/>
              <w:left w:val="nil"/>
              <w:bottom w:val="nil"/>
              <w:right w:val="nil"/>
            </w:tcBorders>
            <w:shd w:val="clear" w:color="auto" w:fill="FFFFFF"/>
            <w:vAlign w:val="bottom"/>
          </w:tcPr>
          <w:p w14:paraId="62160A4E"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left w:val="nil"/>
              <w:bottom w:val="nil"/>
            </w:tcBorders>
            <w:shd w:val="clear" w:color="auto" w:fill="FFFFFF"/>
            <w:vAlign w:val="bottom"/>
          </w:tcPr>
          <w:p w14:paraId="02963F23" w14:textId="77777777" w:rsidR="00C43D8D" w:rsidRPr="00BE5613" w:rsidRDefault="00C43D8D" w:rsidP="003D4C06">
            <w:pPr>
              <w:jc w:val="center"/>
              <w:rPr>
                <w:sz w:val="22"/>
                <w:szCs w:val="22"/>
              </w:rPr>
            </w:pPr>
          </w:p>
        </w:tc>
        <w:tc>
          <w:tcPr>
            <w:tcW w:w="960" w:type="dxa"/>
            <w:tcBorders>
              <w:top w:val="nil"/>
              <w:bottom w:val="nil"/>
              <w:right w:val="nil"/>
            </w:tcBorders>
            <w:shd w:val="clear" w:color="auto" w:fill="FFFFFF"/>
            <w:vAlign w:val="bottom"/>
          </w:tcPr>
          <w:p w14:paraId="5900CB4D"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0E841B8D"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7D219AC7"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0D3BCB18" w14:textId="77777777" w:rsidR="00C43D8D" w:rsidRPr="00BE5613" w:rsidRDefault="00C43D8D" w:rsidP="003D4C06">
            <w:pPr>
              <w:jc w:val="center"/>
              <w:rPr>
                <w:sz w:val="22"/>
                <w:szCs w:val="22"/>
              </w:rPr>
            </w:pPr>
          </w:p>
        </w:tc>
        <w:tc>
          <w:tcPr>
            <w:tcW w:w="960" w:type="dxa"/>
            <w:tcBorders>
              <w:top w:val="nil"/>
              <w:bottom w:val="nil"/>
            </w:tcBorders>
            <w:shd w:val="clear" w:color="auto" w:fill="FFFFFF"/>
            <w:vAlign w:val="bottom"/>
          </w:tcPr>
          <w:p w14:paraId="49EB0281"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57CBDDD6" w14:textId="77777777" w:rsidR="00C43D8D" w:rsidRPr="00BE5613" w:rsidRDefault="00C43D8D" w:rsidP="003D4C06">
            <w:pPr>
              <w:jc w:val="center"/>
              <w:rPr>
                <w:sz w:val="22"/>
                <w:szCs w:val="22"/>
              </w:rPr>
            </w:pPr>
          </w:p>
        </w:tc>
      </w:tr>
      <w:tr w:rsidR="00C43D8D" w:rsidRPr="00BE5613" w14:paraId="4A65EF49" w14:textId="77777777">
        <w:trPr>
          <w:trHeight w:val="41"/>
        </w:trPr>
        <w:tc>
          <w:tcPr>
            <w:tcW w:w="1446" w:type="dxa"/>
            <w:tcBorders>
              <w:top w:val="nil"/>
              <w:bottom w:val="nil"/>
              <w:right w:val="nil"/>
            </w:tcBorders>
            <w:shd w:val="clear" w:color="auto" w:fill="FFFFFF"/>
            <w:vAlign w:val="center"/>
          </w:tcPr>
          <w:p w14:paraId="7C252C0D" w14:textId="77777777" w:rsidR="00C43D8D" w:rsidRPr="00BE5613" w:rsidRDefault="00C43D8D" w:rsidP="003D4C06">
            <w:pPr>
              <w:ind w:left="142" w:right="255"/>
              <w:rPr>
                <w:sz w:val="22"/>
                <w:szCs w:val="22"/>
              </w:rPr>
            </w:pPr>
            <w:r w:rsidRPr="00BE5613">
              <w:rPr>
                <w:sz w:val="22"/>
                <w:szCs w:val="22"/>
              </w:rPr>
              <w:t>z3</w:t>
            </w:r>
          </w:p>
        </w:tc>
        <w:tc>
          <w:tcPr>
            <w:tcW w:w="960" w:type="dxa"/>
            <w:tcBorders>
              <w:top w:val="nil"/>
              <w:left w:val="nil"/>
              <w:bottom w:val="nil"/>
              <w:right w:val="nil"/>
            </w:tcBorders>
            <w:shd w:val="clear" w:color="auto" w:fill="FFFFFF"/>
            <w:vAlign w:val="bottom"/>
          </w:tcPr>
          <w:p w14:paraId="3917F9B7"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tcBorders>
            <w:shd w:val="clear" w:color="auto" w:fill="FFFFFF"/>
            <w:vAlign w:val="bottom"/>
          </w:tcPr>
          <w:p w14:paraId="67D3B938"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right w:val="nil"/>
            </w:tcBorders>
            <w:shd w:val="clear" w:color="auto" w:fill="FFFFFF"/>
            <w:vAlign w:val="bottom"/>
          </w:tcPr>
          <w:p w14:paraId="40758E15"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78D89551"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27E52E87"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1E36AC50"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327D468A"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0B07EEEF" w14:textId="77777777" w:rsidR="00C43D8D" w:rsidRPr="00BE5613" w:rsidRDefault="00C43D8D" w:rsidP="003D4C06">
            <w:pPr>
              <w:jc w:val="center"/>
              <w:rPr>
                <w:sz w:val="22"/>
                <w:szCs w:val="22"/>
              </w:rPr>
            </w:pPr>
            <w:r w:rsidRPr="00BE5613">
              <w:rPr>
                <w:sz w:val="22"/>
                <w:szCs w:val="22"/>
              </w:rPr>
              <w:t>***</w:t>
            </w:r>
          </w:p>
        </w:tc>
      </w:tr>
      <w:tr w:rsidR="00C43D8D" w:rsidRPr="00BE5613" w14:paraId="050B5C79" w14:textId="77777777">
        <w:trPr>
          <w:trHeight w:val="41"/>
        </w:trPr>
        <w:tc>
          <w:tcPr>
            <w:tcW w:w="1446" w:type="dxa"/>
            <w:tcBorders>
              <w:top w:val="nil"/>
              <w:bottom w:val="nil"/>
              <w:right w:val="nil"/>
            </w:tcBorders>
            <w:shd w:val="clear" w:color="auto" w:fill="FFFFFF"/>
            <w:vAlign w:val="center"/>
          </w:tcPr>
          <w:p w14:paraId="4399A0A8" w14:textId="77777777" w:rsidR="00C43D8D" w:rsidRPr="00BE5613" w:rsidRDefault="00C43D8D" w:rsidP="003D4C06">
            <w:pPr>
              <w:ind w:left="142" w:right="255"/>
              <w:rPr>
                <w:sz w:val="22"/>
                <w:szCs w:val="22"/>
              </w:rPr>
            </w:pPr>
            <w:r w:rsidRPr="00BE5613">
              <w:rPr>
                <w:sz w:val="22"/>
                <w:szCs w:val="22"/>
              </w:rPr>
              <w:t>z4</w:t>
            </w:r>
          </w:p>
        </w:tc>
        <w:tc>
          <w:tcPr>
            <w:tcW w:w="960" w:type="dxa"/>
            <w:tcBorders>
              <w:top w:val="nil"/>
              <w:left w:val="nil"/>
              <w:bottom w:val="nil"/>
              <w:right w:val="nil"/>
            </w:tcBorders>
            <w:shd w:val="clear" w:color="auto" w:fill="FFFFFF"/>
            <w:vAlign w:val="bottom"/>
          </w:tcPr>
          <w:p w14:paraId="77B51E66"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left w:val="nil"/>
              <w:bottom w:val="nil"/>
            </w:tcBorders>
            <w:shd w:val="clear" w:color="auto" w:fill="FFFFFF"/>
            <w:vAlign w:val="bottom"/>
          </w:tcPr>
          <w:p w14:paraId="7A5C394B" w14:textId="77777777" w:rsidR="00C43D8D" w:rsidRPr="00BE5613" w:rsidRDefault="00C43D8D" w:rsidP="003D4C06">
            <w:pPr>
              <w:jc w:val="center"/>
              <w:rPr>
                <w:sz w:val="22"/>
                <w:szCs w:val="22"/>
              </w:rPr>
            </w:pPr>
          </w:p>
        </w:tc>
        <w:tc>
          <w:tcPr>
            <w:tcW w:w="960" w:type="dxa"/>
            <w:tcBorders>
              <w:top w:val="nil"/>
              <w:bottom w:val="nil"/>
              <w:right w:val="nil"/>
            </w:tcBorders>
            <w:shd w:val="clear" w:color="auto" w:fill="FFFFFF"/>
            <w:vAlign w:val="bottom"/>
          </w:tcPr>
          <w:p w14:paraId="3F0EF765"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3C35AEFD"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7286FCD2"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3F9DE71F" w14:textId="77777777" w:rsidR="00C43D8D" w:rsidRPr="00BE5613" w:rsidRDefault="00C43D8D" w:rsidP="003D4C06">
            <w:pPr>
              <w:jc w:val="center"/>
              <w:rPr>
                <w:sz w:val="22"/>
                <w:szCs w:val="22"/>
              </w:rPr>
            </w:pPr>
          </w:p>
        </w:tc>
        <w:tc>
          <w:tcPr>
            <w:tcW w:w="960" w:type="dxa"/>
            <w:tcBorders>
              <w:top w:val="nil"/>
              <w:bottom w:val="nil"/>
            </w:tcBorders>
            <w:shd w:val="clear" w:color="auto" w:fill="FFFFFF"/>
            <w:vAlign w:val="bottom"/>
          </w:tcPr>
          <w:p w14:paraId="27B85A38"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6669D488" w14:textId="77777777" w:rsidR="00C43D8D" w:rsidRPr="00BE5613" w:rsidRDefault="00C43D8D" w:rsidP="003D4C06">
            <w:pPr>
              <w:jc w:val="center"/>
              <w:rPr>
                <w:sz w:val="22"/>
                <w:szCs w:val="22"/>
              </w:rPr>
            </w:pPr>
          </w:p>
        </w:tc>
      </w:tr>
      <w:tr w:rsidR="00C43D8D" w:rsidRPr="00BE5613" w14:paraId="69EAA112" w14:textId="77777777">
        <w:trPr>
          <w:trHeight w:val="41"/>
        </w:trPr>
        <w:tc>
          <w:tcPr>
            <w:tcW w:w="1446" w:type="dxa"/>
            <w:tcBorders>
              <w:top w:val="nil"/>
              <w:bottom w:val="nil"/>
              <w:right w:val="nil"/>
            </w:tcBorders>
            <w:shd w:val="clear" w:color="auto" w:fill="FFFFFF"/>
            <w:vAlign w:val="center"/>
          </w:tcPr>
          <w:p w14:paraId="1FE73320" w14:textId="77777777" w:rsidR="00C43D8D" w:rsidRPr="00BE5613" w:rsidRDefault="00C43D8D" w:rsidP="003D4C06">
            <w:pPr>
              <w:ind w:left="142" w:right="255"/>
              <w:rPr>
                <w:sz w:val="22"/>
                <w:szCs w:val="22"/>
              </w:rPr>
            </w:pPr>
            <w:r w:rsidRPr="00BE5613">
              <w:rPr>
                <w:sz w:val="22"/>
                <w:szCs w:val="22"/>
              </w:rPr>
              <w:t>z5</w:t>
            </w:r>
          </w:p>
        </w:tc>
        <w:tc>
          <w:tcPr>
            <w:tcW w:w="960" w:type="dxa"/>
            <w:tcBorders>
              <w:top w:val="nil"/>
              <w:left w:val="nil"/>
              <w:bottom w:val="nil"/>
              <w:right w:val="nil"/>
            </w:tcBorders>
            <w:shd w:val="clear" w:color="auto" w:fill="FFFFFF"/>
            <w:vAlign w:val="bottom"/>
          </w:tcPr>
          <w:p w14:paraId="03A109B4"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tcBorders>
            <w:shd w:val="clear" w:color="auto" w:fill="FFFFFF"/>
            <w:vAlign w:val="bottom"/>
          </w:tcPr>
          <w:p w14:paraId="53FDDEE9"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bottom w:val="nil"/>
              <w:right w:val="nil"/>
            </w:tcBorders>
            <w:shd w:val="clear" w:color="auto" w:fill="FFFFFF"/>
            <w:vAlign w:val="bottom"/>
          </w:tcPr>
          <w:p w14:paraId="4D5D640A"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12D3B3D8"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5EA721A2"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4CC23E95"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52E7C833"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20F81FDA" w14:textId="77777777" w:rsidR="00C43D8D" w:rsidRPr="00BE5613" w:rsidRDefault="00C43D8D" w:rsidP="003D4C06">
            <w:pPr>
              <w:jc w:val="center"/>
              <w:rPr>
                <w:sz w:val="22"/>
                <w:szCs w:val="22"/>
              </w:rPr>
            </w:pPr>
            <w:r w:rsidRPr="00BE5613">
              <w:rPr>
                <w:sz w:val="22"/>
                <w:szCs w:val="22"/>
              </w:rPr>
              <w:t>***</w:t>
            </w:r>
          </w:p>
        </w:tc>
      </w:tr>
      <w:tr w:rsidR="00C43D8D" w:rsidRPr="00BE5613" w14:paraId="0CE2309D" w14:textId="77777777">
        <w:trPr>
          <w:trHeight w:val="41"/>
        </w:trPr>
        <w:tc>
          <w:tcPr>
            <w:tcW w:w="1446" w:type="dxa"/>
            <w:tcBorders>
              <w:top w:val="nil"/>
              <w:bottom w:val="nil"/>
              <w:right w:val="nil"/>
            </w:tcBorders>
            <w:shd w:val="clear" w:color="auto" w:fill="FFFFFF"/>
            <w:vAlign w:val="center"/>
          </w:tcPr>
          <w:p w14:paraId="69321630" w14:textId="77777777" w:rsidR="00C43D8D" w:rsidRPr="00BE5613" w:rsidRDefault="00C43D8D" w:rsidP="003D4C06">
            <w:pPr>
              <w:ind w:left="142" w:right="255"/>
              <w:rPr>
                <w:sz w:val="22"/>
                <w:szCs w:val="22"/>
              </w:rPr>
            </w:pPr>
            <w:r w:rsidRPr="00BE5613">
              <w:rPr>
                <w:sz w:val="22"/>
                <w:szCs w:val="22"/>
              </w:rPr>
              <w:t>z6</w:t>
            </w:r>
          </w:p>
        </w:tc>
        <w:tc>
          <w:tcPr>
            <w:tcW w:w="960" w:type="dxa"/>
            <w:tcBorders>
              <w:top w:val="nil"/>
              <w:left w:val="nil"/>
              <w:bottom w:val="nil"/>
              <w:right w:val="nil"/>
            </w:tcBorders>
            <w:shd w:val="clear" w:color="auto" w:fill="FFFFFF"/>
            <w:vAlign w:val="bottom"/>
          </w:tcPr>
          <w:p w14:paraId="418A29CC"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tcBorders>
            <w:shd w:val="clear" w:color="auto" w:fill="FFFFFF"/>
            <w:vAlign w:val="bottom"/>
          </w:tcPr>
          <w:p w14:paraId="6C724256"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right w:val="nil"/>
            </w:tcBorders>
            <w:shd w:val="clear" w:color="auto" w:fill="FFFFFF"/>
            <w:vAlign w:val="bottom"/>
          </w:tcPr>
          <w:p w14:paraId="7667C52A"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0603DA11"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5CD170C0"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69DF66E4"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3A7B1D4F"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2020296E" w14:textId="77777777" w:rsidR="00C43D8D" w:rsidRPr="00BE5613" w:rsidRDefault="00C43D8D" w:rsidP="003D4C06">
            <w:pPr>
              <w:jc w:val="center"/>
              <w:rPr>
                <w:sz w:val="22"/>
                <w:szCs w:val="22"/>
              </w:rPr>
            </w:pPr>
            <w:r w:rsidRPr="00BE5613">
              <w:rPr>
                <w:sz w:val="22"/>
                <w:szCs w:val="22"/>
              </w:rPr>
              <w:t>**</w:t>
            </w:r>
          </w:p>
        </w:tc>
      </w:tr>
      <w:tr w:rsidR="00C43D8D" w:rsidRPr="00BE5613" w14:paraId="07FB074A" w14:textId="77777777">
        <w:trPr>
          <w:trHeight w:val="41"/>
        </w:trPr>
        <w:tc>
          <w:tcPr>
            <w:tcW w:w="1446" w:type="dxa"/>
            <w:tcBorders>
              <w:top w:val="nil"/>
              <w:bottom w:val="nil"/>
              <w:right w:val="nil"/>
            </w:tcBorders>
            <w:shd w:val="clear" w:color="auto" w:fill="FFFFFF"/>
            <w:vAlign w:val="center"/>
          </w:tcPr>
          <w:p w14:paraId="5C6FADBB" w14:textId="77777777" w:rsidR="00C43D8D" w:rsidRPr="00BE5613" w:rsidRDefault="00C43D8D" w:rsidP="003D4C06">
            <w:pPr>
              <w:ind w:left="142" w:right="255"/>
              <w:rPr>
                <w:sz w:val="22"/>
                <w:szCs w:val="22"/>
              </w:rPr>
            </w:pPr>
            <w:r w:rsidRPr="00BE5613">
              <w:rPr>
                <w:sz w:val="22"/>
                <w:szCs w:val="22"/>
              </w:rPr>
              <w:t>z7</w:t>
            </w:r>
          </w:p>
        </w:tc>
        <w:tc>
          <w:tcPr>
            <w:tcW w:w="960" w:type="dxa"/>
            <w:tcBorders>
              <w:top w:val="nil"/>
              <w:left w:val="nil"/>
              <w:bottom w:val="nil"/>
              <w:right w:val="nil"/>
            </w:tcBorders>
            <w:shd w:val="clear" w:color="auto" w:fill="FFFFFF"/>
            <w:vAlign w:val="bottom"/>
          </w:tcPr>
          <w:p w14:paraId="4368CFB3"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26F4EE08"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bottom w:val="nil"/>
              <w:right w:val="nil"/>
            </w:tcBorders>
            <w:shd w:val="clear" w:color="auto" w:fill="FFFFFF"/>
            <w:vAlign w:val="bottom"/>
          </w:tcPr>
          <w:p w14:paraId="1D5C60E1"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left w:val="nil"/>
              <w:bottom w:val="nil"/>
              <w:right w:val="nil"/>
            </w:tcBorders>
            <w:shd w:val="clear" w:color="auto" w:fill="FFFFFF"/>
            <w:vAlign w:val="bottom"/>
          </w:tcPr>
          <w:p w14:paraId="7BFD6583"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432C4142"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13D065C2" w14:textId="77777777" w:rsidR="00C43D8D" w:rsidRPr="00BE5613" w:rsidRDefault="00C43D8D" w:rsidP="003D4C06">
            <w:pPr>
              <w:jc w:val="center"/>
              <w:rPr>
                <w:sz w:val="22"/>
                <w:szCs w:val="22"/>
              </w:rPr>
            </w:pPr>
          </w:p>
        </w:tc>
        <w:tc>
          <w:tcPr>
            <w:tcW w:w="960" w:type="dxa"/>
            <w:tcBorders>
              <w:top w:val="nil"/>
              <w:bottom w:val="nil"/>
            </w:tcBorders>
            <w:shd w:val="clear" w:color="auto" w:fill="FFFFFF"/>
            <w:vAlign w:val="bottom"/>
          </w:tcPr>
          <w:p w14:paraId="3CDC82B7"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728F8C01" w14:textId="77777777" w:rsidR="00C43D8D" w:rsidRPr="00BE5613" w:rsidRDefault="00C43D8D" w:rsidP="003D4C06">
            <w:pPr>
              <w:jc w:val="center"/>
              <w:rPr>
                <w:sz w:val="22"/>
                <w:szCs w:val="22"/>
              </w:rPr>
            </w:pPr>
          </w:p>
        </w:tc>
      </w:tr>
      <w:tr w:rsidR="00C43D8D" w:rsidRPr="00BE5613" w14:paraId="071A5305" w14:textId="77777777">
        <w:trPr>
          <w:trHeight w:val="41"/>
        </w:trPr>
        <w:tc>
          <w:tcPr>
            <w:tcW w:w="1446" w:type="dxa"/>
            <w:tcBorders>
              <w:top w:val="nil"/>
              <w:bottom w:val="nil"/>
              <w:right w:val="nil"/>
            </w:tcBorders>
            <w:shd w:val="clear" w:color="auto" w:fill="FFFFFF"/>
            <w:vAlign w:val="center"/>
          </w:tcPr>
          <w:p w14:paraId="44535E5A" w14:textId="77777777" w:rsidR="00C43D8D" w:rsidRPr="00BE5613" w:rsidRDefault="00C43D8D" w:rsidP="003D4C06">
            <w:pPr>
              <w:ind w:left="142" w:right="255"/>
              <w:rPr>
                <w:sz w:val="22"/>
                <w:szCs w:val="22"/>
              </w:rPr>
            </w:pPr>
            <w:r w:rsidRPr="00BE5613">
              <w:rPr>
                <w:sz w:val="22"/>
                <w:szCs w:val="22"/>
              </w:rPr>
              <w:t>z8</w:t>
            </w:r>
          </w:p>
        </w:tc>
        <w:tc>
          <w:tcPr>
            <w:tcW w:w="960" w:type="dxa"/>
            <w:tcBorders>
              <w:top w:val="nil"/>
              <w:left w:val="nil"/>
              <w:bottom w:val="nil"/>
              <w:right w:val="nil"/>
            </w:tcBorders>
            <w:shd w:val="clear" w:color="auto" w:fill="FFFFFF"/>
            <w:vAlign w:val="bottom"/>
          </w:tcPr>
          <w:p w14:paraId="4D576C93"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2DED20FD"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right w:val="nil"/>
            </w:tcBorders>
            <w:shd w:val="clear" w:color="auto" w:fill="FFFFFF"/>
            <w:vAlign w:val="bottom"/>
          </w:tcPr>
          <w:p w14:paraId="7D175EBA"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0499F717"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21A8E807"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67DA10A2"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33BD0A9E"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764D1B39" w14:textId="77777777" w:rsidR="00C43D8D" w:rsidRPr="00BE5613" w:rsidRDefault="00C43D8D" w:rsidP="003D4C06">
            <w:pPr>
              <w:jc w:val="center"/>
              <w:rPr>
                <w:sz w:val="22"/>
                <w:szCs w:val="22"/>
              </w:rPr>
            </w:pPr>
            <w:r w:rsidRPr="00BE5613">
              <w:rPr>
                <w:sz w:val="22"/>
                <w:szCs w:val="22"/>
              </w:rPr>
              <w:t>***</w:t>
            </w:r>
          </w:p>
        </w:tc>
      </w:tr>
      <w:tr w:rsidR="00C43D8D" w:rsidRPr="00BE5613" w14:paraId="488A2650" w14:textId="77777777">
        <w:trPr>
          <w:trHeight w:val="41"/>
        </w:trPr>
        <w:tc>
          <w:tcPr>
            <w:tcW w:w="1446" w:type="dxa"/>
            <w:tcBorders>
              <w:top w:val="nil"/>
              <w:bottom w:val="nil"/>
              <w:right w:val="nil"/>
            </w:tcBorders>
            <w:shd w:val="clear" w:color="auto" w:fill="FFFFFF"/>
            <w:vAlign w:val="center"/>
          </w:tcPr>
          <w:p w14:paraId="17EF9D4B" w14:textId="77777777" w:rsidR="00C43D8D" w:rsidRPr="00BE5613" w:rsidRDefault="00C43D8D" w:rsidP="003D4C06">
            <w:pPr>
              <w:ind w:left="142" w:right="255"/>
              <w:rPr>
                <w:sz w:val="22"/>
                <w:szCs w:val="22"/>
              </w:rPr>
            </w:pPr>
            <w:r w:rsidRPr="00BE5613">
              <w:rPr>
                <w:sz w:val="22"/>
                <w:szCs w:val="22"/>
              </w:rPr>
              <w:t>z9</w:t>
            </w:r>
          </w:p>
        </w:tc>
        <w:tc>
          <w:tcPr>
            <w:tcW w:w="960" w:type="dxa"/>
            <w:tcBorders>
              <w:top w:val="nil"/>
              <w:left w:val="nil"/>
              <w:bottom w:val="nil"/>
              <w:right w:val="nil"/>
            </w:tcBorders>
            <w:shd w:val="clear" w:color="auto" w:fill="FFFFFF"/>
            <w:vAlign w:val="bottom"/>
          </w:tcPr>
          <w:p w14:paraId="5E71FBBE"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55D39C63"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right w:val="nil"/>
            </w:tcBorders>
            <w:shd w:val="clear" w:color="auto" w:fill="FFFFFF"/>
            <w:vAlign w:val="bottom"/>
          </w:tcPr>
          <w:p w14:paraId="32235F2D"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120719B1"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357154B2"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57CB0FBF"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2427FF7C"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2D80FD82" w14:textId="77777777" w:rsidR="00C43D8D" w:rsidRPr="00BE5613" w:rsidRDefault="00C43D8D" w:rsidP="003D4C06">
            <w:pPr>
              <w:jc w:val="center"/>
              <w:rPr>
                <w:sz w:val="22"/>
                <w:szCs w:val="22"/>
              </w:rPr>
            </w:pPr>
            <w:r w:rsidRPr="00BE5613">
              <w:rPr>
                <w:sz w:val="22"/>
                <w:szCs w:val="22"/>
              </w:rPr>
              <w:t>***</w:t>
            </w:r>
          </w:p>
        </w:tc>
      </w:tr>
      <w:tr w:rsidR="00C43D8D" w:rsidRPr="00BE5613" w14:paraId="47D86C04" w14:textId="77777777">
        <w:trPr>
          <w:trHeight w:val="41"/>
        </w:trPr>
        <w:tc>
          <w:tcPr>
            <w:tcW w:w="1446" w:type="dxa"/>
            <w:tcBorders>
              <w:top w:val="nil"/>
              <w:bottom w:val="nil"/>
              <w:right w:val="nil"/>
            </w:tcBorders>
            <w:shd w:val="clear" w:color="auto" w:fill="FFFFFF"/>
            <w:vAlign w:val="center"/>
          </w:tcPr>
          <w:p w14:paraId="76ECACD7" w14:textId="77777777" w:rsidR="00C43D8D" w:rsidRPr="00BE5613" w:rsidRDefault="00C43D8D" w:rsidP="003D4C06">
            <w:pPr>
              <w:ind w:left="142" w:right="255"/>
              <w:rPr>
                <w:sz w:val="22"/>
                <w:szCs w:val="22"/>
              </w:rPr>
            </w:pPr>
            <w:r w:rsidRPr="00BE5613">
              <w:rPr>
                <w:sz w:val="22"/>
                <w:szCs w:val="22"/>
              </w:rPr>
              <w:t>z10</w:t>
            </w:r>
          </w:p>
        </w:tc>
        <w:tc>
          <w:tcPr>
            <w:tcW w:w="960" w:type="dxa"/>
            <w:tcBorders>
              <w:top w:val="nil"/>
              <w:left w:val="nil"/>
              <w:bottom w:val="nil"/>
              <w:right w:val="nil"/>
            </w:tcBorders>
            <w:shd w:val="clear" w:color="auto" w:fill="FFFFFF"/>
            <w:vAlign w:val="bottom"/>
          </w:tcPr>
          <w:p w14:paraId="70AFB5E1"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left w:val="nil"/>
              <w:bottom w:val="nil"/>
            </w:tcBorders>
            <w:shd w:val="clear" w:color="auto" w:fill="FFFFFF"/>
            <w:vAlign w:val="bottom"/>
          </w:tcPr>
          <w:p w14:paraId="1FE169A8" w14:textId="77777777" w:rsidR="00C43D8D" w:rsidRPr="00BE5613" w:rsidRDefault="00C43D8D" w:rsidP="003D4C06">
            <w:pPr>
              <w:jc w:val="center"/>
              <w:rPr>
                <w:sz w:val="22"/>
                <w:szCs w:val="22"/>
              </w:rPr>
            </w:pPr>
          </w:p>
        </w:tc>
        <w:tc>
          <w:tcPr>
            <w:tcW w:w="960" w:type="dxa"/>
            <w:tcBorders>
              <w:top w:val="nil"/>
              <w:bottom w:val="nil"/>
              <w:right w:val="nil"/>
            </w:tcBorders>
            <w:shd w:val="clear" w:color="auto" w:fill="FFFFFF"/>
            <w:vAlign w:val="bottom"/>
          </w:tcPr>
          <w:p w14:paraId="259F21AF" w14:textId="77777777" w:rsidR="00C43D8D" w:rsidRPr="00BE5613" w:rsidRDefault="00C43D8D" w:rsidP="003D4C06">
            <w:pPr>
              <w:jc w:val="center"/>
              <w:rPr>
                <w:sz w:val="22"/>
                <w:szCs w:val="22"/>
              </w:rPr>
            </w:pPr>
            <w:r w:rsidRPr="00BE5613">
              <w:rPr>
                <w:sz w:val="22"/>
                <w:szCs w:val="22"/>
                <w:vertAlign w:val="superscript"/>
              </w:rPr>
              <w:sym w:font="Symbol" w:char="F0B7"/>
            </w:r>
          </w:p>
        </w:tc>
        <w:tc>
          <w:tcPr>
            <w:tcW w:w="960" w:type="dxa"/>
            <w:tcBorders>
              <w:top w:val="nil"/>
              <w:left w:val="nil"/>
              <w:bottom w:val="nil"/>
              <w:right w:val="nil"/>
            </w:tcBorders>
            <w:shd w:val="clear" w:color="auto" w:fill="FFFFFF"/>
            <w:vAlign w:val="bottom"/>
          </w:tcPr>
          <w:p w14:paraId="64DBED45" w14:textId="77777777" w:rsidR="00C43D8D" w:rsidRPr="00BE5613" w:rsidRDefault="00C43D8D" w:rsidP="003D4C06">
            <w:pPr>
              <w:jc w:val="center"/>
              <w:rPr>
                <w:sz w:val="22"/>
                <w:szCs w:val="22"/>
              </w:rPr>
            </w:pPr>
          </w:p>
        </w:tc>
        <w:tc>
          <w:tcPr>
            <w:tcW w:w="960" w:type="dxa"/>
            <w:tcBorders>
              <w:top w:val="nil"/>
              <w:left w:val="nil"/>
              <w:bottom w:val="nil"/>
              <w:right w:val="nil"/>
            </w:tcBorders>
            <w:shd w:val="clear" w:color="auto" w:fill="FFFFFF"/>
            <w:vAlign w:val="bottom"/>
          </w:tcPr>
          <w:p w14:paraId="642A60D5"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48D1B361" w14:textId="77777777" w:rsidR="00C43D8D" w:rsidRPr="00BE5613" w:rsidRDefault="00C43D8D" w:rsidP="003D4C06">
            <w:pPr>
              <w:jc w:val="center"/>
              <w:rPr>
                <w:sz w:val="22"/>
                <w:szCs w:val="22"/>
              </w:rPr>
            </w:pPr>
          </w:p>
        </w:tc>
        <w:tc>
          <w:tcPr>
            <w:tcW w:w="960" w:type="dxa"/>
            <w:tcBorders>
              <w:top w:val="nil"/>
              <w:bottom w:val="nil"/>
            </w:tcBorders>
            <w:shd w:val="clear" w:color="auto" w:fill="FFFFFF"/>
            <w:vAlign w:val="bottom"/>
          </w:tcPr>
          <w:p w14:paraId="2FDB6E93"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102DCB2E" w14:textId="77777777" w:rsidR="00C43D8D" w:rsidRPr="00BE5613" w:rsidRDefault="00C43D8D" w:rsidP="003D4C06">
            <w:pPr>
              <w:jc w:val="center"/>
              <w:rPr>
                <w:sz w:val="22"/>
                <w:szCs w:val="22"/>
              </w:rPr>
            </w:pPr>
          </w:p>
        </w:tc>
      </w:tr>
      <w:tr w:rsidR="00C43D8D" w:rsidRPr="00BE5613" w14:paraId="1DCA8824" w14:textId="77777777">
        <w:trPr>
          <w:trHeight w:val="41"/>
        </w:trPr>
        <w:tc>
          <w:tcPr>
            <w:tcW w:w="1446" w:type="dxa"/>
            <w:tcBorders>
              <w:top w:val="nil"/>
              <w:bottom w:val="nil"/>
              <w:right w:val="nil"/>
            </w:tcBorders>
            <w:shd w:val="clear" w:color="auto" w:fill="FFFFFF"/>
            <w:vAlign w:val="center"/>
          </w:tcPr>
          <w:p w14:paraId="54B4BA28" w14:textId="77777777" w:rsidR="00C43D8D" w:rsidRPr="00BE5613" w:rsidRDefault="00C43D8D" w:rsidP="003D4C06">
            <w:pPr>
              <w:ind w:left="142" w:right="255"/>
              <w:rPr>
                <w:sz w:val="22"/>
                <w:szCs w:val="22"/>
              </w:rPr>
            </w:pPr>
            <w:r w:rsidRPr="00BE5613">
              <w:rPr>
                <w:sz w:val="22"/>
                <w:szCs w:val="22"/>
              </w:rPr>
              <w:t>z11</w:t>
            </w:r>
          </w:p>
        </w:tc>
        <w:tc>
          <w:tcPr>
            <w:tcW w:w="960" w:type="dxa"/>
            <w:tcBorders>
              <w:top w:val="nil"/>
              <w:left w:val="nil"/>
              <w:bottom w:val="nil"/>
              <w:right w:val="nil"/>
            </w:tcBorders>
            <w:shd w:val="clear" w:color="auto" w:fill="FFFFFF"/>
            <w:vAlign w:val="bottom"/>
          </w:tcPr>
          <w:p w14:paraId="34566F2B"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tcBorders>
            <w:shd w:val="clear" w:color="auto" w:fill="FFFFFF"/>
            <w:vAlign w:val="bottom"/>
          </w:tcPr>
          <w:p w14:paraId="72F387E7" w14:textId="77777777" w:rsidR="00C43D8D" w:rsidRPr="00BE5613" w:rsidRDefault="00C43D8D" w:rsidP="003D4C06">
            <w:pPr>
              <w:jc w:val="center"/>
              <w:rPr>
                <w:sz w:val="22"/>
                <w:szCs w:val="22"/>
              </w:rPr>
            </w:pPr>
          </w:p>
        </w:tc>
        <w:tc>
          <w:tcPr>
            <w:tcW w:w="960" w:type="dxa"/>
            <w:tcBorders>
              <w:top w:val="nil"/>
              <w:bottom w:val="nil"/>
              <w:right w:val="nil"/>
            </w:tcBorders>
            <w:shd w:val="clear" w:color="auto" w:fill="FFFFFF"/>
            <w:vAlign w:val="bottom"/>
          </w:tcPr>
          <w:p w14:paraId="03B1AD78"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52589482"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nil"/>
              <w:right w:val="nil"/>
            </w:tcBorders>
            <w:shd w:val="clear" w:color="auto" w:fill="FFFFFF"/>
            <w:vAlign w:val="bottom"/>
          </w:tcPr>
          <w:p w14:paraId="2B4616BF" w14:textId="77777777" w:rsidR="00C43D8D" w:rsidRPr="00BE5613" w:rsidRDefault="00C43D8D" w:rsidP="003D4C06">
            <w:pPr>
              <w:jc w:val="center"/>
              <w:rPr>
                <w:sz w:val="22"/>
                <w:szCs w:val="22"/>
              </w:rPr>
            </w:pPr>
          </w:p>
        </w:tc>
        <w:tc>
          <w:tcPr>
            <w:tcW w:w="960" w:type="dxa"/>
            <w:tcBorders>
              <w:top w:val="nil"/>
              <w:left w:val="nil"/>
              <w:bottom w:val="nil"/>
            </w:tcBorders>
            <w:shd w:val="clear" w:color="auto" w:fill="FFFFFF"/>
            <w:vAlign w:val="bottom"/>
          </w:tcPr>
          <w:p w14:paraId="3AE356DB" w14:textId="77777777" w:rsidR="00C43D8D" w:rsidRPr="00BE5613" w:rsidRDefault="00C43D8D" w:rsidP="003D4C06">
            <w:pPr>
              <w:jc w:val="center"/>
              <w:rPr>
                <w:sz w:val="22"/>
                <w:szCs w:val="22"/>
              </w:rPr>
            </w:pPr>
            <w:r w:rsidRPr="00BE5613">
              <w:rPr>
                <w:sz w:val="22"/>
                <w:szCs w:val="22"/>
              </w:rPr>
              <w:t>**</w:t>
            </w:r>
          </w:p>
        </w:tc>
        <w:tc>
          <w:tcPr>
            <w:tcW w:w="960" w:type="dxa"/>
            <w:tcBorders>
              <w:top w:val="nil"/>
              <w:bottom w:val="nil"/>
            </w:tcBorders>
            <w:shd w:val="clear" w:color="auto" w:fill="FFFFFF"/>
            <w:vAlign w:val="bottom"/>
          </w:tcPr>
          <w:p w14:paraId="3E87F59D" w14:textId="77777777" w:rsidR="00C43D8D" w:rsidRPr="00BE5613" w:rsidRDefault="00C43D8D" w:rsidP="003D4C06">
            <w:pPr>
              <w:jc w:val="center"/>
              <w:rPr>
                <w:sz w:val="22"/>
                <w:szCs w:val="22"/>
              </w:rPr>
            </w:pPr>
          </w:p>
        </w:tc>
        <w:tc>
          <w:tcPr>
            <w:tcW w:w="961" w:type="dxa"/>
            <w:tcBorders>
              <w:top w:val="nil"/>
              <w:bottom w:val="nil"/>
            </w:tcBorders>
            <w:shd w:val="clear" w:color="auto" w:fill="FFFFFF"/>
            <w:vAlign w:val="bottom"/>
          </w:tcPr>
          <w:p w14:paraId="00E64AA7" w14:textId="77777777" w:rsidR="00C43D8D" w:rsidRPr="00BE5613" w:rsidRDefault="00C43D8D" w:rsidP="003D4C06">
            <w:pPr>
              <w:jc w:val="center"/>
              <w:rPr>
                <w:sz w:val="22"/>
                <w:szCs w:val="22"/>
              </w:rPr>
            </w:pPr>
            <w:r w:rsidRPr="00BE5613">
              <w:rPr>
                <w:sz w:val="22"/>
                <w:szCs w:val="22"/>
              </w:rPr>
              <w:t>*</w:t>
            </w:r>
          </w:p>
        </w:tc>
      </w:tr>
      <w:tr w:rsidR="00C43D8D" w:rsidRPr="00BE5613" w14:paraId="2E9A40CD" w14:textId="77777777">
        <w:trPr>
          <w:trHeight w:val="41"/>
        </w:trPr>
        <w:tc>
          <w:tcPr>
            <w:tcW w:w="1446" w:type="dxa"/>
            <w:tcBorders>
              <w:top w:val="nil"/>
              <w:bottom w:val="single" w:sz="4" w:space="0" w:color="auto"/>
              <w:right w:val="nil"/>
            </w:tcBorders>
            <w:shd w:val="clear" w:color="auto" w:fill="FFFFFF"/>
            <w:vAlign w:val="center"/>
          </w:tcPr>
          <w:p w14:paraId="7DD58BA4" w14:textId="77777777" w:rsidR="00C43D8D" w:rsidRPr="00BE5613" w:rsidRDefault="00C43D8D" w:rsidP="003D4C06">
            <w:pPr>
              <w:ind w:left="142" w:right="255"/>
              <w:rPr>
                <w:sz w:val="22"/>
                <w:szCs w:val="22"/>
              </w:rPr>
            </w:pPr>
            <w:r w:rsidRPr="00BE5613">
              <w:rPr>
                <w:sz w:val="22"/>
                <w:szCs w:val="22"/>
              </w:rPr>
              <w:t>z12</w:t>
            </w:r>
          </w:p>
        </w:tc>
        <w:tc>
          <w:tcPr>
            <w:tcW w:w="960" w:type="dxa"/>
            <w:tcBorders>
              <w:top w:val="nil"/>
              <w:left w:val="nil"/>
              <w:bottom w:val="single" w:sz="4" w:space="0" w:color="auto"/>
              <w:right w:val="nil"/>
            </w:tcBorders>
            <w:shd w:val="clear" w:color="auto" w:fill="FFFFFF"/>
            <w:vAlign w:val="bottom"/>
          </w:tcPr>
          <w:p w14:paraId="045B119F"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single" w:sz="4" w:space="0" w:color="auto"/>
            </w:tcBorders>
            <w:shd w:val="clear" w:color="auto" w:fill="FFFFFF"/>
            <w:vAlign w:val="bottom"/>
          </w:tcPr>
          <w:p w14:paraId="34BFC65F" w14:textId="77777777" w:rsidR="00C43D8D" w:rsidRPr="00BE5613" w:rsidRDefault="00C43D8D" w:rsidP="003D4C06">
            <w:pPr>
              <w:jc w:val="center"/>
              <w:rPr>
                <w:sz w:val="22"/>
                <w:szCs w:val="22"/>
              </w:rPr>
            </w:pPr>
          </w:p>
        </w:tc>
        <w:tc>
          <w:tcPr>
            <w:tcW w:w="960" w:type="dxa"/>
            <w:tcBorders>
              <w:top w:val="nil"/>
              <w:bottom w:val="single" w:sz="4" w:space="0" w:color="auto"/>
              <w:right w:val="nil"/>
            </w:tcBorders>
            <w:shd w:val="clear" w:color="auto" w:fill="FFFFFF"/>
            <w:vAlign w:val="bottom"/>
          </w:tcPr>
          <w:p w14:paraId="3C29FA89" w14:textId="77777777" w:rsidR="00C43D8D" w:rsidRPr="00BE5613" w:rsidRDefault="00C43D8D" w:rsidP="003D4C06">
            <w:pPr>
              <w:jc w:val="center"/>
              <w:rPr>
                <w:sz w:val="22"/>
                <w:szCs w:val="22"/>
              </w:rPr>
            </w:pPr>
            <w:r w:rsidRPr="00BE5613">
              <w:rPr>
                <w:sz w:val="22"/>
                <w:szCs w:val="22"/>
              </w:rPr>
              <w:t>***</w:t>
            </w:r>
          </w:p>
        </w:tc>
        <w:tc>
          <w:tcPr>
            <w:tcW w:w="960" w:type="dxa"/>
            <w:tcBorders>
              <w:top w:val="nil"/>
              <w:left w:val="nil"/>
              <w:bottom w:val="single" w:sz="4" w:space="0" w:color="auto"/>
              <w:right w:val="nil"/>
            </w:tcBorders>
            <w:shd w:val="clear" w:color="auto" w:fill="FFFFFF"/>
            <w:vAlign w:val="bottom"/>
          </w:tcPr>
          <w:p w14:paraId="317D334F" w14:textId="77777777" w:rsidR="00C43D8D" w:rsidRPr="00BE5613" w:rsidRDefault="00C43D8D" w:rsidP="003D4C06">
            <w:pPr>
              <w:jc w:val="center"/>
              <w:rPr>
                <w:sz w:val="22"/>
                <w:szCs w:val="22"/>
              </w:rPr>
            </w:pPr>
          </w:p>
        </w:tc>
        <w:tc>
          <w:tcPr>
            <w:tcW w:w="960" w:type="dxa"/>
            <w:tcBorders>
              <w:top w:val="nil"/>
              <w:left w:val="nil"/>
              <w:bottom w:val="single" w:sz="4" w:space="0" w:color="auto"/>
              <w:right w:val="nil"/>
            </w:tcBorders>
            <w:shd w:val="clear" w:color="auto" w:fill="FFFFFF"/>
            <w:vAlign w:val="bottom"/>
          </w:tcPr>
          <w:p w14:paraId="2B2639DD" w14:textId="77777777" w:rsidR="00C43D8D" w:rsidRPr="00BE5613" w:rsidRDefault="00C43D8D" w:rsidP="003D4C06">
            <w:pPr>
              <w:jc w:val="center"/>
              <w:rPr>
                <w:sz w:val="22"/>
                <w:szCs w:val="22"/>
              </w:rPr>
            </w:pPr>
          </w:p>
        </w:tc>
        <w:tc>
          <w:tcPr>
            <w:tcW w:w="960" w:type="dxa"/>
            <w:tcBorders>
              <w:top w:val="nil"/>
              <w:left w:val="nil"/>
              <w:bottom w:val="single" w:sz="4" w:space="0" w:color="auto"/>
            </w:tcBorders>
            <w:shd w:val="clear" w:color="auto" w:fill="FFFFFF"/>
            <w:vAlign w:val="bottom"/>
          </w:tcPr>
          <w:p w14:paraId="748696CB" w14:textId="77777777" w:rsidR="00C43D8D" w:rsidRPr="00BE5613" w:rsidRDefault="00C43D8D" w:rsidP="003D4C06">
            <w:pPr>
              <w:jc w:val="center"/>
              <w:rPr>
                <w:sz w:val="22"/>
                <w:szCs w:val="22"/>
              </w:rPr>
            </w:pPr>
          </w:p>
        </w:tc>
        <w:tc>
          <w:tcPr>
            <w:tcW w:w="960" w:type="dxa"/>
            <w:tcBorders>
              <w:top w:val="nil"/>
              <w:bottom w:val="single" w:sz="4" w:space="0" w:color="auto"/>
            </w:tcBorders>
            <w:shd w:val="clear" w:color="auto" w:fill="FFFFFF"/>
            <w:vAlign w:val="bottom"/>
          </w:tcPr>
          <w:p w14:paraId="6A53DCD5" w14:textId="77777777" w:rsidR="00C43D8D" w:rsidRPr="00BE5613" w:rsidRDefault="00C43D8D" w:rsidP="003D4C06">
            <w:pPr>
              <w:jc w:val="center"/>
              <w:rPr>
                <w:sz w:val="22"/>
                <w:szCs w:val="22"/>
              </w:rPr>
            </w:pPr>
          </w:p>
        </w:tc>
        <w:tc>
          <w:tcPr>
            <w:tcW w:w="961" w:type="dxa"/>
            <w:tcBorders>
              <w:top w:val="nil"/>
              <w:bottom w:val="single" w:sz="4" w:space="0" w:color="auto"/>
            </w:tcBorders>
            <w:shd w:val="clear" w:color="auto" w:fill="FFFFFF"/>
            <w:vAlign w:val="bottom"/>
          </w:tcPr>
          <w:p w14:paraId="2E4BD795" w14:textId="77777777" w:rsidR="00C43D8D" w:rsidRPr="00BE5613" w:rsidRDefault="00C43D8D" w:rsidP="003D4C06">
            <w:pPr>
              <w:jc w:val="center"/>
              <w:rPr>
                <w:sz w:val="22"/>
                <w:szCs w:val="22"/>
              </w:rPr>
            </w:pPr>
          </w:p>
        </w:tc>
      </w:tr>
      <w:tr w:rsidR="00C43D8D" w:rsidRPr="00BE5613" w14:paraId="5791BAF6" w14:textId="77777777">
        <w:trPr>
          <w:trHeight w:val="41"/>
        </w:trPr>
        <w:tc>
          <w:tcPr>
            <w:tcW w:w="1446" w:type="dxa"/>
            <w:tcBorders>
              <w:top w:val="single" w:sz="4" w:space="0" w:color="auto"/>
              <w:bottom w:val="nil"/>
              <w:right w:val="nil"/>
            </w:tcBorders>
            <w:shd w:val="clear" w:color="auto" w:fill="FFFFFF"/>
            <w:vAlign w:val="center"/>
          </w:tcPr>
          <w:p w14:paraId="6EB4D1DC" w14:textId="77777777" w:rsidR="00C43D8D" w:rsidRPr="00BE5613" w:rsidRDefault="00C43D8D" w:rsidP="003D4C06">
            <w:pPr>
              <w:ind w:left="142" w:right="255"/>
              <w:rPr>
                <w:sz w:val="22"/>
                <w:szCs w:val="22"/>
              </w:rPr>
            </w:pPr>
            <w:r w:rsidRPr="00BE5613">
              <w:rPr>
                <w:sz w:val="22"/>
                <w:szCs w:val="22"/>
              </w:rPr>
              <w:t>R</w:t>
            </w:r>
            <w:r w:rsidR="006D487E" w:rsidRPr="00BE5613">
              <w:rPr>
                <w:sz w:val="22"/>
                <w:szCs w:val="22"/>
              </w:rPr>
              <w:t>-</w:t>
            </w:r>
            <w:r w:rsidRPr="00BE5613">
              <w:rPr>
                <w:sz w:val="22"/>
                <w:szCs w:val="22"/>
              </w:rPr>
              <w:t>square</w:t>
            </w:r>
            <w:r w:rsidR="006D487E" w:rsidRPr="00BE5613">
              <w:rPr>
                <w:sz w:val="22"/>
                <w:szCs w:val="22"/>
              </w:rPr>
              <w:t>d</w:t>
            </w:r>
          </w:p>
        </w:tc>
        <w:tc>
          <w:tcPr>
            <w:tcW w:w="960" w:type="dxa"/>
            <w:tcBorders>
              <w:top w:val="single" w:sz="4" w:space="0" w:color="auto"/>
              <w:left w:val="nil"/>
              <w:bottom w:val="nil"/>
              <w:right w:val="nil"/>
            </w:tcBorders>
            <w:shd w:val="clear" w:color="auto" w:fill="FFFFFF"/>
            <w:vAlign w:val="bottom"/>
          </w:tcPr>
          <w:p w14:paraId="29E3D983" w14:textId="77777777" w:rsidR="00C43D8D" w:rsidRPr="00BE5613" w:rsidRDefault="00C43D8D" w:rsidP="003D4C06">
            <w:pPr>
              <w:jc w:val="center"/>
              <w:rPr>
                <w:sz w:val="22"/>
                <w:szCs w:val="22"/>
              </w:rPr>
            </w:pPr>
            <w:r w:rsidRPr="00BE5613">
              <w:rPr>
                <w:sz w:val="22"/>
                <w:szCs w:val="22"/>
              </w:rPr>
              <w:t>0.415</w:t>
            </w:r>
          </w:p>
        </w:tc>
        <w:tc>
          <w:tcPr>
            <w:tcW w:w="960" w:type="dxa"/>
            <w:tcBorders>
              <w:top w:val="single" w:sz="4" w:space="0" w:color="auto"/>
              <w:left w:val="nil"/>
              <w:bottom w:val="nil"/>
            </w:tcBorders>
            <w:shd w:val="clear" w:color="auto" w:fill="FFFFFF"/>
            <w:vAlign w:val="bottom"/>
          </w:tcPr>
          <w:p w14:paraId="251C4258" w14:textId="77777777" w:rsidR="00C43D8D" w:rsidRPr="00BE5613" w:rsidRDefault="00C43D8D" w:rsidP="003D4C06">
            <w:pPr>
              <w:jc w:val="center"/>
              <w:rPr>
                <w:sz w:val="22"/>
                <w:szCs w:val="22"/>
              </w:rPr>
            </w:pPr>
            <w:r w:rsidRPr="00BE5613">
              <w:rPr>
                <w:sz w:val="22"/>
                <w:szCs w:val="22"/>
              </w:rPr>
              <w:t>0.171</w:t>
            </w:r>
          </w:p>
        </w:tc>
        <w:tc>
          <w:tcPr>
            <w:tcW w:w="960" w:type="dxa"/>
            <w:tcBorders>
              <w:top w:val="single" w:sz="4" w:space="0" w:color="auto"/>
              <w:bottom w:val="nil"/>
              <w:right w:val="nil"/>
            </w:tcBorders>
            <w:shd w:val="clear" w:color="auto" w:fill="FFFFFF"/>
            <w:vAlign w:val="bottom"/>
          </w:tcPr>
          <w:p w14:paraId="4829F5F2" w14:textId="77777777" w:rsidR="00C43D8D" w:rsidRPr="00BE5613" w:rsidRDefault="00C43D8D" w:rsidP="003D4C06">
            <w:pPr>
              <w:jc w:val="center"/>
              <w:rPr>
                <w:sz w:val="22"/>
                <w:szCs w:val="22"/>
              </w:rPr>
            </w:pPr>
            <w:r w:rsidRPr="00BE5613">
              <w:rPr>
                <w:sz w:val="22"/>
                <w:szCs w:val="22"/>
              </w:rPr>
              <w:t>0.445</w:t>
            </w:r>
          </w:p>
        </w:tc>
        <w:tc>
          <w:tcPr>
            <w:tcW w:w="960" w:type="dxa"/>
            <w:tcBorders>
              <w:top w:val="single" w:sz="4" w:space="0" w:color="auto"/>
              <w:left w:val="nil"/>
              <w:bottom w:val="nil"/>
              <w:right w:val="nil"/>
            </w:tcBorders>
            <w:shd w:val="clear" w:color="auto" w:fill="FFFFFF"/>
            <w:vAlign w:val="bottom"/>
          </w:tcPr>
          <w:p w14:paraId="0CCD25CD" w14:textId="77777777" w:rsidR="00C43D8D" w:rsidRPr="00BE5613" w:rsidRDefault="00C43D8D" w:rsidP="003D4C06">
            <w:pPr>
              <w:jc w:val="center"/>
              <w:rPr>
                <w:sz w:val="22"/>
                <w:szCs w:val="22"/>
              </w:rPr>
            </w:pPr>
            <w:r w:rsidRPr="00BE5613">
              <w:rPr>
                <w:sz w:val="22"/>
                <w:szCs w:val="22"/>
              </w:rPr>
              <w:t>0.215</w:t>
            </w:r>
          </w:p>
        </w:tc>
        <w:tc>
          <w:tcPr>
            <w:tcW w:w="960" w:type="dxa"/>
            <w:tcBorders>
              <w:top w:val="single" w:sz="4" w:space="0" w:color="auto"/>
              <w:left w:val="nil"/>
              <w:bottom w:val="nil"/>
              <w:right w:val="nil"/>
            </w:tcBorders>
            <w:shd w:val="clear" w:color="auto" w:fill="FFFFFF"/>
            <w:vAlign w:val="bottom"/>
          </w:tcPr>
          <w:p w14:paraId="352FD7A1" w14:textId="77777777" w:rsidR="00C43D8D" w:rsidRPr="00BE5613" w:rsidRDefault="00C43D8D" w:rsidP="003D4C06">
            <w:pPr>
              <w:jc w:val="center"/>
              <w:rPr>
                <w:sz w:val="22"/>
                <w:szCs w:val="22"/>
              </w:rPr>
            </w:pPr>
            <w:r w:rsidRPr="00BE5613">
              <w:rPr>
                <w:sz w:val="22"/>
                <w:szCs w:val="22"/>
              </w:rPr>
              <w:t>0.125</w:t>
            </w:r>
          </w:p>
        </w:tc>
        <w:tc>
          <w:tcPr>
            <w:tcW w:w="960" w:type="dxa"/>
            <w:tcBorders>
              <w:top w:val="single" w:sz="4" w:space="0" w:color="auto"/>
              <w:left w:val="nil"/>
              <w:bottom w:val="nil"/>
            </w:tcBorders>
            <w:shd w:val="clear" w:color="auto" w:fill="FFFFFF"/>
            <w:vAlign w:val="bottom"/>
          </w:tcPr>
          <w:p w14:paraId="07701123" w14:textId="77777777" w:rsidR="00C43D8D" w:rsidRPr="00BE5613" w:rsidRDefault="00C43D8D" w:rsidP="003D4C06">
            <w:pPr>
              <w:jc w:val="center"/>
              <w:rPr>
                <w:sz w:val="22"/>
                <w:szCs w:val="22"/>
              </w:rPr>
            </w:pPr>
            <w:r w:rsidRPr="00BE5613">
              <w:rPr>
                <w:sz w:val="22"/>
                <w:szCs w:val="22"/>
              </w:rPr>
              <w:t>0.221</w:t>
            </w:r>
          </w:p>
        </w:tc>
        <w:tc>
          <w:tcPr>
            <w:tcW w:w="960" w:type="dxa"/>
            <w:tcBorders>
              <w:top w:val="single" w:sz="4" w:space="0" w:color="auto"/>
              <w:bottom w:val="nil"/>
            </w:tcBorders>
            <w:shd w:val="clear" w:color="auto" w:fill="FFFFFF"/>
            <w:vAlign w:val="bottom"/>
          </w:tcPr>
          <w:p w14:paraId="714E106D" w14:textId="77777777" w:rsidR="00C43D8D" w:rsidRPr="00BE5613" w:rsidRDefault="00C43D8D" w:rsidP="003D4C06">
            <w:pPr>
              <w:jc w:val="center"/>
              <w:rPr>
                <w:sz w:val="22"/>
                <w:szCs w:val="22"/>
              </w:rPr>
            </w:pPr>
            <w:r w:rsidRPr="00BE5613">
              <w:rPr>
                <w:sz w:val="22"/>
                <w:szCs w:val="22"/>
              </w:rPr>
              <w:t>0.122</w:t>
            </w:r>
          </w:p>
        </w:tc>
        <w:tc>
          <w:tcPr>
            <w:tcW w:w="961" w:type="dxa"/>
            <w:tcBorders>
              <w:top w:val="single" w:sz="4" w:space="0" w:color="auto"/>
              <w:bottom w:val="nil"/>
            </w:tcBorders>
            <w:shd w:val="clear" w:color="auto" w:fill="FFFFFF"/>
            <w:vAlign w:val="bottom"/>
          </w:tcPr>
          <w:p w14:paraId="5AD925F3" w14:textId="77777777" w:rsidR="00C43D8D" w:rsidRPr="00BE5613" w:rsidRDefault="00C43D8D" w:rsidP="003D4C06">
            <w:pPr>
              <w:jc w:val="center"/>
              <w:rPr>
                <w:sz w:val="22"/>
                <w:szCs w:val="22"/>
              </w:rPr>
            </w:pPr>
            <w:r w:rsidRPr="00BE5613">
              <w:rPr>
                <w:sz w:val="22"/>
                <w:szCs w:val="22"/>
              </w:rPr>
              <w:t>0.218</w:t>
            </w:r>
          </w:p>
        </w:tc>
      </w:tr>
      <w:tr w:rsidR="00C43D8D" w:rsidRPr="00BE5613" w14:paraId="79F0ACED" w14:textId="77777777">
        <w:trPr>
          <w:trHeight w:val="41"/>
        </w:trPr>
        <w:tc>
          <w:tcPr>
            <w:tcW w:w="1446" w:type="dxa"/>
            <w:tcBorders>
              <w:top w:val="nil"/>
              <w:bottom w:val="single" w:sz="4" w:space="0" w:color="auto"/>
              <w:right w:val="nil"/>
            </w:tcBorders>
            <w:shd w:val="clear" w:color="auto" w:fill="FFFFFF"/>
            <w:vAlign w:val="center"/>
          </w:tcPr>
          <w:p w14:paraId="0CBE477C" w14:textId="77777777" w:rsidR="00C43D8D" w:rsidRPr="00BE5613" w:rsidRDefault="00C43D8D" w:rsidP="003D4C06">
            <w:pPr>
              <w:ind w:left="142"/>
              <w:rPr>
                <w:sz w:val="22"/>
                <w:szCs w:val="22"/>
              </w:rPr>
            </w:pPr>
            <w:r w:rsidRPr="00BE5613">
              <w:rPr>
                <w:sz w:val="22"/>
                <w:szCs w:val="22"/>
              </w:rPr>
              <w:t>Observations</w:t>
            </w:r>
          </w:p>
        </w:tc>
        <w:tc>
          <w:tcPr>
            <w:tcW w:w="960" w:type="dxa"/>
            <w:tcBorders>
              <w:top w:val="nil"/>
              <w:left w:val="nil"/>
              <w:bottom w:val="single" w:sz="4" w:space="0" w:color="auto"/>
              <w:right w:val="nil"/>
            </w:tcBorders>
            <w:shd w:val="clear" w:color="auto" w:fill="FFFFFF"/>
            <w:vAlign w:val="bottom"/>
          </w:tcPr>
          <w:p w14:paraId="7AC92AE6" w14:textId="77777777" w:rsidR="00C43D8D" w:rsidRPr="00BE5613" w:rsidRDefault="00C43D8D" w:rsidP="003D4C06">
            <w:pPr>
              <w:jc w:val="center"/>
              <w:rPr>
                <w:sz w:val="22"/>
                <w:szCs w:val="22"/>
              </w:rPr>
            </w:pPr>
            <w:r w:rsidRPr="00BE5613">
              <w:rPr>
                <w:sz w:val="22"/>
                <w:szCs w:val="22"/>
              </w:rPr>
              <w:t>470</w:t>
            </w:r>
          </w:p>
        </w:tc>
        <w:tc>
          <w:tcPr>
            <w:tcW w:w="960" w:type="dxa"/>
            <w:tcBorders>
              <w:top w:val="nil"/>
              <w:left w:val="nil"/>
              <w:bottom w:val="single" w:sz="4" w:space="0" w:color="auto"/>
            </w:tcBorders>
            <w:shd w:val="clear" w:color="auto" w:fill="FFFFFF"/>
          </w:tcPr>
          <w:p w14:paraId="127FA501" w14:textId="77777777" w:rsidR="00C43D8D" w:rsidRPr="00BE5613" w:rsidRDefault="00C43D8D" w:rsidP="003D4C06">
            <w:pPr>
              <w:jc w:val="center"/>
              <w:rPr>
                <w:sz w:val="22"/>
                <w:szCs w:val="22"/>
              </w:rPr>
            </w:pPr>
            <w:r w:rsidRPr="00BE5613">
              <w:rPr>
                <w:sz w:val="22"/>
                <w:szCs w:val="22"/>
              </w:rPr>
              <w:t>470</w:t>
            </w:r>
          </w:p>
        </w:tc>
        <w:tc>
          <w:tcPr>
            <w:tcW w:w="960" w:type="dxa"/>
            <w:tcBorders>
              <w:top w:val="nil"/>
              <w:bottom w:val="single" w:sz="4" w:space="0" w:color="auto"/>
              <w:right w:val="nil"/>
            </w:tcBorders>
            <w:shd w:val="clear" w:color="auto" w:fill="FFFFFF"/>
          </w:tcPr>
          <w:p w14:paraId="45E9DD1F" w14:textId="77777777" w:rsidR="00C43D8D" w:rsidRPr="00BE5613" w:rsidRDefault="00C43D8D" w:rsidP="003D4C06">
            <w:pPr>
              <w:jc w:val="center"/>
              <w:rPr>
                <w:sz w:val="22"/>
                <w:szCs w:val="22"/>
              </w:rPr>
            </w:pPr>
            <w:r w:rsidRPr="00BE5613">
              <w:rPr>
                <w:sz w:val="22"/>
                <w:szCs w:val="22"/>
              </w:rPr>
              <w:t>470</w:t>
            </w:r>
          </w:p>
        </w:tc>
        <w:tc>
          <w:tcPr>
            <w:tcW w:w="960" w:type="dxa"/>
            <w:tcBorders>
              <w:top w:val="nil"/>
              <w:left w:val="nil"/>
              <w:bottom w:val="single" w:sz="4" w:space="0" w:color="auto"/>
              <w:right w:val="nil"/>
            </w:tcBorders>
            <w:shd w:val="clear" w:color="auto" w:fill="FFFFFF"/>
          </w:tcPr>
          <w:p w14:paraId="37D4CC39" w14:textId="77777777" w:rsidR="00C43D8D" w:rsidRPr="00BE5613" w:rsidRDefault="00C43D8D" w:rsidP="003D4C06">
            <w:pPr>
              <w:jc w:val="center"/>
              <w:rPr>
                <w:sz w:val="22"/>
                <w:szCs w:val="22"/>
              </w:rPr>
            </w:pPr>
            <w:r w:rsidRPr="00BE5613">
              <w:rPr>
                <w:sz w:val="22"/>
                <w:szCs w:val="22"/>
              </w:rPr>
              <w:t>470</w:t>
            </w:r>
          </w:p>
        </w:tc>
        <w:tc>
          <w:tcPr>
            <w:tcW w:w="960" w:type="dxa"/>
            <w:tcBorders>
              <w:top w:val="nil"/>
              <w:left w:val="nil"/>
              <w:bottom w:val="single" w:sz="4" w:space="0" w:color="auto"/>
              <w:right w:val="nil"/>
            </w:tcBorders>
            <w:shd w:val="clear" w:color="auto" w:fill="FFFFFF"/>
          </w:tcPr>
          <w:p w14:paraId="79AB7800" w14:textId="77777777" w:rsidR="00C43D8D" w:rsidRPr="00BE5613" w:rsidRDefault="00C43D8D" w:rsidP="003D4C06">
            <w:pPr>
              <w:jc w:val="center"/>
              <w:rPr>
                <w:sz w:val="22"/>
                <w:szCs w:val="22"/>
              </w:rPr>
            </w:pPr>
            <w:r w:rsidRPr="00BE5613">
              <w:rPr>
                <w:sz w:val="22"/>
                <w:szCs w:val="22"/>
              </w:rPr>
              <w:t>470</w:t>
            </w:r>
          </w:p>
        </w:tc>
        <w:tc>
          <w:tcPr>
            <w:tcW w:w="960" w:type="dxa"/>
            <w:tcBorders>
              <w:top w:val="nil"/>
              <w:left w:val="nil"/>
              <w:bottom w:val="single" w:sz="4" w:space="0" w:color="auto"/>
            </w:tcBorders>
            <w:shd w:val="clear" w:color="auto" w:fill="FFFFFF"/>
          </w:tcPr>
          <w:p w14:paraId="42279B46" w14:textId="77777777" w:rsidR="00C43D8D" w:rsidRPr="00BE5613" w:rsidRDefault="00C43D8D" w:rsidP="003D4C06">
            <w:pPr>
              <w:jc w:val="center"/>
              <w:rPr>
                <w:sz w:val="22"/>
                <w:szCs w:val="22"/>
              </w:rPr>
            </w:pPr>
            <w:r w:rsidRPr="00BE5613">
              <w:rPr>
                <w:sz w:val="22"/>
                <w:szCs w:val="22"/>
              </w:rPr>
              <w:t>470</w:t>
            </w:r>
          </w:p>
        </w:tc>
        <w:tc>
          <w:tcPr>
            <w:tcW w:w="960" w:type="dxa"/>
            <w:tcBorders>
              <w:top w:val="nil"/>
              <w:bottom w:val="single" w:sz="4" w:space="0" w:color="auto"/>
            </w:tcBorders>
            <w:shd w:val="clear" w:color="auto" w:fill="FFFFFF"/>
          </w:tcPr>
          <w:p w14:paraId="047CAF44" w14:textId="77777777" w:rsidR="00C43D8D" w:rsidRPr="00BE5613" w:rsidRDefault="00C43D8D" w:rsidP="003D4C06">
            <w:pPr>
              <w:jc w:val="center"/>
              <w:rPr>
                <w:sz w:val="22"/>
                <w:szCs w:val="22"/>
              </w:rPr>
            </w:pPr>
            <w:r w:rsidRPr="00BE5613">
              <w:rPr>
                <w:sz w:val="22"/>
                <w:szCs w:val="22"/>
              </w:rPr>
              <w:t>470</w:t>
            </w:r>
          </w:p>
        </w:tc>
        <w:tc>
          <w:tcPr>
            <w:tcW w:w="961" w:type="dxa"/>
            <w:tcBorders>
              <w:top w:val="nil"/>
              <w:bottom w:val="single" w:sz="4" w:space="0" w:color="auto"/>
            </w:tcBorders>
            <w:shd w:val="clear" w:color="auto" w:fill="FFFFFF"/>
          </w:tcPr>
          <w:p w14:paraId="3E5C6738" w14:textId="77777777" w:rsidR="00C43D8D" w:rsidRPr="00BE5613" w:rsidRDefault="00C43D8D" w:rsidP="003D4C06">
            <w:pPr>
              <w:jc w:val="center"/>
              <w:rPr>
                <w:sz w:val="22"/>
                <w:szCs w:val="22"/>
              </w:rPr>
            </w:pPr>
            <w:r w:rsidRPr="00BE5613">
              <w:rPr>
                <w:sz w:val="22"/>
                <w:szCs w:val="22"/>
              </w:rPr>
              <w:t>470</w:t>
            </w:r>
          </w:p>
        </w:tc>
      </w:tr>
    </w:tbl>
    <w:p w14:paraId="2126FB48" w14:textId="77777777" w:rsidR="000241C4" w:rsidRPr="00BE5613" w:rsidRDefault="00C43D8D" w:rsidP="00B52054">
      <w:pPr>
        <w:jc w:val="both"/>
      </w:pPr>
      <w:r w:rsidRPr="00BE5613">
        <w:rPr>
          <w:sz w:val="20"/>
          <w:szCs w:val="20"/>
        </w:rPr>
        <w:t xml:space="preserve">Notes: Asterisks and dots indicate statistical significance derived from p-values following this notational </w:t>
      </w:r>
      <w:r w:rsidRPr="00BE5613">
        <w:rPr>
          <w:sz w:val="20"/>
          <w:szCs w:val="20"/>
          <w:shd w:val="clear" w:color="auto" w:fill="FFFFFF"/>
        </w:rPr>
        <w:t xml:space="preserve">norm: </w:t>
      </w:r>
      <w:r w:rsidRPr="00BE5613">
        <w:rPr>
          <w:sz w:val="20"/>
          <w:szCs w:val="20"/>
        </w:rPr>
        <w:t xml:space="preserve">*** p-value </w:t>
      </w:r>
      <w:r w:rsidRPr="00BE5613">
        <w:rPr>
          <w:sz w:val="20"/>
          <w:szCs w:val="20"/>
        </w:rPr>
        <w:sym w:font="Symbol" w:char="F0A3"/>
      </w:r>
      <w:r w:rsidRPr="00BE5613">
        <w:rPr>
          <w:sz w:val="20"/>
          <w:szCs w:val="20"/>
        </w:rPr>
        <w:t xml:space="preserve"> 0.001, ** p-value </w:t>
      </w:r>
      <w:r w:rsidRPr="00BE5613">
        <w:rPr>
          <w:sz w:val="20"/>
          <w:szCs w:val="20"/>
        </w:rPr>
        <w:sym w:font="Symbol" w:char="F0A3"/>
      </w:r>
      <w:r w:rsidRPr="00BE5613">
        <w:rPr>
          <w:sz w:val="20"/>
          <w:szCs w:val="20"/>
        </w:rPr>
        <w:t xml:space="preserve"> 0.01, * p-value </w:t>
      </w:r>
      <w:r w:rsidRPr="00BE5613">
        <w:rPr>
          <w:sz w:val="20"/>
          <w:szCs w:val="20"/>
        </w:rPr>
        <w:sym w:font="Symbol" w:char="F0A3"/>
      </w:r>
      <w:r w:rsidRPr="00BE5613">
        <w:rPr>
          <w:sz w:val="20"/>
          <w:szCs w:val="20"/>
        </w:rPr>
        <w:t xml:space="preserve"> 0.05, </w:t>
      </w:r>
      <w:r w:rsidRPr="00BE5613">
        <w:rPr>
          <w:sz w:val="20"/>
          <w:szCs w:val="20"/>
        </w:rPr>
        <w:sym w:font="Symbol" w:char="F0B7"/>
      </w:r>
      <w:r w:rsidRPr="00BE5613">
        <w:rPr>
          <w:sz w:val="20"/>
          <w:szCs w:val="20"/>
        </w:rPr>
        <w:t xml:space="preserve"> p-value </w:t>
      </w:r>
      <w:r w:rsidRPr="00BE5613">
        <w:rPr>
          <w:sz w:val="20"/>
          <w:szCs w:val="20"/>
        </w:rPr>
        <w:sym w:font="Symbol" w:char="F0A3"/>
      </w:r>
      <w:r w:rsidRPr="00BE5613">
        <w:rPr>
          <w:sz w:val="20"/>
          <w:szCs w:val="20"/>
        </w:rPr>
        <w:t xml:space="preserve"> 0.10. For partial frontiers, the choice of </w:t>
      </w:r>
      <w:r w:rsidRPr="00BE5613">
        <w:rPr>
          <w:i/>
          <w:sz w:val="20"/>
          <w:szCs w:val="20"/>
        </w:rPr>
        <w:t>m</w:t>
      </w:r>
      <w:r w:rsidR="00B52054" w:rsidRPr="00BE5613">
        <w:rPr>
          <w:sz w:val="20"/>
          <w:szCs w:val="20"/>
        </w:rPr>
        <w:t> </w:t>
      </w:r>
      <w:r w:rsidRPr="00BE5613">
        <w:rPr>
          <w:sz w:val="20"/>
          <w:szCs w:val="20"/>
        </w:rPr>
        <w:t>=</w:t>
      </w:r>
      <w:r w:rsidR="00B52054" w:rsidRPr="00BE5613">
        <w:rPr>
          <w:sz w:val="20"/>
          <w:szCs w:val="20"/>
        </w:rPr>
        <w:t> </w:t>
      </w:r>
      <w:r w:rsidRPr="00BE5613">
        <w:rPr>
          <w:sz w:val="20"/>
          <w:szCs w:val="20"/>
        </w:rPr>
        <w:t>150 was adopted.</w:t>
      </w:r>
    </w:p>
    <w:p w14:paraId="6F82C44F" w14:textId="77777777" w:rsidR="00EF67FD" w:rsidRPr="00BE5613" w:rsidRDefault="00EF67FD" w:rsidP="007513DC"/>
    <w:p w14:paraId="06B1EBA9" w14:textId="77777777" w:rsidR="008C4617" w:rsidRPr="00BE5613" w:rsidRDefault="008C4617" w:rsidP="00AA45FA">
      <w:pPr>
        <w:spacing w:line="480" w:lineRule="auto"/>
        <w:ind w:firstLine="567"/>
        <w:jc w:val="both"/>
      </w:pPr>
      <w:proofErr w:type="gramStart"/>
      <w:r w:rsidRPr="00BE5613">
        <w:t>In point of fact</w:t>
      </w:r>
      <w:proofErr w:type="gramEnd"/>
      <w:r w:rsidRPr="00BE5613">
        <w:t xml:space="preserve">, in what follows, only the results for partial frontiers are heeded and interpreted, which comes at no loss of insight since the visualizations for full frontiers are much alike to </w:t>
      </w:r>
      <w:r w:rsidR="00CB7189" w:rsidRPr="00BE5613">
        <w:t xml:space="preserve">those for partial frontiers organized in Appendix </w:t>
      </w:r>
      <w:r w:rsidR="00CB7189" w:rsidRPr="00BE5613">
        <w:fldChar w:fldCharType="begin"/>
      </w:r>
      <w:r w:rsidR="00CB7189" w:rsidRPr="00BE5613">
        <w:instrText xml:space="preserve"> REF appendix_effects \h  \* MERGEFORMAT </w:instrText>
      </w:r>
      <w:r w:rsidR="00CB7189" w:rsidRPr="00BE5613">
        <w:fldChar w:fldCharType="separate"/>
      </w:r>
      <w:r w:rsidR="00AA45FA" w:rsidRPr="00BE5613">
        <w:t>C</w:t>
      </w:r>
      <w:r w:rsidR="00CB7189" w:rsidRPr="00BE5613">
        <w:fldChar w:fldCharType="end"/>
      </w:r>
      <w:r w:rsidR="00CB7189" w:rsidRPr="00BE5613">
        <w:t xml:space="preserve">. Discernible differences appear only in the p-values reported in Table </w:t>
      </w:r>
      <w:r w:rsidR="00CB7189" w:rsidRPr="00BE5613">
        <w:fldChar w:fldCharType="begin"/>
      </w:r>
      <w:r w:rsidR="00CB7189" w:rsidRPr="00BE5613">
        <w:instrText xml:space="preserve"> REF table_secondstage \h  \* MERGEFORMAT </w:instrText>
      </w:r>
      <w:r w:rsidR="00CB7189" w:rsidRPr="00BE5613">
        <w:fldChar w:fldCharType="separate"/>
      </w:r>
      <w:r w:rsidR="00AA45FA" w:rsidRPr="00BE5613">
        <w:t>6</w:t>
      </w:r>
      <w:r w:rsidR="00CB7189" w:rsidRPr="00BE5613">
        <w:fldChar w:fldCharType="end"/>
      </w:r>
      <w:r w:rsidR="00CB7189" w:rsidRPr="00BE5613">
        <w:t xml:space="preserve">, but these are a consequence of different inferential procedures. Reconciling the results in Table </w:t>
      </w:r>
      <w:r w:rsidR="00CB7189" w:rsidRPr="00BE5613">
        <w:fldChar w:fldCharType="begin"/>
      </w:r>
      <w:r w:rsidR="00CB7189" w:rsidRPr="00BE5613">
        <w:instrText xml:space="preserve"> REF table_secondstage \h  \* MERGEFORMAT </w:instrText>
      </w:r>
      <w:r w:rsidR="00CB7189" w:rsidRPr="00BE5613">
        <w:fldChar w:fldCharType="separate"/>
      </w:r>
      <w:r w:rsidR="00AA45FA" w:rsidRPr="00BE5613">
        <w:t>6</w:t>
      </w:r>
      <w:r w:rsidR="00CB7189" w:rsidRPr="00BE5613">
        <w:fldChar w:fldCharType="end"/>
      </w:r>
      <w:r w:rsidR="00CB7189" w:rsidRPr="00BE5613">
        <w:t xml:space="preserve"> and Appendix </w:t>
      </w:r>
      <w:r w:rsidR="00CB7189" w:rsidRPr="00BE5613">
        <w:fldChar w:fldCharType="begin"/>
      </w:r>
      <w:r w:rsidR="00CB7189" w:rsidRPr="00BE5613">
        <w:instrText xml:space="preserve"> REF appendix_effects \h  \* MERGEFORMAT </w:instrText>
      </w:r>
      <w:r w:rsidR="00CB7189" w:rsidRPr="00BE5613">
        <w:fldChar w:fldCharType="separate"/>
      </w:r>
      <w:r w:rsidR="00AA45FA" w:rsidRPr="00BE5613">
        <w:t>C</w:t>
      </w:r>
      <w:r w:rsidR="00CB7189" w:rsidRPr="00BE5613">
        <w:fldChar w:fldCharType="end"/>
      </w:r>
      <w:r w:rsidR="00CB7189" w:rsidRPr="00BE5613">
        <w:t xml:space="preserve">, the findings are fairly uniform across all the four models (for partial frontiers). </w:t>
      </w:r>
      <w:r w:rsidR="00BD0BBB" w:rsidRPr="00BE5613">
        <w:t xml:space="preserve">It should be recalled that a statistically significant upward (downward) smoothed trajectory of a contextual variable displayed in Appendix </w:t>
      </w:r>
      <w:r w:rsidR="00BD0BBB" w:rsidRPr="00BE5613">
        <w:fldChar w:fldCharType="begin"/>
      </w:r>
      <w:r w:rsidR="00BD0BBB" w:rsidRPr="00BE5613">
        <w:instrText xml:space="preserve"> REF appendix_effects \h  \* MERGEFORMAT </w:instrText>
      </w:r>
      <w:r w:rsidR="00BD0BBB" w:rsidRPr="00BE5613">
        <w:fldChar w:fldCharType="separate"/>
      </w:r>
      <w:r w:rsidR="00AA45FA" w:rsidRPr="00BE5613">
        <w:t>C</w:t>
      </w:r>
      <w:r w:rsidR="00BD0BBB" w:rsidRPr="00BE5613">
        <w:fldChar w:fldCharType="end"/>
      </w:r>
      <w:r w:rsidR="00BD0BBB" w:rsidRPr="00BE5613">
        <w:t xml:space="preserve"> testifies of a detrimenta</w:t>
      </w:r>
      <w:r w:rsidR="00D879B2" w:rsidRPr="00BE5613">
        <w:t>l (favo</w:t>
      </w:r>
      <w:r w:rsidR="00BD0BBB" w:rsidRPr="00BE5613">
        <w:t xml:space="preserve">rable) impact upon municipal performance in MW service. </w:t>
      </w:r>
      <w:r w:rsidR="00201F15" w:rsidRPr="00BE5613">
        <w:t xml:space="preserve">Significance is statistically evaluated at a significance level of 0.05 using the report of Table </w:t>
      </w:r>
      <w:r w:rsidR="00201F15" w:rsidRPr="00BE5613">
        <w:fldChar w:fldCharType="begin"/>
      </w:r>
      <w:r w:rsidR="00201F15" w:rsidRPr="00BE5613">
        <w:instrText xml:space="preserve"> REF table_secondstage \h  \* MERGEFORMAT </w:instrText>
      </w:r>
      <w:r w:rsidR="00201F15" w:rsidRPr="00BE5613">
        <w:fldChar w:fldCharType="separate"/>
      </w:r>
      <w:r w:rsidR="00AA45FA" w:rsidRPr="00BE5613">
        <w:t>6</w:t>
      </w:r>
      <w:r w:rsidR="00201F15" w:rsidRPr="00BE5613">
        <w:fldChar w:fldCharType="end"/>
      </w:r>
      <w:r w:rsidR="00201F15" w:rsidRPr="00BE5613">
        <w:t>.</w:t>
      </w:r>
      <w:r w:rsidR="00311B05" w:rsidRPr="00BE5613">
        <w:t xml:space="preserve"> </w:t>
      </w:r>
      <w:r w:rsidR="00CB7189" w:rsidRPr="00BE5613">
        <w:t>The contextual variables z1, z2, z4, z7, z10 and z12 are not found significant for MSWM performance, the effect of z3 and z5 is positive, the effect of z6 varies non-monotonically, the effect of z8, z9 and z11 is negative.</w:t>
      </w:r>
      <w:r w:rsidR="00BD0BBB" w:rsidRPr="00BE5613">
        <w:t xml:space="preserve"> </w:t>
      </w:r>
    </w:p>
    <w:p w14:paraId="72AA67AA" w14:textId="77777777" w:rsidR="00A10A7D" w:rsidRPr="00BE5613" w:rsidRDefault="00BD0BBB" w:rsidP="00AA45FA">
      <w:pPr>
        <w:numPr>
          <w:ilvl w:val="0"/>
          <w:numId w:val="6"/>
        </w:numPr>
        <w:spacing w:line="480" w:lineRule="auto"/>
        <w:jc w:val="both"/>
      </w:pPr>
      <w:r w:rsidRPr="00BE5613">
        <w:t>MSW collection frequency</w:t>
      </w:r>
      <w:r w:rsidR="004C0F93" w:rsidRPr="00BE5613">
        <w:t xml:space="preserve"> (</w:t>
      </w:r>
      <w:r w:rsidR="004C0F93" w:rsidRPr="00BE5613">
        <w:rPr>
          <w:b/>
        </w:rPr>
        <w:t>z1</w:t>
      </w:r>
      <w:r w:rsidR="004C0F93" w:rsidRPr="00BE5613">
        <w:t xml:space="preserve">) </w:t>
      </w:r>
      <w:r w:rsidR="008255E2" w:rsidRPr="00BE5613">
        <w:t>was</w:t>
      </w:r>
      <w:r w:rsidR="004C0F93" w:rsidRPr="00BE5613">
        <w:t xml:space="preserve"> found of no significance upon MSWM performance. Likewise, De Jaeger et al. (2011) </w:t>
      </w:r>
      <w:r w:rsidR="004F2BCE" w:rsidRPr="00BE5613">
        <w:t>did not discover any</w:t>
      </w:r>
      <w:r w:rsidR="00A10A7D" w:rsidRPr="00BE5613">
        <w:t xml:space="preserve"> significant effect of </w:t>
      </w:r>
      <w:r w:rsidR="004F2BCE" w:rsidRPr="00BE5613">
        <w:t xml:space="preserve">a </w:t>
      </w:r>
      <w:r w:rsidR="00A10A7D" w:rsidRPr="00BE5613">
        <w:t xml:space="preserve">varied </w:t>
      </w:r>
      <w:r w:rsidR="004C0F93" w:rsidRPr="00BE5613">
        <w:t xml:space="preserve">collection frequency for Flemish municipalities </w:t>
      </w:r>
      <w:proofErr w:type="gramStart"/>
      <w:r w:rsidR="004F2BCE" w:rsidRPr="00BE5613">
        <w:t>in spite of</w:t>
      </w:r>
      <w:proofErr w:type="gramEnd"/>
      <w:r w:rsidR="004C0F93" w:rsidRPr="00BE5613">
        <w:t xml:space="preserve"> remarkable </w:t>
      </w:r>
      <w:r w:rsidR="004F2BCE" w:rsidRPr="00BE5613">
        <w:t xml:space="preserve">sociodemographic </w:t>
      </w:r>
      <w:r w:rsidR="004C0F93" w:rsidRPr="00BE5613">
        <w:t xml:space="preserve">differences </w:t>
      </w:r>
      <w:r w:rsidR="004F2BCE" w:rsidRPr="00BE5613">
        <w:t>between</w:t>
      </w:r>
      <w:r w:rsidR="004C0F93" w:rsidRPr="00BE5613">
        <w:t xml:space="preserve"> Flemish and Czech municipalities</w:t>
      </w:r>
      <w:r w:rsidR="00A10A7D" w:rsidRPr="00BE5613">
        <w:t xml:space="preserve"> (e.g., triple population density, much flatter terrain, more-than-tenfold larger average municipality). That said, during interviews officials of Czech municipalities </w:t>
      </w:r>
      <w:r w:rsidR="004F2BCE" w:rsidRPr="00BE5613">
        <w:t>t</w:t>
      </w:r>
      <w:r w:rsidR="00A10A7D" w:rsidRPr="00BE5613">
        <w:t xml:space="preserve">hat </w:t>
      </w:r>
      <w:r w:rsidR="004F2BCE" w:rsidRPr="00BE5613">
        <w:t xml:space="preserve">had </w:t>
      </w:r>
      <w:r w:rsidR="00A10A7D" w:rsidRPr="00BE5613">
        <w:t xml:space="preserve">decided to decrease </w:t>
      </w:r>
      <w:r w:rsidR="004F2BCE" w:rsidRPr="00BE5613">
        <w:t xml:space="preserve">the </w:t>
      </w:r>
      <w:r w:rsidR="00A10A7D" w:rsidRPr="00BE5613">
        <w:t xml:space="preserve">waste collection frequency always </w:t>
      </w:r>
      <w:r w:rsidR="004F2BCE" w:rsidRPr="00BE5613">
        <w:t>observed</w:t>
      </w:r>
      <w:r w:rsidR="00A10A7D" w:rsidRPr="00BE5613">
        <w:t xml:space="preserve"> a significant decrease in MSWE in exchange for typically only a little decrease in the </w:t>
      </w:r>
      <w:r w:rsidR="00A6721A" w:rsidRPr="00BE5613">
        <w:t>convenience</w:t>
      </w:r>
      <w:r w:rsidR="00A10A7D" w:rsidRPr="00BE5613">
        <w:t xml:space="preserve"> of inhabitants. </w:t>
      </w:r>
      <w:r w:rsidR="00287CC2" w:rsidRPr="00BE5613">
        <w:t xml:space="preserve">However, such </w:t>
      </w:r>
      <w:r w:rsidR="00A10A7D" w:rsidRPr="00BE5613">
        <w:t xml:space="preserve">a </w:t>
      </w:r>
      <w:r w:rsidR="00287CC2" w:rsidRPr="00BE5613">
        <w:t xml:space="preserve">decision requires </w:t>
      </w:r>
      <w:r w:rsidR="00A10A7D" w:rsidRPr="00BE5613">
        <w:t xml:space="preserve">a </w:t>
      </w:r>
      <w:r w:rsidR="00287CC2" w:rsidRPr="00BE5613">
        <w:t xml:space="preserve">certain level of political “bravery” and </w:t>
      </w:r>
      <w:r w:rsidR="00A10A7D" w:rsidRPr="00BE5613">
        <w:t>an</w:t>
      </w:r>
      <w:r w:rsidR="00287CC2" w:rsidRPr="00BE5613">
        <w:t xml:space="preserve"> ability to explain people that benefits </w:t>
      </w:r>
      <w:r w:rsidR="00A10A7D" w:rsidRPr="00BE5613">
        <w:t>will</w:t>
      </w:r>
      <w:r w:rsidR="00287CC2" w:rsidRPr="00BE5613">
        <w:t xml:space="preserve"> prevail over negatives. </w:t>
      </w:r>
      <w:r w:rsidR="00A10A7D" w:rsidRPr="00BE5613">
        <w:t>In consequence, the absent effect of waste collection frequency implies that</w:t>
      </w:r>
      <w:r w:rsidR="00261887" w:rsidRPr="00BE5613">
        <w:t xml:space="preserve"> unless</w:t>
      </w:r>
      <w:r w:rsidR="00A10A7D" w:rsidRPr="00BE5613">
        <w:t xml:space="preserve"> the </w:t>
      </w:r>
      <w:r w:rsidR="00A6721A" w:rsidRPr="00BE5613">
        <w:t xml:space="preserve">convenience </w:t>
      </w:r>
      <w:r w:rsidR="00A10A7D" w:rsidRPr="00BE5613">
        <w:t xml:space="preserve">of </w:t>
      </w:r>
      <w:proofErr w:type="gramStart"/>
      <w:r w:rsidR="00A10A7D" w:rsidRPr="00BE5613">
        <w:t>inhabitants</w:t>
      </w:r>
      <w:proofErr w:type="gramEnd"/>
      <w:r w:rsidR="00A10A7D" w:rsidRPr="00BE5613">
        <w:t xml:space="preserve"> </w:t>
      </w:r>
      <w:r w:rsidR="004F2BCE" w:rsidRPr="00BE5613">
        <w:t>lags behind the pressures of a tight municipal budget</w:t>
      </w:r>
      <w:r w:rsidR="00261887" w:rsidRPr="00BE5613">
        <w:t xml:space="preserve"> and </w:t>
      </w:r>
      <w:r w:rsidR="00FB1294" w:rsidRPr="00BE5613">
        <w:t>dominates amongst the policy goals</w:t>
      </w:r>
      <w:r w:rsidR="004F2BCE" w:rsidRPr="00BE5613">
        <w:t xml:space="preserve">, it is counterproductive </w:t>
      </w:r>
      <w:r w:rsidR="00261887" w:rsidRPr="00BE5613">
        <w:t xml:space="preserve">for </w:t>
      </w:r>
      <w:r w:rsidR="00261887" w:rsidRPr="00BE5613">
        <w:lastRenderedPageBreak/>
        <w:t xml:space="preserve">a municipality </w:t>
      </w:r>
      <w:r w:rsidR="004F2BCE" w:rsidRPr="00BE5613">
        <w:t xml:space="preserve">to </w:t>
      </w:r>
      <w:r w:rsidR="00261887" w:rsidRPr="00BE5613">
        <w:t>accelerate waste collection as the achieved effect upon MSWM performance would be on average nil.</w:t>
      </w:r>
      <w:r w:rsidR="00AD00FB" w:rsidRPr="00BE5613">
        <w:t xml:space="preserve"> </w:t>
      </w:r>
    </w:p>
    <w:p w14:paraId="0E57EA95" w14:textId="77777777" w:rsidR="001965E6" w:rsidRPr="00BE5613" w:rsidRDefault="00AD00FB" w:rsidP="00AA45FA">
      <w:pPr>
        <w:numPr>
          <w:ilvl w:val="0"/>
          <w:numId w:val="6"/>
        </w:numPr>
        <w:spacing w:line="480" w:lineRule="auto"/>
        <w:jc w:val="both"/>
      </w:pPr>
      <w:r w:rsidRPr="00BE5613">
        <w:t>Residual waste bin records (</w:t>
      </w:r>
      <w:r w:rsidRPr="00BE5613">
        <w:rPr>
          <w:b/>
        </w:rPr>
        <w:t>z2</w:t>
      </w:r>
      <w:r w:rsidRPr="00BE5613">
        <w:t>) through issued stamps, stickers or barcodes attached to bins proved to exert an insignificant effect on MSWM performance</w:t>
      </w:r>
      <w:r w:rsidR="00A6721A" w:rsidRPr="00BE5613">
        <w:t>. Whilst there was usually no kind of limitation as to how many bins a dwelling can have</w:t>
      </w:r>
      <w:r w:rsidR="001965E6" w:rsidRPr="00BE5613">
        <w:t>, once bin records were instituted, several municipal officials reported a sudden drop in bin numbers billable by the WM company</w:t>
      </w:r>
      <w:r w:rsidR="00EC4C58" w:rsidRPr="00BE5613">
        <w:t>, even though they observed no or only a marginal visual change in the number of bins through</w:t>
      </w:r>
      <w:r w:rsidR="00C51448" w:rsidRPr="00BE5613">
        <w:t xml:space="preserve"> the municipality.</w:t>
      </w:r>
      <w:r w:rsidR="001965E6" w:rsidRPr="00BE5613">
        <w:t xml:space="preserve"> </w:t>
      </w:r>
      <w:r w:rsidR="00EC4C58" w:rsidRPr="00BE5613">
        <w:t xml:space="preserve">This </w:t>
      </w:r>
      <w:r w:rsidR="001965E6" w:rsidRPr="00BE5613">
        <w:t>might imply overbilling</w:t>
      </w:r>
      <w:r w:rsidR="00C51448" w:rsidRPr="00BE5613">
        <w:t xml:space="preserve"> in the past</w:t>
      </w:r>
      <w:r w:rsidR="001965E6" w:rsidRPr="00BE5613">
        <w:t>. Moreover,</w:t>
      </w:r>
      <w:r w:rsidRPr="00BE5613">
        <w:t xml:space="preserve"> </w:t>
      </w:r>
      <w:r w:rsidR="00523E87" w:rsidRPr="00BE5613">
        <w:t>various</w:t>
      </w:r>
      <w:r w:rsidRPr="00BE5613">
        <w:t xml:space="preserve"> municipal officials argued that with a records system</w:t>
      </w:r>
      <w:r w:rsidR="001965E6" w:rsidRPr="00BE5613">
        <w:t xml:space="preserve"> some</w:t>
      </w:r>
      <w:r w:rsidRPr="00BE5613">
        <w:t xml:space="preserve"> people often voluntarily </w:t>
      </w:r>
      <w:r w:rsidR="001965E6" w:rsidRPr="00BE5613">
        <w:t xml:space="preserve">gradually </w:t>
      </w:r>
      <w:r w:rsidRPr="00BE5613">
        <w:t xml:space="preserve">started using </w:t>
      </w:r>
      <w:r w:rsidR="001965E6" w:rsidRPr="00BE5613">
        <w:t>fewer</w:t>
      </w:r>
      <w:r w:rsidRPr="00BE5613">
        <w:t xml:space="preserve"> fully stuffed bin</w:t>
      </w:r>
      <w:r w:rsidR="001965E6" w:rsidRPr="00BE5613">
        <w:t>s</w:t>
      </w:r>
      <w:r w:rsidRPr="00BE5613">
        <w:t xml:space="preserve"> instead of </w:t>
      </w:r>
      <w:r w:rsidR="001965E6" w:rsidRPr="00BE5613">
        <w:t>multiple</w:t>
      </w:r>
      <w:r w:rsidRPr="00BE5613">
        <w:t xml:space="preserve"> partially filled bins. </w:t>
      </w:r>
      <w:proofErr w:type="gramStart"/>
      <w:r w:rsidR="001965E6" w:rsidRPr="00BE5613">
        <w:t>In spite of</w:t>
      </w:r>
      <w:proofErr w:type="gramEnd"/>
      <w:r w:rsidR="001965E6" w:rsidRPr="00BE5613">
        <w:t xml:space="preserve"> this reported experience, keeping detailed residual waste bin records does not seem ultimately linked with MSWM performance. Appealing as it may be at first sight, the results in this </w:t>
      </w:r>
      <w:proofErr w:type="gramStart"/>
      <w:r w:rsidR="001965E6" w:rsidRPr="00BE5613">
        <w:t>particular case</w:t>
      </w:r>
      <w:proofErr w:type="gramEnd"/>
      <w:r w:rsidR="001965E6" w:rsidRPr="00BE5613">
        <w:t xml:space="preserve"> provide no justification for the municipality to maintain data about the number of residual waste bins. On the one hand, keeping track of the available capacity helps the municipality to make better arrangements with the WM company and eventually </w:t>
      </w:r>
      <w:r w:rsidR="00214F3A" w:rsidRPr="00BE5613">
        <w:t xml:space="preserve">to </w:t>
      </w:r>
      <w:r w:rsidR="001965E6" w:rsidRPr="00BE5613">
        <w:t xml:space="preserve">negotiate savings conditional on the type of billing. On the other hand, this poses a further clerical burden on the municipality without any proven benefit for MSWM performance. </w:t>
      </w:r>
    </w:p>
    <w:p w14:paraId="5DCF197D" w14:textId="77777777" w:rsidR="00C4696C" w:rsidRPr="00BE5613" w:rsidRDefault="001E7D0B" w:rsidP="00AA45FA">
      <w:pPr>
        <w:numPr>
          <w:ilvl w:val="0"/>
          <w:numId w:val="6"/>
        </w:numPr>
        <w:spacing w:line="480" w:lineRule="auto"/>
        <w:jc w:val="both"/>
      </w:pPr>
      <w:r w:rsidRPr="00BE5613">
        <w:t>Operating days of a</w:t>
      </w:r>
      <w:r w:rsidR="00C4696C" w:rsidRPr="00BE5613">
        <w:t>n</w:t>
      </w:r>
      <w:r w:rsidRPr="00BE5613">
        <w:t xml:space="preserve"> </w:t>
      </w:r>
      <w:r w:rsidR="000A0E9C" w:rsidRPr="00BE5613">
        <w:t>HWRC</w:t>
      </w:r>
      <w:r w:rsidRPr="00BE5613">
        <w:t xml:space="preserve"> per week</w:t>
      </w:r>
      <w:r w:rsidR="000A0E9C" w:rsidRPr="00BE5613">
        <w:t xml:space="preserve"> (</w:t>
      </w:r>
      <w:r w:rsidR="000A0E9C" w:rsidRPr="00BE5613">
        <w:rPr>
          <w:b/>
        </w:rPr>
        <w:t>z3</w:t>
      </w:r>
      <w:r w:rsidR="000A0E9C" w:rsidRPr="00BE5613">
        <w:t>)</w:t>
      </w:r>
      <w:r w:rsidRPr="00BE5613">
        <w:t xml:space="preserve"> </w:t>
      </w:r>
      <w:r w:rsidR="008255E2" w:rsidRPr="00BE5613">
        <w:t>were</w:t>
      </w:r>
      <w:r w:rsidRPr="00BE5613">
        <w:t xml:space="preserve"> found positively related to MSWM performance. The more days the HWRC is open, the higher performance the municipality on average attains. With institutional and </w:t>
      </w:r>
      <w:r w:rsidR="00E81BF8" w:rsidRPr="00BE5613">
        <w:t xml:space="preserve">technical support provided by </w:t>
      </w:r>
      <w:r w:rsidRPr="00BE5613">
        <w:t>HWRC</w:t>
      </w:r>
      <w:r w:rsidR="00E81BF8" w:rsidRPr="00BE5613">
        <w:t>s</w:t>
      </w:r>
      <w:r w:rsidRPr="00BE5613">
        <w:t xml:space="preserve"> </w:t>
      </w:r>
      <w:r w:rsidR="00E81BF8" w:rsidRPr="00BE5613">
        <w:t>in</w:t>
      </w:r>
      <w:r w:rsidRPr="00BE5613">
        <w:t xml:space="preserve"> waste separation, </w:t>
      </w:r>
      <w:r w:rsidR="008255E2" w:rsidRPr="00BE5613">
        <w:t>inhabitants</w:t>
      </w:r>
      <w:r w:rsidRPr="00BE5613">
        <w:t xml:space="preserve"> are more </w:t>
      </w:r>
      <w:r w:rsidR="00F82069" w:rsidRPr="00BE5613">
        <w:t>prone</w:t>
      </w:r>
      <w:r w:rsidRPr="00BE5613">
        <w:t xml:space="preserve"> to se</w:t>
      </w:r>
      <w:r w:rsidR="00F82069" w:rsidRPr="00BE5613">
        <w:t xml:space="preserve">parate, and produce in turn less residual waste, which eventually generates savings in MSWE. </w:t>
      </w:r>
      <w:r w:rsidR="000A0E9C" w:rsidRPr="00BE5613">
        <w:t xml:space="preserve">Even though running </w:t>
      </w:r>
      <w:r w:rsidR="00F82069" w:rsidRPr="00BE5613">
        <w:t>a</w:t>
      </w:r>
      <w:r w:rsidR="00C4696C" w:rsidRPr="00BE5613">
        <w:t>n</w:t>
      </w:r>
      <w:r w:rsidR="00F82069" w:rsidRPr="00BE5613">
        <w:t xml:space="preserve"> </w:t>
      </w:r>
      <w:r w:rsidR="000A0E9C" w:rsidRPr="00BE5613">
        <w:t xml:space="preserve">HWRC </w:t>
      </w:r>
      <w:r w:rsidR="00F82069" w:rsidRPr="00BE5613">
        <w:t>incurs</w:t>
      </w:r>
      <w:r w:rsidR="000A0E9C" w:rsidRPr="00BE5613">
        <w:t xml:space="preserve"> some costs, the benefits seem to prevail </w:t>
      </w:r>
      <w:r w:rsidR="00F82069" w:rsidRPr="00BE5613">
        <w:t>as indicated by municipal officials</w:t>
      </w:r>
      <w:r w:rsidR="000A0E9C" w:rsidRPr="00BE5613">
        <w:t xml:space="preserve">. </w:t>
      </w:r>
      <w:r w:rsidR="00F82069" w:rsidRPr="00BE5613">
        <w:t>Such a</w:t>
      </w:r>
      <w:r w:rsidR="001965E6" w:rsidRPr="00BE5613">
        <w:t>n</w:t>
      </w:r>
      <w:r w:rsidR="00F82069" w:rsidRPr="00BE5613">
        <w:t xml:space="preserve"> HWRC may not </w:t>
      </w:r>
      <w:r w:rsidR="008255E2" w:rsidRPr="00BE5613">
        <w:t xml:space="preserve">be </w:t>
      </w:r>
      <w:r w:rsidR="00F82069" w:rsidRPr="00BE5613">
        <w:t xml:space="preserve">necessarily operated at no cost </w:t>
      </w:r>
      <w:r w:rsidR="008255E2" w:rsidRPr="00BE5613">
        <w:t xml:space="preserve">for citizens, but </w:t>
      </w:r>
      <w:r w:rsidR="00F82069" w:rsidRPr="00BE5613">
        <w:t>availability of a free-</w:t>
      </w:r>
      <w:r w:rsidR="00F82069" w:rsidRPr="00BE5613">
        <w:lastRenderedPageBreak/>
        <w:t>of-charge HWRC (</w:t>
      </w:r>
      <w:r w:rsidR="00F82069" w:rsidRPr="00BE5613">
        <w:rPr>
          <w:b/>
        </w:rPr>
        <w:t>z4</w:t>
      </w:r>
      <w:r w:rsidR="00F82069" w:rsidRPr="00BE5613">
        <w:t xml:space="preserve">) </w:t>
      </w:r>
      <w:r w:rsidR="008255E2" w:rsidRPr="00BE5613">
        <w:t>was not proven to be of a statistically significant effect. Nonetheless, for a small municipality these findings do not provide useful advice as a</w:t>
      </w:r>
      <w:r w:rsidR="00375882" w:rsidRPr="00BE5613">
        <w:t>n</w:t>
      </w:r>
      <w:r w:rsidR="008255E2" w:rsidRPr="00BE5613">
        <w:t xml:space="preserve"> HWRC is only present in very large municipalities (not only of the South Moravian Region, but also in the entire Czech Republic) and smaller municipalities find it costly to operate when compared to potential benefits.</w:t>
      </w:r>
      <w:r w:rsidR="00C4696C" w:rsidRPr="00BE5613">
        <w:t xml:space="preserve"> But </w:t>
      </w:r>
      <w:proofErr w:type="gramStart"/>
      <w:r w:rsidR="00C4696C" w:rsidRPr="00BE5613">
        <w:t>as long as</w:t>
      </w:r>
      <w:proofErr w:type="gramEnd"/>
      <w:r w:rsidR="00C4696C" w:rsidRPr="00BE5613">
        <w:t xml:space="preserve"> an HWRC is present, it should be ideally open as frequently as possible (not necessarily for long hours) in order to improve availability to the public and encourage waste separation in the end.</w:t>
      </w:r>
    </w:p>
    <w:p w14:paraId="6D11B590" w14:textId="77777777" w:rsidR="00E81BF8" w:rsidRPr="00BE5613" w:rsidRDefault="00952D74" w:rsidP="00AA45FA">
      <w:pPr>
        <w:numPr>
          <w:ilvl w:val="0"/>
          <w:numId w:val="6"/>
        </w:numPr>
        <w:spacing w:line="480" w:lineRule="auto"/>
        <w:jc w:val="both"/>
      </w:pPr>
      <w:r w:rsidRPr="00BE5613">
        <w:t xml:space="preserve">Drop-off sites were found statistically significant for MSWM performance. </w:t>
      </w:r>
      <w:r w:rsidR="005758B2" w:rsidRPr="00BE5613">
        <w:t>Whereas t</w:t>
      </w:r>
      <w:r w:rsidR="004C1A39" w:rsidRPr="00BE5613">
        <w:t>he number of s</w:t>
      </w:r>
      <w:r w:rsidR="00E81BF8" w:rsidRPr="00BE5613">
        <w:t>eparation drop-off sites (</w:t>
      </w:r>
      <w:r w:rsidR="00E81BF8" w:rsidRPr="00BE5613">
        <w:rPr>
          <w:b/>
        </w:rPr>
        <w:t>z5</w:t>
      </w:r>
      <w:r w:rsidR="00E81BF8" w:rsidRPr="00BE5613">
        <w:t>)</w:t>
      </w:r>
      <w:r w:rsidR="004C1A39" w:rsidRPr="00BE5613">
        <w:t xml:space="preserve"> </w:t>
      </w:r>
      <w:r w:rsidRPr="00BE5613">
        <w:t xml:space="preserve">were observed </w:t>
      </w:r>
      <w:r w:rsidR="004C1A39" w:rsidRPr="00BE5613">
        <w:t xml:space="preserve">positively correlated with MSWM performance, </w:t>
      </w:r>
      <w:r w:rsidR="005758B2" w:rsidRPr="00BE5613">
        <w:t>density of drop-off sites (</w:t>
      </w:r>
      <w:r w:rsidR="005758B2" w:rsidRPr="00BE5613">
        <w:rPr>
          <w:b/>
        </w:rPr>
        <w:t>z6</w:t>
      </w:r>
      <w:r w:rsidR="005758B2" w:rsidRPr="00BE5613">
        <w:t xml:space="preserve">) </w:t>
      </w:r>
      <w:r w:rsidRPr="00BE5613">
        <w:t>exhibited</w:t>
      </w:r>
      <w:r w:rsidR="005758B2" w:rsidRPr="00BE5613">
        <w:t xml:space="preserve"> a non-monotonic pattern. With a lower level of density with up to about 600 people per site, the effect upon MSWM performance is positive, but after this threshold the positive effect evaporates or turns slightly negative.</w:t>
      </w:r>
      <w:r w:rsidRPr="00BE5613">
        <w:t xml:space="preserve"> </w:t>
      </w:r>
      <w:r w:rsidR="004C1A39" w:rsidRPr="00BE5613">
        <w:t xml:space="preserve">Drop-off sites represent the most common way of waste separation in the Czech Republic and are practically mandatory in every municipality. </w:t>
      </w:r>
      <w:r w:rsidRPr="00BE5613">
        <w:t xml:space="preserve">These results suggest that MSWM performance is generally increased by availability of drop-off sites. A municipality should operate as many drop-off sites as possible to improve in its performance, and there is a sort of </w:t>
      </w:r>
      <w:r w:rsidR="00F754BA" w:rsidRPr="00BE5613">
        <w:t>limit</w:t>
      </w:r>
      <w:r w:rsidRPr="00BE5613">
        <w:t xml:space="preserve"> for the number of drop-off sites. If drop-off sites are too sparse relative to population size, this may have in the end a negative effect, or none at best. The hockey-stick pattern in </w:t>
      </w:r>
      <w:r w:rsidR="00F754BA" w:rsidRPr="00BE5613">
        <w:t xml:space="preserve">the plots for z6 in Appendix </w:t>
      </w:r>
      <w:r w:rsidR="00F754BA" w:rsidRPr="00BE5613">
        <w:fldChar w:fldCharType="begin"/>
      </w:r>
      <w:r w:rsidR="00F754BA" w:rsidRPr="00BE5613">
        <w:instrText xml:space="preserve"> REF appendix_effects \h  \* MERGEFORMAT </w:instrText>
      </w:r>
      <w:r w:rsidR="00F754BA" w:rsidRPr="00BE5613">
        <w:fldChar w:fldCharType="separate"/>
      </w:r>
      <w:r w:rsidR="00AA45FA" w:rsidRPr="00BE5613">
        <w:t>C</w:t>
      </w:r>
      <w:r w:rsidR="00F754BA" w:rsidRPr="00BE5613">
        <w:fldChar w:fldCharType="end"/>
      </w:r>
      <w:r w:rsidR="00F754BA" w:rsidRPr="00BE5613">
        <w:t xml:space="preserve"> indicates that the optimal value </w:t>
      </w:r>
      <w:r w:rsidRPr="00BE5613">
        <w:t xml:space="preserve">is about 600 people per drop-off </w:t>
      </w:r>
      <w:r w:rsidR="00F754BA" w:rsidRPr="00BE5613">
        <w:t xml:space="preserve">site. Of course, the observation that municipalities with a denser network of drop-off sites promote separation amongst citizens as they are closer to them is not novel (González-Torre and </w:t>
      </w:r>
      <w:proofErr w:type="spellStart"/>
      <w:r w:rsidR="00F754BA" w:rsidRPr="00BE5613">
        <w:t>Adenso</w:t>
      </w:r>
      <w:proofErr w:type="spellEnd"/>
      <w:r w:rsidR="00F754BA" w:rsidRPr="00BE5613">
        <w:t>-Diaz, 2005; Struk, 2017). All this furnishes policy makers with the need to optimi</w:t>
      </w:r>
      <w:r w:rsidR="00E86BA6" w:rsidRPr="00BE5613">
        <w:t xml:space="preserve">ze the number of drop-off sites. In general, availability of drop-off sites is propitious to </w:t>
      </w:r>
      <w:r w:rsidR="00D4459B" w:rsidRPr="00BE5613">
        <w:t>WM</w:t>
      </w:r>
      <w:r w:rsidR="00E86BA6" w:rsidRPr="00BE5613">
        <w:t xml:space="preserve"> performance, but their availability to the public must be optimized. Too sparse </w:t>
      </w:r>
      <w:r w:rsidR="00D4459B" w:rsidRPr="00BE5613">
        <w:t>or too</w:t>
      </w:r>
      <w:r w:rsidR="00E86BA6" w:rsidRPr="00BE5613">
        <w:t xml:space="preserve"> dense networks of </w:t>
      </w:r>
      <w:r w:rsidR="00E86BA6" w:rsidRPr="00BE5613">
        <w:lastRenderedPageBreak/>
        <w:t xml:space="preserve">drop-off sites are in fact </w:t>
      </w:r>
      <w:r w:rsidR="00D4459B" w:rsidRPr="00BE5613">
        <w:t>unfavorable</w:t>
      </w:r>
      <w:r w:rsidR="00E86BA6" w:rsidRPr="00BE5613">
        <w:t>. Municipalities should examine marginal effects of additional drop-off sites on the scale of cost and separation increase. Irrespective of the outcome of such an analysis, the threshold of about 600 peop</w:t>
      </w:r>
      <w:r w:rsidR="00375882" w:rsidRPr="00BE5613">
        <w:t>le per site is applicable for an</w:t>
      </w:r>
      <w:r w:rsidR="00E86BA6" w:rsidRPr="00BE5613">
        <w:t xml:space="preserve"> </w:t>
      </w:r>
      <w:r w:rsidR="00375882" w:rsidRPr="00BE5613">
        <w:t>average</w:t>
      </w:r>
      <w:r w:rsidR="00E86BA6" w:rsidRPr="00BE5613">
        <w:t xml:space="preserve"> municipality.</w:t>
      </w:r>
    </w:p>
    <w:p w14:paraId="5B6F3764" w14:textId="77777777" w:rsidR="00AA02E7" w:rsidRPr="00BE5613" w:rsidRDefault="003F0680" w:rsidP="00AA45FA">
      <w:pPr>
        <w:numPr>
          <w:ilvl w:val="0"/>
          <w:numId w:val="6"/>
        </w:numPr>
        <w:spacing w:line="480" w:lineRule="auto"/>
        <w:jc w:val="both"/>
      </w:pPr>
      <w:r w:rsidRPr="00BE5613">
        <w:t>No significance for MSWM performance was affirmed for curbside collection of recyclables (</w:t>
      </w:r>
      <w:r w:rsidRPr="00BE5613">
        <w:rPr>
          <w:b/>
        </w:rPr>
        <w:t>z7</w:t>
      </w:r>
      <w:r w:rsidRPr="00BE5613">
        <w:t xml:space="preserve">). These results are not consistent with previous research that observed </w:t>
      </w:r>
      <w:r w:rsidR="00BA2AB3" w:rsidRPr="00BE5613">
        <w:t xml:space="preserve">a positive effect of curbside collection (e.g., Salazar-Adams, 2021). </w:t>
      </w:r>
      <w:r w:rsidR="00C3688C" w:rsidRPr="00BE5613">
        <w:t xml:space="preserve">In contrast, multiple studies focusing on the environmental impact of this measure claim a significant </w:t>
      </w:r>
      <w:r w:rsidRPr="00BE5613">
        <w:t xml:space="preserve">increase in the amount of collected recyclables of sometimes over 50% or even 100% once property-close (curbside) collection of recyclables was launched (e.g., </w:t>
      </w:r>
      <w:proofErr w:type="spellStart"/>
      <w:r w:rsidRPr="00BE5613">
        <w:t>Folz</w:t>
      </w:r>
      <w:proofErr w:type="spellEnd"/>
      <w:r w:rsidRPr="00BE5613">
        <w:t xml:space="preserve">, 1991; </w:t>
      </w:r>
      <w:proofErr w:type="spellStart"/>
      <w:r w:rsidRPr="00BE5613">
        <w:t>Dahlén</w:t>
      </w:r>
      <w:proofErr w:type="spellEnd"/>
      <w:r w:rsidRPr="00BE5613">
        <w:t xml:space="preserve"> and Lagerkvist, 2010; Struk, 2017; Guerrini et al., 2017). </w:t>
      </w:r>
      <w:r w:rsidR="00C3688C" w:rsidRPr="00BE5613">
        <w:t xml:space="preserve">This increase in waste separation was observed in this case as well, albeit at the expense of a higher MSWE that in the end offset gains in MSWM performance. </w:t>
      </w:r>
      <w:r w:rsidRPr="00BE5613">
        <w:t xml:space="preserve">Overall, curbside collection of recyclables represents usually a very convenient type of waste separation system for people, and multiple studies identified it as one of the most important determinants whether to separate </w:t>
      </w:r>
      <w:r w:rsidR="00C3688C" w:rsidRPr="00BE5613">
        <w:t xml:space="preserve">waste </w:t>
      </w:r>
      <w:r w:rsidRPr="00BE5613">
        <w:t>or not. Yet, the</w:t>
      </w:r>
      <w:r w:rsidR="00C3688C" w:rsidRPr="00BE5613">
        <w:t xml:space="preserve"> benefits in one area coincide with the costs in another, resulting thus in a </w:t>
      </w:r>
      <w:r w:rsidR="00542CFF" w:rsidRPr="00BE5613">
        <w:t xml:space="preserve">neutral end effect upon MSWM performance. The reasons can be perhaps traced to the attitudes or </w:t>
      </w:r>
      <w:r w:rsidR="007D7F1B" w:rsidRPr="00BE5613">
        <w:t>demeanor</w:t>
      </w:r>
      <w:r w:rsidR="00542CFF" w:rsidRPr="00BE5613">
        <w:t xml:space="preserve"> of citizens who may not be accustomed to this method of recyclables collection. </w:t>
      </w:r>
      <w:r w:rsidR="00C3688C" w:rsidRPr="00BE5613">
        <w:t>Municipal officials also pointed out that i</w:t>
      </w:r>
      <w:r w:rsidR="00375882" w:rsidRPr="00BE5613">
        <w:t>t often takes several years to fully exploit the potential of this measure</w:t>
      </w:r>
      <w:r w:rsidR="00180449" w:rsidRPr="00BE5613">
        <w:t>,</w:t>
      </w:r>
      <w:r w:rsidR="00375882" w:rsidRPr="00BE5613">
        <w:t xml:space="preserve"> and this method of collection might have been relatively new to municipalities </w:t>
      </w:r>
      <w:r w:rsidR="00180449" w:rsidRPr="00BE5613">
        <w:t>in the South Moravian Region</w:t>
      </w:r>
      <w:r w:rsidR="00C3688C" w:rsidRPr="00BE5613">
        <w:t xml:space="preserve"> in 2012.</w:t>
      </w:r>
      <w:r w:rsidR="00375882" w:rsidRPr="00BE5613">
        <w:t xml:space="preserve"> </w:t>
      </w:r>
      <w:r w:rsidR="00AA02E7" w:rsidRPr="00BE5613">
        <w:t xml:space="preserve">A promotional program supported with a reasonable campaign might be a viable avenue for municipalities to encourage acceptance of this service and </w:t>
      </w:r>
      <w:r w:rsidR="00C94713" w:rsidRPr="00BE5613">
        <w:t xml:space="preserve">nudge them to more disciplined separation. This does not come without risks since if this campaign is not handled properly, it might take quite a long period for people to adjust their </w:t>
      </w:r>
      <w:r w:rsidR="00C3688C" w:rsidRPr="00BE5613">
        <w:t>behavior</w:t>
      </w:r>
      <w:r w:rsidR="00C94713" w:rsidRPr="00BE5613">
        <w:t xml:space="preserve">, </w:t>
      </w:r>
      <w:r w:rsidR="00C94713" w:rsidRPr="00BE5613">
        <w:lastRenderedPageBreak/>
        <w:t xml:space="preserve">whilst for the municipality the dominant effect would be increased costs. In some </w:t>
      </w:r>
      <w:proofErr w:type="gramStart"/>
      <w:r w:rsidR="00C94713" w:rsidRPr="00BE5613">
        <w:t>cases</w:t>
      </w:r>
      <w:proofErr w:type="gramEnd"/>
      <w:r w:rsidR="00C94713" w:rsidRPr="00BE5613">
        <w:t xml:space="preserve"> this transitional period might be excessively long for the municipality to bear.</w:t>
      </w:r>
    </w:p>
    <w:p w14:paraId="54ACEEB0" w14:textId="77777777" w:rsidR="00C2441C" w:rsidRPr="00BE5613" w:rsidRDefault="005A11C1" w:rsidP="00AA45FA">
      <w:pPr>
        <w:numPr>
          <w:ilvl w:val="0"/>
          <w:numId w:val="6"/>
        </w:numPr>
        <w:spacing w:line="480" w:lineRule="auto"/>
        <w:jc w:val="both"/>
      </w:pPr>
      <w:r w:rsidRPr="00BE5613">
        <w:t>In addition to curbside collection, some municipalities have adopted a waste separation incentive or green waste collection program (</w:t>
      </w:r>
      <w:r w:rsidRPr="00BE5613">
        <w:rPr>
          <w:b/>
        </w:rPr>
        <w:t>z8</w:t>
      </w:r>
      <w:r w:rsidRPr="00BE5613">
        <w:t xml:space="preserve">, </w:t>
      </w:r>
      <w:r w:rsidRPr="00BE5613">
        <w:rPr>
          <w:b/>
        </w:rPr>
        <w:t>z9</w:t>
      </w:r>
      <w:r w:rsidRPr="00BE5613">
        <w:t xml:space="preserve">). Both these instruments were found to bear harmfully upon MSWM performance. Under the former, citizens </w:t>
      </w:r>
      <w:proofErr w:type="gramStart"/>
      <w:r w:rsidRPr="00BE5613">
        <w:t>are able to</w:t>
      </w:r>
      <w:proofErr w:type="gramEnd"/>
      <w:r w:rsidRPr="00BE5613">
        <w:t xml:space="preserve"> </w:t>
      </w:r>
      <w:r w:rsidR="0039205C" w:rsidRPr="00BE5613">
        <w:t>get</w:t>
      </w:r>
      <w:r w:rsidRPr="00BE5613">
        <w:t xml:space="preserve"> discounts on the waste collec</w:t>
      </w:r>
      <w:r w:rsidR="0039205C" w:rsidRPr="00BE5613">
        <w:t xml:space="preserve">tion fee or some other benefits, which should motivate their willingness to separate, generate savings on MSWE and increase MSWM performance. Yet, the effect is detrimental, which ensues likely from the fact that cost reduction associated with decreased residual waste generation cannot make up for additional costs of adopting a separation incentive program. This is at variance with significance of such incentive schemes for sustainable performance advocated by </w:t>
      </w:r>
      <w:proofErr w:type="spellStart"/>
      <w:r w:rsidR="0039205C" w:rsidRPr="00BE5613">
        <w:t>Hornik</w:t>
      </w:r>
      <w:proofErr w:type="spellEnd"/>
      <w:r w:rsidR="0039205C" w:rsidRPr="00BE5613">
        <w:t xml:space="preserve"> et al. (1995), Schultz et al. (1995), and more recently by </w:t>
      </w:r>
      <w:proofErr w:type="spellStart"/>
      <w:r w:rsidR="0039205C" w:rsidRPr="00BE5613">
        <w:t>Sidique</w:t>
      </w:r>
      <w:proofErr w:type="spellEnd"/>
      <w:r w:rsidR="0039205C" w:rsidRPr="00BE5613">
        <w:t xml:space="preserve"> et al. (2010), Bucciol et al. (2015) or Struk (2017).</w:t>
      </w:r>
      <w:r w:rsidR="00C2441C" w:rsidRPr="00BE5613">
        <w:t xml:space="preserve"> </w:t>
      </w:r>
      <w:proofErr w:type="gramStart"/>
      <w:r w:rsidR="001B3B94" w:rsidRPr="00BE5613">
        <w:t>On the basis of</w:t>
      </w:r>
      <w:proofErr w:type="gramEnd"/>
      <w:r w:rsidR="001B3B94" w:rsidRPr="00BE5613">
        <w:t xml:space="preserve"> these observations, if the chief concern of municipalities is cost reduction without collateral goals, adopting of an incentive program is not advisable for it will certainly increase MSWE and future benefits are difficult both to gauge and to predict. Yet, this stern refusal of any kind of an incentive program may not be defendable if the municipality is eligible to receive government support in the form of rewards (e.g., from EKO-KOM) if it meets a pre-set waste separation level. </w:t>
      </w:r>
      <w:r w:rsidR="00C2441C" w:rsidRPr="00BE5613">
        <w:t xml:space="preserve">Under a green waste collection program, citizens have an option to collect separately green waste (especially from gardens). If utilized to a full extent, benefits are in a smaller amount of solid waste and residual </w:t>
      </w:r>
      <w:proofErr w:type="gramStart"/>
      <w:r w:rsidR="00C2441C" w:rsidRPr="00BE5613">
        <w:t>waste</w:t>
      </w:r>
      <w:r w:rsidR="000E1B1C" w:rsidRPr="00BE5613">
        <w:t xml:space="preserve"> in particular</w:t>
      </w:r>
      <w:proofErr w:type="gramEnd"/>
      <w:r w:rsidR="00C2441C" w:rsidRPr="00BE5613">
        <w:t xml:space="preserve">. Here the estimated effect is significantly negative, which simply means that in the 19.4 </w:t>
      </w:r>
      <w:r w:rsidR="000E1B1C" w:rsidRPr="00BE5613">
        <w:t>% municipalities that implement</w:t>
      </w:r>
      <w:r w:rsidR="00C2441C" w:rsidRPr="00BE5613">
        <w:t xml:space="preserve"> a green waste collection program, citizens </w:t>
      </w:r>
      <w:r w:rsidR="000E1B1C" w:rsidRPr="00BE5613">
        <w:t xml:space="preserve">avail themselves of this option only marginally and the net effect on MSWE and elsewhere is unfavorable. This pattern may also be </w:t>
      </w:r>
      <w:proofErr w:type="gramStart"/>
      <w:r w:rsidR="000E1B1C" w:rsidRPr="00BE5613">
        <w:t>due to the fact that</w:t>
      </w:r>
      <w:proofErr w:type="gramEnd"/>
      <w:r w:rsidR="000E1B1C" w:rsidRPr="00BE5613">
        <w:t xml:space="preserve"> the examined data date to the year 2012, and in some municipalities separate garden waste </w:t>
      </w:r>
      <w:r w:rsidR="000E1B1C" w:rsidRPr="00BE5613">
        <w:lastRenderedPageBreak/>
        <w:t xml:space="preserve">collection has only started. In this regard, representatives of several municipalities that had adopted this measure prior to 2012 voiced </w:t>
      </w:r>
      <w:r w:rsidR="00A15A64" w:rsidRPr="00BE5613">
        <w:t>the prognosis that this process usually takes time and actual benefits of this measure tend to fully emerge only after several years. Indeed, general statistics after the mandatory introduction of garden waste separation in the Czech Republic in 2014 confirm a growing share of garden waste on municipal waste.</w:t>
      </w:r>
      <w:r w:rsidR="001B3B94" w:rsidRPr="00BE5613">
        <w:t xml:space="preserve"> The findings do not permit to draw firm policy implications in this regard. Certainly, green waste collection is suited for</w:t>
      </w:r>
      <w:r w:rsidR="00B2166D" w:rsidRPr="00BE5613">
        <w:t xml:space="preserve"> municipalities with areas dominated by single-family houses with large gardens as well as for rural municipalities, where diverting green waste from residual waste to special waste bins can bring sizeable benefits. Only modest benefits can be anticipated for municipalities with a significant part of housing structures consisting of multi-family houses with small gardens and condominiums.</w:t>
      </w:r>
    </w:p>
    <w:p w14:paraId="094DBD58" w14:textId="77777777" w:rsidR="00214F3A" w:rsidRPr="00BE5613" w:rsidRDefault="00833D5D" w:rsidP="00AA45FA">
      <w:pPr>
        <w:numPr>
          <w:ilvl w:val="0"/>
          <w:numId w:val="6"/>
        </w:numPr>
        <w:spacing w:line="480" w:lineRule="auto"/>
        <w:jc w:val="both"/>
      </w:pPr>
      <w:r w:rsidRPr="00BE5613">
        <w:t xml:space="preserve">Share of condominium housing units </w:t>
      </w:r>
      <w:r w:rsidR="008B041C" w:rsidRPr="00BE5613">
        <w:t>(</w:t>
      </w:r>
      <w:r w:rsidR="008B041C" w:rsidRPr="00BE5613">
        <w:rPr>
          <w:b/>
        </w:rPr>
        <w:t>z10</w:t>
      </w:r>
      <w:r w:rsidR="008B041C" w:rsidRPr="00BE5613">
        <w:t>)</w:t>
      </w:r>
      <w:r w:rsidR="00C90BBF" w:rsidRPr="00BE5613">
        <w:t xml:space="preserve"> was found insignificant, whereas share of recreational dwellings (</w:t>
      </w:r>
      <w:r w:rsidR="00C90BBF" w:rsidRPr="00BE5613">
        <w:rPr>
          <w:b/>
        </w:rPr>
        <w:t>z11</w:t>
      </w:r>
      <w:r w:rsidR="00C90BBF" w:rsidRPr="00BE5613">
        <w:t xml:space="preserve">) was found significant and negatively correlated with MSWM performance. Municipal officials surmised that concentration of condominiums should run counter to MSWM performance. Such a negative effect of a dominance of condominium-type </w:t>
      </w:r>
      <w:r w:rsidR="00214F3A" w:rsidRPr="00BE5613">
        <w:t>units</w:t>
      </w:r>
      <w:r w:rsidR="00C90BBF" w:rsidRPr="00BE5613">
        <w:t xml:space="preserve"> on municipal waste generation was described by Ando and Gosselin (2005) </w:t>
      </w:r>
      <w:r w:rsidR="003D7355" w:rsidRPr="00BE5613">
        <w:t>or</w:t>
      </w:r>
      <w:r w:rsidR="00C90BBF" w:rsidRPr="00BE5613">
        <w:t xml:space="preserve"> Lebersorger and Beigl (2011), in step with the suggestions of municipal officials.</w:t>
      </w:r>
      <w:r w:rsidR="003D7355" w:rsidRPr="00BE5613">
        <w:t xml:space="preserve"> Nonetheless, the </w:t>
      </w:r>
      <w:r w:rsidR="00214F3A" w:rsidRPr="00BE5613">
        <w:t xml:space="preserve">established </w:t>
      </w:r>
      <w:r w:rsidR="003D7355" w:rsidRPr="00BE5613">
        <w:t xml:space="preserve">insignificance is perhaps </w:t>
      </w:r>
      <w:proofErr w:type="gramStart"/>
      <w:r w:rsidR="003D7355" w:rsidRPr="00BE5613">
        <w:t>owing to the fact that</w:t>
      </w:r>
      <w:proofErr w:type="gramEnd"/>
      <w:r w:rsidR="003D7355" w:rsidRPr="00BE5613">
        <w:t xml:space="preserve"> environmental attitudes of </w:t>
      </w:r>
      <w:r w:rsidR="00214F3A" w:rsidRPr="00BE5613">
        <w:t>people</w:t>
      </w:r>
      <w:r w:rsidR="003D7355" w:rsidRPr="00BE5613">
        <w:t xml:space="preserve"> living in a condominium are not very different from those residing in family houses. </w:t>
      </w:r>
      <w:r w:rsidR="00214F3A" w:rsidRPr="00BE5613">
        <w:t>People</w:t>
      </w:r>
      <w:r w:rsidR="003D7355" w:rsidRPr="00BE5613">
        <w:t xml:space="preserve"> living in a condominium typically generate less waste than </w:t>
      </w:r>
      <w:r w:rsidR="00214F3A" w:rsidRPr="00BE5613">
        <w:t>those</w:t>
      </w:r>
      <w:r w:rsidR="003D7355" w:rsidRPr="00BE5613">
        <w:t xml:space="preserve"> occupying a family house, but typically</w:t>
      </w:r>
      <w:r w:rsidR="00214F3A" w:rsidRPr="00BE5613">
        <w:t xml:space="preserve"> also</w:t>
      </w:r>
      <w:r w:rsidR="003D7355" w:rsidRPr="00BE5613">
        <w:t xml:space="preserve"> harbor a greater disposition to waste separation. </w:t>
      </w:r>
      <w:r w:rsidR="00170B4C" w:rsidRPr="00BE5613">
        <w:t xml:space="preserve">The results suggest </w:t>
      </w:r>
      <w:r w:rsidR="009E4C95" w:rsidRPr="00BE5613">
        <w:t>to</w:t>
      </w:r>
      <w:r w:rsidR="00170B4C" w:rsidRPr="00BE5613">
        <w:t xml:space="preserve"> a municipality that there is no virtual difference in servicing a condominium or a single-family</w:t>
      </w:r>
      <w:r w:rsidR="00214F3A" w:rsidRPr="00BE5613">
        <w:t xml:space="preserve"> house</w:t>
      </w:r>
      <w:r w:rsidR="00170B4C" w:rsidRPr="00BE5613">
        <w:t xml:space="preserve"> </w:t>
      </w:r>
      <w:r w:rsidR="009E4C95" w:rsidRPr="00BE5613">
        <w:t xml:space="preserve">in terms of MSWM performance as differential benefits or disbenefits are nil. Of course, these differences must be understood on the scale of all </w:t>
      </w:r>
      <w:r w:rsidR="00214F3A" w:rsidRPr="00BE5613">
        <w:t>housing units</w:t>
      </w:r>
      <w:r w:rsidR="009E4C95" w:rsidRPr="00BE5613">
        <w:t xml:space="preserve"> in the municipality.</w:t>
      </w:r>
      <w:r w:rsidR="00A34C2A" w:rsidRPr="00BE5613">
        <w:t xml:space="preserve"> Municipal officials also reckoned that </w:t>
      </w:r>
      <w:r w:rsidR="00A34C2A" w:rsidRPr="00BE5613">
        <w:lastRenderedPageBreak/>
        <w:t xml:space="preserve">concentration of recreational dwellings should be negatively related to MSWM performance. Their views are confirmed by the </w:t>
      </w:r>
      <w:proofErr w:type="gramStart"/>
      <w:r w:rsidR="00A34C2A" w:rsidRPr="00BE5613">
        <w:t>analysis, and</w:t>
      </w:r>
      <w:proofErr w:type="gramEnd"/>
      <w:r w:rsidR="00A34C2A" w:rsidRPr="00BE5613">
        <w:t xml:space="preserve"> are consistent with the observations of Lebersorger and Beigl (2011). Since recreational dwellings are “secondary residences” populated by occasional visitors who are less troubled by responsibility in waste generation</w:t>
      </w:r>
      <w:r w:rsidR="00893E0F" w:rsidRPr="00BE5613">
        <w:t xml:space="preserve"> and Czech legislation offers no coercive mechanisms</w:t>
      </w:r>
      <w:r w:rsidR="00A34C2A" w:rsidRPr="00BE5613">
        <w:t>,</w:t>
      </w:r>
      <w:r w:rsidR="00893E0F" w:rsidRPr="00BE5613">
        <w:t xml:space="preserve"> municipalities are put into a stalemate position. </w:t>
      </w:r>
    </w:p>
    <w:p w14:paraId="06657F90" w14:textId="77777777" w:rsidR="00180449" w:rsidRPr="00BE5613" w:rsidRDefault="00644F84" w:rsidP="00AA45FA">
      <w:pPr>
        <w:numPr>
          <w:ilvl w:val="0"/>
          <w:numId w:val="6"/>
        </w:numPr>
        <w:spacing w:line="480" w:lineRule="auto"/>
        <w:jc w:val="both"/>
      </w:pPr>
      <w:r w:rsidRPr="00BE5613">
        <w:t>Finally, population to built-up area (</w:t>
      </w:r>
      <w:r w:rsidRPr="00BE5613">
        <w:rPr>
          <w:b/>
        </w:rPr>
        <w:t>z12</w:t>
      </w:r>
      <w:r w:rsidRPr="00BE5613">
        <w:t xml:space="preserve">), as a measure of population density, was found of no statistical significance. Empirical literature offers mixed results on the effect of population density ranging from positive (Benito-López et al., 2011; Romano et al., 2020; Romano and </w:t>
      </w:r>
      <w:proofErr w:type="spellStart"/>
      <w:r w:rsidRPr="00BE5613">
        <w:t>Molinos-Senante</w:t>
      </w:r>
      <w:proofErr w:type="spellEnd"/>
      <w:r w:rsidRPr="00BE5613">
        <w:t xml:space="preserve">, 2020) through inconsistent (Guerrini et al., 2017) to even negative (Worthington and Dollery, 2001; </w:t>
      </w:r>
      <w:proofErr w:type="spellStart"/>
      <w:r w:rsidRPr="00BE5613">
        <w:t>Llanquileo-Melgarejo</w:t>
      </w:r>
      <w:proofErr w:type="spellEnd"/>
      <w:r w:rsidRPr="00BE5613">
        <w:t xml:space="preserve"> et al., 2021). The reason for such an inconsistency might lie in the possible “break” observed from a certain size of municipality. For instance, </w:t>
      </w:r>
      <w:proofErr w:type="spellStart"/>
      <w:r w:rsidRPr="00BE5613">
        <w:t>Dubin</w:t>
      </w:r>
      <w:proofErr w:type="spellEnd"/>
      <w:r w:rsidRPr="00BE5613">
        <w:t xml:space="preserve"> and Navarro (1998) reported a positive effect only for municipality size up to 20,000 inhabitants.</w:t>
      </w:r>
      <w:r w:rsidR="00FD7EFF" w:rsidRPr="00BE5613">
        <w:t xml:space="preserve"> </w:t>
      </w:r>
      <w:r w:rsidR="00214F3A" w:rsidRPr="00BE5613">
        <w:t>I</w:t>
      </w:r>
      <w:r w:rsidR="00180449" w:rsidRPr="00BE5613">
        <w:t xml:space="preserve">t is unlikely that </w:t>
      </w:r>
      <w:r w:rsidR="00FD7EFF" w:rsidRPr="00BE5613">
        <w:t xml:space="preserve">threshold analysis would bring in any </w:t>
      </w:r>
      <w:r w:rsidR="00180449" w:rsidRPr="00BE5613">
        <w:t xml:space="preserve">meaningful </w:t>
      </w:r>
      <w:r w:rsidR="00FD7EFF" w:rsidRPr="00BE5613">
        <w:t>insights</w:t>
      </w:r>
      <w:r w:rsidR="00180449" w:rsidRPr="00BE5613">
        <w:t xml:space="preserve"> </w:t>
      </w:r>
      <w:r w:rsidR="00214F3A" w:rsidRPr="00BE5613">
        <w:t xml:space="preserve">in this case </w:t>
      </w:r>
      <w:r w:rsidR="00180449" w:rsidRPr="00BE5613">
        <w:t xml:space="preserve">as municipalities in the sample are by all standards small and dominated by municipalities </w:t>
      </w:r>
      <w:r w:rsidR="00C72052" w:rsidRPr="00BE5613">
        <w:t>of 1</w:t>
      </w:r>
      <w:r w:rsidR="00180449" w:rsidRPr="00BE5613">
        <w:t>,000 inhabitants at most.</w:t>
      </w:r>
    </w:p>
    <w:p w14:paraId="7EDB5954" w14:textId="77777777" w:rsidR="00214F3A" w:rsidRPr="00BE5613" w:rsidRDefault="00FD7EFF" w:rsidP="00AA45FA">
      <w:pPr>
        <w:spacing w:line="480" w:lineRule="auto"/>
        <w:ind w:firstLine="567"/>
        <w:jc w:val="both"/>
      </w:pPr>
      <w:r w:rsidRPr="00BE5613">
        <w:t xml:space="preserve">It should be noted here that there are, of course, a variety of other variables that could </w:t>
      </w:r>
      <w:r w:rsidR="00BD044D" w:rsidRPr="00BE5613">
        <w:t>be insightful for MSWE performance</w:t>
      </w:r>
      <w:r w:rsidRPr="00BE5613">
        <w:t xml:space="preserve">. </w:t>
      </w:r>
      <w:r w:rsidR="00BD044D" w:rsidRPr="00BE5613">
        <w:t xml:space="preserve">For instance, </w:t>
      </w:r>
      <w:r w:rsidRPr="00BE5613">
        <w:t xml:space="preserve">Lebersorger and Beigl (2011) provide a list of such factors. </w:t>
      </w:r>
      <w:r w:rsidR="00BD044D" w:rsidRPr="00BE5613">
        <w:t>Unfortunately</w:t>
      </w:r>
      <w:r w:rsidRPr="00BE5613">
        <w:t xml:space="preserve">, the limited data availability for Czech municipalities prevents </w:t>
      </w:r>
      <w:r w:rsidR="00BD044D" w:rsidRPr="00BE5613">
        <w:t xml:space="preserve">further </w:t>
      </w:r>
      <w:r w:rsidRPr="00BE5613">
        <w:t xml:space="preserve">explorations beyond </w:t>
      </w:r>
      <w:r w:rsidR="00BD044D" w:rsidRPr="00BE5613">
        <w:t>those that have been conducted so far</w:t>
      </w:r>
      <w:r w:rsidRPr="00BE5613">
        <w:t>.</w:t>
      </w:r>
      <w:r w:rsidR="00BD044D" w:rsidRPr="00BE5613">
        <w:t xml:space="preserve"> Nevertheless, a commonly examined question of the presence of economies of scale can be addressed at this point. Examples of plentiful studies investigating this aspect include Carvalho et al. (2015), Carvalho and Marques (2014), Simões et al. (2013) or </w:t>
      </w:r>
      <w:proofErr w:type="spellStart"/>
      <w:r w:rsidR="00BD044D" w:rsidRPr="00BE5613">
        <w:t>Bartolacci</w:t>
      </w:r>
      <w:proofErr w:type="spellEnd"/>
      <w:r w:rsidR="00BD044D" w:rsidRPr="00BE5613">
        <w:t xml:space="preserve"> et al. (2019). A general conclusion of these studies that the optimal municipal size</w:t>
      </w:r>
      <w:r w:rsidR="00232F89" w:rsidRPr="00BE5613">
        <w:t xml:space="preserve"> for MSWM</w:t>
      </w:r>
      <w:r w:rsidR="00BD044D" w:rsidRPr="00BE5613">
        <w:t xml:space="preserve"> is in the region of 20,000 – 30,000 people. A difficulty here is that the Czech Republic possesses a specific </w:t>
      </w:r>
      <w:r w:rsidR="00BD044D" w:rsidRPr="00BE5613">
        <w:lastRenderedPageBreak/>
        <w:t>municipal structure consisting dominantly of very small municipalities ranging typically from several hundred to one thousand inhabitants (</w:t>
      </w:r>
      <w:r w:rsidR="00232F89" w:rsidRPr="00BE5613">
        <w:t xml:space="preserve">the </w:t>
      </w:r>
      <w:r w:rsidR="00BD044D" w:rsidRPr="00BE5613">
        <w:t xml:space="preserve">median size </w:t>
      </w:r>
      <w:r w:rsidR="00C72052" w:rsidRPr="00BE5613">
        <w:t xml:space="preserve">for the whole country </w:t>
      </w:r>
      <w:r w:rsidR="00BD044D" w:rsidRPr="00BE5613">
        <w:t xml:space="preserve">is </w:t>
      </w:r>
      <w:proofErr w:type="gramStart"/>
      <w:r w:rsidR="00BD044D" w:rsidRPr="00BE5613">
        <w:t>actually below</w:t>
      </w:r>
      <w:proofErr w:type="gramEnd"/>
      <w:r w:rsidR="00BD044D" w:rsidRPr="00BE5613">
        <w:t xml:space="preserve"> 1,000</w:t>
      </w:r>
      <w:r w:rsidR="00232F89" w:rsidRPr="00BE5613">
        <w:t xml:space="preserve"> inhabitants</w:t>
      </w:r>
      <w:r w:rsidR="00BD044D" w:rsidRPr="00BE5613">
        <w:t>).</w:t>
      </w:r>
      <w:r w:rsidR="00232F89" w:rsidRPr="00BE5613">
        <w:t xml:space="preserve"> In the sample, only six municipalities have more than 10,000 inhabitants amongst almost 500 municipalities, acting thus more like a few outliers than typical municipalities that would permit generalizations.</w:t>
      </w:r>
      <w:r w:rsidR="0075421D" w:rsidRPr="00BE5613">
        <w:t xml:space="preserve"> The present results do not support any valid conclusion about the optimal size of a municipality. Even if such a calculation were available, practical implications from this information are very limited as there is very strong </w:t>
      </w:r>
      <w:r w:rsidR="00214F3A" w:rsidRPr="00BE5613">
        <w:t>reluctance</w:t>
      </w:r>
      <w:r w:rsidR="0075421D" w:rsidRPr="00BE5613">
        <w:t xml:space="preserve"> towards any kind of merger or division amongst Czech municipalities. </w:t>
      </w:r>
      <w:r w:rsidR="00214F3A" w:rsidRPr="00BE5613">
        <w:t xml:space="preserve">One way to overcome these uncooperative stances might lie in promoting intermunicipal cooperation in this area, which seems to produce consistent positive, albeit somewhat small, benefits over time (Struk and </w:t>
      </w:r>
      <w:proofErr w:type="spellStart"/>
      <w:r w:rsidR="00214F3A" w:rsidRPr="00BE5613">
        <w:t>Bakoš</w:t>
      </w:r>
      <w:proofErr w:type="spellEnd"/>
      <w:r w:rsidR="00214F3A" w:rsidRPr="00BE5613">
        <w:t>, 2021).</w:t>
      </w:r>
    </w:p>
    <w:p w14:paraId="3FFED730" w14:textId="77777777" w:rsidR="00287CC2" w:rsidRPr="00BE5613" w:rsidRDefault="00287CC2" w:rsidP="00AA45FA">
      <w:pPr>
        <w:spacing w:line="480" w:lineRule="auto"/>
        <w:ind w:firstLine="567"/>
        <w:jc w:val="both"/>
      </w:pPr>
      <w:r w:rsidRPr="00BE5613">
        <w:t xml:space="preserve">Another often </w:t>
      </w:r>
      <w:r w:rsidR="00232F89" w:rsidRPr="00BE5613">
        <w:t>debated</w:t>
      </w:r>
      <w:r w:rsidRPr="00BE5613">
        <w:t xml:space="preserve"> issue in this type of studies is the question of </w:t>
      </w:r>
      <w:r w:rsidR="00A74AC2" w:rsidRPr="00BE5613">
        <w:t xml:space="preserve">the </w:t>
      </w:r>
      <w:r w:rsidRPr="00BE5613">
        <w:t xml:space="preserve">optimal choice between public and private provision of </w:t>
      </w:r>
      <w:r w:rsidR="00A74AC2" w:rsidRPr="00BE5613">
        <w:t>WM</w:t>
      </w:r>
      <w:r w:rsidRPr="00BE5613">
        <w:t xml:space="preserve"> service. </w:t>
      </w:r>
      <w:r w:rsidR="00A74AC2" w:rsidRPr="00BE5613">
        <w:t>T</w:t>
      </w:r>
      <w:r w:rsidRPr="00BE5613">
        <w:t xml:space="preserve">here seems to be a consensus that there is no clear evidence which type of </w:t>
      </w:r>
      <w:r w:rsidR="00A74AC2" w:rsidRPr="00BE5613">
        <w:t xml:space="preserve">provision results in </w:t>
      </w:r>
      <w:r w:rsidRPr="00BE5613">
        <w:t xml:space="preserve">more </w:t>
      </w:r>
      <w:r w:rsidR="00A74AC2" w:rsidRPr="00BE5613">
        <w:t xml:space="preserve">satisfactory MSWM performance. The evidence remains mixed </w:t>
      </w:r>
      <w:r w:rsidRPr="00BE5613">
        <w:t>(</w:t>
      </w:r>
      <w:r w:rsidR="00A74AC2" w:rsidRPr="00BE5613">
        <w:t xml:space="preserve">e.g., </w:t>
      </w:r>
      <w:r w:rsidRPr="00BE5613">
        <w:t xml:space="preserve">Bel and Warner, 2008; Bel et al., 2010), and even </w:t>
      </w:r>
      <w:r w:rsidR="00A74AC2" w:rsidRPr="00BE5613">
        <w:t xml:space="preserve">a </w:t>
      </w:r>
      <w:r w:rsidRPr="00BE5613">
        <w:t>recent study by Bel and Gradus (2018) consider</w:t>
      </w:r>
      <w:r w:rsidR="00180449" w:rsidRPr="00BE5613">
        <w:t>s</w:t>
      </w:r>
      <w:r w:rsidRPr="00BE5613">
        <w:t xml:space="preserve"> this topic to be still open.</w:t>
      </w:r>
      <w:r w:rsidR="00A74AC2" w:rsidRPr="00BE5613">
        <w:t xml:space="preserve"> The role of ownership in provision of WM service</w:t>
      </w:r>
      <w:r w:rsidRPr="00BE5613">
        <w:t xml:space="preserve"> has already been examined for Czech municipalities (Struk, 2018) with basically </w:t>
      </w:r>
      <w:r w:rsidR="00A74AC2" w:rsidRPr="00BE5613">
        <w:t xml:space="preserve">the </w:t>
      </w:r>
      <w:r w:rsidRPr="00BE5613">
        <w:t>same conclusion</w:t>
      </w:r>
      <w:r w:rsidR="00180449" w:rsidRPr="00BE5613">
        <w:t xml:space="preserve"> of no clear preference</w:t>
      </w:r>
      <w:r w:rsidR="00A74AC2" w:rsidRPr="00BE5613">
        <w:t>.</w:t>
      </w:r>
    </w:p>
    <w:p w14:paraId="2E922707" w14:textId="77777777" w:rsidR="0069743E" w:rsidRPr="00BE5613" w:rsidRDefault="0069743E" w:rsidP="00AA45FA">
      <w:pPr>
        <w:spacing w:line="480" w:lineRule="auto"/>
      </w:pPr>
    </w:p>
    <w:p w14:paraId="37F0022C" w14:textId="77777777" w:rsidR="00634C80" w:rsidRPr="00BE5613" w:rsidRDefault="00634C80" w:rsidP="00AA45FA">
      <w:pPr>
        <w:spacing w:line="480" w:lineRule="auto"/>
        <w:rPr>
          <w:b/>
        </w:rPr>
      </w:pPr>
      <w:r w:rsidRPr="00BE5613">
        <w:rPr>
          <w:b/>
        </w:rPr>
        <w:t>5. Conclusion</w:t>
      </w:r>
    </w:p>
    <w:p w14:paraId="0D902888" w14:textId="77777777" w:rsidR="00634C80" w:rsidRPr="00BE5613" w:rsidRDefault="00634C80" w:rsidP="00AA45FA">
      <w:pPr>
        <w:spacing w:line="480" w:lineRule="auto"/>
        <w:ind w:firstLine="567"/>
        <w:jc w:val="both"/>
      </w:pPr>
      <w:r w:rsidRPr="00BE5613">
        <w:t>This study presents a unique case study focused upon Czech municipalities that fulfill their functions in the sphere MSWM in a s</w:t>
      </w:r>
      <w:r w:rsidR="00DF7A78" w:rsidRPr="00BE5613">
        <w:t xml:space="preserve">patially fragmented environment with a preponderance of small municipalities. Irrespective of their size, Czech municipalities are mandated by law to secure WM service, and struggle to comply with this mandate with a tight municipal budget. </w:t>
      </w:r>
      <w:r w:rsidRPr="00BE5613">
        <w:t xml:space="preserve">The study identifies a set of 12 variables answering to the environmental </w:t>
      </w:r>
      <w:r w:rsidRPr="00BE5613">
        <w:lastRenderedPageBreak/>
        <w:t xml:space="preserve">context of MSWM and examines their effect upon municipal </w:t>
      </w:r>
      <w:r w:rsidR="00DF7A78" w:rsidRPr="00BE5613">
        <w:t xml:space="preserve">WM </w:t>
      </w:r>
      <w:r w:rsidRPr="00BE5613">
        <w:t>performance by using a data set on 470 municipalities in the South Moravian Region of the Czech Republic. Nine contextual variables depict the organizational conditions of WM service, and three are general urban factors barely under the control of municipalities. Some of these variables have not been yet used in the follow-up analysis, whilst others are used quite frequently. This study belongs amongst the first undertakings sui generis conducted for a post-Socialist country from Central and Eastern Europe.</w:t>
      </w:r>
    </w:p>
    <w:p w14:paraId="6E6F9503" w14:textId="77777777" w:rsidR="00634C80" w:rsidRPr="00BE5613" w:rsidRDefault="00634C80" w:rsidP="00AA45FA">
      <w:pPr>
        <w:spacing w:line="480" w:lineRule="auto"/>
        <w:ind w:firstLine="567"/>
        <w:jc w:val="both"/>
      </w:pPr>
      <w:r w:rsidRPr="00BE5613">
        <w:t>Performance in MSWM was approached from the perspective of the municipality that is less interested in total waste generation, but its chief goal is securing WM service for all its citizens at a minimum cost represented by MSWE. To the municipality, lower generation of residual waste is more a practical concern motivated by the EU separation targets, and less a consequence of environmental awareness. These conflicting aspects are taken into consideration by postulating four different production models of WM. Models I and II both emphasized the goal to provide a specific service to the municipal population at a minimum of MSWE, but Model II added an environmental perspective focusing on waste separation relative to total waste generation. Model III only comp</w:t>
      </w:r>
      <w:r w:rsidR="00D879B2" w:rsidRPr="00BE5613">
        <w:t>ared these environmentally favo</w:t>
      </w:r>
      <w:r w:rsidRPr="00BE5613">
        <w:t xml:space="preserve">rable outcomes with MSWE, whilst Model IV was only ancillary as it reviewed the ability to handle waste separation relative to the service demanded. </w:t>
      </w:r>
    </w:p>
    <w:p w14:paraId="49B4895A" w14:textId="77777777" w:rsidR="00634C80" w:rsidRPr="00BE5613" w:rsidRDefault="00634C80" w:rsidP="00AA45FA">
      <w:pPr>
        <w:spacing w:line="480" w:lineRule="auto"/>
        <w:ind w:firstLine="567"/>
        <w:jc w:val="both"/>
      </w:pPr>
      <w:r w:rsidRPr="00BE5613">
        <w:t>The performance assessment and the subsequent analysis of the influence that the identified contextual variables exert employed DEA with full and order-</w:t>
      </w:r>
      <w:r w:rsidRPr="00BE5613">
        <w:rPr>
          <w:i/>
        </w:rPr>
        <w:t>m</w:t>
      </w:r>
      <w:r w:rsidRPr="00BE5613">
        <w:t xml:space="preserve"> partial frontiers. In the manner of UTC analysis, unconditional scores were confronted with scores conditional on the environmental context and non-parametrically regressed upon the identified contextual factors. The factors with a positive effect include operating days of an HWRC per week, availability of drop-off sites (especially if one drop-off site serves 600 inhabitants at least), whereas negative effects were ascertained for waste separation and green waste collection </w:t>
      </w:r>
      <w:r w:rsidRPr="00BE5613">
        <w:lastRenderedPageBreak/>
        <w:t xml:space="preserve">programs, and concentration of recreational dwellings. The analysis issues Czech municipalities with interesting policy implications, which are hopefully transferable to other countries or regions with highly fragmented urban structures. For a Czech municipality, high waste collection frequency does not translate into better performance, and a similar neutral effect is also discovered for residual waste bin records </w:t>
      </w:r>
      <w:proofErr w:type="gramStart"/>
      <w:r w:rsidRPr="00BE5613">
        <w:t>in spite of</w:t>
      </w:r>
      <w:proofErr w:type="gramEnd"/>
      <w:r w:rsidRPr="00BE5613">
        <w:t xml:space="preserve"> some </w:t>
      </w:r>
      <w:r w:rsidR="00DF7A78" w:rsidRPr="00BE5613">
        <w:t xml:space="preserve">beneficial </w:t>
      </w:r>
      <w:r w:rsidRPr="00BE5613">
        <w:t xml:space="preserve">practical aspects. To improve on performance in MSWM, Czech municipalities are advised to open their HWRCs to the public as many days a week as conditions allow, and to maintain a network of drop-off sites with sufficient coverage (since a smaller density of drop-off sites may impair performance). It is sort of surprising that curbside collection of recyclables </w:t>
      </w:r>
      <w:proofErr w:type="gramStart"/>
      <w:r w:rsidRPr="00BE5613">
        <w:t>are</w:t>
      </w:r>
      <w:proofErr w:type="gramEnd"/>
      <w:r w:rsidRPr="00BE5613">
        <w:t xml:space="preserve"> found without effect</w:t>
      </w:r>
      <w:r w:rsidR="00DF7A78" w:rsidRPr="00BE5613">
        <w:t xml:space="preserve"> upon performance</w:t>
      </w:r>
      <w:r w:rsidRPr="00BE5613">
        <w:t>, but this may be owing to the fact of the relative recency of this measure in the year 2012 for which the data are available. Additionally, waste separation incentives are found without beneficial effects upon performance in MSWM, and so are green waste collection</w:t>
      </w:r>
      <w:r w:rsidR="00314F5C" w:rsidRPr="00BE5613">
        <w:t xml:space="preserve"> programs. The finding is uncommon as these programs are normally quite effective when the </w:t>
      </w:r>
      <w:proofErr w:type="gramStart"/>
      <w:r w:rsidR="00314F5C" w:rsidRPr="00BE5613">
        <w:t>main focus</w:t>
      </w:r>
      <w:proofErr w:type="gramEnd"/>
      <w:r w:rsidR="00314F5C" w:rsidRPr="00BE5613">
        <w:t xml:space="preserve"> is upon increasing the waste separation rate.</w:t>
      </w:r>
    </w:p>
    <w:p w14:paraId="2E0625E0" w14:textId="77777777" w:rsidR="00634C80" w:rsidRPr="00BE5613" w:rsidRDefault="00634C80" w:rsidP="00AA45FA">
      <w:pPr>
        <w:spacing w:line="480" w:lineRule="auto"/>
        <w:ind w:firstLine="567"/>
        <w:jc w:val="both"/>
      </w:pPr>
      <w:r w:rsidRPr="00BE5613">
        <w:t xml:space="preserve">Results as these can be useful for policy makers and waste practitioners when setting up a WM system or a general WM framework. Especially factors that are within the reach of the municipality or a governing body and that have a significant influence upon performance in MSWM are of interest and must be pinpointed. Their knowledge can be utilized to the benefit of municipalities, particularly in situations when there are numerous and small municipalities that are understaffed and unable to properly analyze the WM process and evaluate possible effect of potentially influential factors. </w:t>
      </w:r>
    </w:p>
    <w:p w14:paraId="3CE7D698" w14:textId="77777777" w:rsidR="00634C80" w:rsidRPr="00BE5613" w:rsidRDefault="00634C80" w:rsidP="00AA45FA">
      <w:pPr>
        <w:spacing w:line="480" w:lineRule="auto"/>
        <w:ind w:firstLine="567"/>
        <w:jc w:val="both"/>
      </w:pPr>
      <w:r w:rsidRPr="00BE5613">
        <w:t xml:space="preserve">Although the four production models of WM service gave harmonious results, this need not always be so. In fact, the input-output specification behind Models I – IV in which some variables alternate between inputs and outputs is far from ideal, but it rests upon the standpoint taken in looking at WM service. A further investigation is needed to reconcile </w:t>
      </w:r>
      <w:r w:rsidRPr="00BE5613">
        <w:lastRenderedPageBreak/>
        <w:t xml:space="preserve">different angles from which WM service can be scrutinized. A practical solution might be to assemble WM service as a several-stage process, in which, e.g., MSWE is employed to match the potential demand (population size, built-up area, </w:t>
      </w:r>
      <w:r w:rsidR="00314F5C" w:rsidRPr="00BE5613">
        <w:t>housing units</w:t>
      </w:r>
      <w:r w:rsidRPr="00BE5613">
        <w:t>) in Stage I, and then actual demand (generation of waste) is transformed into the actual demand (generation of waste) in Stage II. These considerations open a new direction of research in MSWM performance.</w:t>
      </w:r>
    </w:p>
    <w:p w14:paraId="2520655B" w14:textId="77777777" w:rsidR="00634C80" w:rsidRPr="00BE5613" w:rsidRDefault="00634C80" w:rsidP="00AA45FA">
      <w:pPr>
        <w:spacing w:line="480" w:lineRule="auto"/>
      </w:pPr>
    </w:p>
    <w:p w14:paraId="66DD0941" w14:textId="77777777" w:rsidR="00634C80" w:rsidRPr="00BE5613" w:rsidRDefault="00634C80" w:rsidP="00AA45FA">
      <w:pPr>
        <w:spacing w:line="480" w:lineRule="auto"/>
        <w:rPr>
          <w:b/>
        </w:rPr>
      </w:pPr>
      <w:r w:rsidRPr="00BE5613">
        <w:rPr>
          <w:b/>
        </w:rPr>
        <w:t>Acknowledgement</w:t>
      </w:r>
    </w:p>
    <w:p w14:paraId="48B90177" w14:textId="77777777" w:rsidR="00634C80" w:rsidRPr="00BE5613" w:rsidRDefault="00634C80" w:rsidP="00AA45FA">
      <w:pPr>
        <w:spacing w:line="480" w:lineRule="auto"/>
        <w:jc w:val="both"/>
      </w:pPr>
      <w:r w:rsidRPr="00BE5613">
        <w:t xml:space="preserve">This paper is an outcome of research project no. TL01000305 funded by the Technology Agency of the Czech Republic. </w:t>
      </w:r>
    </w:p>
    <w:p w14:paraId="7C7A1FEC" w14:textId="77777777" w:rsidR="00634C80" w:rsidRPr="00BE5613" w:rsidRDefault="00634C80" w:rsidP="00AF5E38"/>
    <w:p w14:paraId="74279DF0" w14:textId="77777777" w:rsidR="0069743E" w:rsidRPr="00BE5613" w:rsidRDefault="0069743E" w:rsidP="00AF5E38"/>
    <w:p w14:paraId="2EE2EE1C" w14:textId="77777777" w:rsidR="0069743E" w:rsidRPr="00BE5613" w:rsidRDefault="00B97F4A" w:rsidP="00A74AC2">
      <w:pPr>
        <w:jc w:val="both"/>
      </w:pPr>
      <w:r w:rsidRPr="00BE5613">
        <w:br w:type="page"/>
      </w:r>
    </w:p>
    <w:p w14:paraId="52D56DA1" w14:textId="77777777" w:rsidR="00CA2553" w:rsidRPr="00BE5613" w:rsidRDefault="00CA2553" w:rsidP="00CA2553">
      <w:pPr>
        <w:rPr>
          <w:b/>
        </w:rPr>
      </w:pPr>
      <w:r w:rsidRPr="00BE5613">
        <w:rPr>
          <w:b/>
        </w:rPr>
        <w:t xml:space="preserve">Appendix </w:t>
      </w:r>
      <w:bookmarkStart w:id="13" w:name="appendix_stats"/>
      <w:r w:rsidR="002E70D2" w:rsidRPr="00BE5613">
        <w:rPr>
          <w:b/>
        </w:rPr>
        <w:fldChar w:fldCharType="begin"/>
      </w:r>
      <w:r w:rsidR="002E70D2" w:rsidRPr="00BE5613">
        <w:rPr>
          <w:b/>
        </w:rPr>
        <w:instrText xml:space="preserve"> SEQ appendix \* ALPHABETIC  \* MERGEFORMAT </w:instrText>
      </w:r>
      <w:r w:rsidR="002E70D2" w:rsidRPr="00BE5613">
        <w:rPr>
          <w:b/>
        </w:rPr>
        <w:fldChar w:fldCharType="separate"/>
      </w:r>
      <w:r w:rsidR="00AA45FA" w:rsidRPr="00BE5613">
        <w:rPr>
          <w:b/>
          <w:noProof/>
        </w:rPr>
        <w:t>A</w:t>
      </w:r>
      <w:r w:rsidR="002E70D2" w:rsidRPr="00BE5613">
        <w:rPr>
          <w:b/>
        </w:rPr>
        <w:fldChar w:fldCharType="end"/>
      </w:r>
      <w:bookmarkEnd w:id="13"/>
    </w:p>
    <w:p w14:paraId="60DBA1F0" w14:textId="77777777" w:rsidR="00CA2553" w:rsidRPr="00BE5613" w:rsidRDefault="00CA2553" w:rsidP="00CA2553"/>
    <w:p w14:paraId="64E055F8" w14:textId="77777777" w:rsidR="00CA2553" w:rsidRPr="00BE5613" w:rsidRDefault="00CA2553" w:rsidP="00CA2553">
      <w:pPr>
        <w:jc w:val="both"/>
      </w:pPr>
      <w:r w:rsidRPr="00BE5613">
        <w:t>Descriptive statistics of input-output data and contextual variables</w:t>
      </w:r>
    </w:p>
    <w:tbl>
      <w:tblPr>
        <w:tblW w:w="9100" w:type="dxa"/>
        <w:tblBorders>
          <w:top w:val="single" w:sz="4" w:space="0" w:color="auto"/>
          <w:bottom w:val="single" w:sz="4" w:space="0" w:color="auto"/>
          <w:insideH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4139"/>
        <w:gridCol w:w="992"/>
        <w:gridCol w:w="992"/>
        <w:gridCol w:w="992"/>
        <w:gridCol w:w="992"/>
        <w:gridCol w:w="993"/>
      </w:tblGrid>
      <w:tr w:rsidR="00CA2553" w:rsidRPr="00BE5613" w14:paraId="0F6856D5" w14:textId="77777777">
        <w:trPr>
          <w:trHeight w:val="448"/>
        </w:trPr>
        <w:tc>
          <w:tcPr>
            <w:tcW w:w="4139" w:type="dxa"/>
            <w:tcBorders>
              <w:bottom w:val="single" w:sz="4" w:space="0" w:color="auto"/>
            </w:tcBorders>
            <w:shd w:val="clear" w:color="auto" w:fill="FFFFFF"/>
            <w:vAlign w:val="center"/>
          </w:tcPr>
          <w:p w14:paraId="0D4EE682" w14:textId="77777777" w:rsidR="00CA2553" w:rsidRPr="00BE5613" w:rsidRDefault="00CA2553" w:rsidP="003D4C06">
            <w:pPr>
              <w:jc w:val="center"/>
              <w:rPr>
                <w:b/>
                <w:sz w:val="22"/>
                <w:szCs w:val="22"/>
              </w:rPr>
            </w:pPr>
          </w:p>
        </w:tc>
        <w:tc>
          <w:tcPr>
            <w:tcW w:w="992" w:type="dxa"/>
            <w:tcBorders>
              <w:bottom w:val="single" w:sz="4" w:space="0" w:color="auto"/>
              <w:right w:val="nil"/>
            </w:tcBorders>
            <w:shd w:val="clear" w:color="auto" w:fill="FFFFFF"/>
            <w:vAlign w:val="center"/>
          </w:tcPr>
          <w:p w14:paraId="26EDD3C8" w14:textId="77777777" w:rsidR="00CA2553" w:rsidRPr="00BE5613" w:rsidRDefault="00CA2553" w:rsidP="003D4C06">
            <w:pPr>
              <w:jc w:val="center"/>
              <w:rPr>
                <w:sz w:val="22"/>
                <w:szCs w:val="22"/>
              </w:rPr>
            </w:pPr>
            <w:r w:rsidRPr="00BE5613">
              <w:rPr>
                <w:sz w:val="22"/>
                <w:szCs w:val="22"/>
              </w:rPr>
              <w:t>Mean</w:t>
            </w:r>
          </w:p>
        </w:tc>
        <w:tc>
          <w:tcPr>
            <w:tcW w:w="992" w:type="dxa"/>
            <w:tcBorders>
              <w:left w:val="nil"/>
              <w:bottom w:val="single" w:sz="4" w:space="0" w:color="auto"/>
              <w:right w:val="nil"/>
            </w:tcBorders>
            <w:shd w:val="clear" w:color="auto" w:fill="FFFFFF"/>
            <w:vAlign w:val="center"/>
          </w:tcPr>
          <w:p w14:paraId="0CE26F3C" w14:textId="77777777" w:rsidR="00CA2553" w:rsidRPr="00BE5613" w:rsidRDefault="00CA2553" w:rsidP="003D4C06">
            <w:pPr>
              <w:jc w:val="center"/>
              <w:rPr>
                <w:sz w:val="22"/>
                <w:szCs w:val="22"/>
              </w:rPr>
            </w:pPr>
            <w:r w:rsidRPr="00BE5613">
              <w:rPr>
                <w:sz w:val="22"/>
                <w:szCs w:val="22"/>
              </w:rPr>
              <w:t>Standard deviation</w:t>
            </w:r>
          </w:p>
        </w:tc>
        <w:tc>
          <w:tcPr>
            <w:tcW w:w="992" w:type="dxa"/>
            <w:tcBorders>
              <w:left w:val="nil"/>
              <w:bottom w:val="single" w:sz="4" w:space="0" w:color="auto"/>
              <w:right w:val="nil"/>
            </w:tcBorders>
            <w:shd w:val="clear" w:color="auto" w:fill="FFFFFF"/>
            <w:vAlign w:val="center"/>
          </w:tcPr>
          <w:p w14:paraId="65D20086" w14:textId="77777777" w:rsidR="00CA2553" w:rsidRPr="00BE5613" w:rsidRDefault="00CA2553" w:rsidP="003D4C06">
            <w:pPr>
              <w:jc w:val="center"/>
              <w:rPr>
                <w:sz w:val="22"/>
                <w:szCs w:val="22"/>
              </w:rPr>
            </w:pPr>
            <w:r w:rsidRPr="00BE5613">
              <w:rPr>
                <w:sz w:val="22"/>
                <w:szCs w:val="22"/>
              </w:rPr>
              <w:t>Median</w:t>
            </w:r>
          </w:p>
        </w:tc>
        <w:tc>
          <w:tcPr>
            <w:tcW w:w="992" w:type="dxa"/>
            <w:tcBorders>
              <w:left w:val="nil"/>
              <w:bottom w:val="single" w:sz="4" w:space="0" w:color="auto"/>
            </w:tcBorders>
            <w:shd w:val="clear" w:color="auto" w:fill="FFFFFF"/>
            <w:vAlign w:val="center"/>
          </w:tcPr>
          <w:p w14:paraId="446B0991" w14:textId="77777777" w:rsidR="00CA2553" w:rsidRPr="00BE5613" w:rsidRDefault="00CA2553" w:rsidP="003D4C06">
            <w:pPr>
              <w:jc w:val="center"/>
              <w:rPr>
                <w:sz w:val="22"/>
                <w:szCs w:val="22"/>
              </w:rPr>
            </w:pPr>
            <w:r w:rsidRPr="00BE5613">
              <w:rPr>
                <w:sz w:val="22"/>
                <w:szCs w:val="22"/>
              </w:rPr>
              <w:t>Minimum</w:t>
            </w:r>
          </w:p>
        </w:tc>
        <w:tc>
          <w:tcPr>
            <w:tcW w:w="993" w:type="dxa"/>
            <w:tcBorders>
              <w:bottom w:val="single" w:sz="4" w:space="0" w:color="auto"/>
            </w:tcBorders>
            <w:shd w:val="clear" w:color="auto" w:fill="FFFFFF"/>
            <w:vAlign w:val="center"/>
          </w:tcPr>
          <w:p w14:paraId="595AE74D" w14:textId="77777777" w:rsidR="00CA2553" w:rsidRPr="00BE5613" w:rsidRDefault="00CA2553" w:rsidP="003D4C06">
            <w:pPr>
              <w:jc w:val="center"/>
              <w:rPr>
                <w:sz w:val="22"/>
                <w:szCs w:val="22"/>
              </w:rPr>
            </w:pPr>
            <w:r w:rsidRPr="00BE5613">
              <w:rPr>
                <w:sz w:val="22"/>
                <w:szCs w:val="22"/>
              </w:rPr>
              <w:t>Maximum</w:t>
            </w:r>
          </w:p>
        </w:tc>
      </w:tr>
      <w:tr w:rsidR="00CA2553" w:rsidRPr="00BE5613" w14:paraId="655E1B3D" w14:textId="77777777">
        <w:trPr>
          <w:trHeight w:val="41"/>
        </w:trPr>
        <w:tc>
          <w:tcPr>
            <w:tcW w:w="4139" w:type="dxa"/>
            <w:tcBorders>
              <w:bottom w:val="nil"/>
            </w:tcBorders>
            <w:shd w:val="clear" w:color="auto" w:fill="E6E6E6"/>
            <w:vAlign w:val="center"/>
          </w:tcPr>
          <w:p w14:paraId="30D7E566" w14:textId="77777777" w:rsidR="00CA2553" w:rsidRPr="00BE5613" w:rsidRDefault="00CA2553" w:rsidP="003D4C06">
            <w:pPr>
              <w:ind w:left="142" w:right="255"/>
              <w:rPr>
                <w:sz w:val="22"/>
                <w:szCs w:val="22"/>
              </w:rPr>
            </w:pPr>
            <w:r w:rsidRPr="00BE5613">
              <w:rPr>
                <w:sz w:val="22"/>
                <w:szCs w:val="22"/>
              </w:rPr>
              <w:t>Production variables</w:t>
            </w:r>
          </w:p>
        </w:tc>
        <w:tc>
          <w:tcPr>
            <w:tcW w:w="992" w:type="dxa"/>
            <w:tcBorders>
              <w:bottom w:val="nil"/>
              <w:right w:val="nil"/>
            </w:tcBorders>
            <w:shd w:val="clear" w:color="auto" w:fill="E6E6E6"/>
            <w:vAlign w:val="center"/>
          </w:tcPr>
          <w:p w14:paraId="6588407C"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right w:val="nil"/>
            </w:tcBorders>
            <w:shd w:val="clear" w:color="auto" w:fill="E6E6E6"/>
            <w:vAlign w:val="center"/>
          </w:tcPr>
          <w:p w14:paraId="371ECB5C"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right w:val="nil"/>
            </w:tcBorders>
            <w:shd w:val="clear" w:color="auto" w:fill="E6E6E6"/>
            <w:vAlign w:val="center"/>
          </w:tcPr>
          <w:p w14:paraId="336C5AFE"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tcBorders>
            <w:shd w:val="clear" w:color="auto" w:fill="E6E6E6"/>
            <w:vAlign w:val="center"/>
          </w:tcPr>
          <w:p w14:paraId="5EEBA28E" w14:textId="77777777" w:rsidR="00CA2553" w:rsidRPr="00BE5613" w:rsidRDefault="00CA2553" w:rsidP="003D4C06">
            <w:pPr>
              <w:tabs>
                <w:tab w:val="left" w:pos="1673"/>
              </w:tabs>
              <w:ind w:left="224" w:right="114" w:hanging="142"/>
              <w:rPr>
                <w:sz w:val="22"/>
                <w:szCs w:val="22"/>
              </w:rPr>
            </w:pPr>
          </w:p>
        </w:tc>
        <w:tc>
          <w:tcPr>
            <w:tcW w:w="993" w:type="dxa"/>
            <w:tcBorders>
              <w:bottom w:val="nil"/>
            </w:tcBorders>
            <w:shd w:val="clear" w:color="auto" w:fill="E6E6E6"/>
            <w:vAlign w:val="center"/>
          </w:tcPr>
          <w:p w14:paraId="10C80B17" w14:textId="77777777" w:rsidR="00CA2553" w:rsidRPr="00BE5613" w:rsidRDefault="00CA2553" w:rsidP="003D4C06">
            <w:pPr>
              <w:tabs>
                <w:tab w:val="left" w:pos="1673"/>
              </w:tabs>
              <w:jc w:val="center"/>
              <w:rPr>
                <w:sz w:val="22"/>
                <w:szCs w:val="22"/>
              </w:rPr>
            </w:pPr>
          </w:p>
        </w:tc>
      </w:tr>
      <w:tr w:rsidR="00CA2553" w:rsidRPr="00BE5613" w14:paraId="37B63777" w14:textId="77777777">
        <w:trPr>
          <w:trHeight w:val="41"/>
        </w:trPr>
        <w:tc>
          <w:tcPr>
            <w:tcW w:w="4139" w:type="dxa"/>
            <w:tcBorders>
              <w:top w:val="nil"/>
              <w:bottom w:val="nil"/>
            </w:tcBorders>
            <w:shd w:val="clear" w:color="auto" w:fill="FFFFFF"/>
            <w:vAlign w:val="center"/>
          </w:tcPr>
          <w:p w14:paraId="6647E19A" w14:textId="77777777" w:rsidR="00CA2553" w:rsidRPr="00BE5613" w:rsidRDefault="00CA2553" w:rsidP="003D4C06">
            <w:pPr>
              <w:ind w:left="142" w:right="255"/>
              <w:rPr>
                <w:sz w:val="22"/>
                <w:szCs w:val="22"/>
              </w:rPr>
            </w:pPr>
            <w:r w:rsidRPr="00BE5613">
              <w:rPr>
                <w:sz w:val="22"/>
                <w:szCs w:val="22"/>
              </w:rPr>
              <w:t>MSWE</w:t>
            </w:r>
          </w:p>
        </w:tc>
        <w:tc>
          <w:tcPr>
            <w:tcW w:w="992" w:type="dxa"/>
            <w:tcBorders>
              <w:top w:val="nil"/>
              <w:bottom w:val="nil"/>
              <w:right w:val="nil"/>
            </w:tcBorders>
            <w:shd w:val="clear" w:color="auto" w:fill="FFFFFF"/>
            <w:vAlign w:val="bottom"/>
          </w:tcPr>
          <w:p w14:paraId="6EA6C71B" w14:textId="77777777" w:rsidR="00CA2553" w:rsidRPr="00BE5613" w:rsidRDefault="00CA2553" w:rsidP="003D4C06">
            <w:pPr>
              <w:jc w:val="center"/>
              <w:rPr>
                <w:sz w:val="22"/>
                <w:szCs w:val="22"/>
              </w:rPr>
            </w:pPr>
            <w:r w:rsidRPr="00BE5613">
              <w:rPr>
                <w:sz w:val="22"/>
                <w:szCs w:val="22"/>
              </w:rPr>
              <w:t>659.898</w:t>
            </w:r>
          </w:p>
        </w:tc>
        <w:tc>
          <w:tcPr>
            <w:tcW w:w="992" w:type="dxa"/>
            <w:tcBorders>
              <w:top w:val="nil"/>
              <w:left w:val="nil"/>
              <w:bottom w:val="nil"/>
              <w:right w:val="nil"/>
            </w:tcBorders>
            <w:shd w:val="clear" w:color="auto" w:fill="FFFFFF"/>
            <w:vAlign w:val="bottom"/>
          </w:tcPr>
          <w:p w14:paraId="0F3141CF" w14:textId="77777777" w:rsidR="00CA2553" w:rsidRPr="00BE5613" w:rsidRDefault="00CA2553" w:rsidP="003D4C06">
            <w:pPr>
              <w:jc w:val="center"/>
              <w:rPr>
                <w:sz w:val="22"/>
                <w:szCs w:val="22"/>
              </w:rPr>
            </w:pPr>
            <w:r w:rsidRPr="00BE5613">
              <w:rPr>
                <w:sz w:val="22"/>
                <w:szCs w:val="22"/>
              </w:rPr>
              <w:t>1932.787</w:t>
            </w:r>
          </w:p>
        </w:tc>
        <w:tc>
          <w:tcPr>
            <w:tcW w:w="992" w:type="dxa"/>
            <w:tcBorders>
              <w:top w:val="nil"/>
              <w:left w:val="nil"/>
              <w:bottom w:val="nil"/>
              <w:right w:val="nil"/>
            </w:tcBorders>
            <w:shd w:val="clear" w:color="auto" w:fill="FFFFFF"/>
            <w:vAlign w:val="bottom"/>
          </w:tcPr>
          <w:p w14:paraId="6FB6645C" w14:textId="77777777" w:rsidR="00CA2553" w:rsidRPr="00BE5613" w:rsidRDefault="00CA2553" w:rsidP="003D4C06">
            <w:pPr>
              <w:jc w:val="center"/>
              <w:rPr>
                <w:sz w:val="22"/>
                <w:szCs w:val="22"/>
              </w:rPr>
            </w:pPr>
            <w:r w:rsidRPr="00BE5613">
              <w:rPr>
                <w:sz w:val="22"/>
                <w:szCs w:val="22"/>
              </w:rPr>
              <w:t>319.385</w:t>
            </w:r>
          </w:p>
        </w:tc>
        <w:tc>
          <w:tcPr>
            <w:tcW w:w="992" w:type="dxa"/>
            <w:tcBorders>
              <w:top w:val="nil"/>
              <w:left w:val="nil"/>
              <w:bottom w:val="nil"/>
            </w:tcBorders>
            <w:shd w:val="clear" w:color="auto" w:fill="FFFFFF"/>
            <w:vAlign w:val="bottom"/>
          </w:tcPr>
          <w:p w14:paraId="4335062C" w14:textId="77777777" w:rsidR="00CA2553" w:rsidRPr="00BE5613" w:rsidRDefault="00CA2553" w:rsidP="003D4C06">
            <w:pPr>
              <w:jc w:val="center"/>
              <w:rPr>
                <w:sz w:val="22"/>
                <w:szCs w:val="22"/>
              </w:rPr>
            </w:pPr>
            <w:r w:rsidRPr="00BE5613">
              <w:rPr>
                <w:sz w:val="22"/>
                <w:szCs w:val="22"/>
              </w:rPr>
              <w:t>20.867</w:t>
            </w:r>
          </w:p>
        </w:tc>
        <w:tc>
          <w:tcPr>
            <w:tcW w:w="993" w:type="dxa"/>
            <w:tcBorders>
              <w:top w:val="nil"/>
              <w:bottom w:val="nil"/>
            </w:tcBorders>
            <w:shd w:val="clear" w:color="auto" w:fill="FFFFFF"/>
            <w:vAlign w:val="bottom"/>
          </w:tcPr>
          <w:p w14:paraId="643A9D6C" w14:textId="77777777" w:rsidR="00CA2553" w:rsidRPr="00BE5613" w:rsidRDefault="00CA2553" w:rsidP="003D4C06">
            <w:pPr>
              <w:jc w:val="center"/>
              <w:rPr>
                <w:sz w:val="22"/>
                <w:szCs w:val="22"/>
              </w:rPr>
            </w:pPr>
            <w:r w:rsidRPr="00BE5613">
              <w:rPr>
                <w:sz w:val="22"/>
                <w:szCs w:val="22"/>
              </w:rPr>
              <w:t>34798.929</w:t>
            </w:r>
          </w:p>
        </w:tc>
      </w:tr>
      <w:tr w:rsidR="00CA2553" w:rsidRPr="00BE5613" w14:paraId="7F819697" w14:textId="77777777">
        <w:trPr>
          <w:trHeight w:val="41"/>
        </w:trPr>
        <w:tc>
          <w:tcPr>
            <w:tcW w:w="4139" w:type="dxa"/>
            <w:tcBorders>
              <w:top w:val="nil"/>
              <w:bottom w:val="nil"/>
            </w:tcBorders>
            <w:shd w:val="clear" w:color="auto" w:fill="FFFFFF"/>
            <w:vAlign w:val="center"/>
          </w:tcPr>
          <w:p w14:paraId="647A940A" w14:textId="77777777" w:rsidR="00CA2553" w:rsidRPr="00BE5613" w:rsidRDefault="00CA2553" w:rsidP="003D4C06">
            <w:pPr>
              <w:ind w:left="142" w:right="255"/>
              <w:rPr>
                <w:sz w:val="22"/>
                <w:szCs w:val="22"/>
              </w:rPr>
            </w:pPr>
            <w:r w:rsidRPr="00BE5613">
              <w:rPr>
                <w:sz w:val="22"/>
                <w:szCs w:val="22"/>
              </w:rPr>
              <w:t>Population</w:t>
            </w:r>
          </w:p>
        </w:tc>
        <w:tc>
          <w:tcPr>
            <w:tcW w:w="992" w:type="dxa"/>
            <w:tcBorders>
              <w:top w:val="nil"/>
              <w:bottom w:val="nil"/>
              <w:right w:val="nil"/>
            </w:tcBorders>
            <w:shd w:val="clear" w:color="auto" w:fill="FFFFFF"/>
            <w:vAlign w:val="bottom"/>
          </w:tcPr>
          <w:p w14:paraId="4D8E2C3B" w14:textId="77777777" w:rsidR="00CA2553" w:rsidRPr="00BE5613" w:rsidRDefault="00CA2553" w:rsidP="003D4C06">
            <w:pPr>
              <w:jc w:val="center"/>
              <w:rPr>
                <w:sz w:val="22"/>
                <w:szCs w:val="22"/>
              </w:rPr>
            </w:pPr>
            <w:r w:rsidRPr="00BE5613">
              <w:rPr>
                <w:sz w:val="22"/>
                <w:szCs w:val="22"/>
              </w:rPr>
              <w:t>1083.100</w:t>
            </w:r>
          </w:p>
        </w:tc>
        <w:tc>
          <w:tcPr>
            <w:tcW w:w="992" w:type="dxa"/>
            <w:tcBorders>
              <w:top w:val="nil"/>
              <w:left w:val="nil"/>
              <w:bottom w:val="nil"/>
              <w:right w:val="nil"/>
            </w:tcBorders>
            <w:shd w:val="clear" w:color="auto" w:fill="FFFFFF"/>
            <w:vAlign w:val="bottom"/>
          </w:tcPr>
          <w:p w14:paraId="6243C326" w14:textId="77777777" w:rsidR="00CA2553" w:rsidRPr="00BE5613" w:rsidRDefault="00CA2553" w:rsidP="003D4C06">
            <w:pPr>
              <w:jc w:val="center"/>
              <w:rPr>
                <w:sz w:val="22"/>
                <w:szCs w:val="22"/>
              </w:rPr>
            </w:pPr>
            <w:r w:rsidRPr="00BE5613">
              <w:rPr>
                <w:sz w:val="22"/>
                <w:szCs w:val="22"/>
              </w:rPr>
              <w:t>2343.779</w:t>
            </w:r>
          </w:p>
        </w:tc>
        <w:tc>
          <w:tcPr>
            <w:tcW w:w="992" w:type="dxa"/>
            <w:tcBorders>
              <w:top w:val="nil"/>
              <w:left w:val="nil"/>
              <w:bottom w:val="nil"/>
              <w:right w:val="nil"/>
            </w:tcBorders>
            <w:shd w:val="clear" w:color="auto" w:fill="FFFFFF"/>
            <w:vAlign w:val="bottom"/>
          </w:tcPr>
          <w:p w14:paraId="5CA28256" w14:textId="77777777" w:rsidR="00CA2553" w:rsidRPr="00BE5613" w:rsidRDefault="00CA2553" w:rsidP="003D4C06">
            <w:pPr>
              <w:jc w:val="center"/>
              <w:rPr>
                <w:sz w:val="22"/>
                <w:szCs w:val="22"/>
              </w:rPr>
            </w:pPr>
            <w:r w:rsidRPr="00BE5613">
              <w:rPr>
                <w:sz w:val="22"/>
                <w:szCs w:val="22"/>
              </w:rPr>
              <w:t>589.000</w:t>
            </w:r>
          </w:p>
        </w:tc>
        <w:tc>
          <w:tcPr>
            <w:tcW w:w="992" w:type="dxa"/>
            <w:tcBorders>
              <w:top w:val="nil"/>
              <w:left w:val="nil"/>
              <w:bottom w:val="nil"/>
            </w:tcBorders>
            <w:shd w:val="clear" w:color="auto" w:fill="FFFFFF"/>
            <w:vAlign w:val="bottom"/>
          </w:tcPr>
          <w:p w14:paraId="616F0EE8" w14:textId="77777777" w:rsidR="00CA2553" w:rsidRPr="00BE5613" w:rsidRDefault="00CA2553" w:rsidP="003D4C06">
            <w:pPr>
              <w:jc w:val="center"/>
              <w:rPr>
                <w:sz w:val="22"/>
                <w:szCs w:val="22"/>
              </w:rPr>
            </w:pPr>
            <w:r w:rsidRPr="00BE5613">
              <w:rPr>
                <w:sz w:val="22"/>
                <w:szCs w:val="22"/>
              </w:rPr>
              <w:t>36.000</w:t>
            </w:r>
          </w:p>
        </w:tc>
        <w:tc>
          <w:tcPr>
            <w:tcW w:w="993" w:type="dxa"/>
            <w:tcBorders>
              <w:top w:val="nil"/>
              <w:bottom w:val="nil"/>
            </w:tcBorders>
            <w:shd w:val="clear" w:color="auto" w:fill="FFFFFF"/>
            <w:vAlign w:val="bottom"/>
          </w:tcPr>
          <w:p w14:paraId="7C9BC92C" w14:textId="77777777" w:rsidR="00CA2553" w:rsidRPr="00BE5613" w:rsidRDefault="00CA2553" w:rsidP="003D4C06">
            <w:pPr>
              <w:jc w:val="center"/>
              <w:rPr>
                <w:sz w:val="22"/>
                <w:szCs w:val="22"/>
              </w:rPr>
            </w:pPr>
            <w:r w:rsidRPr="00BE5613">
              <w:rPr>
                <w:sz w:val="22"/>
                <w:szCs w:val="22"/>
              </w:rPr>
              <w:t>34073.000</w:t>
            </w:r>
          </w:p>
        </w:tc>
      </w:tr>
      <w:tr w:rsidR="00CA2553" w:rsidRPr="00BE5613" w14:paraId="13C41494" w14:textId="77777777">
        <w:trPr>
          <w:trHeight w:val="41"/>
        </w:trPr>
        <w:tc>
          <w:tcPr>
            <w:tcW w:w="4139" w:type="dxa"/>
            <w:tcBorders>
              <w:top w:val="nil"/>
              <w:bottom w:val="nil"/>
            </w:tcBorders>
            <w:shd w:val="clear" w:color="auto" w:fill="FFFFFF"/>
            <w:vAlign w:val="center"/>
          </w:tcPr>
          <w:p w14:paraId="297B1791" w14:textId="77777777" w:rsidR="00CA2553" w:rsidRPr="00BE5613" w:rsidRDefault="00CA2553" w:rsidP="003D4C06">
            <w:pPr>
              <w:ind w:left="142" w:right="255"/>
              <w:rPr>
                <w:sz w:val="22"/>
                <w:szCs w:val="22"/>
              </w:rPr>
            </w:pPr>
            <w:r w:rsidRPr="00BE5613">
              <w:rPr>
                <w:sz w:val="22"/>
                <w:szCs w:val="22"/>
              </w:rPr>
              <w:t>Built-up area</w:t>
            </w:r>
          </w:p>
        </w:tc>
        <w:tc>
          <w:tcPr>
            <w:tcW w:w="992" w:type="dxa"/>
            <w:tcBorders>
              <w:top w:val="nil"/>
              <w:bottom w:val="nil"/>
              <w:right w:val="nil"/>
            </w:tcBorders>
            <w:shd w:val="clear" w:color="auto" w:fill="FFFFFF"/>
            <w:vAlign w:val="bottom"/>
          </w:tcPr>
          <w:p w14:paraId="7243E120" w14:textId="77777777" w:rsidR="00CA2553" w:rsidRPr="00BE5613" w:rsidRDefault="00CA2553" w:rsidP="003D4C06">
            <w:pPr>
              <w:jc w:val="center"/>
              <w:rPr>
                <w:sz w:val="22"/>
                <w:szCs w:val="22"/>
              </w:rPr>
            </w:pPr>
            <w:r w:rsidRPr="00BE5613">
              <w:rPr>
                <w:sz w:val="22"/>
                <w:szCs w:val="22"/>
              </w:rPr>
              <w:t>16.932</w:t>
            </w:r>
          </w:p>
        </w:tc>
        <w:tc>
          <w:tcPr>
            <w:tcW w:w="992" w:type="dxa"/>
            <w:tcBorders>
              <w:top w:val="nil"/>
              <w:left w:val="nil"/>
              <w:bottom w:val="nil"/>
              <w:right w:val="nil"/>
            </w:tcBorders>
            <w:shd w:val="clear" w:color="auto" w:fill="FFFFFF"/>
            <w:vAlign w:val="bottom"/>
          </w:tcPr>
          <w:p w14:paraId="31208575" w14:textId="77777777" w:rsidR="00CA2553" w:rsidRPr="00BE5613" w:rsidRDefault="00CA2553" w:rsidP="003D4C06">
            <w:pPr>
              <w:jc w:val="center"/>
              <w:rPr>
                <w:sz w:val="22"/>
                <w:szCs w:val="22"/>
              </w:rPr>
            </w:pPr>
            <w:r w:rsidRPr="00BE5613">
              <w:rPr>
                <w:sz w:val="22"/>
                <w:szCs w:val="22"/>
              </w:rPr>
              <w:t>21.687</w:t>
            </w:r>
          </w:p>
        </w:tc>
        <w:tc>
          <w:tcPr>
            <w:tcW w:w="992" w:type="dxa"/>
            <w:tcBorders>
              <w:top w:val="nil"/>
              <w:left w:val="nil"/>
              <w:bottom w:val="nil"/>
              <w:right w:val="nil"/>
            </w:tcBorders>
            <w:shd w:val="clear" w:color="auto" w:fill="FFFFFF"/>
            <w:vAlign w:val="bottom"/>
          </w:tcPr>
          <w:p w14:paraId="47ACA4A8" w14:textId="77777777" w:rsidR="00CA2553" w:rsidRPr="00BE5613" w:rsidRDefault="00CA2553" w:rsidP="003D4C06">
            <w:pPr>
              <w:jc w:val="center"/>
              <w:rPr>
                <w:sz w:val="22"/>
                <w:szCs w:val="22"/>
              </w:rPr>
            </w:pPr>
            <w:r w:rsidRPr="00BE5613">
              <w:rPr>
                <w:sz w:val="22"/>
                <w:szCs w:val="22"/>
              </w:rPr>
              <w:t>11.700</w:t>
            </w:r>
          </w:p>
        </w:tc>
        <w:tc>
          <w:tcPr>
            <w:tcW w:w="992" w:type="dxa"/>
            <w:tcBorders>
              <w:top w:val="nil"/>
              <w:left w:val="nil"/>
              <w:bottom w:val="nil"/>
            </w:tcBorders>
            <w:shd w:val="clear" w:color="auto" w:fill="FFFFFF"/>
            <w:vAlign w:val="bottom"/>
          </w:tcPr>
          <w:p w14:paraId="4535A1FD" w14:textId="77777777" w:rsidR="00CA2553" w:rsidRPr="00BE5613" w:rsidRDefault="00CA2553" w:rsidP="003D4C06">
            <w:pPr>
              <w:jc w:val="center"/>
              <w:rPr>
                <w:sz w:val="22"/>
                <w:szCs w:val="22"/>
              </w:rPr>
            </w:pPr>
            <w:r w:rsidRPr="00BE5613">
              <w:rPr>
                <w:sz w:val="22"/>
                <w:szCs w:val="22"/>
              </w:rPr>
              <w:t>1.500</w:t>
            </w:r>
          </w:p>
        </w:tc>
        <w:tc>
          <w:tcPr>
            <w:tcW w:w="993" w:type="dxa"/>
            <w:tcBorders>
              <w:top w:val="nil"/>
              <w:bottom w:val="nil"/>
            </w:tcBorders>
            <w:shd w:val="clear" w:color="auto" w:fill="FFFFFF"/>
            <w:vAlign w:val="bottom"/>
          </w:tcPr>
          <w:p w14:paraId="35944266" w14:textId="77777777" w:rsidR="00CA2553" w:rsidRPr="00BE5613" w:rsidRDefault="00CA2553" w:rsidP="003D4C06">
            <w:pPr>
              <w:jc w:val="center"/>
              <w:rPr>
                <w:sz w:val="22"/>
                <w:szCs w:val="22"/>
              </w:rPr>
            </w:pPr>
            <w:r w:rsidRPr="00BE5613">
              <w:rPr>
                <w:sz w:val="22"/>
                <w:szCs w:val="22"/>
              </w:rPr>
              <w:t>281.800</w:t>
            </w:r>
          </w:p>
        </w:tc>
      </w:tr>
      <w:tr w:rsidR="00CA2553" w:rsidRPr="00BE5613" w14:paraId="11A53CBB" w14:textId="77777777">
        <w:trPr>
          <w:trHeight w:val="41"/>
        </w:trPr>
        <w:tc>
          <w:tcPr>
            <w:tcW w:w="4139" w:type="dxa"/>
            <w:tcBorders>
              <w:top w:val="nil"/>
              <w:bottom w:val="nil"/>
            </w:tcBorders>
            <w:shd w:val="clear" w:color="auto" w:fill="FFFFFF"/>
            <w:vAlign w:val="center"/>
          </w:tcPr>
          <w:p w14:paraId="64563D37" w14:textId="77777777" w:rsidR="00CA2553" w:rsidRPr="00BE5613" w:rsidRDefault="00314F5C" w:rsidP="003D4C06">
            <w:pPr>
              <w:ind w:left="142" w:right="255"/>
              <w:rPr>
                <w:sz w:val="22"/>
                <w:szCs w:val="22"/>
              </w:rPr>
            </w:pPr>
            <w:r w:rsidRPr="00BE5613">
              <w:rPr>
                <w:sz w:val="22"/>
                <w:szCs w:val="22"/>
              </w:rPr>
              <w:t>Housing units</w:t>
            </w:r>
          </w:p>
        </w:tc>
        <w:tc>
          <w:tcPr>
            <w:tcW w:w="992" w:type="dxa"/>
            <w:tcBorders>
              <w:top w:val="nil"/>
              <w:bottom w:val="nil"/>
              <w:right w:val="nil"/>
            </w:tcBorders>
            <w:shd w:val="clear" w:color="auto" w:fill="FFFFFF"/>
            <w:vAlign w:val="bottom"/>
          </w:tcPr>
          <w:p w14:paraId="5B7763CF" w14:textId="77777777" w:rsidR="00CA2553" w:rsidRPr="00BE5613" w:rsidRDefault="00CA2553" w:rsidP="003D4C06">
            <w:pPr>
              <w:jc w:val="center"/>
              <w:rPr>
                <w:sz w:val="22"/>
                <w:szCs w:val="22"/>
              </w:rPr>
            </w:pPr>
            <w:r w:rsidRPr="00BE5613">
              <w:rPr>
                <w:sz w:val="22"/>
                <w:szCs w:val="22"/>
              </w:rPr>
              <w:t>380.568</w:t>
            </w:r>
          </w:p>
        </w:tc>
        <w:tc>
          <w:tcPr>
            <w:tcW w:w="992" w:type="dxa"/>
            <w:tcBorders>
              <w:top w:val="nil"/>
              <w:left w:val="nil"/>
              <w:bottom w:val="nil"/>
              <w:right w:val="nil"/>
            </w:tcBorders>
            <w:shd w:val="clear" w:color="auto" w:fill="FFFFFF"/>
            <w:vAlign w:val="bottom"/>
          </w:tcPr>
          <w:p w14:paraId="0E3CED92" w14:textId="77777777" w:rsidR="00CA2553" w:rsidRPr="00BE5613" w:rsidRDefault="00CA2553" w:rsidP="003D4C06">
            <w:pPr>
              <w:jc w:val="center"/>
              <w:rPr>
                <w:sz w:val="22"/>
                <w:szCs w:val="22"/>
              </w:rPr>
            </w:pPr>
            <w:r w:rsidRPr="00BE5613">
              <w:rPr>
                <w:sz w:val="22"/>
                <w:szCs w:val="22"/>
              </w:rPr>
              <w:t>926.722</w:t>
            </w:r>
          </w:p>
        </w:tc>
        <w:tc>
          <w:tcPr>
            <w:tcW w:w="992" w:type="dxa"/>
            <w:tcBorders>
              <w:top w:val="nil"/>
              <w:left w:val="nil"/>
              <w:bottom w:val="nil"/>
              <w:right w:val="nil"/>
            </w:tcBorders>
            <w:shd w:val="clear" w:color="auto" w:fill="FFFFFF"/>
            <w:vAlign w:val="bottom"/>
          </w:tcPr>
          <w:p w14:paraId="5272A6B2" w14:textId="77777777" w:rsidR="00CA2553" w:rsidRPr="00BE5613" w:rsidRDefault="00CA2553" w:rsidP="003D4C06">
            <w:pPr>
              <w:jc w:val="center"/>
              <w:rPr>
                <w:sz w:val="22"/>
                <w:szCs w:val="22"/>
              </w:rPr>
            </w:pPr>
            <w:r w:rsidRPr="00BE5613">
              <w:rPr>
                <w:sz w:val="22"/>
                <w:szCs w:val="22"/>
              </w:rPr>
              <w:t>198.500</w:t>
            </w:r>
          </w:p>
        </w:tc>
        <w:tc>
          <w:tcPr>
            <w:tcW w:w="992" w:type="dxa"/>
            <w:tcBorders>
              <w:top w:val="nil"/>
              <w:left w:val="nil"/>
              <w:bottom w:val="nil"/>
            </w:tcBorders>
            <w:shd w:val="clear" w:color="auto" w:fill="FFFFFF"/>
            <w:vAlign w:val="bottom"/>
          </w:tcPr>
          <w:p w14:paraId="1371DE66" w14:textId="77777777" w:rsidR="00CA2553" w:rsidRPr="00BE5613" w:rsidRDefault="00CA2553" w:rsidP="003D4C06">
            <w:pPr>
              <w:jc w:val="center"/>
              <w:rPr>
                <w:sz w:val="22"/>
                <w:szCs w:val="22"/>
              </w:rPr>
            </w:pPr>
            <w:r w:rsidRPr="00BE5613">
              <w:rPr>
                <w:sz w:val="22"/>
                <w:szCs w:val="22"/>
              </w:rPr>
              <w:t>14.000</w:t>
            </w:r>
          </w:p>
        </w:tc>
        <w:tc>
          <w:tcPr>
            <w:tcW w:w="993" w:type="dxa"/>
            <w:tcBorders>
              <w:top w:val="nil"/>
              <w:bottom w:val="nil"/>
            </w:tcBorders>
            <w:shd w:val="clear" w:color="auto" w:fill="FFFFFF"/>
            <w:vAlign w:val="bottom"/>
          </w:tcPr>
          <w:p w14:paraId="126D9978" w14:textId="77777777" w:rsidR="00CA2553" w:rsidRPr="00BE5613" w:rsidRDefault="00CA2553" w:rsidP="003D4C06">
            <w:pPr>
              <w:jc w:val="center"/>
              <w:rPr>
                <w:sz w:val="22"/>
                <w:szCs w:val="22"/>
              </w:rPr>
            </w:pPr>
            <w:r w:rsidRPr="00BE5613">
              <w:rPr>
                <w:sz w:val="22"/>
                <w:szCs w:val="22"/>
              </w:rPr>
              <w:t>13813.000</w:t>
            </w:r>
          </w:p>
        </w:tc>
      </w:tr>
      <w:tr w:rsidR="00CA2553" w:rsidRPr="00BE5613" w14:paraId="69C6884F" w14:textId="77777777">
        <w:trPr>
          <w:trHeight w:val="41"/>
        </w:trPr>
        <w:tc>
          <w:tcPr>
            <w:tcW w:w="4139" w:type="dxa"/>
            <w:tcBorders>
              <w:top w:val="nil"/>
              <w:bottom w:val="nil"/>
            </w:tcBorders>
            <w:shd w:val="clear" w:color="auto" w:fill="FFFFFF"/>
            <w:vAlign w:val="center"/>
          </w:tcPr>
          <w:p w14:paraId="0B1784E3" w14:textId="77777777" w:rsidR="00CA2553" w:rsidRPr="00BE5613" w:rsidRDefault="00D728A3" w:rsidP="003D4C06">
            <w:pPr>
              <w:ind w:left="142" w:right="255"/>
              <w:rPr>
                <w:sz w:val="22"/>
                <w:szCs w:val="22"/>
              </w:rPr>
            </w:pPr>
            <w:r w:rsidRPr="00BE5613">
              <w:rPr>
                <w:sz w:val="22"/>
                <w:szCs w:val="22"/>
              </w:rPr>
              <w:t>Generation</w:t>
            </w:r>
            <w:r w:rsidR="00CA2553" w:rsidRPr="00BE5613">
              <w:rPr>
                <w:sz w:val="22"/>
                <w:szCs w:val="22"/>
              </w:rPr>
              <w:t xml:space="preserve"> of separated waste</w:t>
            </w:r>
          </w:p>
        </w:tc>
        <w:tc>
          <w:tcPr>
            <w:tcW w:w="992" w:type="dxa"/>
            <w:tcBorders>
              <w:top w:val="nil"/>
              <w:bottom w:val="nil"/>
              <w:right w:val="nil"/>
            </w:tcBorders>
            <w:shd w:val="clear" w:color="auto" w:fill="FFFFFF"/>
            <w:vAlign w:val="bottom"/>
          </w:tcPr>
          <w:p w14:paraId="2051BFB9" w14:textId="77777777" w:rsidR="00CA2553" w:rsidRPr="00BE5613" w:rsidRDefault="00CA2553" w:rsidP="003D4C06">
            <w:pPr>
              <w:jc w:val="center"/>
              <w:rPr>
                <w:sz w:val="22"/>
                <w:szCs w:val="22"/>
              </w:rPr>
            </w:pPr>
            <w:r w:rsidRPr="00BE5613">
              <w:rPr>
                <w:sz w:val="22"/>
                <w:szCs w:val="22"/>
              </w:rPr>
              <w:t>134.826</w:t>
            </w:r>
          </w:p>
        </w:tc>
        <w:tc>
          <w:tcPr>
            <w:tcW w:w="992" w:type="dxa"/>
            <w:tcBorders>
              <w:top w:val="nil"/>
              <w:left w:val="nil"/>
              <w:bottom w:val="nil"/>
              <w:right w:val="nil"/>
            </w:tcBorders>
            <w:shd w:val="clear" w:color="auto" w:fill="FFFFFF"/>
            <w:vAlign w:val="bottom"/>
          </w:tcPr>
          <w:p w14:paraId="7B34EC14" w14:textId="77777777" w:rsidR="00CA2553" w:rsidRPr="00BE5613" w:rsidRDefault="00CA2553" w:rsidP="003D4C06">
            <w:pPr>
              <w:jc w:val="center"/>
              <w:rPr>
                <w:sz w:val="22"/>
                <w:szCs w:val="22"/>
              </w:rPr>
            </w:pPr>
            <w:r w:rsidRPr="00BE5613">
              <w:rPr>
                <w:sz w:val="22"/>
                <w:szCs w:val="22"/>
              </w:rPr>
              <w:t>362.013</w:t>
            </w:r>
          </w:p>
        </w:tc>
        <w:tc>
          <w:tcPr>
            <w:tcW w:w="992" w:type="dxa"/>
            <w:tcBorders>
              <w:top w:val="nil"/>
              <w:left w:val="nil"/>
              <w:bottom w:val="nil"/>
              <w:right w:val="nil"/>
            </w:tcBorders>
            <w:shd w:val="clear" w:color="auto" w:fill="FFFFFF"/>
            <w:vAlign w:val="bottom"/>
          </w:tcPr>
          <w:p w14:paraId="3851AD3B" w14:textId="77777777" w:rsidR="00CA2553" w:rsidRPr="00BE5613" w:rsidRDefault="00CA2553" w:rsidP="003D4C06">
            <w:pPr>
              <w:jc w:val="center"/>
              <w:rPr>
                <w:sz w:val="22"/>
                <w:szCs w:val="22"/>
              </w:rPr>
            </w:pPr>
            <w:r w:rsidRPr="00BE5613">
              <w:rPr>
                <w:sz w:val="22"/>
                <w:szCs w:val="22"/>
              </w:rPr>
              <w:t>45.778</w:t>
            </w:r>
          </w:p>
        </w:tc>
        <w:tc>
          <w:tcPr>
            <w:tcW w:w="992" w:type="dxa"/>
            <w:tcBorders>
              <w:top w:val="nil"/>
              <w:left w:val="nil"/>
              <w:bottom w:val="nil"/>
            </w:tcBorders>
            <w:shd w:val="clear" w:color="auto" w:fill="FFFFFF"/>
            <w:vAlign w:val="bottom"/>
          </w:tcPr>
          <w:p w14:paraId="306F94EA"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43B09EBD" w14:textId="77777777" w:rsidR="00CA2553" w:rsidRPr="00BE5613" w:rsidRDefault="00CA2553" w:rsidP="003D4C06">
            <w:pPr>
              <w:jc w:val="center"/>
              <w:rPr>
                <w:sz w:val="22"/>
                <w:szCs w:val="22"/>
              </w:rPr>
            </w:pPr>
            <w:r w:rsidRPr="00BE5613">
              <w:rPr>
                <w:sz w:val="22"/>
                <w:szCs w:val="22"/>
              </w:rPr>
              <w:t>5178.544</w:t>
            </w:r>
          </w:p>
        </w:tc>
      </w:tr>
      <w:tr w:rsidR="00CA2553" w:rsidRPr="00BE5613" w14:paraId="275DBB0A" w14:textId="77777777">
        <w:trPr>
          <w:trHeight w:val="41"/>
        </w:trPr>
        <w:tc>
          <w:tcPr>
            <w:tcW w:w="4139" w:type="dxa"/>
            <w:tcBorders>
              <w:top w:val="nil"/>
              <w:bottom w:val="nil"/>
            </w:tcBorders>
            <w:shd w:val="clear" w:color="auto" w:fill="FFFFFF"/>
            <w:vAlign w:val="center"/>
          </w:tcPr>
          <w:p w14:paraId="00681BC4" w14:textId="77777777" w:rsidR="00CA2553" w:rsidRPr="00BE5613" w:rsidRDefault="00D728A3" w:rsidP="003D4C06">
            <w:pPr>
              <w:ind w:left="142" w:right="255"/>
              <w:rPr>
                <w:sz w:val="22"/>
                <w:szCs w:val="22"/>
              </w:rPr>
            </w:pPr>
            <w:r w:rsidRPr="00BE5613">
              <w:rPr>
                <w:sz w:val="22"/>
                <w:szCs w:val="22"/>
              </w:rPr>
              <w:t xml:space="preserve">Generation </w:t>
            </w:r>
            <w:r w:rsidR="00CA2553" w:rsidRPr="00BE5613">
              <w:rPr>
                <w:sz w:val="22"/>
                <w:szCs w:val="22"/>
              </w:rPr>
              <w:t>of non-separated waste</w:t>
            </w:r>
          </w:p>
        </w:tc>
        <w:tc>
          <w:tcPr>
            <w:tcW w:w="992" w:type="dxa"/>
            <w:tcBorders>
              <w:top w:val="nil"/>
              <w:bottom w:val="nil"/>
              <w:right w:val="nil"/>
            </w:tcBorders>
            <w:shd w:val="clear" w:color="auto" w:fill="FFFFFF"/>
            <w:vAlign w:val="bottom"/>
          </w:tcPr>
          <w:p w14:paraId="34FDD23F" w14:textId="77777777" w:rsidR="00CA2553" w:rsidRPr="00BE5613" w:rsidRDefault="00CA2553" w:rsidP="003D4C06">
            <w:pPr>
              <w:jc w:val="center"/>
              <w:rPr>
                <w:sz w:val="22"/>
                <w:szCs w:val="22"/>
              </w:rPr>
            </w:pPr>
            <w:r w:rsidRPr="00BE5613">
              <w:rPr>
                <w:sz w:val="22"/>
                <w:szCs w:val="22"/>
              </w:rPr>
              <w:t>225.937</w:t>
            </w:r>
          </w:p>
        </w:tc>
        <w:tc>
          <w:tcPr>
            <w:tcW w:w="992" w:type="dxa"/>
            <w:tcBorders>
              <w:top w:val="nil"/>
              <w:left w:val="nil"/>
              <w:bottom w:val="nil"/>
              <w:right w:val="nil"/>
            </w:tcBorders>
            <w:shd w:val="clear" w:color="auto" w:fill="FFFFFF"/>
            <w:vAlign w:val="bottom"/>
          </w:tcPr>
          <w:p w14:paraId="08777C87" w14:textId="77777777" w:rsidR="00CA2553" w:rsidRPr="00BE5613" w:rsidRDefault="00CA2553" w:rsidP="003D4C06">
            <w:pPr>
              <w:jc w:val="center"/>
              <w:rPr>
                <w:sz w:val="22"/>
                <w:szCs w:val="22"/>
              </w:rPr>
            </w:pPr>
            <w:r w:rsidRPr="00BE5613">
              <w:rPr>
                <w:sz w:val="22"/>
                <w:szCs w:val="22"/>
              </w:rPr>
              <w:t>463.664</w:t>
            </w:r>
          </w:p>
        </w:tc>
        <w:tc>
          <w:tcPr>
            <w:tcW w:w="992" w:type="dxa"/>
            <w:tcBorders>
              <w:top w:val="nil"/>
              <w:left w:val="nil"/>
              <w:bottom w:val="nil"/>
              <w:right w:val="nil"/>
            </w:tcBorders>
            <w:shd w:val="clear" w:color="auto" w:fill="FFFFFF"/>
            <w:vAlign w:val="bottom"/>
          </w:tcPr>
          <w:p w14:paraId="6AF10D66" w14:textId="77777777" w:rsidR="00CA2553" w:rsidRPr="00BE5613" w:rsidRDefault="00CA2553" w:rsidP="003D4C06">
            <w:pPr>
              <w:jc w:val="center"/>
              <w:rPr>
                <w:sz w:val="22"/>
                <w:szCs w:val="22"/>
              </w:rPr>
            </w:pPr>
            <w:r w:rsidRPr="00BE5613">
              <w:rPr>
                <w:sz w:val="22"/>
                <w:szCs w:val="22"/>
              </w:rPr>
              <w:t>118.764</w:t>
            </w:r>
          </w:p>
        </w:tc>
        <w:tc>
          <w:tcPr>
            <w:tcW w:w="992" w:type="dxa"/>
            <w:tcBorders>
              <w:top w:val="nil"/>
              <w:left w:val="nil"/>
              <w:bottom w:val="nil"/>
            </w:tcBorders>
            <w:shd w:val="clear" w:color="auto" w:fill="FFFFFF"/>
            <w:vAlign w:val="bottom"/>
          </w:tcPr>
          <w:p w14:paraId="3C9BF166" w14:textId="77777777" w:rsidR="00CA2553" w:rsidRPr="00BE5613" w:rsidRDefault="00CA2553" w:rsidP="003D4C06">
            <w:pPr>
              <w:jc w:val="center"/>
              <w:rPr>
                <w:sz w:val="22"/>
                <w:szCs w:val="22"/>
              </w:rPr>
            </w:pPr>
            <w:r w:rsidRPr="00BE5613">
              <w:rPr>
                <w:sz w:val="22"/>
                <w:szCs w:val="22"/>
              </w:rPr>
              <w:t>8.886</w:t>
            </w:r>
          </w:p>
        </w:tc>
        <w:tc>
          <w:tcPr>
            <w:tcW w:w="993" w:type="dxa"/>
            <w:tcBorders>
              <w:top w:val="nil"/>
              <w:bottom w:val="nil"/>
            </w:tcBorders>
            <w:shd w:val="clear" w:color="auto" w:fill="FFFFFF"/>
            <w:vAlign w:val="bottom"/>
          </w:tcPr>
          <w:p w14:paraId="4588ACE6" w14:textId="77777777" w:rsidR="00CA2553" w:rsidRPr="00BE5613" w:rsidRDefault="00CA2553" w:rsidP="003D4C06">
            <w:pPr>
              <w:jc w:val="center"/>
              <w:rPr>
                <w:sz w:val="22"/>
                <w:szCs w:val="22"/>
              </w:rPr>
            </w:pPr>
            <w:r w:rsidRPr="00BE5613">
              <w:rPr>
                <w:sz w:val="22"/>
                <w:szCs w:val="22"/>
              </w:rPr>
              <w:t>6179.644</w:t>
            </w:r>
          </w:p>
        </w:tc>
      </w:tr>
      <w:tr w:rsidR="00CA2553" w:rsidRPr="00BE5613" w14:paraId="1083BF09" w14:textId="77777777">
        <w:trPr>
          <w:trHeight w:val="41"/>
        </w:trPr>
        <w:tc>
          <w:tcPr>
            <w:tcW w:w="4139" w:type="dxa"/>
            <w:tcBorders>
              <w:top w:val="nil"/>
              <w:bottom w:val="nil"/>
            </w:tcBorders>
            <w:shd w:val="clear" w:color="auto" w:fill="FFFFFF"/>
            <w:vAlign w:val="center"/>
          </w:tcPr>
          <w:p w14:paraId="51DD2D0C" w14:textId="77777777" w:rsidR="00CA2553" w:rsidRPr="00BE5613" w:rsidRDefault="00D728A3" w:rsidP="003D4C06">
            <w:pPr>
              <w:tabs>
                <w:tab w:val="left" w:pos="1673"/>
              </w:tabs>
              <w:ind w:left="114"/>
            </w:pPr>
            <w:r w:rsidRPr="00BE5613">
              <w:rPr>
                <w:sz w:val="22"/>
                <w:szCs w:val="22"/>
              </w:rPr>
              <w:t xml:space="preserve">Generation </w:t>
            </w:r>
            <w:r w:rsidR="00CA2553" w:rsidRPr="00BE5613">
              <w:rPr>
                <w:sz w:val="22"/>
                <w:szCs w:val="22"/>
              </w:rPr>
              <w:t>of total waste</w:t>
            </w:r>
          </w:p>
        </w:tc>
        <w:tc>
          <w:tcPr>
            <w:tcW w:w="992" w:type="dxa"/>
            <w:tcBorders>
              <w:top w:val="nil"/>
              <w:bottom w:val="nil"/>
              <w:right w:val="nil"/>
            </w:tcBorders>
            <w:shd w:val="clear" w:color="auto" w:fill="FFFFFF"/>
            <w:vAlign w:val="bottom"/>
          </w:tcPr>
          <w:p w14:paraId="2D160AF7" w14:textId="77777777" w:rsidR="00CA2553" w:rsidRPr="00BE5613" w:rsidRDefault="00CA2553" w:rsidP="003D4C06">
            <w:pPr>
              <w:jc w:val="center"/>
              <w:rPr>
                <w:sz w:val="22"/>
                <w:szCs w:val="22"/>
              </w:rPr>
            </w:pPr>
            <w:r w:rsidRPr="00BE5613">
              <w:rPr>
                <w:sz w:val="22"/>
                <w:szCs w:val="22"/>
              </w:rPr>
              <w:t>360.763</w:t>
            </w:r>
          </w:p>
        </w:tc>
        <w:tc>
          <w:tcPr>
            <w:tcW w:w="992" w:type="dxa"/>
            <w:tcBorders>
              <w:top w:val="nil"/>
              <w:left w:val="nil"/>
              <w:bottom w:val="nil"/>
              <w:right w:val="nil"/>
            </w:tcBorders>
            <w:shd w:val="clear" w:color="auto" w:fill="FFFFFF"/>
            <w:vAlign w:val="bottom"/>
          </w:tcPr>
          <w:p w14:paraId="41AF64E5" w14:textId="77777777" w:rsidR="00CA2553" w:rsidRPr="00BE5613" w:rsidRDefault="00CA2553" w:rsidP="003D4C06">
            <w:pPr>
              <w:jc w:val="center"/>
              <w:rPr>
                <w:sz w:val="22"/>
                <w:szCs w:val="22"/>
              </w:rPr>
            </w:pPr>
            <w:r w:rsidRPr="00BE5613">
              <w:rPr>
                <w:sz w:val="22"/>
                <w:szCs w:val="22"/>
              </w:rPr>
              <w:t>810.420</w:t>
            </w:r>
          </w:p>
        </w:tc>
        <w:tc>
          <w:tcPr>
            <w:tcW w:w="992" w:type="dxa"/>
            <w:tcBorders>
              <w:top w:val="nil"/>
              <w:left w:val="nil"/>
              <w:bottom w:val="nil"/>
              <w:right w:val="nil"/>
            </w:tcBorders>
            <w:shd w:val="clear" w:color="auto" w:fill="FFFFFF"/>
            <w:vAlign w:val="bottom"/>
          </w:tcPr>
          <w:p w14:paraId="00BE83C1" w14:textId="77777777" w:rsidR="00CA2553" w:rsidRPr="00BE5613" w:rsidRDefault="00CA2553" w:rsidP="003D4C06">
            <w:pPr>
              <w:jc w:val="center"/>
              <w:rPr>
                <w:sz w:val="22"/>
                <w:szCs w:val="22"/>
              </w:rPr>
            </w:pPr>
            <w:r w:rsidRPr="00BE5613">
              <w:rPr>
                <w:sz w:val="22"/>
                <w:szCs w:val="22"/>
              </w:rPr>
              <w:t>167.055</w:t>
            </w:r>
          </w:p>
        </w:tc>
        <w:tc>
          <w:tcPr>
            <w:tcW w:w="992" w:type="dxa"/>
            <w:tcBorders>
              <w:top w:val="nil"/>
              <w:left w:val="nil"/>
              <w:bottom w:val="nil"/>
            </w:tcBorders>
            <w:shd w:val="clear" w:color="auto" w:fill="FFFFFF"/>
            <w:vAlign w:val="bottom"/>
          </w:tcPr>
          <w:p w14:paraId="27D13F6F" w14:textId="77777777" w:rsidR="00CA2553" w:rsidRPr="00BE5613" w:rsidRDefault="00CA2553" w:rsidP="003D4C06">
            <w:pPr>
              <w:jc w:val="center"/>
              <w:rPr>
                <w:sz w:val="22"/>
                <w:szCs w:val="22"/>
              </w:rPr>
            </w:pPr>
            <w:r w:rsidRPr="00BE5613">
              <w:rPr>
                <w:sz w:val="22"/>
                <w:szCs w:val="22"/>
              </w:rPr>
              <w:t>13.385</w:t>
            </w:r>
          </w:p>
        </w:tc>
        <w:tc>
          <w:tcPr>
            <w:tcW w:w="993" w:type="dxa"/>
            <w:tcBorders>
              <w:top w:val="nil"/>
              <w:bottom w:val="nil"/>
            </w:tcBorders>
            <w:shd w:val="clear" w:color="auto" w:fill="FFFFFF"/>
            <w:vAlign w:val="bottom"/>
          </w:tcPr>
          <w:p w14:paraId="217B4145" w14:textId="77777777" w:rsidR="00CA2553" w:rsidRPr="00BE5613" w:rsidRDefault="00CA2553" w:rsidP="003D4C06">
            <w:pPr>
              <w:jc w:val="center"/>
              <w:rPr>
                <w:sz w:val="22"/>
                <w:szCs w:val="22"/>
              </w:rPr>
            </w:pPr>
            <w:r w:rsidRPr="00BE5613">
              <w:rPr>
                <w:sz w:val="22"/>
                <w:szCs w:val="22"/>
              </w:rPr>
              <w:t>11358.188</w:t>
            </w:r>
          </w:p>
        </w:tc>
      </w:tr>
      <w:tr w:rsidR="00CA2553" w:rsidRPr="00BE5613" w14:paraId="47FFCBF8" w14:textId="77777777">
        <w:trPr>
          <w:trHeight w:val="41"/>
        </w:trPr>
        <w:tc>
          <w:tcPr>
            <w:tcW w:w="4139" w:type="dxa"/>
            <w:tcBorders>
              <w:left w:val="nil"/>
              <w:bottom w:val="nil"/>
            </w:tcBorders>
            <w:shd w:val="clear" w:color="auto" w:fill="E6E6E6"/>
            <w:vAlign w:val="center"/>
          </w:tcPr>
          <w:p w14:paraId="294478A0" w14:textId="77777777" w:rsidR="00CA2553" w:rsidRPr="00BE5613" w:rsidRDefault="00CA2553" w:rsidP="003D4C06">
            <w:pPr>
              <w:ind w:left="142" w:right="255"/>
              <w:rPr>
                <w:sz w:val="22"/>
                <w:szCs w:val="22"/>
              </w:rPr>
            </w:pPr>
            <w:r w:rsidRPr="00BE5613">
              <w:rPr>
                <w:sz w:val="22"/>
                <w:szCs w:val="22"/>
              </w:rPr>
              <w:t>Contextual variables</w:t>
            </w:r>
          </w:p>
        </w:tc>
        <w:tc>
          <w:tcPr>
            <w:tcW w:w="992" w:type="dxa"/>
            <w:tcBorders>
              <w:bottom w:val="nil"/>
              <w:right w:val="nil"/>
            </w:tcBorders>
            <w:shd w:val="clear" w:color="auto" w:fill="E6E6E6"/>
            <w:vAlign w:val="center"/>
          </w:tcPr>
          <w:p w14:paraId="42D464BC"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right w:val="nil"/>
            </w:tcBorders>
            <w:shd w:val="clear" w:color="auto" w:fill="E6E6E6"/>
            <w:vAlign w:val="center"/>
          </w:tcPr>
          <w:p w14:paraId="692950E1"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right w:val="nil"/>
            </w:tcBorders>
            <w:shd w:val="clear" w:color="auto" w:fill="E6E6E6"/>
            <w:vAlign w:val="center"/>
          </w:tcPr>
          <w:p w14:paraId="7110C251" w14:textId="77777777" w:rsidR="00CA2553" w:rsidRPr="00BE5613" w:rsidRDefault="00CA2553" w:rsidP="003D4C06">
            <w:pPr>
              <w:tabs>
                <w:tab w:val="left" w:pos="1673"/>
              </w:tabs>
              <w:ind w:left="224" w:right="114" w:hanging="142"/>
              <w:rPr>
                <w:sz w:val="22"/>
                <w:szCs w:val="22"/>
              </w:rPr>
            </w:pPr>
          </w:p>
        </w:tc>
        <w:tc>
          <w:tcPr>
            <w:tcW w:w="992" w:type="dxa"/>
            <w:tcBorders>
              <w:left w:val="nil"/>
              <w:bottom w:val="nil"/>
            </w:tcBorders>
            <w:shd w:val="clear" w:color="auto" w:fill="E6E6E6"/>
            <w:vAlign w:val="center"/>
          </w:tcPr>
          <w:p w14:paraId="2AFBA3EC" w14:textId="77777777" w:rsidR="00CA2553" w:rsidRPr="00BE5613" w:rsidRDefault="00CA2553" w:rsidP="003D4C06">
            <w:pPr>
              <w:tabs>
                <w:tab w:val="left" w:pos="1673"/>
              </w:tabs>
              <w:ind w:left="224" w:right="114" w:hanging="142"/>
              <w:rPr>
                <w:sz w:val="22"/>
                <w:szCs w:val="22"/>
              </w:rPr>
            </w:pPr>
          </w:p>
        </w:tc>
        <w:tc>
          <w:tcPr>
            <w:tcW w:w="993" w:type="dxa"/>
            <w:tcBorders>
              <w:bottom w:val="nil"/>
              <w:right w:val="nil"/>
            </w:tcBorders>
            <w:shd w:val="clear" w:color="auto" w:fill="E6E6E6"/>
            <w:vAlign w:val="center"/>
          </w:tcPr>
          <w:p w14:paraId="12CC7060" w14:textId="77777777" w:rsidR="00CA2553" w:rsidRPr="00BE5613" w:rsidRDefault="00CA2553" w:rsidP="003D4C06">
            <w:pPr>
              <w:tabs>
                <w:tab w:val="left" w:pos="1673"/>
              </w:tabs>
              <w:jc w:val="center"/>
              <w:rPr>
                <w:sz w:val="22"/>
                <w:szCs w:val="22"/>
              </w:rPr>
            </w:pPr>
          </w:p>
        </w:tc>
      </w:tr>
      <w:tr w:rsidR="00CA2553" w:rsidRPr="00BE5613" w14:paraId="44B8E205" w14:textId="77777777">
        <w:trPr>
          <w:trHeight w:val="41"/>
        </w:trPr>
        <w:tc>
          <w:tcPr>
            <w:tcW w:w="4139" w:type="dxa"/>
            <w:tcBorders>
              <w:top w:val="nil"/>
              <w:bottom w:val="nil"/>
            </w:tcBorders>
            <w:shd w:val="clear" w:color="auto" w:fill="FFFFFF"/>
            <w:vAlign w:val="center"/>
          </w:tcPr>
          <w:p w14:paraId="3B40D2AB" w14:textId="77777777" w:rsidR="00CA2553" w:rsidRPr="00BE5613" w:rsidRDefault="00CA2553" w:rsidP="003D4C06">
            <w:pPr>
              <w:ind w:left="142"/>
              <w:rPr>
                <w:sz w:val="22"/>
                <w:szCs w:val="22"/>
              </w:rPr>
            </w:pPr>
            <w:r w:rsidRPr="00BE5613">
              <w:rPr>
                <w:sz w:val="22"/>
                <w:szCs w:val="22"/>
              </w:rPr>
              <w:t>z1 (MSW collection frequency/month)</w:t>
            </w:r>
          </w:p>
        </w:tc>
        <w:tc>
          <w:tcPr>
            <w:tcW w:w="992" w:type="dxa"/>
            <w:tcBorders>
              <w:top w:val="nil"/>
              <w:bottom w:val="nil"/>
              <w:right w:val="nil"/>
            </w:tcBorders>
            <w:shd w:val="clear" w:color="auto" w:fill="FFFFFF"/>
            <w:vAlign w:val="bottom"/>
          </w:tcPr>
          <w:p w14:paraId="40DEC157" w14:textId="77777777" w:rsidR="00CA2553" w:rsidRPr="00BE5613" w:rsidRDefault="00CA2553" w:rsidP="003D4C06">
            <w:pPr>
              <w:jc w:val="center"/>
              <w:rPr>
                <w:sz w:val="22"/>
                <w:szCs w:val="22"/>
              </w:rPr>
            </w:pPr>
            <w:r w:rsidRPr="00BE5613">
              <w:rPr>
                <w:sz w:val="22"/>
                <w:szCs w:val="22"/>
              </w:rPr>
              <w:t>2.167</w:t>
            </w:r>
          </w:p>
        </w:tc>
        <w:tc>
          <w:tcPr>
            <w:tcW w:w="992" w:type="dxa"/>
            <w:tcBorders>
              <w:top w:val="nil"/>
              <w:left w:val="nil"/>
              <w:bottom w:val="nil"/>
              <w:right w:val="nil"/>
            </w:tcBorders>
            <w:shd w:val="clear" w:color="auto" w:fill="FFFFFF"/>
            <w:vAlign w:val="bottom"/>
          </w:tcPr>
          <w:p w14:paraId="3CABEA91" w14:textId="77777777" w:rsidR="00CA2553" w:rsidRPr="00BE5613" w:rsidRDefault="00CA2553" w:rsidP="003D4C06">
            <w:pPr>
              <w:jc w:val="center"/>
              <w:rPr>
                <w:sz w:val="22"/>
                <w:szCs w:val="22"/>
              </w:rPr>
            </w:pPr>
            <w:r w:rsidRPr="00BE5613">
              <w:rPr>
                <w:sz w:val="22"/>
                <w:szCs w:val="22"/>
              </w:rPr>
              <w:t>0.565</w:t>
            </w:r>
          </w:p>
        </w:tc>
        <w:tc>
          <w:tcPr>
            <w:tcW w:w="992" w:type="dxa"/>
            <w:tcBorders>
              <w:top w:val="nil"/>
              <w:left w:val="nil"/>
              <w:bottom w:val="nil"/>
              <w:right w:val="nil"/>
            </w:tcBorders>
            <w:shd w:val="clear" w:color="auto" w:fill="FFFFFF"/>
            <w:vAlign w:val="bottom"/>
          </w:tcPr>
          <w:p w14:paraId="2A528CDA" w14:textId="77777777" w:rsidR="00CA2553" w:rsidRPr="00BE5613" w:rsidRDefault="00CA2553" w:rsidP="003D4C06">
            <w:pPr>
              <w:jc w:val="center"/>
              <w:rPr>
                <w:sz w:val="22"/>
                <w:szCs w:val="22"/>
              </w:rPr>
            </w:pPr>
            <w:r w:rsidRPr="00BE5613">
              <w:rPr>
                <w:sz w:val="22"/>
                <w:szCs w:val="22"/>
              </w:rPr>
              <w:t>2.000</w:t>
            </w:r>
          </w:p>
        </w:tc>
        <w:tc>
          <w:tcPr>
            <w:tcW w:w="992" w:type="dxa"/>
            <w:tcBorders>
              <w:top w:val="nil"/>
              <w:left w:val="nil"/>
              <w:bottom w:val="nil"/>
            </w:tcBorders>
            <w:shd w:val="clear" w:color="auto" w:fill="FFFFFF"/>
            <w:vAlign w:val="bottom"/>
          </w:tcPr>
          <w:p w14:paraId="3BF2484F" w14:textId="77777777" w:rsidR="00CA2553" w:rsidRPr="00BE5613" w:rsidRDefault="00CA2553" w:rsidP="003D4C06">
            <w:pPr>
              <w:jc w:val="center"/>
              <w:rPr>
                <w:sz w:val="22"/>
                <w:szCs w:val="22"/>
              </w:rPr>
            </w:pPr>
            <w:r w:rsidRPr="00BE5613">
              <w:rPr>
                <w:sz w:val="22"/>
                <w:szCs w:val="22"/>
              </w:rPr>
              <w:t>0.250</w:t>
            </w:r>
          </w:p>
        </w:tc>
        <w:tc>
          <w:tcPr>
            <w:tcW w:w="993" w:type="dxa"/>
            <w:tcBorders>
              <w:top w:val="nil"/>
              <w:bottom w:val="nil"/>
            </w:tcBorders>
            <w:shd w:val="clear" w:color="auto" w:fill="FFFFFF"/>
            <w:vAlign w:val="bottom"/>
          </w:tcPr>
          <w:p w14:paraId="58CCD29E" w14:textId="77777777" w:rsidR="00CA2553" w:rsidRPr="00BE5613" w:rsidRDefault="00CA2553" w:rsidP="003D4C06">
            <w:pPr>
              <w:jc w:val="center"/>
              <w:rPr>
                <w:sz w:val="22"/>
                <w:szCs w:val="22"/>
              </w:rPr>
            </w:pPr>
            <w:r w:rsidRPr="00BE5613">
              <w:rPr>
                <w:sz w:val="22"/>
                <w:szCs w:val="22"/>
              </w:rPr>
              <w:t>4.000</w:t>
            </w:r>
          </w:p>
        </w:tc>
      </w:tr>
      <w:tr w:rsidR="00CA2553" w:rsidRPr="00BE5613" w14:paraId="16E27930" w14:textId="77777777">
        <w:trPr>
          <w:trHeight w:val="41"/>
        </w:trPr>
        <w:tc>
          <w:tcPr>
            <w:tcW w:w="4139" w:type="dxa"/>
            <w:tcBorders>
              <w:top w:val="nil"/>
              <w:bottom w:val="nil"/>
            </w:tcBorders>
            <w:shd w:val="clear" w:color="auto" w:fill="FFFFFF"/>
            <w:vAlign w:val="center"/>
          </w:tcPr>
          <w:p w14:paraId="03C3C5DE" w14:textId="77777777" w:rsidR="00CA2553" w:rsidRPr="00BE5613" w:rsidRDefault="00CA2553" w:rsidP="003D4C06">
            <w:pPr>
              <w:ind w:left="142"/>
              <w:rPr>
                <w:sz w:val="22"/>
                <w:szCs w:val="22"/>
              </w:rPr>
            </w:pPr>
            <w:r w:rsidRPr="00BE5613">
              <w:rPr>
                <w:sz w:val="22"/>
                <w:szCs w:val="22"/>
              </w:rPr>
              <w:t>z2 (bin records)</w:t>
            </w:r>
          </w:p>
        </w:tc>
        <w:tc>
          <w:tcPr>
            <w:tcW w:w="992" w:type="dxa"/>
            <w:tcBorders>
              <w:top w:val="nil"/>
              <w:bottom w:val="nil"/>
              <w:right w:val="nil"/>
            </w:tcBorders>
            <w:shd w:val="clear" w:color="auto" w:fill="FFFFFF"/>
            <w:vAlign w:val="bottom"/>
          </w:tcPr>
          <w:p w14:paraId="088A8648" w14:textId="77777777" w:rsidR="00CA2553" w:rsidRPr="00BE5613" w:rsidRDefault="00CA2553" w:rsidP="003D4C06">
            <w:pPr>
              <w:jc w:val="center"/>
              <w:rPr>
                <w:sz w:val="22"/>
                <w:szCs w:val="22"/>
              </w:rPr>
            </w:pPr>
            <w:r w:rsidRPr="00BE5613">
              <w:rPr>
                <w:sz w:val="22"/>
                <w:szCs w:val="22"/>
              </w:rPr>
              <w:t>0.349</w:t>
            </w:r>
          </w:p>
        </w:tc>
        <w:tc>
          <w:tcPr>
            <w:tcW w:w="992" w:type="dxa"/>
            <w:tcBorders>
              <w:top w:val="nil"/>
              <w:left w:val="nil"/>
              <w:bottom w:val="nil"/>
              <w:right w:val="nil"/>
            </w:tcBorders>
            <w:shd w:val="clear" w:color="auto" w:fill="FFFFFF"/>
            <w:vAlign w:val="bottom"/>
          </w:tcPr>
          <w:p w14:paraId="454E2736" w14:textId="77777777" w:rsidR="00CA2553" w:rsidRPr="00BE5613" w:rsidRDefault="00CA2553" w:rsidP="003D4C06">
            <w:pPr>
              <w:jc w:val="center"/>
              <w:rPr>
                <w:sz w:val="22"/>
                <w:szCs w:val="22"/>
              </w:rPr>
            </w:pPr>
            <w:r w:rsidRPr="00BE5613">
              <w:rPr>
                <w:sz w:val="22"/>
                <w:szCs w:val="22"/>
              </w:rPr>
              <w:t>0.477</w:t>
            </w:r>
          </w:p>
        </w:tc>
        <w:tc>
          <w:tcPr>
            <w:tcW w:w="992" w:type="dxa"/>
            <w:tcBorders>
              <w:top w:val="nil"/>
              <w:left w:val="nil"/>
              <w:bottom w:val="nil"/>
              <w:right w:val="nil"/>
            </w:tcBorders>
            <w:shd w:val="clear" w:color="auto" w:fill="FFFFFF"/>
            <w:vAlign w:val="bottom"/>
          </w:tcPr>
          <w:p w14:paraId="62431F27" w14:textId="77777777" w:rsidR="00CA2553" w:rsidRPr="00BE5613" w:rsidRDefault="00CA2553" w:rsidP="003D4C06">
            <w:pPr>
              <w:jc w:val="center"/>
              <w:rPr>
                <w:sz w:val="22"/>
                <w:szCs w:val="22"/>
              </w:rPr>
            </w:pPr>
            <w:r w:rsidRPr="00BE5613">
              <w:rPr>
                <w:sz w:val="22"/>
                <w:szCs w:val="22"/>
              </w:rPr>
              <w:t>0.000</w:t>
            </w:r>
          </w:p>
        </w:tc>
        <w:tc>
          <w:tcPr>
            <w:tcW w:w="992" w:type="dxa"/>
            <w:tcBorders>
              <w:top w:val="nil"/>
              <w:left w:val="nil"/>
              <w:bottom w:val="nil"/>
            </w:tcBorders>
            <w:shd w:val="clear" w:color="auto" w:fill="FFFFFF"/>
            <w:vAlign w:val="bottom"/>
          </w:tcPr>
          <w:p w14:paraId="440F0185"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0EBA29CE" w14:textId="77777777" w:rsidR="00CA2553" w:rsidRPr="00BE5613" w:rsidRDefault="00CA2553" w:rsidP="003D4C06">
            <w:pPr>
              <w:jc w:val="center"/>
              <w:rPr>
                <w:sz w:val="22"/>
                <w:szCs w:val="22"/>
              </w:rPr>
            </w:pPr>
            <w:r w:rsidRPr="00BE5613">
              <w:rPr>
                <w:sz w:val="22"/>
                <w:szCs w:val="22"/>
              </w:rPr>
              <w:t>1.000</w:t>
            </w:r>
          </w:p>
        </w:tc>
      </w:tr>
      <w:tr w:rsidR="00CA2553" w:rsidRPr="00BE5613" w14:paraId="69DD8A0B" w14:textId="77777777">
        <w:trPr>
          <w:trHeight w:val="41"/>
        </w:trPr>
        <w:tc>
          <w:tcPr>
            <w:tcW w:w="4139" w:type="dxa"/>
            <w:tcBorders>
              <w:top w:val="nil"/>
              <w:bottom w:val="nil"/>
            </w:tcBorders>
            <w:shd w:val="clear" w:color="auto" w:fill="FFFFFF"/>
            <w:vAlign w:val="center"/>
          </w:tcPr>
          <w:p w14:paraId="094FE681" w14:textId="77777777" w:rsidR="00CA2553" w:rsidRPr="00BE5613" w:rsidRDefault="00CA2553" w:rsidP="003D4C06">
            <w:pPr>
              <w:ind w:left="142"/>
              <w:rPr>
                <w:sz w:val="22"/>
                <w:szCs w:val="22"/>
              </w:rPr>
            </w:pPr>
            <w:r w:rsidRPr="00BE5613">
              <w:rPr>
                <w:sz w:val="22"/>
                <w:szCs w:val="22"/>
              </w:rPr>
              <w:t>z3 (HWRC open per week)</w:t>
            </w:r>
          </w:p>
        </w:tc>
        <w:tc>
          <w:tcPr>
            <w:tcW w:w="992" w:type="dxa"/>
            <w:tcBorders>
              <w:top w:val="nil"/>
              <w:bottom w:val="nil"/>
              <w:right w:val="nil"/>
            </w:tcBorders>
            <w:shd w:val="clear" w:color="auto" w:fill="FFFFFF"/>
            <w:vAlign w:val="bottom"/>
          </w:tcPr>
          <w:p w14:paraId="594AA1F4" w14:textId="77777777" w:rsidR="00CA2553" w:rsidRPr="00BE5613" w:rsidRDefault="00CA2553" w:rsidP="003D4C06">
            <w:pPr>
              <w:jc w:val="center"/>
              <w:rPr>
                <w:sz w:val="22"/>
                <w:szCs w:val="22"/>
              </w:rPr>
            </w:pPr>
            <w:r w:rsidRPr="00BE5613">
              <w:rPr>
                <w:sz w:val="22"/>
                <w:szCs w:val="22"/>
              </w:rPr>
              <w:t>0.595</w:t>
            </w:r>
          </w:p>
        </w:tc>
        <w:tc>
          <w:tcPr>
            <w:tcW w:w="992" w:type="dxa"/>
            <w:tcBorders>
              <w:top w:val="nil"/>
              <w:left w:val="nil"/>
              <w:bottom w:val="nil"/>
              <w:right w:val="nil"/>
            </w:tcBorders>
            <w:shd w:val="clear" w:color="auto" w:fill="FFFFFF"/>
            <w:vAlign w:val="bottom"/>
          </w:tcPr>
          <w:p w14:paraId="1F33E53C" w14:textId="77777777" w:rsidR="00CA2553" w:rsidRPr="00BE5613" w:rsidRDefault="00CA2553" w:rsidP="003D4C06">
            <w:pPr>
              <w:jc w:val="center"/>
              <w:rPr>
                <w:sz w:val="22"/>
                <w:szCs w:val="22"/>
              </w:rPr>
            </w:pPr>
            <w:r w:rsidRPr="00BE5613">
              <w:rPr>
                <w:sz w:val="22"/>
                <w:szCs w:val="22"/>
              </w:rPr>
              <w:t>1.257</w:t>
            </w:r>
          </w:p>
        </w:tc>
        <w:tc>
          <w:tcPr>
            <w:tcW w:w="992" w:type="dxa"/>
            <w:tcBorders>
              <w:top w:val="nil"/>
              <w:left w:val="nil"/>
              <w:bottom w:val="nil"/>
              <w:right w:val="nil"/>
            </w:tcBorders>
            <w:shd w:val="clear" w:color="auto" w:fill="FFFFFF"/>
            <w:vAlign w:val="bottom"/>
          </w:tcPr>
          <w:p w14:paraId="24EDEF3D" w14:textId="77777777" w:rsidR="00CA2553" w:rsidRPr="00BE5613" w:rsidRDefault="00CA2553" w:rsidP="003D4C06">
            <w:pPr>
              <w:jc w:val="center"/>
              <w:rPr>
                <w:sz w:val="22"/>
                <w:szCs w:val="22"/>
              </w:rPr>
            </w:pPr>
            <w:r w:rsidRPr="00BE5613">
              <w:rPr>
                <w:sz w:val="22"/>
                <w:szCs w:val="22"/>
              </w:rPr>
              <w:t>0.000</w:t>
            </w:r>
          </w:p>
        </w:tc>
        <w:tc>
          <w:tcPr>
            <w:tcW w:w="992" w:type="dxa"/>
            <w:tcBorders>
              <w:top w:val="nil"/>
              <w:left w:val="nil"/>
              <w:bottom w:val="nil"/>
            </w:tcBorders>
            <w:shd w:val="clear" w:color="auto" w:fill="FFFFFF"/>
            <w:vAlign w:val="bottom"/>
          </w:tcPr>
          <w:p w14:paraId="56FFB2BA"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2A7872EC" w14:textId="77777777" w:rsidR="00CA2553" w:rsidRPr="00BE5613" w:rsidRDefault="00CA2553" w:rsidP="003D4C06">
            <w:pPr>
              <w:jc w:val="center"/>
              <w:rPr>
                <w:sz w:val="22"/>
                <w:szCs w:val="22"/>
              </w:rPr>
            </w:pPr>
            <w:r w:rsidRPr="00BE5613">
              <w:rPr>
                <w:sz w:val="22"/>
                <w:szCs w:val="22"/>
              </w:rPr>
              <w:t>6.000</w:t>
            </w:r>
          </w:p>
        </w:tc>
      </w:tr>
      <w:tr w:rsidR="00CA2553" w:rsidRPr="00BE5613" w14:paraId="37E188FB" w14:textId="77777777">
        <w:trPr>
          <w:trHeight w:val="41"/>
        </w:trPr>
        <w:tc>
          <w:tcPr>
            <w:tcW w:w="4139" w:type="dxa"/>
            <w:tcBorders>
              <w:top w:val="nil"/>
              <w:bottom w:val="nil"/>
            </w:tcBorders>
            <w:shd w:val="clear" w:color="auto" w:fill="FFFFFF"/>
            <w:vAlign w:val="center"/>
          </w:tcPr>
          <w:p w14:paraId="7305BEAE" w14:textId="77777777" w:rsidR="00CA2553" w:rsidRPr="00BE5613" w:rsidRDefault="00CA2553" w:rsidP="003D4C06">
            <w:pPr>
              <w:ind w:left="142"/>
              <w:rPr>
                <w:sz w:val="22"/>
                <w:szCs w:val="22"/>
              </w:rPr>
            </w:pPr>
            <w:r w:rsidRPr="00BE5613">
              <w:rPr>
                <w:sz w:val="22"/>
                <w:szCs w:val="22"/>
              </w:rPr>
              <w:t>z4 (a</w:t>
            </w:r>
            <w:r w:rsidR="00F82069" w:rsidRPr="00BE5613">
              <w:rPr>
                <w:sz w:val="22"/>
                <w:szCs w:val="22"/>
              </w:rPr>
              <w:t>vailability of free-of-</w:t>
            </w:r>
            <w:r w:rsidRPr="00BE5613">
              <w:rPr>
                <w:sz w:val="22"/>
                <w:szCs w:val="22"/>
              </w:rPr>
              <w:t>charge HWRC)</w:t>
            </w:r>
          </w:p>
        </w:tc>
        <w:tc>
          <w:tcPr>
            <w:tcW w:w="992" w:type="dxa"/>
            <w:tcBorders>
              <w:top w:val="nil"/>
              <w:bottom w:val="nil"/>
              <w:right w:val="nil"/>
            </w:tcBorders>
            <w:shd w:val="clear" w:color="auto" w:fill="FFFFFF"/>
            <w:vAlign w:val="bottom"/>
          </w:tcPr>
          <w:p w14:paraId="3E710EA0" w14:textId="77777777" w:rsidR="00CA2553" w:rsidRPr="00BE5613" w:rsidRDefault="00CA2553" w:rsidP="003D4C06">
            <w:pPr>
              <w:jc w:val="center"/>
              <w:rPr>
                <w:sz w:val="22"/>
                <w:szCs w:val="22"/>
              </w:rPr>
            </w:pPr>
            <w:r w:rsidRPr="00BE5613">
              <w:rPr>
                <w:sz w:val="22"/>
                <w:szCs w:val="22"/>
              </w:rPr>
              <w:t>0.511</w:t>
            </w:r>
          </w:p>
        </w:tc>
        <w:tc>
          <w:tcPr>
            <w:tcW w:w="992" w:type="dxa"/>
            <w:tcBorders>
              <w:top w:val="nil"/>
              <w:left w:val="nil"/>
              <w:bottom w:val="nil"/>
              <w:right w:val="nil"/>
            </w:tcBorders>
            <w:shd w:val="clear" w:color="auto" w:fill="FFFFFF"/>
            <w:vAlign w:val="bottom"/>
          </w:tcPr>
          <w:p w14:paraId="124ADBE1" w14:textId="77777777" w:rsidR="00CA2553" w:rsidRPr="00BE5613" w:rsidRDefault="00CA2553" w:rsidP="003D4C06">
            <w:pPr>
              <w:jc w:val="center"/>
              <w:rPr>
                <w:sz w:val="22"/>
                <w:szCs w:val="22"/>
              </w:rPr>
            </w:pPr>
            <w:r w:rsidRPr="00BE5613">
              <w:rPr>
                <w:sz w:val="22"/>
                <w:szCs w:val="22"/>
              </w:rPr>
              <w:t>0.500</w:t>
            </w:r>
          </w:p>
        </w:tc>
        <w:tc>
          <w:tcPr>
            <w:tcW w:w="992" w:type="dxa"/>
            <w:tcBorders>
              <w:top w:val="nil"/>
              <w:left w:val="nil"/>
              <w:bottom w:val="nil"/>
              <w:right w:val="nil"/>
            </w:tcBorders>
            <w:shd w:val="clear" w:color="auto" w:fill="FFFFFF"/>
            <w:vAlign w:val="bottom"/>
          </w:tcPr>
          <w:p w14:paraId="5CE212B7" w14:textId="77777777" w:rsidR="00CA2553" w:rsidRPr="00BE5613" w:rsidRDefault="00CA2553" w:rsidP="003D4C06">
            <w:pPr>
              <w:jc w:val="center"/>
              <w:rPr>
                <w:sz w:val="22"/>
                <w:szCs w:val="22"/>
              </w:rPr>
            </w:pPr>
            <w:r w:rsidRPr="00BE5613">
              <w:rPr>
                <w:sz w:val="22"/>
                <w:szCs w:val="22"/>
              </w:rPr>
              <w:t>1.000</w:t>
            </w:r>
          </w:p>
        </w:tc>
        <w:tc>
          <w:tcPr>
            <w:tcW w:w="992" w:type="dxa"/>
            <w:tcBorders>
              <w:top w:val="nil"/>
              <w:left w:val="nil"/>
              <w:bottom w:val="nil"/>
            </w:tcBorders>
            <w:shd w:val="clear" w:color="auto" w:fill="FFFFFF"/>
            <w:vAlign w:val="bottom"/>
          </w:tcPr>
          <w:p w14:paraId="67F4D75C"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36F6DF4E" w14:textId="77777777" w:rsidR="00CA2553" w:rsidRPr="00BE5613" w:rsidRDefault="00CA2553" w:rsidP="003D4C06">
            <w:pPr>
              <w:jc w:val="center"/>
              <w:rPr>
                <w:sz w:val="22"/>
                <w:szCs w:val="22"/>
              </w:rPr>
            </w:pPr>
            <w:r w:rsidRPr="00BE5613">
              <w:rPr>
                <w:sz w:val="22"/>
                <w:szCs w:val="22"/>
              </w:rPr>
              <w:t>1.000</w:t>
            </w:r>
          </w:p>
        </w:tc>
      </w:tr>
      <w:tr w:rsidR="00CA2553" w:rsidRPr="00BE5613" w14:paraId="6A13DFCA" w14:textId="77777777">
        <w:trPr>
          <w:trHeight w:val="41"/>
        </w:trPr>
        <w:tc>
          <w:tcPr>
            <w:tcW w:w="4139" w:type="dxa"/>
            <w:tcBorders>
              <w:top w:val="nil"/>
              <w:bottom w:val="nil"/>
            </w:tcBorders>
            <w:shd w:val="clear" w:color="auto" w:fill="FFFFFF"/>
            <w:vAlign w:val="center"/>
          </w:tcPr>
          <w:p w14:paraId="6250D043" w14:textId="77777777" w:rsidR="00CA2553" w:rsidRPr="00BE5613" w:rsidRDefault="00CA2553" w:rsidP="003D4C06">
            <w:pPr>
              <w:ind w:left="142"/>
              <w:rPr>
                <w:sz w:val="22"/>
                <w:szCs w:val="22"/>
              </w:rPr>
            </w:pPr>
            <w:r w:rsidRPr="00BE5613">
              <w:rPr>
                <w:sz w:val="22"/>
                <w:szCs w:val="22"/>
              </w:rPr>
              <w:t>z5 (separation drop-off sites)</w:t>
            </w:r>
          </w:p>
        </w:tc>
        <w:tc>
          <w:tcPr>
            <w:tcW w:w="992" w:type="dxa"/>
            <w:tcBorders>
              <w:top w:val="nil"/>
              <w:bottom w:val="nil"/>
              <w:right w:val="nil"/>
            </w:tcBorders>
            <w:shd w:val="clear" w:color="auto" w:fill="FFFFFF"/>
            <w:vAlign w:val="bottom"/>
          </w:tcPr>
          <w:p w14:paraId="51527454" w14:textId="77777777" w:rsidR="00CA2553" w:rsidRPr="00BE5613" w:rsidRDefault="00CA2553" w:rsidP="003D4C06">
            <w:pPr>
              <w:jc w:val="center"/>
              <w:rPr>
                <w:sz w:val="22"/>
                <w:szCs w:val="22"/>
              </w:rPr>
            </w:pPr>
            <w:r w:rsidRPr="00BE5613">
              <w:rPr>
                <w:sz w:val="22"/>
                <w:szCs w:val="22"/>
              </w:rPr>
              <w:t>4.904</w:t>
            </w:r>
          </w:p>
        </w:tc>
        <w:tc>
          <w:tcPr>
            <w:tcW w:w="992" w:type="dxa"/>
            <w:tcBorders>
              <w:top w:val="nil"/>
              <w:left w:val="nil"/>
              <w:bottom w:val="nil"/>
              <w:right w:val="nil"/>
            </w:tcBorders>
            <w:shd w:val="clear" w:color="auto" w:fill="FFFFFF"/>
            <w:vAlign w:val="bottom"/>
          </w:tcPr>
          <w:p w14:paraId="63459A1F" w14:textId="77777777" w:rsidR="00CA2553" w:rsidRPr="00BE5613" w:rsidRDefault="00CA2553" w:rsidP="003D4C06">
            <w:pPr>
              <w:jc w:val="center"/>
              <w:rPr>
                <w:sz w:val="22"/>
                <w:szCs w:val="22"/>
              </w:rPr>
            </w:pPr>
            <w:r w:rsidRPr="00BE5613">
              <w:rPr>
                <w:sz w:val="22"/>
                <w:szCs w:val="22"/>
              </w:rPr>
              <w:t>10.428</w:t>
            </w:r>
          </w:p>
        </w:tc>
        <w:tc>
          <w:tcPr>
            <w:tcW w:w="992" w:type="dxa"/>
            <w:tcBorders>
              <w:top w:val="nil"/>
              <w:left w:val="nil"/>
              <w:bottom w:val="nil"/>
              <w:right w:val="nil"/>
            </w:tcBorders>
            <w:shd w:val="clear" w:color="auto" w:fill="FFFFFF"/>
            <w:vAlign w:val="bottom"/>
          </w:tcPr>
          <w:p w14:paraId="00368EC7" w14:textId="77777777" w:rsidR="00CA2553" w:rsidRPr="00BE5613" w:rsidRDefault="00CA2553" w:rsidP="003D4C06">
            <w:pPr>
              <w:jc w:val="center"/>
              <w:rPr>
                <w:sz w:val="22"/>
                <w:szCs w:val="22"/>
              </w:rPr>
            </w:pPr>
            <w:r w:rsidRPr="00BE5613">
              <w:rPr>
                <w:sz w:val="22"/>
                <w:szCs w:val="22"/>
              </w:rPr>
              <w:t>3.000</w:t>
            </w:r>
          </w:p>
        </w:tc>
        <w:tc>
          <w:tcPr>
            <w:tcW w:w="992" w:type="dxa"/>
            <w:tcBorders>
              <w:top w:val="nil"/>
              <w:left w:val="nil"/>
              <w:bottom w:val="nil"/>
            </w:tcBorders>
            <w:shd w:val="clear" w:color="auto" w:fill="FFFFFF"/>
            <w:vAlign w:val="bottom"/>
          </w:tcPr>
          <w:p w14:paraId="481010E7"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2B6558FE" w14:textId="77777777" w:rsidR="00CA2553" w:rsidRPr="00BE5613" w:rsidRDefault="00CA2553" w:rsidP="003D4C06">
            <w:pPr>
              <w:jc w:val="center"/>
              <w:rPr>
                <w:sz w:val="22"/>
                <w:szCs w:val="22"/>
              </w:rPr>
            </w:pPr>
            <w:r w:rsidRPr="00BE5613">
              <w:rPr>
                <w:sz w:val="22"/>
                <w:szCs w:val="22"/>
              </w:rPr>
              <w:t>145.000</w:t>
            </w:r>
          </w:p>
        </w:tc>
      </w:tr>
      <w:tr w:rsidR="00CA2553" w:rsidRPr="00BE5613" w14:paraId="4CF59C1D" w14:textId="77777777">
        <w:trPr>
          <w:trHeight w:val="41"/>
        </w:trPr>
        <w:tc>
          <w:tcPr>
            <w:tcW w:w="4139" w:type="dxa"/>
            <w:tcBorders>
              <w:top w:val="nil"/>
              <w:bottom w:val="nil"/>
            </w:tcBorders>
            <w:shd w:val="clear" w:color="auto" w:fill="FFFFFF"/>
            <w:vAlign w:val="center"/>
          </w:tcPr>
          <w:p w14:paraId="177D2838" w14:textId="77777777" w:rsidR="00CA2553" w:rsidRPr="00BE5613" w:rsidRDefault="00CA2553" w:rsidP="003D4C06">
            <w:pPr>
              <w:ind w:left="142"/>
              <w:rPr>
                <w:sz w:val="22"/>
                <w:szCs w:val="22"/>
              </w:rPr>
            </w:pPr>
            <w:r w:rsidRPr="00BE5613">
              <w:rPr>
                <w:sz w:val="22"/>
                <w:szCs w:val="22"/>
              </w:rPr>
              <w:t>z6 (population per separation drop-off site)</w:t>
            </w:r>
          </w:p>
        </w:tc>
        <w:tc>
          <w:tcPr>
            <w:tcW w:w="992" w:type="dxa"/>
            <w:tcBorders>
              <w:top w:val="nil"/>
              <w:bottom w:val="nil"/>
              <w:right w:val="nil"/>
            </w:tcBorders>
            <w:shd w:val="clear" w:color="auto" w:fill="FFFFFF"/>
            <w:vAlign w:val="bottom"/>
          </w:tcPr>
          <w:p w14:paraId="377CAC09" w14:textId="77777777" w:rsidR="00CA2553" w:rsidRPr="00BE5613" w:rsidRDefault="00CA2553" w:rsidP="003D4C06">
            <w:pPr>
              <w:jc w:val="center"/>
              <w:rPr>
                <w:sz w:val="22"/>
                <w:szCs w:val="22"/>
              </w:rPr>
            </w:pPr>
            <w:r w:rsidRPr="00BE5613">
              <w:rPr>
                <w:sz w:val="22"/>
                <w:szCs w:val="22"/>
              </w:rPr>
              <w:t>233.859</w:t>
            </w:r>
          </w:p>
        </w:tc>
        <w:tc>
          <w:tcPr>
            <w:tcW w:w="992" w:type="dxa"/>
            <w:tcBorders>
              <w:top w:val="nil"/>
              <w:left w:val="nil"/>
              <w:bottom w:val="nil"/>
              <w:right w:val="nil"/>
            </w:tcBorders>
            <w:shd w:val="clear" w:color="auto" w:fill="FFFFFF"/>
            <w:vAlign w:val="bottom"/>
          </w:tcPr>
          <w:p w14:paraId="44E097E1" w14:textId="77777777" w:rsidR="00CA2553" w:rsidRPr="00BE5613" w:rsidRDefault="00CA2553" w:rsidP="003D4C06">
            <w:pPr>
              <w:jc w:val="center"/>
              <w:rPr>
                <w:sz w:val="22"/>
                <w:szCs w:val="22"/>
              </w:rPr>
            </w:pPr>
            <w:r w:rsidRPr="00BE5613">
              <w:rPr>
                <w:sz w:val="22"/>
                <w:szCs w:val="22"/>
              </w:rPr>
              <w:t>170.270</w:t>
            </w:r>
          </w:p>
        </w:tc>
        <w:tc>
          <w:tcPr>
            <w:tcW w:w="992" w:type="dxa"/>
            <w:tcBorders>
              <w:top w:val="nil"/>
              <w:left w:val="nil"/>
              <w:bottom w:val="nil"/>
              <w:right w:val="nil"/>
            </w:tcBorders>
            <w:shd w:val="clear" w:color="auto" w:fill="FFFFFF"/>
            <w:vAlign w:val="bottom"/>
          </w:tcPr>
          <w:p w14:paraId="772F7EEF" w14:textId="77777777" w:rsidR="00CA2553" w:rsidRPr="00BE5613" w:rsidRDefault="00CA2553" w:rsidP="003D4C06">
            <w:pPr>
              <w:jc w:val="center"/>
              <w:rPr>
                <w:sz w:val="22"/>
                <w:szCs w:val="22"/>
              </w:rPr>
            </w:pPr>
            <w:r w:rsidRPr="00BE5613">
              <w:rPr>
                <w:sz w:val="22"/>
                <w:szCs w:val="22"/>
              </w:rPr>
              <w:t>195.267</w:t>
            </w:r>
          </w:p>
        </w:tc>
        <w:tc>
          <w:tcPr>
            <w:tcW w:w="992" w:type="dxa"/>
            <w:tcBorders>
              <w:top w:val="nil"/>
              <w:left w:val="nil"/>
              <w:bottom w:val="nil"/>
            </w:tcBorders>
            <w:shd w:val="clear" w:color="auto" w:fill="FFFFFF"/>
            <w:vAlign w:val="bottom"/>
          </w:tcPr>
          <w:p w14:paraId="74257BC0"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5D09685D" w14:textId="77777777" w:rsidR="00CA2553" w:rsidRPr="00BE5613" w:rsidRDefault="00CA2553" w:rsidP="003D4C06">
            <w:pPr>
              <w:jc w:val="center"/>
              <w:rPr>
                <w:sz w:val="22"/>
                <w:szCs w:val="22"/>
              </w:rPr>
            </w:pPr>
            <w:r w:rsidRPr="00BE5613">
              <w:rPr>
                <w:sz w:val="22"/>
                <w:szCs w:val="22"/>
              </w:rPr>
              <w:t>1412.000</w:t>
            </w:r>
          </w:p>
        </w:tc>
      </w:tr>
      <w:tr w:rsidR="00CA2553" w:rsidRPr="00BE5613" w14:paraId="6E9810C3" w14:textId="77777777">
        <w:trPr>
          <w:trHeight w:val="41"/>
        </w:trPr>
        <w:tc>
          <w:tcPr>
            <w:tcW w:w="4139" w:type="dxa"/>
            <w:tcBorders>
              <w:top w:val="nil"/>
              <w:bottom w:val="nil"/>
            </w:tcBorders>
            <w:shd w:val="clear" w:color="auto" w:fill="FFFFFF"/>
            <w:vAlign w:val="center"/>
          </w:tcPr>
          <w:p w14:paraId="0572E6B2" w14:textId="77777777" w:rsidR="00CA2553" w:rsidRPr="00BE5613" w:rsidRDefault="00CA2553" w:rsidP="003D4C06">
            <w:pPr>
              <w:ind w:left="142"/>
              <w:rPr>
                <w:sz w:val="22"/>
                <w:szCs w:val="22"/>
              </w:rPr>
            </w:pPr>
            <w:r w:rsidRPr="00BE5613">
              <w:rPr>
                <w:sz w:val="22"/>
                <w:szCs w:val="22"/>
              </w:rPr>
              <w:t>z7 (curbside collection of recyclables)</w:t>
            </w:r>
          </w:p>
        </w:tc>
        <w:tc>
          <w:tcPr>
            <w:tcW w:w="992" w:type="dxa"/>
            <w:tcBorders>
              <w:top w:val="nil"/>
              <w:bottom w:val="nil"/>
              <w:right w:val="nil"/>
            </w:tcBorders>
            <w:shd w:val="clear" w:color="auto" w:fill="FFFFFF"/>
            <w:vAlign w:val="bottom"/>
          </w:tcPr>
          <w:p w14:paraId="2408EC32" w14:textId="77777777" w:rsidR="00CA2553" w:rsidRPr="00BE5613" w:rsidRDefault="00CA2553" w:rsidP="003D4C06">
            <w:pPr>
              <w:jc w:val="center"/>
              <w:rPr>
                <w:sz w:val="22"/>
                <w:szCs w:val="22"/>
              </w:rPr>
            </w:pPr>
            <w:r w:rsidRPr="00BE5613">
              <w:rPr>
                <w:sz w:val="22"/>
                <w:szCs w:val="22"/>
              </w:rPr>
              <w:t>0.153</w:t>
            </w:r>
          </w:p>
        </w:tc>
        <w:tc>
          <w:tcPr>
            <w:tcW w:w="992" w:type="dxa"/>
            <w:tcBorders>
              <w:top w:val="nil"/>
              <w:left w:val="nil"/>
              <w:bottom w:val="nil"/>
              <w:right w:val="nil"/>
            </w:tcBorders>
            <w:shd w:val="clear" w:color="auto" w:fill="FFFFFF"/>
            <w:vAlign w:val="bottom"/>
          </w:tcPr>
          <w:p w14:paraId="0559F01E" w14:textId="77777777" w:rsidR="00CA2553" w:rsidRPr="00BE5613" w:rsidRDefault="00CA2553" w:rsidP="003D4C06">
            <w:pPr>
              <w:jc w:val="center"/>
              <w:rPr>
                <w:sz w:val="22"/>
                <w:szCs w:val="22"/>
              </w:rPr>
            </w:pPr>
            <w:r w:rsidRPr="00BE5613">
              <w:rPr>
                <w:sz w:val="22"/>
                <w:szCs w:val="22"/>
              </w:rPr>
              <w:t>0.361</w:t>
            </w:r>
          </w:p>
        </w:tc>
        <w:tc>
          <w:tcPr>
            <w:tcW w:w="992" w:type="dxa"/>
            <w:tcBorders>
              <w:top w:val="nil"/>
              <w:left w:val="nil"/>
              <w:bottom w:val="nil"/>
              <w:right w:val="nil"/>
            </w:tcBorders>
            <w:shd w:val="clear" w:color="auto" w:fill="FFFFFF"/>
            <w:vAlign w:val="bottom"/>
          </w:tcPr>
          <w:p w14:paraId="665D59FB" w14:textId="77777777" w:rsidR="00CA2553" w:rsidRPr="00BE5613" w:rsidRDefault="00CA2553" w:rsidP="003D4C06">
            <w:pPr>
              <w:jc w:val="center"/>
              <w:rPr>
                <w:sz w:val="22"/>
                <w:szCs w:val="22"/>
              </w:rPr>
            </w:pPr>
            <w:r w:rsidRPr="00BE5613">
              <w:rPr>
                <w:sz w:val="22"/>
                <w:szCs w:val="22"/>
              </w:rPr>
              <w:t>0.000</w:t>
            </w:r>
          </w:p>
        </w:tc>
        <w:tc>
          <w:tcPr>
            <w:tcW w:w="992" w:type="dxa"/>
            <w:tcBorders>
              <w:top w:val="nil"/>
              <w:left w:val="nil"/>
              <w:bottom w:val="nil"/>
            </w:tcBorders>
            <w:shd w:val="clear" w:color="auto" w:fill="FFFFFF"/>
            <w:vAlign w:val="bottom"/>
          </w:tcPr>
          <w:p w14:paraId="2651DD09"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2D99567F" w14:textId="77777777" w:rsidR="00CA2553" w:rsidRPr="00BE5613" w:rsidRDefault="00CA2553" w:rsidP="003D4C06">
            <w:pPr>
              <w:jc w:val="center"/>
              <w:rPr>
                <w:sz w:val="22"/>
                <w:szCs w:val="22"/>
              </w:rPr>
            </w:pPr>
            <w:r w:rsidRPr="00BE5613">
              <w:rPr>
                <w:sz w:val="22"/>
                <w:szCs w:val="22"/>
              </w:rPr>
              <w:t>1.000</w:t>
            </w:r>
          </w:p>
        </w:tc>
      </w:tr>
      <w:tr w:rsidR="00CA2553" w:rsidRPr="00BE5613" w14:paraId="2841166F" w14:textId="77777777">
        <w:trPr>
          <w:trHeight w:val="41"/>
        </w:trPr>
        <w:tc>
          <w:tcPr>
            <w:tcW w:w="4139" w:type="dxa"/>
            <w:tcBorders>
              <w:top w:val="nil"/>
              <w:bottom w:val="nil"/>
            </w:tcBorders>
            <w:shd w:val="clear" w:color="auto" w:fill="FFFFFF"/>
            <w:vAlign w:val="center"/>
          </w:tcPr>
          <w:p w14:paraId="5AC805BE" w14:textId="77777777" w:rsidR="00CA2553" w:rsidRPr="00BE5613" w:rsidRDefault="00CA2553" w:rsidP="003D4C06">
            <w:pPr>
              <w:ind w:left="142"/>
              <w:rPr>
                <w:sz w:val="22"/>
                <w:szCs w:val="22"/>
              </w:rPr>
            </w:pPr>
            <w:r w:rsidRPr="00BE5613">
              <w:rPr>
                <w:sz w:val="22"/>
                <w:szCs w:val="22"/>
              </w:rPr>
              <w:t>z8 (waste separation incentive program)</w:t>
            </w:r>
          </w:p>
        </w:tc>
        <w:tc>
          <w:tcPr>
            <w:tcW w:w="992" w:type="dxa"/>
            <w:tcBorders>
              <w:top w:val="nil"/>
              <w:bottom w:val="nil"/>
              <w:right w:val="nil"/>
            </w:tcBorders>
            <w:shd w:val="clear" w:color="auto" w:fill="FFFFFF"/>
            <w:vAlign w:val="bottom"/>
          </w:tcPr>
          <w:p w14:paraId="4691426F" w14:textId="77777777" w:rsidR="00CA2553" w:rsidRPr="00BE5613" w:rsidRDefault="00CA2553" w:rsidP="003D4C06">
            <w:pPr>
              <w:jc w:val="center"/>
              <w:rPr>
                <w:sz w:val="22"/>
                <w:szCs w:val="22"/>
              </w:rPr>
            </w:pPr>
            <w:r w:rsidRPr="00BE5613">
              <w:rPr>
                <w:sz w:val="22"/>
                <w:szCs w:val="22"/>
              </w:rPr>
              <w:t>0.023</w:t>
            </w:r>
          </w:p>
        </w:tc>
        <w:tc>
          <w:tcPr>
            <w:tcW w:w="992" w:type="dxa"/>
            <w:tcBorders>
              <w:top w:val="nil"/>
              <w:left w:val="nil"/>
              <w:bottom w:val="nil"/>
              <w:right w:val="nil"/>
            </w:tcBorders>
            <w:shd w:val="clear" w:color="auto" w:fill="FFFFFF"/>
            <w:vAlign w:val="bottom"/>
          </w:tcPr>
          <w:p w14:paraId="4DAE7231" w14:textId="77777777" w:rsidR="00CA2553" w:rsidRPr="00BE5613" w:rsidRDefault="00CA2553" w:rsidP="003D4C06">
            <w:pPr>
              <w:jc w:val="center"/>
              <w:rPr>
                <w:sz w:val="22"/>
                <w:szCs w:val="22"/>
              </w:rPr>
            </w:pPr>
            <w:r w:rsidRPr="00BE5613">
              <w:rPr>
                <w:sz w:val="22"/>
                <w:szCs w:val="22"/>
              </w:rPr>
              <w:t>0.151</w:t>
            </w:r>
          </w:p>
        </w:tc>
        <w:tc>
          <w:tcPr>
            <w:tcW w:w="992" w:type="dxa"/>
            <w:tcBorders>
              <w:top w:val="nil"/>
              <w:left w:val="nil"/>
              <w:bottom w:val="nil"/>
              <w:right w:val="nil"/>
            </w:tcBorders>
            <w:shd w:val="clear" w:color="auto" w:fill="FFFFFF"/>
            <w:vAlign w:val="bottom"/>
          </w:tcPr>
          <w:p w14:paraId="385FA1C9" w14:textId="77777777" w:rsidR="00CA2553" w:rsidRPr="00BE5613" w:rsidRDefault="00CA2553" w:rsidP="003D4C06">
            <w:pPr>
              <w:jc w:val="center"/>
              <w:rPr>
                <w:sz w:val="22"/>
                <w:szCs w:val="22"/>
              </w:rPr>
            </w:pPr>
            <w:r w:rsidRPr="00BE5613">
              <w:rPr>
                <w:sz w:val="22"/>
                <w:szCs w:val="22"/>
              </w:rPr>
              <w:t>0.000</w:t>
            </w:r>
          </w:p>
        </w:tc>
        <w:tc>
          <w:tcPr>
            <w:tcW w:w="992" w:type="dxa"/>
            <w:tcBorders>
              <w:top w:val="nil"/>
              <w:left w:val="nil"/>
              <w:bottom w:val="nil"/>
            </w:tcBorders>
            <w:shd w:val="clear" w:color="auto" w:fill="FFFFFF"/>
            <w:vAlign w:val="bottom"/>
          </w:tcPr>
          <w:p w14:paraId="47CE69A5"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54B7BFAC" w14:textId="77777777" w:rsidR="00CA2553" w:rsidRPr="00BE5613" w:rsidRDefault="00CA2553" w:rsidP="003D4C06">
            <w:pPr>
              <w:jc w:val="center"/>
              <w:rPr>
                <w:sz w:val="22"/>
                <w:szCs w:val="22"/>
              </w:rPr>
            </w:pPr>
            <w:r w:rsidRPr="00BE5613">
              <w:rPr>
                <w:sz w:val="22"/>
                <w:szCs w:val="22"/>
              </w:rPr>
              <w:t>1.000</w:t>
            </w:r>
          </w:p>
        </w:tc>
      </w:tr>
      <w:tr w:rsidR="00CA2553" w:rsidRPr="00BE5613" w14:paraId="70694F9A" w14:textId="77777777">
        <w:trPr>
          <w:trHeight w:val="41"/>
        </w:trPr>
        <w:tc>
          <w:tcPr>
            <w:tcW w:w="4139" w:type="dxa"/>
            <w:tcBorders>
              <w:top w:val="nil"/>
              <w:bottom w:val="nil"/>
            </w:tcBorders>
            <w:shd w:val="clear" w:color="auto" w:fill="FFFFFF"/>
            <w:vAlign w:val="center"/>
          </w:tcPr>
          <w:p w14:paraId="640657D8" w14:textId="77777777" w:rsidR="00CA2553" w:rsidRPr="00BE5613" w:rsidRDefault="00CA2553" w:rsidP="003D4C06">
            <w:pPr>
              <w:ind w:left="142"/>
              <w:rPr>
                <w:sz w:val="22"/>
                <w:szCs w:val="22"/>
              </w:rPr>
            </w:pPr>
            <w:r w:rsidRPr="00BE5613">
              <w:rPr>
                <w:sz w:val="22"/>
                <w:szCs w:val="22"/>
              </w:rPr>
              <w:t>z9 (green waste collection program)</w:t>
            </w:r>
          </w:p>
        </w:tc>
        <w:tc>
          <w:tcPr>
            <w:tcW w:w="992" w:type="dxa"/>
            <w:tcBorders>
              <w:top w:val="nil"/>
              <w:bottom w:val="nil"/>
              <w:right w:val="nil"/>
            </w:tcBorders>
            <w:shd w:val="clear" w:color="auto" w:fill="FFFFFF"/>
            <w:vAlign w:val="bottom"/>
          </w:tcPr>
          <w:p w14:paraId="6264EA29" w14:textId="77777777" w:rsidR="00CA2553" w:rsidRPr="00BE5613" w:rsidRDefault="00CA2553" w:rsidP="003D4C06">
            <w:pPr>
              <w:jc w:val="center"/>
              <w:rPr>
                <w:sz w:val="22"/>
                <w:szCs w:val="22"/>
              </w:rPr>
            </w:pPr>
            <w:r w:rsidRPr="00BE5613">
              <w:rPr>
                <w:sz w:val="22"/>
                <w:szCs w:val="22"/>
              </w:rPr>
              <w:t>0.194</w:t>
            </w:r>
          </w:p>
        </w:tc>
        <w:tc>
          <w:tcPr>
            <w:tcW w:w="992" w:type="dxa"/>
            <w:tcBorders>
              <w:top w:val="nil"/>
              <w:left w:val="nil"/>
              <w:bottom w:val="nil"/>
              <w:right w:val="nil"/>
            </w:tcBorders>
            <w:shd w:val="clear" w:color="auto" w:fill="FFFFFF"/>
            <w:vAlign w:val="bottom"/>
          </w:tcPr>
          <w:p w14:paraId="547807ED" w14:textId="77777777" w:rsidR="00CA2553" w:rsidRPr="00BE5613" w:rsidRDefault="00CA2553" w:rsidP="003D4C06">
            <w:pPr>
              <w:jc w:val="center"/>
              <w:rPr>
                <w:sz w:val="22"/>
                <w:szCs w:val="22"/>
              </w:rPr>
            </w:pPr>
            <w:r w:rsidRPr="00BE5613">
              <w:rPr>
                <w:sz w:val="22"/>
                <w:szCs w:val="22"/>
              </w:rPr>
              <w:t>0.378</w:t>
            </w:r>
          </w:p>
        </w:tc>
        <w:tc>
          <w:tcPr>
            <w:tcW w:w="992" w:type="dxa"/>
            <w:tcBorders>
              <w:top w:val="nil"/>
              <w:left w:val="nil"/>
              <w:bottom w:val="nil"/>
              <w:right w:val="nil"/>
            </w:tcBorders>
            <w:shd w:val="clear" w:color="auto" w:fill="FFFFFF"/>
            <w:vAlign w:val="bottom"/>
          </w:tcPr>
          <w:p w14:paraId="1BD4F18E" w14:textId="77777777" w:rsidR="00CA2553" w:rsidRPr="00BE5613" w:rsidRDefault="00CA2553" w:rsidP="003D4C06">
            <w:pPr>
              <w:jc w:val="center"/>
              <w:rPr>
                <w:sz w:val="22"/>
                <w:szCs w:val="22"/>
              </w:rPr>
            </w:pPr>
            <w:r w:rsidRPr="00BE5613">
              <w:rPr>
                <w:sz w:val="22"/>
                <w:szCs w:val="22"/>
              </w:rPr>
              <w:t>0.000</w:t>
            </w:r>
          </w:p>
        </w:tc>
        <w:tc>
          <w:tcPr>
            <w:tcW w:w="992" w:type="dxa"/>
            <w:tcBorders>
              <w:top w:val="nil"/>
              <w:left w:val="nil"/>
              <w:bottom w:val="nil"/>
            </w:tcBorders>
            <w:shd w:val="clear" w:color="auto" w:fill="FFFFFF"/>
            <w:vAlign w:val="bottom"/>
          </w:tcPr>
          <w:p w14:paraId="5343A1FC"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64AA32BC" w14:textId="77777777" w:rsidR="00CA2553" w:rsidRPr="00BE5613" w:rsidRDefault="00CA2553" w:rsidP="003D4C06">
            <w:pPr>
              <w:jc w:val="center"/>
              <w:rPr>
                <w:sz w:val="22"/>
                <w:szCs w:val="22"/>
              </w:rPr>
            </w:pPr>
            <w:r w:rsidRPr="00BE5613">
              <w:rPr>
                <w:sz w:val="22"/>
                <w:szCs w:val="22"/>
              </w:rPr>
              <w:t>1.000</w:t>
            </w:r>
          </w:p>
        </w:tc>
      </w:tr>
      <w:tr w:rsidR="00CA2553" w:rsidRPr="00BE5613" w14:paraId="59B690AF" w14:textId="77777777">
        <w:trPr>
          <w:trHeight w:val="41"/>
        </w:trPr>
        <w:tc>
          <w:tcPr>
            <w:tcW w:w="4139" w:type="dxa"/>
            <w:tcBorders>
              <w:top w:val="nil"/>
              <w:bottom w:val="nil"/>
            </w:tcBorders>
            <w:shd w:val="clear" w:color="auto" w:fill="FFFFFF"/>
            <w:vAlign w:val="center"/>
          </w:tcPr>
          <w:p w14:paraId="131FCA13" w14:textId="77777777" w:rsidR="00CA2553" w:rsidRPr="00BE5613" w:rsidRDefault="00CA2553" w:rsidP="003D4C06">
            <w:pPr>
              <w:ind w:left="142"/>
              <w:rPr>
                <w:sz w:val="22"/>
                <w:szCs w:val="22"/>
              </w:rPr>
            </w:pPr>
            <w:r w:rsidRPr="00BE5613">
              <w:rPr>
                <w:sz w:val="22"/>
                <w:szCs w:val="22"/>
              </w:rPr>
              <w:t>z10 (share of condom</w:t>
            </w:r>
            <w:r w:rsidR="00833D5D" w:rsidRPr="00BE5613">
              <w:rPr>
                <w:sz w:val="22"/>
                <w:szCs w:val="22"/>
              </w:rPr>
              <w:t>inium housing units</w:t>
            </w:r>
            <w:r w:rsidRPr="00BE5613">
              <w:rPr>
                <w:sz w:val="22"/>
                <w:szCs w:val="22"/>
              </w:rPr>
              <w:t>)</w:t>
            </w:r>
          </w:p>
        </w:tc>
        <w:tc>
          <w:tcPr>
            <w:tcW w:w="992" w:type="dxa"/>
            <w:tcBorders>
              <w:top w:val="nil"/>
              <w:bottom w:val="nil"/>
              <w:right w:val="nil"/>
            </w:tcBorders>
            <w:shd w:val="clear" w:color="auto" w:fill="FFFFFF"/>
            <w:vAlign w:val="bottom"/>
          </w:tcPr>
          <w:p w14:paraId="4597E995" w14:textId="77777777" w:rsidR="00CA2553" w:rsidRPr="00BE5613" w:rsidRDefault="00CA2553" w:rsidP="003D4C06">
            <w:pPr>
              <w:jc w:val="center"/>
              <w:rPr>
                <w:sz w:val="22"/>
                <w:szCs w:val="22"/>
              </w:rPr>
            </w:pPr>
            <w:r w:rsidRPr="00BE5613">
              <w:rPr>
                <w:sz w:val="22"/>
                <w:szCs w:val="22"/>
              </w:rPr>
              <w:t>0.082</w:t>
            </w:r>
          </w:p>
        </w:tc>
        <w:tc>
          <w:tcPr>
            <w:tcW w:w="992" w:type="dxa"/>
            <w:tcBorders>
              <w:top w:val="nil"/>
              <w:left w:val="nil"/>
              <w:bottom w:val="nil"/>
              <w:right w:val="nil"/>
            </w:tcBorders>
            <w:shd w:val="clear" w:color="auto" w:fill="FFFFFF"/>
            <w:vAlign w:val="bottom"/>
          </w:tcPr>
          <w:p w14:paraId="6FE8D92F" w14:textId="77777777" w:rsidR="00CA2553" w:rsidRPr="00BE5613" w:rsidRDefault="00CA2553" w:rsidP="003D4C06">
            <w:pPr>
              <w:jc w:val="center"/>
              <w:rPr>
                <w:sz w:val="22"/>
                <w:szCs w:val="22"/>
              </w:rPr>
            </w:pPr>
            <w:r w:rsidRPr="00BE5613">
              <w:rPr>
                <w:sz w:val="22"/>
                <w:szCs w:val="22"/>
              </w:rPr>
              <w:t>0.119</w:t>
            </w:r>
          </w:p>
        </w:tc>
        <w:tc>
          <w:tcPr>
            <w:tcW w:w="992" w:type="dxa"/>
            <w:tcBorders>
              <w:top w:val="nil"/>
              <w:left w:val="nil"/>
              <w:bottom w:val="nil"/>
              <w:right w:val="nil"/>
            </w:tcBorders>
            <w:shd w:val="clear" w:color="auto" w:fill="FFFFFF"/>
            <w:vAlign w:val="bottom"/>
          </w:tcPr>
          <w:p w14:paraId="52E0DB08" w14:textId="77777777" w:rsidR="00CA2553" w:rsidRPr="00BE5613" w:rsidRDefault="00CA2553" w:rsidP="003D4C06">
            <w:pPr>
              <w:jc w:val="center"/>
              <w:rPr>
                <w:sz w:val="22"/>
                <w:szCs w:val="22"/>
              </w:rPr>
            </w:pPr>
            <w:r w:rsidRPr="00BE5613">
              <w:rPr>
                <w:sz w:val="22"/>
                <w:szCs w:val="22"/>
              </w:rPr>
              <w:t>0.049</w:t>
            </w:r>
          </w:p>
        </w:tc>
        <w:tc>
          <w:tcPr>
            <w:tcW w:w="992" w:type="dxa"/>
            <w:tcBorders>
              <w:top w:val="nil"/>
              <w:left w:val="nil"/>
              <w:bottom w:val="nil"/>
            </w:tcBorders>
            <w:shd w:val="clear" w:color="auto" w:fill="FFFFFF"/>
            <w:vAlign w:val="bottom"/>
          </w:tcPr>
          <w:p w14:paraId="173F9E98"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7EB3FB24" w14:textId="77777777" w:rsidR="00CA2553" w:rsidRPr="00BE5613" w:rsidRDefault="00CA2553" w:rsidP="003D4C06">
            <w:pPr>
              <w:jc w:val="center"/>
              <w:rPr>
                <w:sz w:val="22"/>
                <w:szCs w:val="22"/>
              </w:rPr>
            </w:pPr>
            <w:r w:rsidRPr="00BE5613">
              <w:rPr>
                <w:sz w:val="22"/>
                <w:szCs w:val="22"/>
              </w:rPr>
              <w:t>0.897</w:t>
            </w:r>
          </w:p>
        </w:tc>
      </w:tr>
      <w:tr w:rsidR="00CA2553" w:rsidRPr="00BE5613" w14:paraId="251D335D" w14:textId="77777777">
        <w:trPr>
          <w:trHeight w:val="41"/>
        </w:trPr>
        <w:tc>
          <w:tcPr>
            <w:tcW w:w="4139" w:type="dxa"/>
            <w:tcBorders>
              <w:top w:val="nil"/>
              <w:bottom w:val="nil"/>
            </w:tcBorders>
            <w:shd w:val="clear" w:color="auto" w:fill="FFFFFF"/>
            <w:vAlign w:val="center"/>
          </w:tcPr>
          <w:p w14:paraId="4BD9661C" w14:textId="77777777" w:rsidR="00CA2553" w:rsidRPr="00BE5613" w:rsidRDefault="00CA2553" w:rsidP="003D4C06">
            <w:pPr>
              <w:ind w:left="142"/>
              <w:rPr>
                <w:sz w:val="22"/>
                <w:szCs w:val="22"/>
              </w:rPr>
            </w:pPr>
            <w:r w:rsidRPr="00BE5613">
              <w:rPr>
                <w:sz w:val="22"/>
                <w:szCs w:val="22"/>
              </w:rPr>
              <w:t>z11 (share of recreational dwellings)</w:t>
            </w:r>
          </w:p>
        </w:tc>
        <w:tc>
          <w:tcPr>
            <w:tcW w:w="992" w:type="dxa"/>
            <w:tcBorders>
              <w:top w:val="nil"/>
              <w:bottom w:val="nil"/>
              <w:right w:val="nil"/>
            </w:tcBorders>
            <w:shd w:val="clear" w:color="auto" w:fill="FFFFFF"/>
            <w:vAlign w:val="bottom"/>
          </w:tcPr>
          <w:p w14:paraId="6E2F2685" w14:textId="77777777" w:rsidR="00CA2553" w:rsidRPr="00BE5613" w:rsidRDefault="00CA2553" w:rsidP="003D4C06">
            <w:pPr>
              <w:jc w:val="center"/>
              <w:rPr>
                <w:sz w:val="22"/>
                <w:szCs w:val="22"/>
              </w:rPr>
            </w:pPr>
            <w:r w:rsidRPr="00BE5613">
              <w:rPr>
                <w:sz w:val="22"/>
                <w:szCs w:val="22"/>
              </w:rPr>
              <w:t>0.102</w:t>
            </w:r>
          </w:p>
        </w:tc>
        <w:tc>
          <w:tcPr>
            <w:tcW w:w="992" w:type="dxa"/>
            <w:tcBorders>
              <w:top w:val="nil"/>
              <w:left w:val="nil"/>
              <w:bottom w:val="nil"/>
              <w:right w:val="nil"/>
            </w:tcBorders>
            <w:shd w:val="clear" w:color="auto" w:fill="FFFFFF"/>
            <w:vAlign w:val="bottom"/>
          </w:tcPr>
          <w:p w14:paraId="21E5C12B" w14:textId="77777777" w:rsidR="00CA2553" w:rsidRPr="00BE5613" w:rsidRDefault="00CA2553" w:rsidP="003D4C06">
            <w:pPr>
              <w:jc w:val="center"/>
              <w:rPr>
                <w:sz w:val="22"/>
                <w:szCs w:val="22"/>
              </w:rPr>
            </w:pPr>
            <w:r w:rsidRPr="00BE5613">
              <w:rPr>
                <w:sz w:val="22"/>
                <w:szCs w:val="22"/>
              </w:rPr>
              <w:t>0.154</w:t>
            </w:r>
          </w:p>
        </w:tc>
        <w:tc>
          <w:tcPr>
            <w:tcW w:w="992" w:type="dxa"/>
            <w:tcBorders>
              <w:top w:val="nil"/>
              <w:left w:val="nil"/>
              <w:bottom w:val="nil"/>
              <w:right w:val="nil"/>
            </w:tcBorders>
            <w:shd w:val="clear" w:color="auto" w:fill="FFFFFF"/>
            <w:vAlign w:val="bottom"/>
          </w:tcPr>
          <w:p w14:paraId="0630440C" w14:textId="77777777" w:rsidR="00CA2553" w:rsidRPr="00BE5613" w:rsidRDefault="00CA2553" w:rsidP="003D4C06">
            <w:pPr>
              <w:jc w:val="center"/>
              <w:rPr>
                <w:sz w:val="22"/>
                <w:szCs w:val="22"/>
              </w:rPr>
            </w:pPr>
            <w:r w:rsidRPr="00BE5613">
              <w:rPr>
                <w:sz w:val="22"/>
                <w:szCs w:val="22"/>
              </w:rPr>
              <w:t>0.053</w:t>
            </w:r>
          </w:p>
        </w:tc>
        <w:tc>
          <w:tcPr>
            <w:tcW w:w="992" w:type="dxa"/>
            <w:tcBorders>
              <w:top w:val="nil"/>
              <w:left w:val="nil"/>
              <w:bottom w:val="nil"/>
            </w:tcBorders>
            <w:shd w:val="clear" w:color="auto" w:fill="FFFFFF"/>
            <w:vAlign w:val="bottom"/>
          </w:tcPr>
          <w:p w14:paraId="04AF4765" w14:textId="77777777" w:rsidR="00CA2553" w:rsidRPr="00BE5613" w:rsidRDefault="00CA2553" w:rsidP="003D4C06">
            <w:pPr>
              <w:jc w:val="center"/>
              <w:rPr>
                <w:sz w:val="22"/>
                <w:szCs w:val="22"/>
              </w:rPr>
            </w:pPr>
            <w:r w:rsidRPr="00BE5613">
              <w:rPr>
                <w:sz w:val="22"/>
                <w:szCs w:val="22"/>
              </w:rPr>
              <w:t>0.000</w:t>
            </w:r>
          </w:p>
        </w:tc>
        <w:tc>
          <w:tcPr>
            <w:tcW w:w="993" w:type="dxa"/>
            <w:tcBorders>
              <w:top w:val="nil"/>
              <w:bottom w:val="nil"/>
            </w:tcBorders>
            <w:shd w:val="clear" w:color="auto" w:fill="FFFFFF"/>
            <w:vAlign w:val="bottom"/>
          </w:tcPr>
          <w:p w14:paraId="5352A8A9" w14:textId="77777777" w:rsidR="00CA2553" w:rsidRPr="00BE5613" w:rsidRDefault="00CA2553" w:rsidP="003D4C06">
            <w:pPr>
              <w:jc w:val="center"/>
              <w:rPr>
                <w:sz w:val="22"/>
                <w:szCs w:val="22"/>
              </w:rPr>
            </w:pPr>
            <w:r w:rsidRPr="00BE5613">
              <w:rPr>
                <w:sz w:val="22"/>
                <w:szCs w:val="22"/>
              </w:rPr>
              <w:t>2.154</w:t>
            </w:r>
          </w:p>
        </w:tc>
      </w:tr>
      <w:tr w:rsidR="00CA2553" w:rsidRPr="00BE5613" w14:paraId="4E3E0C1F" w14:textId="77777777">
        <w:trPr>
          <w:trHeight w:val="41"/>
        </w:trPr>
        <w:tc>
          <w:tcPr>
            <w:tcW w:w="4139" w:type="dxa"/>
            <w:tcBorders>
              <w:top w:val="nil"/>
              <w:bottom w:val="single" w:sz="4" w:space="0" w:color="auto"/>
            </w:tcBorders>
            <w:shd w:val="clear" w:color="auto" w:fill="FFFFFF"/>
            <w:vAlign w:val="center"/>
          </w:tcPr>
          <w:p w14:paraId="6C4833B3" w14:textId="77777777" w:rsidR="00CA2553" w:rsidRPr="00BE5613" w:rsidRDefault="00CA2553" w:rsidP="003D4C06">
            <w:pPr>
              <w:ind w:left="142"/>
              <w:rPr>
                <w:sz w:val="22"/>
                <w:szCs w:val="22"/>
              </w:rPr>
            </w:pPr>
            <w:r w:rsidRPr="00BE5613">
              <w:rPr>
                <w:sz w:val="22"/>
                <w:szCs w:val="22"/>
              </w:rPr>
              <w:t>z12 (population to built-up area)</w:t>
            </w:r>
          </w:p>
        </w:tc>
        <w:tc>
          <w:tcPr>
            <w:tcW w:w="992" w:type="dxa"/>
            <w:tcBorders>
              <w:top w:val="nil"/>
              <w:bottom w:val="single" w:sz="4" w:space="0" w:color="auto"/>
              <w:right w:val="nil"/>
            </w:tcBorders>
            <w:shd w:val="clear" w:color="auto" w:fill="FFFFFF"/>
            <w:vAlign w:val="bottom"/>
          </w:tcPr>
          <w:p w14:paraId="28F44DB8" w14:textId="77777777" w:rsidR="00CA2553" w:rsidRPr="00BE5613" w:rsidRDefault="00CA2553" w:rsidP="003D4C06">
            <w:pPr>
              <w:jc w:val="center"/>
              <w:rPr>
                <w:sz w:val="22"/>
                <w:szCs w:val="22"/>
              </w:rPr>
            </w:pPr>
            <w:r w:rsidRPr="00BE5613">
              <w:rPr>
                <w:sz w:val="22"/>
                <w:szCs w:val="22"/>
              </w:rPr>
              <w:t>53.577</w:t>
            </w:r>
          </w:p>
        </w:tc>
        <w:tc>
          <w:tcPr>
            <w:tcW w:w="992" w:type="dxa"/>
            <w:tcBorders>
              <w:top w:val="nil"/>
              <w:left w:val="nil"/>
              <w:bottom w:val="single" w:sz="4" w:space="0" w:color="auto"/>
              <w:right w:val="nil"/>
            </w:tcBorders>
            <w:shd w:val="clear" w:color="auto" w:fill="FFFFFF"/>
            <w:vAlign w:val="bottom"/>
          </w:tcPr>
          <w:p w14:paraId="3F5650B4" w14:textId="77777777" w:rsidR="00CA2553" w:rsidRPr="00BE5613" w:rsidRDefault="00CA2553" w:rsidP="003D4C06">
            <w:pPr>
              <w:jc w:val="center"/>
              <w:rPr>
                <w:sz w:val="22"/>
                <w:szCs w:val="22"/>
              </w:rPr>
            </w:pPr>
            <w:r w:rsidRPr="00BE5613">
              <w:rPr>
                <w:sz w:val="22"/>
                <w:szCs w:val="22"/>
              </w:rPr>
              <w:t>21.172</w:t>
            </w:r>
          </w:p>
        </w:tc>
        <w:tc>
          <w:tcPr>
            <w:tcW w:w="992" w:type="dxa"/>
            <w:tcBorders>
              <w:top w:val="nil"/>
              <w:left w:val="nil"/>
              <w:bottom w:val="single" w:sz="4" w:space="0" w:color="auto"/>
              <w:right w:val="nil"/>
            </w:tcBorders>
            <w:shd w:val="clear" w:color="auto" w:fill="FFFFFF"/>
            <w:vAlign w:val="bottom"/>
          </w:tcPr>
          <w:p w14:paraId="6D62E074" w14:textId="77777777" w:rsidR="00CA2553" w:rsidRPr="00BE5613" w:rsidRDefault="00CA2553" w:rsidP="003D4C06">
            <w:pPr>
              <w:jc w:val="center"/>
              <w:rPr>
                <w:sz w:val="22"/>
                <w:szCs w:val="22"/>
              </w:rPr>
            </w:pPr>
            <w:r w:rsidRPr="00BE5613">
              <w:rPr>
                <w:sz w:val="22"/>
                <w:szCs w:val="22"/>
              </w:rPr>
              <w:t>51.408</w:t>
            </w:r>
          </w:p>
        </w:tc>
        <w:tc>
          <w:tcPr>
            <w:tcW w:w="992" w:type="dxa"/>
            <w:tcBorders>
              <w:top w:val="nil"/>
              <w:left w:val="nil"/>
              <w:bottom w:val="single" w:sz="4" w:space="0" w:color="auto"/>
            </w:tcBorders>
            <w:shd w:val="clear" w:color="auto" w:fill="FFFFFF"/>
            <w:vAlign w:val="bottom"/>
          </w:tcPr>
          <w:p w14:paraId="0549C4E5" w14:textId="77777777" w:rsidR="00CA2553" w:rsidRPr="00BE5613" w:rsidRDefault="00CA2553" w:rsidP="003D4C06">
            <w:pPr>
              <w:jc w:val="center"/>
              <w:rPr>
                <w:sz w:val="22"/>
                <w:szCs w:val="22"/>
              </w:rPr>
            </w:pPr>
            <w:r w:rsidRPr="00BE5613">
              <w:rPr>
                <w:sz w:val="22"/>
                <w:szCs w:val="22"/>
              </w:rPr>
              <w:t>8.929</w:t>
            </w:r>
          </w:p>
        </w:tc>
        <w:tc>
          <w:tcPr>
            <w:tcW w:w="993" w:type="dxa"/>
            <w:tcBorders>
              <w:top w:val="nil"/>
              <w:bottom w:val="single" w:sz="4" w:space="0" w:color="auto"/>
            </w:tcBorders>
            <w:shd w:val="clear" w:color="auto" w:fill="FFFFFF"/>
            <w:vAlign w:val="bottom"/>
          </w:tcPr>
          <w:p w14:paraId="7A133751" w14:textId="77777777" w:rsidR="00CA2553" w:rsidRPr="00BE5613" w:rsidRDefault="00CA2553" w:rsidP="003D4C06">
            <w:pPr>
              <w:jc w:val="center"/>
              <w:rPr>
                <w:sz w:val="22"/>
                <w:szCs w:val="22"/>
              </w:rPr>
            </w:pPr>
            <w:r w:rsidRPr="00BE5613">
              <w:rPr>
                <w:sz w:val="22"/>
                <w:szCs w:val="22"/>
              </w:rPr>
              <w:t>202.788</w:t>
            </w:r>
          </w:p>
        </w:tc>
      </w:tr>
    </w:tbl>
    <w:p w14:paraId="3D63D81B" w14:textId="77777777" w:rsidR="00CA2553" w:rsidRPr="00BE5613" w:rsidRDefault="00CA2553" w:rsidP="00CA2553">
      <w:pPr>
        <w:jc w:val="both"/>
        <w:rPr>
          <w:sz w:val="20"/>
          <w:szCs w:val="20"/>
        </w:rPr>
      </w:pPr>
      <w:r w:rsidRPr="00BE5613">
        <w:rPr>
          <w:sz w:val="20"/>
          <w:szCs w:val="20"/>
        </w:rPr>
        <w:t xml:space="preserve">Notes: Units of measurements are reported in Tables </w:t>
      </w:r>
      <w:r w:rsidRPr="00BE5613">
        <w:rPr>
          <w:sz w:val="20"/>
          <w:szCs w:val="20"/>
        </w:rPr>
        <w:fldChar w:fldCharType="begin"/>
      </w:r>
      <w:r w:rsidRPr="00BE5613">
        <w:rPr>
          <w:sz w:val="20"/>
          <w:szCs w:val="20"/>
        </w:rPr>
        <w:instrText xml:space="preserve"> REF table_inputoutupt_specs \h  \* MERGEFORMAT </w:instrText>
      </w:r>
      <w:r w:rsidRPr="00BE5613">
        <w:rPr>
          <w:sz w:val="20"/>
          <w:szCs w:val="20"/>
        </w:rPr>
      </w:r>
      <w:r w:rsidRPr="00BE5613">
        <w:rPr>
          <w:sz w:val="20"/>
          <w:szCs w:val="20"/>
        </w:rPr>
        <w:fldChar w:fldCharType="separate"/>
      </w:r>
      <w:r w:rsidR="00AA45FA" w:rsidRPr="00BE5613">
        <w:rPr>
          <w:sz w:val="20"/>
          <w:szCs w:val="20"/>
        </w:rPr>
        <w:t>1</w:t>
      </w:r>
      <w:r w:rsidRPr="00BE5613">
        <w:rPr>
          <w:sz w:val="20"/>
          <w:szCs w:val="20"/>
        </w:rPr>
        <w:fldChar w:fldCharType="end"/>
      </w:r>
      <w:r w:rsidRPr="00BE5613">
        <w:rPr>
          <w:sz w:val="20"/>
          <w:szCs w:val="20"/>
        </w:rPr>
        <w:t xml:space="preserve"> and </w:t>
      </w:r>
      <w:r w:rsidRPr="00BE5613">
        <w:rPr>
          <w:sz w:val="20"/>
          <w:szCs w:val="20"/>
        </w:rPr>
        <w:fldChar w:fldCharType="begin"/>
      </w:r>
      <w:r w:rsidRPr="00BE5613">
        <w:rPr>
          <w:sz w:val="20"/>
          <w:szCs w:val="20"/>
        </w:rPr>
        <w:instrText xml:space="preserve"> REF table_contextualvars \h  \* MERGEFORMAT </w:instrText>
      </w:r>
      <w:r w:rsidRPr="00BE5613">
        <w:rPr>
          <w:sz w:val="20"/>
          <w:szCs w:val="20"/>
        </w:rPr>
      </w:r>
      <w:r w:rsidRPr="00BE5613">
        <w:rPr>
          <w:sz w:val="20"/>
          <w:szCs w:val="20"/>
        </w:rPr>
        <w:fldChar w:fldCharType="separate"/>
      </w:r>
      <w:r w:rsidR="00AA45FA" w:rsidRPr="00BE5613">
        <w:rPr>
          <w:sz w:val="20"/>
          <w:szCs w:val="20"/>
        </w:rPr>
        <w:t>2</w:t>
      </w:r>
      <w:r w:rsidRPr="00BE5613">
        <w:rPr>
          <w:sz w:val="20"/>
          <w:szCs w:val="20"/>
        </w:rPr>
        <w:fldChar w:fldCharType="end"/>
      </w:r>
      <w:r w:rsidRPr="00BE5613">
        <w:rPr>
          <w:sz w:val="20"/>
          <w:szCs w:val="20"/>
        </w:rPr>
        <w:t xml:space="preserve">. Statistics are affected by the fact that a good many contextual variables (z2, z7, z8, z9) are “yes/no” variables, alternatively with a “partly” answer (z9). </w:t>
      </w:r>
    </w:p>
    <w:p w14:paraId="3A664B4A" w14:textId="77777777" w:rsidR="00CA2553" w:rsidRPr="00BE5613" w:rsidRDefault="00CA2553" w:rsidP="00CA2553"/>
    <w:p w14:paraId="01633AAA" w14:textId="77777777" w:rsidR="00CA2553" w:rsidRPr="00BE5613" w:rsidRDefault="00CA2553" w:rsidP="00A94637">
      <w:pPr>
        <w:ind w:left="284" w:hanging="284"/>
        <w:jc w:val="both"/>
        <w:rPr>
          <w:sz w:val="22"/>
          <w:szCs w:val="22"/>
        </w:rPr>
        <w:sectPr w:rsidR="00CA2553" w:rsidRPr="00BE5613" w:rsidSect="00AA45FA">
          <w:footerReference w:type="default" r:id="rId147"/>
          <w:pgSz w:w="11907" w:h="16840" w:code="9"/>
          <w:pgMar w:top="1418" w:right="1418" w:bottom="1418" w:left="1418" w:header="720" w:footer="720" w:gutter="0"/>
          <w:lnNumType w:countBy="1" w:restart="continuous"/>
          <w:cols w:space="720"/>
          <w:docGrid w:linePitch="360"/>
        </w:sectPr>
      </w:pPr>
    </w:p>
    <w:p w14:paraId="56CE4AFF" w14:textId="77777777" w:rsidR="00CA2553" w:rsidRPr="00BE5613" w:rsidRDefault="00CA2553" w:rsidP="00CA2553">
      <w:pPr>
        <w:rPr>
          <w:b/>
        </w:rPr>
      </w:pPr>
      <w:r w:rsidRPr="00BE5613">
        <w:rPr>
          <w:b/>
        </w:rPr>
        <w:lastRenderedPageBreak/>
        <w:t xml:space="preserve">Appendix </w:t>
      </w:r>
      <w:bookmarkStart w:id="14" w:name="appendix_cors"/>
      <w:r w:rsidR="002E70D2" w:rsidRPr="00BE5613">
        <w:rPr>
          <w:b/>
        </w:rPr>
        <w:fldChar w:fldCharType="begin"/>
      </w:r>
      <w:r w:rsidR="002E70D2" w:rsidRPr="00BE5613">
        <w:rPr>
          <w:b/>
        </w:rPr>
        <w:instrText xml:space="preserve"> SEQ appendix \* ALPHABETIC  \* MERGEFORMAT </w:instrText>
      </w:r>
      <w:r w:rsidR="002E70D2" w:rsidRPr="00BE5613">
        <w:rPr>
          <w:b/>
        </w:rPr>
        <w:fldChar w:fldCharType="separate"/>
      </w:r>
      <w:r w:rsidR="00AA45FA" w:rsidRPr="00BE5613">
        <w:rPr>
          <w:b/>
          <w:noProof/>
        </w:rPr>
        <w:t>B</w:t>
      </w:r>
      <w:r w:rsidR="002E70D2" w:rsidRPr="00BE5613">
        <w:rPr>
          <w:b/>
        </w:rPr>
        <w:fldChar w:fldCharType="end"/>
      </w:r>
      <w:bookmarkEnd w:id="14"/>
    </w:p>
    <w:p w14:paraId="431FFE2A" w14:textId="77777777" w:rsidR="00CA2553" w:rsidRPr="00BE5613" w:rsidRDefault="00CA2553" w:rsidP="00CA2553"/>
    <w:p w14:paraId="3D667B48" w14:textId="77777777" w:rsidR="00CA2553" w:rsidRPr="00BE5613" w:rsidRDefault="00CA2553" w:rsidP="00CA2553">
      <w:pPr>
        <w:jc w:val="both"/>
      </w:pPr>
      <w:r w:rsidRPr="00BE5613">
        <w:t>Spearman correlations between unconditional and conditional scores and UTC ratios yielded by different input-output specifications under full frontiers</w:t>
      </w:r>
    </w:p>
    <w:tbl>
      <w:tblPr>
        <w:tblW w:w="13988" w:type="dxa"/>
        <w:jc w:val="right"/>
        <w:shd w:val="clear" w:color="auto" w:fill="FFFFFF"/>
        <w:tblLayout w:type="fixed"/>
        <w:tblCellMar>
          <w:left w:w="28" w:type="dxa"/>
          <w:right w:w="28" w:type="dxa"/>
        </w:tblCellMar>
        <w:tblLook w:val="01E0" w:firstRow="1" w:lastRow="1" w:firstColumn="1" w:lastColumn="1" w:noHBand="0" w:noVBand="0"/>
      </w:tblPr>
      <w:tblGrid>
        <w:gridCol w:w="1219"/>
        <w:gridCol w:w="1244"/>
        <w:gridCol w:w="960"/>
        <w:gridCol w:w="960"/>
        <w:gridCol w:w="960"/>
        <w:gridCol w:w="960"/>
        <w:gridCol w:w="960"/>
        <w:gridCol w:w="960"/>
        <w:gridCol w:w="960"/>
        <w:gridCol w:w="961"/>
        <w:gridCol w:w="961"/>
        <w:gridCol w:w="961"/>
        <w:gridCol w:w="961"/>
        <w:gridCol w:w="961"/>
      </w:tblGrid>
      <w:tr w:rsidR="00CA2553" w:rsidRPr="00BE5613" w14:paraId="4B56EF0D" w14:textId="77777777">
        <w:trPr>
          <w:trHeight w:val="41"/>
          <w:jc w:val="right"/>
        </w:trPr>
        <w:tc>
          <w:tcPr>
            <w:tcW w:w="2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9453D2" w14:textId="77777777" w:rsidR="00CA2553" w:rsidRPr="00BE5613" w:rsidRDefault="00CA2553" w:rsidP="003D4C06">
            <w:pPr>
              <w:jc w:val="center"/>
              <w:rPr>
                <w:sz w:val="22"/>
                <w:szCs w:val="22"/>
              </w:rPr>
            </w:pPr>
            <w:r w:rsidRPr="00BE5613">
              <w:rPr>
                <w:sz w:val="22"/>
                <w:szCs w:val="22"/>
              </w:rPr>
              <w:t>Type of scores</w:t>
            </w:r>
          </w:p>
        </w:tc>
        <w:tc>
          <w:tcPr>
            <w:tcW w:w="2880" w:type="dxa"/>
            <w:gridSpan w:val="3"/>
            <w:tcBorders>
              <w:top w:val="single" w:sz="4" w:space="0" w:color="auto"/>
              <w:left w:val="single" w:sz="4" w:space="0" w:color="auto"/>
              <w:right w:val="single" w:sz="4" w:space="0" w:color="auto"/>
            </w:tcBorders>
            <w:shd w:val="clear" w:color="auto" w:fill="FFFFFF"/>
            <w:vAlign w:val="bottom"/>
          </w:tcPr>
          <w:p w14:paraId="186070E4" w14:textId="77777777" w:rsidR="00CA2553" w:rsidRPr="00BE5613" w:rsidRDefault="00CA2553" w:rsidP="003D4C06">
            <w:pPr>
              <w:jc w:val="center"/>
              <w:rPr>
                <w:sz w:val="22"/>
                <w:szCs w:val="22"/>
              </w:rPr>
            </w:pPr>
            <w:r w:rsidRPr="00BE5613">
              <w:rPr>
                <w:sz w:val="22"/>
                <w:szCs w:val="22"/>
              </w:rPr>
              <w:t>Model I</w:t>
            </w:r>
          </w:p>
        </w:tc>
        <w:tc>
          <w:tcPr>
            <w:tcW w:w="2880" w:type="dxa"/>
            <w:gridSpan w:val="3"/>
            <w:tcBorders>
              <w:top w:val="single" w:sz="4" w:space="0" w:color="auto"/>
              <w:left w:val="single" w:sz="4" w:space="0" w:color="auto"/>
              <w:right w:val="single" w:sz="4" w:space="0" w:color="auto"/>
            </w:tcBorders>
            <w:shd w:val="clear" w:color="auto" w:fill="FFFFFF"/>
            <w:vAlign w:val="bottom"/>
          </w:tcPr>
          <w:p w14:paraId="46D786E3" w14:textId="77777777" w:rsidR="00CA2553" w:rsidRPr="00BE5613" w:rsidRDefault="00CA2553" w:rsidP="003D4C06">
            <w:pPr>
              <w:jc w:val="center"/>
              <w:rPr>
                <w:sz w:val="22"/>
                <w:szCs w:val="22"/>
              </w:rPr>
            </w:pPr>
            <w:r w:rsidRPr="00BE5613">
              <w:rPr>
                <w:sz w:val="22"/>
                <w:szCs w:val="22"/>
              </w:rPr>
              <w:t>Model II</w:t>
            </w:r>
          </w:p>
        </w:tc>
        <w:tc>
          <w:tcPr>
            <w:tcW w:w="2882" w:type="dxa"/>
            <w:gridSpan w:val="3"/>
            <w:tcBorders>
              <w:top w:val="single" w:sz="4" w:space="0" w:color="auto"/>
              <w:left w:val="single" w:sz="4" w:space="0" w:color="auto"/>
              <w:right w:val="single" w:sz="4" w:space="0" w:color="auto"/>
            </w:tcBorders>
            <w:shd w:val="clear" w:color="auto" w:fill="FFFFFF"/>
            <w:vAlign w:val="bottom"/>
          </w:tcPr>
          <w:p w14:paraId="555E84CF" w14:textId="77777777" w:rsidR="00CA2553" w:rsidRPr="00BE5613" w:rsidRDefault="00CA2553" w:rsidP="003D4C06">
            <w:pPr>
              <w:jc w:val="center"/>
              <w:rPr>
                <w:sz w:val="22"/>
                <w:szCs w:val="22"/>
              </w:rPr>
            </w:pPr>
            <w:r w:rsidRPr="00BE5613">
              <w:rPr>
                <w:sz w:val="22"/>
                <w:szCs w:val="22"/>
              </w:rPr>
              <w:t>Model III</w:t>
            </w:r>
          </w:p>
        </w:tc>
        <w:tc>
          <w:tcPr>
            <w:tcW w:w="2883" w:type="dxa"/>
            <w:gridSpan w:val="3"/>
            <w:tcBorders>
              <w:top w:val="single" w:sz="4" w:space="0" w:color="auto"/>
              <w:left w:val="single" w:sz="4" w:space="0" w:color="auto"/>
              <w:right w:val="single" w:sz="4" w:space="0" w:color="auto"/>
            </w:tcBorders>
            <w:shd w:val="clear" w:color="auto" w:fill="FFFFFF"/>
            <w:vAlign w:val="bottom"/>
          </w:tcPr>
          <w:p w14:paraId="2619EAF1" w14:textId="77777777" w:rsidR="00CA2553" w:rsidRPr="00BE5613" w:rsidRDefault="00CA2553" w:rsidP="003D4C06">
            <w:pPr>
              <w:jc w:val="center"/>
              <w:rPr>
                <w:sz w:val="22"/>
                <w:szCs w:val="22"/>
              </w:rPr>
            </w:pPr>
            <w:r w:rsidRPr="00BE5613">
              <w:rPr>
                <w:sz w:val="22"/>
                <w:szCs w:val="22"/>
              </w:rPr>
              <w:t>Model IV</w:t>
            </w:r>
          </w:p>
        </w:tc>
      </w:tr>
      <w:tr w:rsidR="00CA2553" w:rsidRPr="00BE5613" w14:paraId="0795C512" w14:textId="77777777">
        <w:trPr>
          <w:trHeight w:val="41"/>
          <w:jc w:val="right"/>
        </w:trPr>
        <w:tc>
          <w:tcPr>
            <w:tcW w:w="2463" w:type="dxa"/>
            <w:gridSpan w:val="2"/>
            <w:vMerge/>
            <w:tcBorders>
              <w:left w:val="single" w:sz="4" w:space="0" w:color="auto"/>
              <w:bottom w:val="single" w:sz="4" w:space="0" w:color="auto"/>
              <w:right w:val="single" w:sz="4" w:space="0" w:color="auto"/>
            </w:tcBorders>
            <w:shd w:val="clear" w:color="auto" w:fill="FFFFFF"/>
            <w:vAlign w:val="center"/>
          </w:tcPr>
          <w:p w14:paraId="611D94D8" w14:textId="77777777" w:rsidR="00CA2553" w:rsidRPr="00BE5613" w:rsidRDefault="00CA2553" w:rsidP="003D4C06">
            <w:pPr>
              <w:jc w:val="center"/>
              <w:rPr>
                <w:b/>
                <w:sz w:val="22"/>
                <w:szCs w:val="22"/>
              </w:rPr>
            </w:pPr>
          </w:p>
        </w:tc>
        <w:tc>
          <w:tcPr>
            <w:tcW w:w="960" w:type="dxa"/>
            <w:tcBorders>
              <w:left w:val="single" w:sz="4" w:space="0" w:color="auto"/>
              <w:bottom w:val="single" w:sz="4" w:space="0" w:color="auto"/>
            </w:tcBorders>
            <w:shd w:val="clear" w:color="auto" w:fill="FFFFFF"/>
            <w:vAlign w:val="bottom"/>
          </w:tcPr>
          <w:p w14:paraId="46E41B7A" w14:textId="77777777" w:rsidR="00CA2553" w:rsidRPr="00BE5613" w:rsidRDefault="00CA2553" w:rsidP="003D4C06">
            <w:pPr>
              <w:jc w:val="center"/>
              <w:rPr>
                <w:b/>
                <w:sz w:val="22"/>
                <w:szCs w:val="22"/>
              </w:rPr>
            </w:pPr>
            <w:r w:rsidRPr="00BE5613">
              <w:rPr>
                <w:sz w:val="22"/>
                <w:szCs w:val="22"/>
              </w:rPr>
              <w:t>U score</w:t>
            </w:r>
          </w:p>
        </w:tc>
        <w:tc>
          <w:tcPr>
            <w:tcW w:w="960" w:type="dxa"/>
            <w:tcBorders>
              <w:bottom w:val="single" w:sz="4" w:space="0" w:color="auto"/>
            </w:tcBorders>
            <w:shd w:val="clear" w:color="auto" w:fill="FFFFFF"/>
            <w:vAlign w:val="bottom"/>
          </w:tcPr>
          <w:p w14:paraId="37FEFE93" w14:textId="77777777" w:rsidR="00CA2553" w:rsidRPr="00BE5613" w:rsidRDefault="00CA2553" w:rsidP="003D4C06">
            <w:pPr>
              <w:jc w:val="center"/>
              <w:rPr>
                <w:b/>
                <w:sz w:val="22"/>
                <w:szCs w:val="22"/>
              </w:rPr>
            </w:pPr>
            <w:r w:rsidRPr="00BE5613">
              <w:rPr>
                <w:sz w:val="22"/>
                <w:szCs w:val="22"/>
              </w:rPr>
              <w:t>C score</w:t>
            </w:r>
          </w:p>
        </w:tc>
        <w:tc>
          <w:tcPr>
            <w:tcW w:w="960" w:type="dxa"/>
            <w:tcBorders>
              <w:bottom w:val="single" w:sz="4" w:space="0" w:color="auto"/>
              <w:right w:val="single" w:sz="4" w:space="0" w:color="auto"/>
            </w:tcBorders>
            <w:shd w:val="clear" w:color="auto" w:fill="FFFFFF"/>
            <w:vAlign w:val="bottom"/>
          </w:tcPr>
          <w:p w14:paraId="4C790C6B" w14:textId="77777777" w:rsidR="00CA2553" w:rsidRPr="00BE5613" w:rsidRDefault="00CA2553" w:rsidP="003D4C06">
            <w:pPr>
              <w:jc w:val="center"/>
              <w:rPr>
                <w:b/>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5ADE357E" w14:textId="77777777" w:rsidR="00CA2553" w:rsidRPr="00BE5613" w:rsidRDefault="00CA2553" w:rsidP="003D4C06">
            <w:pPr>
              <w:jc w:val="center"/>
              <w:rPr>
                <w:b/>
                <w:sz w:val="22"/>
                <w:szCs w:val="22"/>
              </w:rPr>
            </w:pPr>
            <w:r w:rsidRPr="00BE5613">
              <w:rPr>
                <w:sz w:val="22"/>
                <w:szCs w:val="22"/>
              </w:rPr>
              <w:t>U score</w:t>
            </w:r>
          </w:p>
        </w:tc>
        <w:tc>
          <w:tcPr>
            <w:tcW w:w="960" w:type="dxa"/>
            <w:tcBorders>
              <w:bottom w:val="single" w:sz="4" w:space="0" w:color="auto"/>
            </w:tcBorders>
            <w:shd w:val="clear" w:color="auto" w:fill="FFFFFF"/>
            <w:vAlign w:val="bottom"/>
          </w:tcPr>
          <w:p w14:paraId="19B70DB3" w14:textId="77777777" w:rsidR="00CA2553" w:rsidRPr="00BE5613" w:rsidRDefault="00CA2553" w:rsidP="003D4C06">
            <w:pPr>
              <w:jc w:val="center"/>
              <w:rPr>
                <w:b/>
                <w:sz w:val="22"/>
                <w:szCs w:val="22"/>
              </w:rPr>
            </w:pPr>
            <w:r w:rsidRPr="00BE5613">
              <w:rPr>
                <w:sz w:val="22"/>
                <w:szCs w:val="22"/>
              </w:rPr>
              <w:t>C score</w:t>
            </w:r>
          </w:p>
        </w:tc>
        <w:tc>
          <w:tcPr>
            <w:tcW w:w="960" w:type="dxa"/>
            <w:tcBorders>
              <w:bottom w:val="single" w:sz="4" w:space="0" w:color="auto"/>
              <w:right w:val="single" w:sz="4" w:space="0" w:color="auto"/>
            </w:tcBorders>
            <w:shd w:val="clear" w:color="auto" w:fill="FFFFFF"/>
            <w:vAlign w:val="bottom"/>
          </w:tcPr>
          <w:p w14:paraId="1E954739" w14:textId="77777777" w:rsidR="00CA2553" w:rsidRPr="00BE5613" w:rsidRDefault="00CA2553" w:rsidP="003D4C06">
            <w:pPr>
              <w:jc w:val="center"/>
              <w:rPr>
                <w:b/>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5FDA1C37" w14:textId="77777777" w:rsidR="00CA2553" w:rsidRPr="00BE5613" w:rsidRDefault="00CA2553" w:rsidP="003D4C06">
            <w:pPr>
              <w:jc w:val="center"/>
              <w:rPr>
                <w:b/>
                <w:sz w:val="22"/>
                <w:szCs w:val="22"/>
              </w:rPr>
            </w:pPr>
            <w:r w:rsidRPr="00BE5613">
              <w:rPr>
                <w:sz w:val="22"/>
                <w:szCs w:val="22"/>
              </w:rPr>
              <w:t>U score</w:t>
            </w:r>
          </w:p>
        </w:tc>
        <w:tc>
          <w:tcPr>
            <w:tcW w:w="961" w:type="dxa"/>
            <w:tcBorders>
              <w:bottom w:val="single" w:sz="4" w:space="0" w:color="auto"/>
            </w:tcBorders>
            <w:shd w:val="clear" w:color="auto" w:fill="FFFFFF"/>
            <w:vAlign w:val="bottom"/>
          </w:tcPr>
          <w:p w14:paraId="4D7940E6" w14:textId="77777777" w:rsidR="00CA2553" w:rsidRPr="00BE5613" w:rsidRDefault="00CA2553" w:rsidP="003D4C06">
            <w:pPr>
              <w:jc w:val="center"/>
              <w:rPr>
                <w:b/>
                <w:sz w:val="22"/>
                <w:szCs w:val="22"/>
              </w:rPr>
            </w:pPr>
            <w:r w:rsidRPr="00BE5613">
              <w:rPr>
                <w:sz w:val="22"/>
                <w:szCs w:val="22"/>
              </w:rPr>
              <w:t>C score</w:t>
            </w:r>
          </w:p>
        </w:tc>
        <w:tc>
          <w:tcPr>
            <w:tcW w:w="961" w:type="dxa"/>
            <w:tcBorders>
              <w:bottom w:val="single" w:sz="4" w:space="0" w:color="auto"/>
              <w:right w:val="single" w:sz="4" w:space="0" w:color="auto"/>
            </w:tcBorders>
            <w:shd w:val="clear" w:color="auto" w:fill="FFFFFF"/>
            <w:vAlign w:val="bottom"/>
          </w:tcPr>
          <w:p w14:paraId="3FBB8601" w14:textId="77777777" w:rsidR="00CA2553" w:rsidRPr="00BE5613" w:rsidRDefault="00CA2553" w:rsidP="003D4C06">
            <w:pPr>
              <w:jc w:val="center"/>
              <w:rPr>
                <w:b/>
                <w:sz w:val="22"/>
                <w:szCs w:val="22"/>
              </w:rPr>
            </w:pPr>
            <w:r w:rsidRPr="00BE5613">
              <w:rPr>
                <w:sz w:val="22"/>
                <w:szCs w:val="22"/>
              </w:rPr>
              <w:t>UTC ratio</w:t>
            </w:r>
          </w:p>
        </w:tc>
        <w:tc>
          <w:tcPr>
            <w:tcW w:w="961" w:type="dxa"/>
            <w:tcBorders>
              <w:left w:val="single" w:sz="4" w:space="0" w:color="auto"/>
              <w:bottom w:val="single" w:sz="4" w:space="0" w:color="auto"/>
            </w:tcBorders>
            <w:shd w:val="clear" w:color="auto" w:fill="FFFFFF"/>
            <w:vAlign w:val="bottom"/>
          </w:tcPr>
          <w:p w14:paraId="1810B506" w14:textId="77777777" w:rsidR="00CA2553" w:rsidRPr="00BE5613" w:rsidRDefault="00CA2553" w:rsidP="003D4C06">
            <w:pPr>
              <w:jc w:val="center"/>
              <w:rPr>
                <w:b/>
                <w:sz w:val="22"/>
                <w:szCs w:val="22"/>
              </w:rPr>
            </w:pPr>
            <w:r w:rsidRPr="00BE5613">
              <w:rPr>
                <w:sz w:val="22"/>
                <w:szCs w:val="22"/>
              </w:rPr>
              <w:t>U score</w:t>
            </w:r>
          </w:p>
        </w:tc>
        <w:tc>
          <w:tcPr>
            <w:tcW w:w="961" w:type="dxa"/>
            <w:tcBorders>
              <w:bottom w:val="single" w:sz="4" w:space="0" w:color="auto"/>
            </w:tcBorders>
            <w:shd w:val="clear" w:color="auto" w:fill="FFFFFF"/>
            <w:vAlign w:val="bottom"/>
          </w:tcPr>
          <w:p w14:paraId="53FD66CB" w14:textId="77777777" w:rsidR="00CA2553" w:rsidRPr="00BE5613" w:rsidRDefault="00CA2553" w:rsidP="003D4C06">
            <w:pPr>
              <w:jc w:val="center"/>
              <w:rPr>
                <w:b/>
                <w:sz w:val="22"/>
                <w:szCs w:val="22"/>
              </w:rPr>
            </w:pPr>
            <w:r w:rsidRPr="00BE5613">
              <w:rPr>
                <w:sz w:val="22"/>
                <w:szCs w:val="22"/>
              </w:rPr>
              <w:t>C score</w:t>
            </w:r>
          </w:p>
        </w:tc>
        <w:tc>
          <w:tcPr>
            <w:tcW w:w="961" w:type="dxa"/>
            <w:tcBorders>
              <w:bottom w:val="single" w:sz="4" w:space="0" w:color="auto"/>
              <w:right w:val="single" w:sz="4" w:space="0" w:color="auto"/>
            </w:tcBorders>
            <w:shd w:val="clear" w:color="auto" w:fill="FFFFFF"/>
            <w:vAlign w:val="bottom"/>
          </w:tcPr>
          <w:p w14:paraId="3B5D5BC1" w14:textId="77777777" w:rsidR="00CA2553" w:rsidRPr="00BE5613" w:rsidRDefault="00CA2553" w:rsidP="003D4C06">
            <w:pPr>
              <w:jc w:val="center"/>
              <w:rPr>
                <w:b/>
                <w:sz w:val="22"/>
                <w:szCs w:val="22"/>
              </w:rPr>
            </w:pPr>
            <w:r w:rsidRPr="00BE5613">
              <w:rPr>
                <w:sz w:val="22"/>
                <w:szCs w:val="22"/>
              </w:rPr>
              <w:t>UTC ratio</w:t>
            </w:r>
          </w:p>
        </w:tc>
      </w:tr>
      <w:tr w:rsidR="00CA2553" w:rsidRPr="00BE5613" w14:paraId="68642978"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17B601BB" w14:textId="77777777" w:rsidR="00CA2553" w:rsidRPr="00BE5613" w:rsidRDefault="00CA2553" w:rsidP="003D4C06">
            <w:pPr>
              <w:jc w:val="center"/>
              <w:rPr>
                <w:sz w:val="22"/>
                <w:szCs w:val="22"/>
              </w:rPr>
            </w:pPr>
            <w:r w:rsidRPr="00BE5613">
              <w:rPr>
                <w:sz w:val="22"/>
                <w:szCs w:val="22"/>
              </w:rPr>
              <w:t>Model I</w:t>
            </w:r>
          </w:p>
        </w:tc>
        <w:tc>
          <w:tcPr>
            <w:tcW w:w="1244" w:type="dxa"/>
            <w:tcBorders>
              <w:top w:val="single" w:sz="4" w:space="0" w:color="auto"/>
              <w:right w:val="single" w:sz="4" w:space="0" w:color="auto"/>
            </w:tcBorders>
            <w:shd w:val="clear" w:color="auto" w:fill="FFFFFF"/>
            <w:vAlign w:val="bottom"/>
          </w:tcPr>
          <w:p w14:paraId="3C6D33A2" w14:textId="77777777" w:rsidR="00CA2553" w:rsidRPr="00BE5613" w:rsidRDefault="00CA2553"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44629961" w14:textId="77777777" w:rsidR="00CA2553" w:rsidRPr="00BE5613" w:rsidRDefault="00CA2553" w:rsidP="003D4C06">
            <w:pPr>
              <w:jc w:val="center"/>
              <w:rPr>
                <w:sz w:val="22"/>
                <w:szCs w:val="22"/>
              </w:rPr>
            </w:pPr>
            <w:r w:rsidRPr="00BE5613">
              <w:rPr>
                <w:sz w:val="22"/>
                <w:szCs w:val="22"/>
              </w:rPr>
              <w:t>1.000</w:t>
            </w:r>
          </w:p>
        </w:tc>
        <w:tc>
          <w:tcPr>
            <w:tcW w:w="960" w:type="dxa"/>
            <w:tcBorders>
              <w:top w:val="single" w:sz="4" w:space="0" w:color="auto"/>
            </w:tcBorders>
            <w:shd w:val="clear" w:color="auto" w:fill="FFFFFF"/>
            <w:vAlign w:val="bottom"/>
          </w:tcPr>
          <w:p w14:paraId="15A2FBAD" w14:textId="77777777" w:rsidR="00CA2553" w:rsidRPr="00BE5613" w:rsidRDefault="00CA2553" w:rsidP="00CA2553">
            <w:pPr>
              <w:rPr>
                <w:sz w:val="22"/>
                <w:szCs w:val="22"/>
              </w:rPr>
            </w:pPr>
            <w:r w:rsidRPr="00BE5613">
              <w:rPr>
                <w:sz w:val="22"/>
                <w:szCs w:val="22"/>
              </w:rPr>
              <w:t> </w:t>
            </w:r>
          </w:p>
        </w:tc>
        <w:tc>
          <w:tcPr>
            <w:tcW w:w="960" w:type="dxa"/>
            <w:tcBorders>
              <w:top w:val="single" w:sz="4" w:space="0" w:color="auto"/>
              <w:right w:val="single" w:sz="4" w:space="0" w:color="auto"/>
            </w:tcBorders>
            <w:shd w:val="clear" w:color="auto" w:fill="FFFFFF"/>
            <w:vAlign w:val="bottom"/>
          </w:tcPr>
          <w:p w14:paraId="289DE2BB" w14:textId="77777777" w:rsidR="00CA2553" w:rsidRPr="00BE5613" w:rsidRDefault="00CA2553" w:rsidP="00CA2553">
            <w:pPr>
              <w:rPr>
                <w:sz w:val="22"/>
                <w:szCs w:val="22"/>
              </w:rPr>
            </w:pPr>
            <w:r w:rsidRPr="00BE5613">
              <w:rPr>
                <w:sz w:val="22"/>
                <w:szCs w:val="22"/>
              </w:rPr>
              <w:t> </w:t>
            </w:r>
          </w:p>
        </w:tc>
        <w:tc>
          <w:tcPr>
            <w:tcW w:w="960" w:type="dxa"/>
            <w:tcBorders>
              <w:top w:val="single" w:sz="4" w:space="0" w:color="auto"/>
              <w:left w:val="single" w:sz="4" w:space="0" w:color="auto"/>
            </w:tcBorders>
            <w:shd w:val="clear" w:color="auto" w:fill="FFFFFF"/>
            <w:vAlign w:val="bottom"/>
          </w:tcPr>
          <w:p w14:paraId="4C0FF354" w14:textId="77777777" w:rsidR="00CA2553" w:rsidRPr="00BE5613" w:rsidRDefault="00CA2553" w:rsidP="00CA2553">
            <w:pPr>
              <w:rPr>
                <w:sz w:val="22"/>
                <w:szCs w:val="22"/>
              </w:rPr>
            </w:pPr>
            <w:r w:rsidRPr="00BE5613">
              <w:rPr>
                <w:sz w:val="22"/>
                <w:szCs w:val="22"/>
              </w:rPr>
              <w:t> </w:t>
            </w:r>
          </w:p>
        </w:tc>
        <w:tc>
          <w:tcPr>
            <w:tcW w:w="960" w:type="dxa"/>
            <w:tcBorders>
              <w:top w:val="single" w:sz="4" w:space="0" w:color="auto"/>
            </w:tcBorders>
            <w:shd w:val="clear" w:color="auto" w:fill="FFFFFF"/>
            <w:vAlign w:val="bottom"/>
          </w:tcPr>
          <w:p w14:paraId="1AF6BDBA" w14:textId="77777777" w:rsidR="00CA2553" w:rsidRPr="00BE5613" w:rsidRDefault="00CA2553" w:rsidP="00CA2553">
            <w:pPr>
              <w:rPr>
                <w:sz w:val="22"/>
                <w:szCs w:val="22"/>
              </w:rPr>
            </w:pPr>
            <w:r w:rsidRPr="00BE5613">
              <w:rPr>
                <w:sz w:val="22"/>
                <w:szCs w:val="22"/>
              </w:rPr>
              <w:t> </w:t>
            </w:r>
          </w:p>
        </w:tc>
        <w:tc>
          <w:tcPr>
            <w:tcW w:w="960" w:type="dxa"/>
            <w:tcBorders>
              <w:top w:val="single" w:sz="4" w:space="0" w:color="auto"/>
              <w:right w:val="single" w:sz="4" w:space="0" w:color="auto"/>
            </w:tcBorders>
            <w:shd w:val="clear" w:color="auto" w:fill="FFFFFF"/>
            <w:vAlign w:val="bottom"/>
          </w:tcPr>
          <w:p w14:paraId="06D944BE" w14:textId="77777777" w:rsidR="00CA2553" w:rsidRPr="00BE5613" w:rsidRDefault="00CA2553" w:rsidP="00CA2553">
            <w:pPr>
              <w:rPr>
                <w:sz w:val="22"/>
                <w:szCs w:val="22"/>
              </w:rPr>
            </w:pPr>
            <w:r w:rsidRPr="00BE5613">
              <w:rPr>
                <w:sz w:val="22"/>
                <w:szCs w:val="22"/>
              </w:rPr>
              <w:t> </w:t>
            </w:r>
          </w:p>
        </w:tc>
        <w:tc>
          <w:tcPr>
            <w:tcW w:w="960" w:type="dxa"/>
            <w:tcBorders>
              <w:top w:val="single" w:sz="4" w:space="0" w:color="auto"/>
              <w:left w:val="single" w:sz="4" w:space="0" w:color="auto"/>
            </w:tcBorders>
            <w:shd w:val="clear" w:color="auto" w:fill="FFFFFF"/>
            <w:vAlign w:val="bottom"/>
          </w:tcPr>
          <w:p w14:paraId="582EDB07" w14:textId="77777777" w:rsidR="00CA2553" w:rsidRPr="00BE5613" w:rsidRDefault="00CA2553" w:rsidP="00CA2553">
            <w:pPr>
              <w:rPr>
                <w:sz w:val="22"/>
                <w:szCs w:val="22"/>
              </w:rPr>
            </w:pPr>
            <w:r w:rsidRPr="00BE5613">
              <w:rPr>
                <w:sz w:val="22"/>
                <w:szCs w:val="22"/>
              </w:rPr>
              <w:t> </w:t>
            </w:r>
          </w:p>
        </w:tc>
        <w:tc>
          <w:tcPr>
            <w:tcW w:w="961" w:type="dxa"/>
            <w:tcBorders>
              <w:top w:val="single" w:sz="4" w:space="0" w:color="auto"/>
            </w:tcBorders>
            <w:shd w:val="clear" w:color="auto" w:fill="FFFFFF"/>
            <w:vAlign w:val="bottom"/>
          </w:tcPr>
          <w:p w14:paraId="1895899E" w14:textId="77777777" w:rsidR="00CA2553" w:rsidRPr="00BE5613" w:rsidRDefault="00CA2553" w:rsidP="00CA2553">
            <w:pPr>
              <w:rPr>
                <w:sz w:val="22"/>
                <w:szCs w:val="22"/>
              </w:rPr>
            </w:pPr>
            <w:r w:rsidRPr="00BE5613">
              <w:rPr>
                <w:sz w:val="22"/>
                <w:szCs w:val="22"/>
              </w:rPr>
              <w:t> </w:t>
            </w:r>
          </w:p>
        </w:tc>
        <w:tc>
          <w:tcPr>
            <w:tcW w:w="961" w:type="dxa"/>
            <w:tcBorders>
              <w:top w:val="single" w:sz="4" w:space="0" w:color="auto"/>
              <w:right w:val="single" w:sz="4" w:space="0" w:color="auto"/>
            </w:tcBorders>
            <w:shd w:val="clear" w:color="auto" w:fill="FFFFFF"/>
            <w:vAlign w:val="bottom"/>
          </w:tcPr>
          <w:p w14:paraId="3BCD1F5B" w14:textId="77777777" w:rsidR="00CA2553" w:rsidRPr="00BE5613" w:rsidRDefault="00CA2553" w:rsidP="00CA2553">
            <w:pPr>
              <w:rPr>
                <w:sz w:val="22"/>
                <w:szCs w:val="22"/>
              </w:rPr>
            </w:pPr>
            <w:r w:rsidRPr="00BE5613">
              <w:rPr>
                <w:sz w:val="22"/>
                <w:szCs w:val="22"/>
              </w:rPr>
              <w:t> </w:t>
            </w:r>
          </w:p>
        </w:tc>
        <w:tc>
          <w:tcPr>
            <w:tcW w:w="961" w:type="dxa"/>
            <w:tcBorders>
              <w:top w:val="single" w:sz="4" w:space="0" w:color="auto"/>
              <w:left w:val="single" w:sz="4" w:space="0" w:color="auto"/>
            </w:tcBorders>
            <w:shd w:val="clear" w:color="auto" w:fill="FFFFFF"/>
            <w:vAlign w:val="bottom"/>
          </w:tcPr>
          <w:p w14:paraId="4738BF4C" w14:textId="77777777" w:rsidR="00CA2553" w:rsidRPr="00BE5613" w:rsidRDefault="00CA2553" w:rsidP="00CA2553">
            <w:pPr>
              <w:rPr>
                <w:sz w:val="22"/>
                <w:szCs w:val="22"/>
              </w:rPr>
            </w:pPr>
            <w:r w:rsidRPr="00BE5613">
              <w:rPr>
                <w:sz w:val="22"/>
                <w:szCs w:val="22"/>
              </w:rPr>
              <w:t> </w:t>
            </w:r>
          </w:p>
        </w:tc>
        <w:tc>
          <w:tcPr>
            <w:tcW w:w="961" w:type="dxa"/>
            <w:tcBorders>
              <w:top w:val="single" w:sz="4" w:space="0" w:color="auto"/>
            </w:tcBorders>
            <w:shd w:val="clear" w:color="auto" w:fill="FFFFFF"/>
            <w:vAlign w:val="bottom"/>
          </w:tcPr>
          <w:p w14:paraId="670FAD42" w14:textId="77777777" w:rsidR="00CA2553" w:rsidRPr="00BE5613" w:rsidRDefault="00CA2553" w:rsidP="00CA2553">
            <w:pPr>
              <w:rPr>
                <w:sz w:val="22"/>
                <w:szCs w:val="22"/>
              </w:rPr>
            </w:pPr>
            <w:r w:rsidRPr="00BE5613">
              <w:rPr>
                <w:sz w:val="22"/>
                <w:szCs w:val="22"/>
              </w:rPr>
              <w:t> </w:t>
            </w:r>
          </w:p>
        </w:tc>
        <w:tc>
          <w:tcPr>
            <w:tcW w:w="961" w:type="dxa"/>
            <w:tcBorders>
              <w:top w:val="single" w:sz="4" w:space="0" w:color="auto"/>
              <w:right w:val="single" w:sz="4" w:space="0" w:color="auto"/>
            </w:tcBorders>
            <w:shd w:val="clear" w:color="auto" w:fill="FFFFFF"/>
            <w:vAlign w:val="bottom"/>
          </w:tcPr>
          <w:p w14:paraId="5F76B755" w14:textId="77777777" w:rsidR="00CA2553" w:rsidRPr="00BE5613" w:rsidRDefault="00CA2553" w:rsidP="00CA2553">
            <w:pPr>
              <w:rPr>
                <w:sz w:val="22"/>
                <w:szCs w:val="22"/>
              </w:rPr>
            </w:pPr>
            <w:r w:rsidRPr="00BE5613">
              <w:rPr>
                <w:sz w:val="22"/>
                <w:szCs w:val="22"/>
              </w:rPr>
              <w:t> </w:t>
            </w:r>
          </w:p>
        </w:tc>
      </w:tr>
      <w:tr w:rsidR="00CA2553" w:rsidRPr="00BE5613" w14:paraId="7A5803BE" w14:textId="77777777">
        <w:trPr>
          <w:trHeight w:val="41"/>
          <w:jc w:val="right"/>
        </w:trPr>
        <w:tc>
          <w:tcPr>
            <w:tcW w:w="1219" w:type="dxa"/>
            <w:vMerge/>
            <w:tcBorders>
              <w:left w:val="single" w:sz="4" w:space="0" w:color="auto"/>
            </w:tcBorders>
            <w:shd w:val="clear" w:color="auto" w:fill="FFFFFF"/>
            <w:vAlign w:val="center"/>
          </w:tcPr>
          <w:p w14:paraId="6597C884" w14:textId="77777777" w:rsidR="00CA2553" w:rsidRPr="00BE5613" w:rsidRDefault="00CA2553" w:rsidP="003D4C06">
            <w:pPr>
              <w:ind w:left="142" w:right="255"/>
              <w:rPr>
                <w:sz w:val="22"/>
                <w:szCs w:val="22"/>
              </w:rPr>
            </w:pPr>
          </w:p>
        </w:tc>
        <w:tc>
          <w:tcPr>
            <w:tcW w:w="1244" w:type="dxa"/>
            <w:tcBorders>
              <w:right w:val="single" w:sz="4" w:space="0" w:color="auto"/>
            </w:tcBorders>
            <w:shd w:val="clear" w:color="auto" w:fill="FFFFFF"/>
            <w:vAlign w:val="bottom"/>
          </w:tcPr>
          <w:p w14:paraId="0AF46DB0" w14:textId="77777777" w:rsidR="00CA2553" w:rsidRPr="00BE5613" w:rsidRDefault="00CA2553"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5E20A478" w14:textId="77777777" w:rsidR="00CA2553" w:rsidRPr="00BE5613" w:rsidRDefault="00CA2553" w:rsidP="003D4C06">
            <w:pPr>
              <w:jc w:val="center"/>
              <w:rPr>
                <w:sz w:val="22"/>
                <w:szCs w:val="22"/>
              </w:rPr>
            </w:pPr>
            <w:r w:rsidRPr="00BE5613">
              <w:rPr>
                <w:sz w:val="22"/>
                <w:szCs w:val="22"/>
              </w:rPr>
              <w:t>0.389</w:t>
            </w:r>
          </w:p>
        </w:tc>
        <w:tc>
          <w:tcPr>
            <w:tcW w:w="960" w:type="dxa"/>
            <w:shd w:val="clear" w:color="auto" w:fill="FFFFFF"/>
            <w:vAlign w:val="bottom"/>
          </w:tcPr>
          <w:p w14:paraId="25527DE4" w14:textId="77777777" w:rsidR="00CA2553" w:rsidRPr="00BE5613" w:rsidRDefault="00CA2553" w:rsidP="003D4C06">
            <w:pPr>
              <w:jc w:val="center"/>
              <w:rPr>
                <w:sz w:val="22"/>
                <w:szCs w:val="22"/>
              </w:rPr>
            </w:pPr>
            <w:r w:rsidRPr="00BE5613">
              <w:rPr>
                <w:sz w:val="22"/>
                <w:szCs w:val="22"/>
              </w:rPr>
              <w:t>1.000</w:t>
            </w:r>
          </w:p>
        </w:tc>
        <w:tc>
          <w:tcPr>
            <w:tcW w:w="960" w:type="dxa"/>
            <w:tcBorders>
              <w:right w:val="single" w:sz="4" w:space="0" w:color="auto"/>
            </w:tcBorders>
            <w:shd w:val="clear" w:color="auto" w:fill="FFFFFF"/>
            <w:vAlign w:val="bottom"/>
          </w:tcPr>
          <w:p w14:paraId="68B455B0"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6948342D" w14:textId="77777777" w:rsidR="00CA2553" w:rsidRPr="00BE5613" w:rsidRDefault="00CA2553" w:rsidP="003D4C06">
            <w:pPr>
              <w:jc w:val="center"/>
              <w:rPr>
                <w:sz w:val="22"/>
                <w:szCs w:val="22"/>
              </w:rPr>
            </w:pPr>
          </w:p>
        </w:tc>
        <w:tc>
          <w:tcPr>
            <w:tcW w:w="960" w:type="dxa"/>
            <w:shd w:val="clear" w:color="auto" w:fill="FFFFFF"/>
            <w:vAlign w:val="bottom"/>
          </w:tcPr>
          <w:p w14:paraId="12068A20" w14:textId="77777777" w:rsidR="00CA2553" w:rsidRPr="00BE5613" w:rsidRDefault="00CA2553" w:rsidP="003D4C06">
            <w:pPr>
              <w:jc w:val="center"/>
              <w:rPr>
                <w:sz w:val="22"/>
                <w:szCs w:val="22"/>
              </w:rPr>
            </w:pPr>
          </w:p>
        </w:tc>
        <w:tc>
          <w:tcPr>
            <w:tcW w:w="960" w:type="dxa"/>
            <w:tcBorders>
              <w:right w:val="single" w:sz="4" w:space="0" w:color="auto"/>
            </w:tcBorders>
            <w:shd w:val="clear" w:color="auto" w:fill="FFFFFF"/>
            <w:vAlign w:val="bottom"/>
          </w:tcPr>
          <w:p w14:paraId="1FEDB70F"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7D946E39" w14:textId="77777777" w:rsidR="00CA2553" w:rsidRPr="00BE5613" w:rsidRDefault="00CA2553" w:rsidP="003D4C06">
            <w:pPr>
              <w:jc w:val="center"/>
              <w:rPr>
                <w:sz w:val="22"/>
                <w:szCs w:val="22"/>
              </w:rPr>
            </w:pPr>
          </w:p>
        </w:tc>
        <w:tc>
          <w:tcPr>
            <w:tcW w:w="961" w:type="dxa"/>
            <w:shd w:val="clear" w:color="auto" w:fill="FFFFFF"/>
            <w:vAlign w:val="bottom"/>
          </w:tcPr>
          <w:p w14:paraId="42556E41"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62737CAB" w14:textId="77777777" w:rsidR="00CA2553" w:rsidRPr="00BE5613" w:rsidRDefault="00CA2553" w:rsidP="003D4C06">
            <w:pPr>
              <w:jc w:val="center"/>
              <w:rPr>
                <w:sz w:val="22"/>
                <w:szCs w:val="22"/>
              </w:rPr>
            </w:pPr>
          </w:p>
        </w:tc>
        <w:tc>
          <w:tcPr>
            <w:tcW w:w="961" w:type="dxa"/>
            <w:tcBorders>
              <w:left w:val="single" w:sz="4" w:space="0" w:color="auto"/>
            </w:tcBorders>
            <w:shd w:val="clear" w:color="auto" w:fill="FFFFFF"/>
            <w:vAlign w:val="bottom"/>
          </w:tcPr>
          <w:p w14:paraId="038289C9" w14:textId="77777777" w:rsidR="00CA2553" w:rsidRPr="00BE5613" w:rsidRDefault="00CA2553" w:rsidP="003D4C06">
            <w:pPr>
              <w:jc w:val="center"/>
              <w:rPr>
                <w:sz w:val="22"/>
                <w:szCs w:val="22"/>
              </w:rPr>
            </w:pPr>
          </w:p>
        </w:tc>
        <w:tc>
          <w:tcPr>
            <w:tcW w:w="961" w:type="dxa"/>
            <w:shd w:val="clear" w:color="auto" w:fill="FFFFFF"/>
            <w:vAlign w:val="bottom"/>
          </w:tcPr>
          <w:p w14:paraId="41EC9972"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2CC77173" w14:textId="77777777" w:rsidR="00CA2553" w:rsidRPr="00BE5613" w:rsidRDefault="00CA2553" w:rsidP="003D4C06">
            <w:pPr>
              <w:jc w:val="center"/>
              <w:rPr>
                <w:sz w:val="22"/>
                <w:szCs w:val="22"/>
              </w:rPr>
            </w:pPr>
            <w:r w:rsidRPr="00BE5613">
              <w:rPr>
                <w:sz w:val="22"/>
                <w:szCs w:val="22"/>
              </w:rPr>
              <w:t> </w:t>
            </w:r>
          </w:p>
        </w:tc>
      </w:tr>
      <w:tr w:rsidR="00CA2553" w:rsidRPr="00BE5613" w14:paraId="306542BA"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1D948E5B" w14:textId="77777777" w:rsidR="00CA2553" w:rsidRPr="00BE5613" w:rsidRDefault="00CA2553"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6725F620" w14:textId="77777777" w:rsidR="00CA2553" w:rsidRPr="00BE5613" w:rsidRDefault="00CA2553"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366004E3" w14:textId="77777777" w:rsidR="00CA2553" w:rsidRPr="00BE5613" w:rsidRDefault="00CA2553" w:rsidP="003D4C06">
            <w:pPr>
              <w:jc w:val="center"/>
              <w:rPr>
                <w:sz w:val="22"/>
                <w:szCs w:val="22"/>
                <w:vertAlign w:val="superscript"/>
              </w:rPr>
            </w:pPr>
            <w:r w:rsidRPr="00BE5613">
              <w:rPr>
                <w:sz w:val="22"/>
                <w:szCs w:val="22"/>
              </w:rPr>
              <w:t>-0.892</w:t>
            </w:r>
            <w:r w:rsidRPr="00BE5613">
              <w:rPr>
                <w:sz w:val="22"/>
                <w:szCs w:val="22"/>
                <w:vertAlign w:val="superscript"/>
              </w:rPr>
              <w:t>(+1)</w:t>
            </w:r>
          </w:p>
        </w:tc>
        <w:tc>
          <w:tcPr>
            <w:tcW w:w="960" w:type="dxa"/>
            <w:tcBorders>
              <w:bottom w:val="single" w:sz="4" w:space="0" w:color="auto"/>
            </w:tcBorders>
            <w:shd w:val="clear" w:color="auto" w:fill="FFFFFF"/>
            <w:vAlign w:val="bottom"/>
          </w:tcPr>
          <w:p w14:paraId="1CA85B73" w14:textId="77777777" w:rsidR="00CA2553" w:rsidRPr="00BE5613" w:rsidRDefault="00CA2553" w:rsidP="003D4C06">
            <w:pPr>
              <w:jc w:val="center"/>
              <w:rPr>
                <w:sz w:val="22"/>
                <w:szCs w:val="22"/>
              </w:rPr>
            </w:pPr>
            <w:r w:rsidRPr="00BE5613">
              <w:rPr>
                <w:sz w:val="22"/>
                <w:szCs w:val="22"/>
              </w:rPr>
              <w:t>-0.058</w:t>
            </w:r>
          </w:p>
        </w:tc>
        <w:tc>
          <w:tcPr>
            <w:tcW w:w="960" w:type="dxa"/>
            <w:tcBorders>
              <w:bottom w:val="single" w:sz="4" w:space="0" w:color="auto"/>
              <w:right w:val="single" w:sz="4" w:space="0" w:color="auto"/>
            </w:tcBorders>
            <w:shd w:val="clear" w:color="auto" w:fill="FFFFFF"/>
            <w:vAlign w:val="bottom"/>
          </w:tcPr>
          <w:p w14:paraId="01C8FC3C" w14:textId="77777777" w:rsidR="00CA2553" w:rsidRPr="00BE5613" w:rsidRDefault="00CA2553" w:rsidP="003D4C06">
            <w:pPr>
              <w:jc w:val="center"/>
              <w:rPr>
                <w:sz w:val="22"/>
                <w:szCs w:val="22"/>
              </w:rPr>
            </w:pPr>
            <w:r w:rsidRPr="00BE5613">
              <w:rPr>
                <w:sz w:val="22"/>
                <w:szCs w:val="22"/>
              </w:rPr>
              <w:t>1.000</w:t>
            </w:r>
          </w:p>
        </w:tc>
        <w:tc>
          <w:tcPr>
            <w:tcW w:w="960" w:type="dxa"/>
            <w:tcBorders>
              <w:left w:val="single" w:sz="4" w:space="0" w:color="auto"/>
              <w:bottom w:val="single" w:sz="4" w:space="0" w:color="auto"/>
            </w:tcBorders>
            <w:shd w:val="clear" w:color="auto" w:fill="FFFFFF"/>
            <w:vAlign w:val="bottom"/>
          </w:tcPr>
          <w:p w14:paraId="168138C8" w14:textId="77777777" w:rsidR="00CA2553" w:rsidRPr="00BE5613" w:rsidRDefault="00CA2553" w:rsidP="003D4C06">
            <w:pPr>
              <w:jc w:val="center"/>
              <w:rPr>
                <w:sz w:val="22"/>
                <w:szCs w:val="22"/>
              </w:rPr>
            </w:pPr>
          </w:p>
        </w:tc>
        <w:tc>
          <w:tcPr>
            <w:tcW w:w="960" w:type="dxa"/>
            <w:tcBorders>
              <w:bottom w:val="single" w:sz="4" w:space="0" w:color="auto"/>
            </w:tcBorders>
            <w:shd w:val="clear" w:color="auto" w:fill="FFFFFF"/>
            <w:vAlign w:val="bottom"/>
          </w:tcPr>
          <w:p w14:paraId="766BFFDC" w14:textId="77777777" w:rsidR="00CA2553" w:rsidRPr="00BE5613" w:rsidRDefault="00CA2553" w:rsidP="003D4C06">
            <w:pPr>
              <w:jc w:val="center"/>
              <w:rPr>
                <w:sz w:val="22"/>
                <w:szCs w:val="22"/>
              </w:rPr>
            </w:pPr>
          </w:p>
        </w:tc>
        <w:tc>
          <w:tcPr>
            <w:tcW w:w="960" w:type="dxa"/>
            <w:tcBorders>
              <w:bottom w:val="single" w:sz="4" w:space="0" w:color="auto"/>
              <w:right w:val="single" w:sz="4" w:space="0" w:color="auto"/>
            </w:tcBorders>
            <w:shd w:val="clear" w:color="auto" w:fill="FFFFFF"/>
            <w:vAlign w:val="bottom"/>
          </w:tcPr>
          <w:p w14:paraId="28439C66" w14:textId="77777777" w:rsidR="00CA2553" w:rsidRPr="00BE5613" w:rsidRDefault="00CA2553" w:rsidP="003D4C06">
            <w:pPr>
              <w:jc w:val="center"/>
              <w:rPr>
                <w:sz w:val="22"/>
                <w:szCs w:val="22"/>
              </w:rPr>
            </w:pPr>
          </w:p>
        </w:tc>
        <w:tc>
          <w:tcPr>
            <w:tcW w:w="960" w:type="dxa"/>
            <w:tcBorders>
              <w:left w:val="single" w:sz="4" w:space="0" w:color="auto"/>
              <w:bottom w:val="single" w:sz="4" w:space="0" w:color="auto"/>
            </w:tcBorders>
            <w:shd w:val="clear" w:color="auto" w:fill="FFFFFF"/>
            <w:vAlign w:val="bottom"/>
          </w:tcPr>
          <w:p w14:paraId="44D3CA19"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0BFD0125"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042196AD" w14:textId="77777777" w:rsidR="00CA2553" w:rsidRPr="00BE5613" w:rsidRDefault="00CA2553" w:rsidP="003D4C06">
            <w:pPr>
              <w:jc w:val="center"/>
              <w:rPr>
                <w:sz w:val="22"/>
                <w:szCs w:val="22"/>
              </w:rPr>
            </w:pPr>
          </w:p>
        </w:tc>
        <w:tc>
          <w:tcPr>
            <w:tcW w:w="961" w:type="dxa"/>
            <w:tcBorders>
              <w:left w:val="single" w:sz="4" w:space="0" w:color="auto"/>
              <w:bottom w:val="single" w:sz="4" w:space="0" w:color="auto"/>
            </w:tcBorders>
            <w:shd w:val="clear" w:color="auto" w:fill="FFFFFF"/>
            <w:vAlign w:val="bottom"/>
          </w:tcPr>
          <w:p w14:paraId="179E2119"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2868830A"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4C77F0FF" w14:textId="77777777" w:rsidR="00CA2553" w:rsidRPr="00BE5613" w:rsidRDefault="00CA2553" w:rsidP="003D4C06">
            <w:pPr>
              <w:jc w:val="center"/>
              <w:rPr>
                <w:sz w:val="22"/>
                <w:szCs w:val="22"/>
              </w:rPr>
            </w:pPr>
            <w:r w:rsidRPr="00BE5613">
              <w:rPr>
                <w:sz w:val="22"/>
                <w:szCs w:val="22"/>
              </w:rPr>
              <w:t> </w:t>
            </w:r>
          </w:p>
        </w:tc>
      </w:tr>
      <w:tr w:rsidR="00CA2553" w:rsidRPr="00BE5613" w14:paraId="3A065A43"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37BD961D" w14:textId="77777777" w:rsidR="00CA2553" w:rsidRPr="00BE5613" w:rsidRDefault="00CA2553" w:rsidP="003D4C06">
            <w:pPr>
              <w:jc w:val="center"/>
              <w:rPr>
                <w:sz w:val="22"/>
                <w:szCs w:val="22"/>
              </w:rPr>
            </w:pPr>
            <w:r w:rsidRPr="00BE5613">
              <w:rPr>
                <w:sz w:val="22"/>
                <w:szCs w:val="22"/>
              </w:rPr>
              <w:t>Model II</w:t>
            </w:r>
          </w:p>
        </w:tc>
        <w:tc>
          <w:tcPr>
            <w:tcW w:w="1244" w:type="dxa"/>
            <w:tcBorders>
              <w:top w:val="single" w:sz="4" w:space="0" w:color="auto"/>
              <w:right w:val="single" w:sz="4" w:space="0" w:color="auto"/>
            </w:tcBorders>
            <w:shd w:val="clear" w:color="auto" w:fill="FFFFFF"/>
            <w:vAlign w:val="bottom"/>
          </w:tcPr>
          <w:p w14:paraId="7F34A761" w14:textId="77777777" w:rsidR="00CA2553" w:rsidRPr="00BE5613" w:rsidRDefault="00CA2553"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22063411" w14:textId="77777777" w:rsidR="00CA2553" w:rsidRPr="00BE5613" w:rsidRDefault="00CA2553" w:rsidP="003D4C06">
            <w:pPr>
              <w:jc w:val="center"/>
              <w:rPr>
                <w:sz w:val="22"/>
                <w:szCs w:val="22"/>
              </w:rPr>
            </w:pPr>
            <w:r w:rsidRPr="00BE5613">
              <w:rPr>
                <w:sz w:val="22"/>
                <w:szCs w:val="22"/>
              </w:rPr>
              <w:t>0.958</w:t>
            </w:r>
          </w:p>
        </w:tc>
        <w:tc>
          <w:tcPr>
            <w:tcW w:w="960" w:type="dxa"/>
            <w:tcBorders>
              <w:top w:val="single" w:sz="4" w:space="0" w:color="auto"/>
            </w:tcBorders>
            <w:shd w:val="clear" w:color="auto" w:fill="FFFFFF"/>
            <w:vAlign w:val="bottom"/>
          </w:tcPr>
          <w:p w14:paraId="63084584" w14:textId="77777777" w:rsidR="00CA2553" w:rsidRPr="00BE5613" w:rsidRDefault="00CA2553" w:rsidP="003D4C06">
            <w:pPr>
              <w:jc w:val="center"/>
              <w:rPr>
                <w:sz w:val="22"/>
                <w:szCs w:val="22"/>
              </w:rPr>
            </w:pPr>
            <w:r w:rsidRPr="00BE5613">
              <w:rPr>
                <w:sz w:val="22"/>
                <w:szCs w:val="22"/>
              </w:rPr>
              <w:t>0.368</w:t>
            </w:r>
          </w:p>
        </w:tc>
        <w:tc>
          <w:tcPr>
            <w:tcW w:w="960" w:type="dxa"/>
            <w:tcBorders>
              <w:top w:val="single" w:sz="4" w:space="0" w:color="auto"/>
              <w:right w:val="single" w:sz="4" w:space="0" w:color="auto"/>
            </w:tcBorders>
            <w:shd w:val="clear" w:color="auto" w:fill="FFFFFF"/>
            <w:vAlign w:val="bottom"/>
          </w:tcPr>
          <w:p w14:paraId="4F5FD4E2" w14:textId="77777777" w:rsidR="00CA2553" w:rsidRPr="00BE5613" w:rsidRDefault="00CA2553" w:rsidP="003D4C06">
            <w:pPr>
              <w:jc w:val="center"/>
              <w:rPr>
                <w:sz w:val="22"/>
                <w:szCs w:val="22"/>
              </w:rPr>
            </w:pPr>
            <w:r w:rsidRPr="00BE5613">
              <w:rPr>
                <w:sz w:val="22"/>
                <w:szCs w:val="22"/>
              </w:rPr>
              <w:t>-0.860</w:t>
            </w:r>
            <w:r w:rsidRPr="00BE5613">
              <w:rPr>
                <w:sz w:val="22"/>
                <w:szCs w:val="22"/>
                <w:vertAlign w:val="superscript"/>
              </w:rPr>
              <w:t>(+1)</w:t>
            </w:r>
          </w:p>
        </w:tc>
        <w:tc>
          <w:tcPr>
            <w:tcW w:w="960" w:type="dxa"/>
            <w:tcBorders>
              <w:top w:val="single" w:sz="4" w:space="0" w:color="auto"/>
              <w:left w:val="single" w:sz="4" w:space="0" w:color="auto"/>
            </w:tcBorders>
            <w:shd w:val="clear" w:color="auto" w:fill="FFFFFF"/>
            <w:vAlign w:val="bottom"/>
          </w:tcPr>
          <w:p w14:paraId="2A76CC94" w14:textId="77777777" w:rsidR="00CA2553" w:rsidRPr="00BE5613" w:rsidRDefault="00CA2553" w:rsidP="003D4C06">
            <w:pPr>
              <w:jc w:val="center"/>
              <w:rPr>
                <w:sz w:val="22"/>
                <w:szCs w:val="22"/>
              </w:rPr>
            </w:pPr>
            <w:r w:rsidRPr="00BE5613">
              <w:rPr>
                <w:sz w:val="22"/>
                <w:szCs w:val="22"/>
              </w:rPr>
              <w:t>1.000</w:t>
            </w:r>
          </w:p>
        </w:tc>
        <w:tc>
          <w:tcPr>
            <w:tcW w:w="960" w:type="dxa"/>
            <w:tcBorders>
              <w:top w:val="single" w:sz="4" w:space="0" w:color="auto"/>
            </w:tcBorders>
            <w:shd w:val="clear" w:color="auto" w:fill="FFFFFF"/>
            <w:vAlign w:val="bottom"/>
          </w:tcPr>
          <w:p w14:paraId="2A930184" w14:textId="77777777" w:rsidR="00CA2553" w:rsidRPr="00BE5613" w:rsidRDefault="00CA2553" w:rsidP="003D4C06">
            <w:pPr>
              <w:jc w:val="center"/>
              <w:rPr>
                <w:sz w:val="22"/>
                <w:szCs w:val="22"/>
              </w:rPr>
            </w:pPr>
          </w:p>
        </w:tc>
        <w:tc>
          <w:tcPr>
            <w:tcW w:w="960" w:type="dxa"/>
            <w:tcBorders>
              <w:top w:val="single" w:sz="4" w:space="0" w:color="auto"/>
              <w:right w:val="single" w:sz="4" w:space="0" w:color="auto"/>
            </w:tcBorders>
            <w:shd w:val="clear" w:color="auto" w:fill="FFFFFF"/>
            <w:vAlign w:val="bottom"/>
          </w:tcPr>
          <w:p w14:paraId="64ADDDD2" w14:textId="77777777" w:rsidR="00CA2553" w:rsidRPr="00BE5613" w:rsidRDefault="00CA2553" w:rsidP="003D4C06">
            <w:pPr>
              <w:jc w:val="center"/>
              <w:rPr>
                <w:sz w:val="22"/>
                <w:szCs w:val="22"/>
              </w:rPr>
            </w:pPr>
          </w:p>
        </w:tc>
        <w:tc>
          <w:tcPr>
            <w:tcW w:w="960" w:type="dxa"/>
            <w:tcBorders>
              <w:top w:val="single" w:sz="4" w:space="0" w:color="auto"/>
              <w:left w:val="single" w:sz="4" w:space="0" w:color="auto"/>
            </w:tcBorders>
            <w:shd w:val="clear" w:color="auto" w:fill="FFFFFF"/>
            <w:vAlign w:val="bottom"/>
          </w:tcPr>
          <w:p w14:paraId="7D23BC51"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5EFC795E"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16C8F46D" w14:textId="77777777" w:rsidR="00CA2553" w:rsidRPr="00BE5613" w:rsidRDefault="00CA2553" w:rsidP="003D4C06">
            <w:pPr>
              <w:jc w:val="center"/>
              <w:rPr>
                <w:sz w:val="22"/>
                <w:szCs w:val="22"/>
              </w:rPr>
            </w:pPr>
          </w:p>
        </w:tc>
        <w:tc>
          <w:tcPr>
            <w:tcW w:w="961" w:type="dxa"/>
            <w:tcBorders>
              <w:top w:val="single" w:sz="4" w:space="0" w:color="auto"/>
              <w:left w:val="single" w:sz="4" w:space="0" w:color="auto"/>
            </w:tcBorders>
            <w:shd w:val="clear" w:color="auto" w:fill="FFFFFF"/>
            <w:vAlign w:val="bottom"/>
          </w:tcPr>
          <w:p w14:paraId="3655B4F1"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110B5600"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7AEEE64F" w14:textId="77777777" w:rsidR="00CA2553" w:rsidRPr="00BE5613" w:rsidRDefault="00CA2553" w:rsidP="003D4C06">
            <w:pPr>
              <w:jc w:val="center"/>
              <w:rPr>
                <w:sz w:val="22"/>
                <w:szCs w:val="22"/>
              </w:rPr>
            </w:pPr>
            <w:r w:rsidRPr="00BE5613">
              <w:rPr>
                <w:sz w:val="22"/>
                <w:szCs w:val="22"/>
              </w:rPr>
              <w:t> </w:t>
            </w:r>
          </w:p>
        </w:tc>
      </w:tr>
      <w:tr w:rsidR="00CA2553" w:rsidRPr="00BE5613" w14:paraId="45EEF7E9" w14:textId="77777777">
        <w:trPr>
          <w:trHeight w:val="41"/>
          <w:jc w:val="right"/>
        </w:trPr>
        <w:tc>
          <w:tcPr>
            <w:tcW w:w="1219" w:type="dxa"/>
            <w:vMerge/>
            <w:tcBorders>
              <w:left w:val="single" w:sz="4" w:space="0" w:color="auto"/>
            </w:tcBorders>
            <w:shd w:val="clear" w:color="auto" w:fill="FFFFFF"/>
            <w:vAlign w:val="center"/>
          </w:tcPr>
          <w:p w14:paraId="20C19608" w14:textId="77777777" w:rsidR="00CA2553" w:rsidRPr="00BE5613" w:rsidRDefault="00CA2553" w:rsidP="003D4C06">
            <w:pPr>
              <w:ind w:left="142" w:right="255"/>
              <w:rPr>
                <w:sz w:val="22"/>
                <w:szCs w:val="22"/>
              </w:rPr>
            </w:pPr>
          </w:p>
        </w:tc>
        <w:tc>
          <w:tcPr>
            <w:tcW w:w="1244" w:type="dxa"/>
            <w:tcBorders>
              <w:right w:val="single" w:sz="4" w:space="0" w:color="auto"/>
            </w:tcBorders>
            <w:shd w:val="clear" w:color="auto" w:fill="FFFFFF"/>
            <w:vAlign w:val="bottom"/>
          </w:tcPr>
          <w:p w14:paraId="3DA574A4" w14:textId="77777777" w:rsidR="00CA2553" w:rsidRPr="00BE5613" w:rsidRDefault="00CA2553"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0F789937" w14:textId="77777777" w:rsidR="00CA2553" w:rsidRPr="00BE5613" w:rsidRDefault="00CA2553" w:rsidP="003D4C06">
            <w:pPr>
              <w:jc w:val="center"/>
              <w:rPr>
                <w:sz w:val="22"/>
                <w:szCs w:val="22"/>
              </w:rPr>
            </w:pPr>
            <w:r w:rsidRPr="00BE5613">
              <w:rPr>
                <w:sz w:val="22"/>
                <w:szCs w:val="22"/>
              </w:rPr>
              <w:t>0.338</w:t>
            </w:r>
          </w:p>
        </w:tc>
        <w:tc>
          <w:tcPr>
            <w:tcW w:w="960" w:type="dxa"/>
            <w:shd w:val="clear" w:color="auto" w:fill="FFFFFF"/>
            <w:vAlign w:val="bottom"/>
          </w:tcPr>
          <w:p w14:paraId="209A7A18" w14:textId="77777777" w:rsidR="00CA2553" w:rsidRPr="00BE5613" w:rsidRDefault="00CA2553" w:rsidP="003D4C06">
            <w:pPr>
              <w:jc w:val="center"/>
              <w:rPr>
                <w:sz w:val="22"/>
                <w:szCs w:val="22"/>
              </w:rPr>
            </w:pPr>
            <w:r w:rsidRPr="00BE5613">
              <w:rPr>
                <w:sz w:val="22"/>
                <w:szCs w:val="22"/>
              </w:rPr>
              <w:t>0.748</w:t>
            </w:r>
            <w:r w:rsidRPr="00BE5613">
              <w:rPr>
                <w:sz w:val="22"/>
                <w:szCs w:val="22"/>
                <w:vertAlign w:val="superscript"/>
              </w:rPr>
              <w:t>(+1)</w:t>
            </w:r>
          </w:p>
        </w:tc>
        <w:tc>
          <w:tcPr>
            <w:tcW w:w="960" w:type="dxa"/>
            <w:tcBorders>
              <w:right w:val="single" w:sz="4" w:space="0" w:color="auto"/>
            </w:tcBorders>
            <w:shd w:val="clear" w:color="auto" w:fill="FFFFFF"/>
            <w:vAlign w:val="bottom"/>
          </w:tcPr>
          <w:p w14:paraId="614ABD83" w14:textId="77777777" w:rsidR="00CA2553" w:rsidRPr="00BE5613" w:rsidRDefault="00CA2553" w:rsidP="003D4C06">
            <w:pPr>
              <w:jc w:val="center"/>
              <w:rPr>
                <w:sz w:val="22"/>
                <w:szCs w:val="22"/>
              </w:rPr>
            </w:pPr>
            <w:r w:rsidRPr="00BE5613">
              <w:rPr>
                <w:sz w:val="22"/>
                <w:szCs w:val="22"/>
              </w:rPr>
              <w:t>-0.025</w:t>
            </w:r>
          </w:p>
        </w:tc>
        <w:tc>
          <w:tcPr>
            <w:tcW w:w="960" w:type="dxa"/>
            <w:tcBorders>
              <w:left w:val="single" w:sz="4" w:space="0" w:color="auto"/>
            </w:tcBorders>
            <w:shd w:val="clear" w:color="auto" w:fill="FFFFFF"/>
            <w:vAlign w:val="bottom"/>
          </w:tcPr>
          <w:p w14:paraId="0B553FC8" w14:textId="77777777" w:rsidR="00CA2553" w:rsidRPr="00BE5613" w:rsidRDefault="00CA2553" w:rsidP="003D4C06">
            <w:pPr>
              <w:jc w:val="center"/>
              <w:rPr>
                <w:sz w:val="22"/>
                <w:szCs w:val="22"/>
              </w:rPr>
            </w:pPr>
            <w:r w:rsidRPr="00BE5613">
              <w:rPr>
                <w:sz w:val="22"/>
                <w:szCs w:val="22"/>
              </w:rPr>
              <w:t>0.352</w:t>
            </w:r>
          </w:p>
        </w:tc>
        <w:tc>
          <w:tcPr>
            <w:tcW w:w="960" w:type="dxa"/>
            <w:shd w:val="clear" w:color="auto" w:fill="FFFFFF"/>
            <w:vAlign w:val="bottom"/>
          </w:tcPr>
          <w:p w14:paraId="607C926D" w14:textId="77777777" w:rsidR="00CA2553" w:rsidRPr="00BE5613" w:rsidRDefault="00CA2553" w:rsidP="003D4C06">
            <w:pPr>
              <w:jc w:val="center"/>
              <w:rPr>
                <w:sz w:val="22"/>
                <w:szCs w:val="22"/>
              </w:rPr>
            </w:pPr>
            <w:r w:rsidRPr="00BE5613">
              <w:rPr>
                <w:sz w:val="22"/>
                <w:szCs w:val="22"/>
              </w:rPr>
              <w:t>1.000</w:t>
            </w:r>
          </w:p>
        </w:tc>
        <w:tc>
          <w:tcPr>
            <w:tcW w:w="960" w:type="dxa"/>
            <w:tcBorders>
              <w:right w:val="single" w:sz="4" w:space="0" w:color="auto"/>
            </w:tcBorders>
            <w:shd w:val="clear" w:color="auto" w:fill="FFFFFF"/>
            <w:vAlign w:val="bottom"/>
          </w:tcPr>
          <w:p w14:paraId="260A5756"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75C53BC1" w14:textId="77777777" w:rsidR="00CA2553" w:rsidRPr="00BE5613" w:rsidRDefault="00CA2553" w:rsidP="003D4C06">
            <w:pPr>
              <w:jc w:val="center"/>
              <w:rPr>
                <w:sz w:val="22"/>
                <w:szCs w:val="22"/>
              </w:rPr>
            </w:pPr>
          </w:p>
        </w:tc>
        <w:tc>
          <w:tcPr>
            <w:tcW w:w="961" w:type="dxa"/>
            <w:shd w:val="clear" w:color="auto" w:fill="FFFFFF"/>
            <w:vAlign w:val="bottom"/>
          </w:tcPr>
          <w:p w14:paraId="2A926030"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4C80DBB1" w14:textId="77777777" w:rsidR="00CA2553" w:rsidRPr="00BE5613" w:rsidRDefault="00CA2553" w:rsidP="003D4C06">
            <w:pPr>
              <w:jc w:val="center"/>
              <w:rPr>
                <w:sz w:val="22"/>
                <w:szCs w:val="22"/>
              </w:rPr>
            </w:pPr>
          </w:p>
        </w:tc>
        <w:tc>
          <w:tcPr>
            <w:tcW w:w="961" w:type="dxa"/>
            <w:tcBorders>
              <w:left w:val="single" w:sz="4" w:space="0" w:color="auto"/>
            </w:tcBorders>
            <w:shd w:val="clear" w:color="auto" w:fill="FFFFFF"/>
            <w:vAlign w:val="bottom"/>
          </w:tcPr>
          <w:p w14:paraId="0678EF5E" w14:textId="77777777" w:rsidR="00CA2553" w:rsidRPr="00BE5613" w:rsidRDefault="00CA2553" w:rsidP="003D4C06">
            <w:pPr>
              <w:jc w:val="center"/>
              <w:rPr>
                <w:sz w:val="22"/>
                <w:szCs w:val="22"/>
              </w:rPr>
            </w:pPr>
          </w:p>
        </w:tc>
        <w:tc>
          <w:tcPr>
            <w:tcW w:w="961" w:type="dxa"/>
            <w:shd w:val="clear" w:color="auto" w:fill="FFFFFF"/>
            <w:vAlign w:val="bottom"/>
          </w:tcPr>
          <w:p w14:paraId="6883A95C"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1E0521D0" w14:textId="77777777" w:rsidR="00CA2553" w:rsidRPr="00BE5613" w:rsidRDefault="00CA2553" w:rsidP="003D4C06">
            <w:pPr>
              <w:jc w:val="center"/>
              <w:rPr>
                <w:sz w:val="22"/>
                <w:szCs w:val="22"/>
              </w:rPr>
            </w:pPr>
            <w:r w:rsidRPr="00BE5613">
              <w:rPr>
                <w:sz w:val="22"/>
                <w:szCs w:val="22"/>
              </w:rPr>
              <w:t> </w:t>
            </w:r>
          </w:p>
        </w:tc>
      </w:tr>
      <w:tr w:rsidR="00CA2553" w:rsidRPr="00BE5613" w14:paraId="25A47602"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7BA98D31" w14:textId="77777777" w:rsidR="00CA2553" w:rsidRPr="00BE5613" w:rsidRDefault="00CA2553"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329A920E" w14:textId="77777777" w:rsidR="00CA2553" w:rsidRPr="00BE5613" w:rsidRDefault="00CA2553"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6EE1E34C" w14:textId="77777777" w:rsidR="00CA2553" w:rsidRPr="00BE5613" w:rsidRDefault="00CA2553" w:rsidP="003D4C06">
            <w:pPr>
              <w:jc w:val="center"/>
              <w:rPr>
                <w:sz w:val="22"/>
                <w:szCs w:val="22"/>
              </w:rPr>
            </w:pPr>
            <w:r w:rsidRPr="00BE5613">
              <w:rPr>
                <w:sz w:val="22"/>
                <w:szCs w:val="22"/>
              </w:rPr>
              <w:t>-0.888</w:t>
            </w:r>
            <w:r w:rsidRPr="00BE5613">
              <w:rPr>
                <w:sz w:val="22"/>
                <w:szCs w:val="22"/>
                <w:vertAlign w:val="superscript"/>
              </w:rPr>
              <w:t>(+1)</w:t>
            </w:r>
          </w:p>
        </w:tc>
        <w:tc>
          <w:tcPr>
            <w:tcW w:w="960" w:type="dxa"/>
            <w:tcBorders>
              <w:bottom w:val="single" w:sz="4" w:space="0" w:color="auto"/>
            </w:tcBorders>
            <w:shd w:val="clear" w:color="auto" w:fill="FFFFFF"/>
            <w:vAlign w:val="bottom"/>
          </w:tcPr>
          <w:p w14:paraId="6AD9CDFF" w14:textId="77777777" w:rsidR="00CA2553" w:rsidRPr="00BE5613" w:rsidRDefault="00CA2553" w:rsidP="003D4C06">
            <w:pPr>
              <w:jc w:val="center"/>
              <w:rPr>
                <w:sz w:val="22"/>
                <w:szCs w:val="22"/>
              </w:rPr>
            </w:pPr>
            <w:r w:rsidRPr="00BE5613">
              <w:rPr>
                <w:sz w:val="22"/>
                <w:szCs w:val="22"/>
              </w:rPr>
              <w:t>-0.120</w:t>
            </w:r>
          </w:p>
        </w:tc>
        <w:tc>
          <w:tcPr>
            <w:tcW w:w="960" w:type="dxa"/>
            <w:tcBorders>
              <w:bottom w:val="single" w:sz="4" w:space="0" w:color="auto"/>
              <w:right w:val="single" w:sz="4" w:space="0" w:color="auto"/>
            </w:tcBorders>
            <w:shd w:val="clear" w:color="auto" w:fill="FFFFFF"/>
            <w:vAlign w:val="bottom"/>
          </w:tcPr>
          <w:p w14:paraId="40C0A559" w14:textId="77777777" w:rsidR="00CA2553" w:rsidRPr="00BE5613" w:rsidRDefault="00CA2553" w:rsidP="003D4C06">
            <w:pPr>
              <w:jc w:val="center"/>
              <w:rPr>
                <w:sz w:val="22"/>
                <w:szCs w:val="22"/>
              </w:rPr>
            </w:pPr>
            <w:r w:rsidRPr="00BE5613">
              <w:rPr>
                <w:sz w:val="22"/>
                <w:szCs w:val="22"/>
              </w:rPr>
              <w:t>0.956</w:t>
            </w:r>
          </w:p>
        </w:tc>
        <w:tc>
          <w:tcPr>
            <w:tcW w:w="960" w:type="dxa"/>
            <w:tcBorders>
              <w:left w:val="single" w:sz="4" w:space="0" w:color="auto"/>
              <w:bottom w:val="single" w:sz="4" w:space="0" w:color="auto"/>
            </w:tcBorders>
            <w:shd w:val="clear" w:color="auto" w:fill="FFFFFF"/>
            <w:vAlign w:val="bottom"/>
          </w:tcPr>
          <w:p w14:paraId="39942EF5" w14:textId="77777777" w:rsidR="00CA2553" w:rsidRPr="00BE5613" w:rsidRDefault="00CA2553" w:rsidP="003D4C06">
            <w:pPr>
              <w:jc w:val="center"/>
              <w:rPr>
                <w:sz w:val="22"/>
                <w:szCs w:val="22"/>
              </w:rPr>
            </w:pPr>
            <w:r w:rsidRPr="00BE5613">
              <w:rPr>
                <w:sz w:val="22"/>
                <w:szCs w:val="22"/>
              </w:rPr>
              <w:t>-0.925</w:t>
            </w:r>
            <w:r w:rsidRPr="00BE5613">
              <w:rPr>
                <w:sz w:val="22"/>
                <w:szCs w:val="22"/>
                <w:vertAlign w:val="superscript"/>
              </w:rPr>
              <w:t>(+1)</w:t>
            </w:r>
          </w:p>
        </w:tc>
        <w:tc>
          <w:tcPr>
            <w:tcW w:w="960" w:type="dxa"/>
            <w:tcBorders>
              <w:bottom w:val="single" w:sz="4" w:space="0" w:color="auto"/>
            </w:tcBorders>
            <w:shd w:val="clear" w:color="auto" w:fill="FFFFFF"/>
            <w:vAlign w:val="bottom"/>
          </w:tcPr>
          <w:p w14:paraId="04DA4EDD" w14:textId="77777777" w:rsidR="00CA2553" w:rsidRPr="00BE5613" w:rsidRDefault="00CA2553" w:rsidP="003D4C06">
            <w:pPr>
              <w:jc w:val="center"/>
              <w:rPr>
                <w:sz w:val="22"/>
                <w:szCs w:val="22"/>
              </w:rPr>
            </w:pPr>
            <w:r w:rsidRPr="00BE5613">
              <w:rPr>
                <w:sz w:val="22"/>
                <w:szCs w:val="22"/>
              </w:rPr>
              <w:t>-0.088</w:t>
            </w:r>
          </w:p>
        </w:tc>
        <w:tc>
          <w:tcPr>
            <w:tcW w:w="960" w:type="dxa"/>
            <w:tcBorders>
              <w:bottom w:val="single" w:sz="4" w:space="0" w:color="auto"/>
              <w:right w:val="single" w:sz="4" w:space="0" w:color="auto"/>
            </w:tcBorders>
            <w:shd w:val="clear" w:color="auto" w:fill="FFFFFF"/>
            <w:vAlign w:val="bottom"/>
          </w:tcPr>
          <w:p w14:paraId="4610304D" w14:textId="77777777" w:rsidR="00CA2553" w:rsidRPr="00BE5613" w:rsidRDefault="00CA2553" w:rsidP="003D4C06">
            <w:pPr>
              <w:jc w:val="center"/>
              <w:rPr>
                <w:sz w:val="22"/>
                <w:szCs w:val="22"/>
              </w:rPr>
            </w:pPr>
            <w:r w:rsidRPr="00BE5613">
              <w:rPr>
                <w:sz w:val="22"/>
                <w:szCs w:val="22"/>
              </w:rPr>
              <w:t>1.000</w:t>
            </w:r>
          </w:p>
        </w:tc>
        <w:tc>
          <w:tcPr>
            <w:tcW w:w="960" w:type="dxa"/>
            <w:tcBorders>
              <w:left w:val="single" w:sz="4" w:space="0" w:color="auto"/>
              <w:bottom w:val="single" w:sz="4" w:space="0" w:color="auto"/>
            </w:tcBorders>
            <w:shd w:val="clear" w:color="auto" w:fill="FFFFFF"/>
            <w:vAlign w:val="bottom"/>
          </w:tcPr>
          <w:p w14:paraId="7619E6C4"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5AB6E383"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3543119A" w14:textId="77777777" w:rsidR="00CA2553" w:rsidRPr="00BE5613" w:rsidRDefault="00CA2553" w:rsidP="003D4C06">
            <w:pPr>
              <w:jc w:val="center"/>
              <w:rPr>
                <w:sz w:val="22"/>
                <w:szCs w:val="22"/>
              </w:rPr>
            </w:pPr>
          </w:p>
        </w:tc>
        <w:tc>
          <w:tcPr>
            <w:tcW w:w="961" w:type="dxa"/>
            <w:tcBorders>
              <w:left w:val="single" w:sz="4" w:space="0" w:color="auto"/>
              <w:bottom w:val="single" w:sz="4" w:space="0" w:color="auto"/>
            </w:tcBorders>
            <w:shd w:val="clear" w:color="auto" w:fill="FFFFFF"/>
            <w:vAlign w:val="bottom"/>
          </w:tcPr>
          <w:p w14:paraId="690701D5"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4CDE2DC2"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028E3C1A" w14:textId="77777777" w:rsidR="00CA2553" w:rsidRPr="00BE5613" w:rsidRDefault="00CA2553" w:rsidP="003D4C06">
            <w:pPr>
              <w:jc w:val="center"/>
              <w:rPr>
                <w:sz w:val="22"/>
                <w:szCs w:val="22"/>
              </w:rPr>
            </w:pPr>
            <w:r w:rsidRPr="00BE5613">
              <w:rPr>
                <w:sz w:val="22"/>
                <w:szCs w:val="22"/>
              </w:rPr>
              <w:t> </w:t>
            </w:r>
          </w:p>
        </w:tc>
      </w:tr>
      <w:tr w:rsidR="00037128" w:rsidRPr="00BE5613" w14:paraId="067D3F0B"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314FE5EC" w14:textId="77777777" w:rsidR="00037128" w:rsidRPr="00BE5613" w:rsidRDefault="00037128" w:rsidP="003D4C06">
            <w:pPr>
              <w:jc w:val="center"/>
              <w:rPr>
                <w:sz w:val="22"/>
                <w:szCs w:val="22"/>
              </w:rPr>
            </w:pPr>
            <w:r w:rsidRPr="00BE5613">
              <w:rPr>
                <w:sz w:val="22"/>
                <w:szCs w:val="22"/>
              </w:rPr>
              <w:t>Model III</w:t>
            </w:r>
          </w:p>
        </w:tc>
        <w:tc>
          <w:tcPr>
            <w:tcW w:w="1244" w:type="dxa"/>
            <w:tcBorders>
              <w:top w:val="single" w:sz="4" w:space="0" w:color="auto"/>
              <w:right w:val="single" w:sz="4" w:space="0" w:color="auto"/>
            </w:tcBorders>
            <w:shd w:val="clear" w:color="auto" w:fill="FFFFFF"/>
            <w:vAlign w:val="bottom"/>
          </w:tcPr>
          <w:p w14:paraId="61346C3E" w14:textId="77777777" w:rsidR="00037128" w:rsidRPr="00BE5613" w:rsidRDefault="00037128"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33297ABD" w14:textId="77777777" w:rsidR="00037128" w:rsidRPr="00BE5613" w:rsidRDefault="00037128" w:rsidP="003D4C06">
            <w:pPr>
              <w:jc w:val="center"/>
              <w:rPr>
                <w:sz w:val="22"/>
                <w:szCs w:val="22"/>
              </w:rPr>
            </w:pPr>
            <w:r w:rsidRPr="00BE5613">
              <w:rPr>
                <w:sz w:val="22"/>
                <w:szCs w:val="22"/>
              </w:rPr>
              <w:t>0.217</w:t>
            </w:r>
          </w:p>
        </w:tc>
        <w:tc>
          <w:tcPr>
            <w:tcW w:w="960" w:type="dxa"/>
            <w:tcBorders>
              <w:top w:val="single" w:sz="4" w:space="0" w:color="auto"/>
            </w:tcBorders>
            <w:shd w:val="clear" w:color="auto" w:fill="FFFFFF"/>
            <w:vAlign w:val="bottom"/>
          </w:tcPr>
          <w:p w14:paraId="595673EF" w14:textId="77777777" w:rsidR="00037128" w:rsidRPr="00BE5613" w:rsidRDefault="00037128" w:rsidP="003D4C06">
            <w:pPr>
              <w:jc w:val="center"/>
              <w:rPr>
                <w:sz w:val="22"/>
                <w:szCs w:val="22"/>
              </w:rPr>
            </w:pPr>
            <w:r w:rsidRPr="00BE5613">
              <w:rPr>
                <w:sz w:val="22"/>
                <w:szCs w:val="22"/>
              </w:rPr>
              <w:t>0.064</w:t>
            </w:r>
          </w:p>
        </w:tc>
        <w:tc>
          <w:tcPr>
            <w:tcW w:w="960" w:type="dxa"/>
            <w:tcBorders>
              <w:top w:val="single" w:sz="4" w:space="0" w:color="auto"/>
              <w:right w:val="single" w:sz="4" w:space="0" w:color="auto"/>
            </w:tcBorders>
            <w:shd w:val="clear" w:color="auto" w:fill="FFFFFF"/>
            <w:vAlign w:val="bottom"/>
          </w:tcPr>
          <w:p w14:paraId="64AA7868" w14:textId="77777777" w:rsidR="00037128" w:rsidRPr="00BE5613" w:rsidRDefault="00037128" w:rsidP="003D4C06">
            <w:pPr>
              <w:jc w:val="center"/>
              <w:rPr>
                <w:sz w:val="22"/>
                <w:szCs w:val="22"/>
              </w:rPr>
            </w:pPr>
            <w:r w:rsidRPr="00BE5613">
              <w:rPr>
                <w:sz w:val="22"/>
                <w:szCs w:val="22"/>
              </w:rPr>
              <w:t>-0.219</w:t>
            </w:r>
          </w:p>
        </w:tc>
        <w:tc>
          <w:tcPr>
            <w:tcW w:w="960" w:type="dxa"/>
            <w:tcBorders>
              <w:top w:val="single" w:sz="4" w:space="0" w:color="auto"/>
              <w:left w:val="single" w:sz="4" w:space="0" w:color="auto"/>
            </w:tcBorders>
            <w:shd w:val="clear" w:color="auto" w:fill="FFFFFF"/>
            <w:vAlign w:val="bottom"/>
          </w:tcPr>
          <w:p w14:paraId="7ADA0CC9" w14:textId="77777777" w:rsidR="00037128" w:rsidRPr="00BE5613" w:rsidRDefault="00037128" w:rsidP="003D4C06">
            <w:pPr>
              <w:jc w:val="center"/>
              <w:rPr>
                <w:sz w:val="22"/>
                <w:szCs w:val="22"/>
              </w:rPr>
            </w:pPr>
            <w:r w:rsidRPr="00BE5613">
              <w:rPr>
                <w:sz w:val="22"/>
                <w:szCs w:val="22"/>
              </w:rPr>
              <w:t>0.361</w:t>
            </w:r>
          </w:p>
        </w:tc>
        <w:tc>
          <w:tcPr>
            <w:tcW w:w="960" w:type="dxa"/>
            <w:tcBorders>
              <w:top w:val="single" w:sz="4" w:space="0" w:color="auto"/>
            </w:tcBorders>
            <w:shd w:val="clear" w:color="auto" w:fill="FFFFFF"/>
            <w:vAlign w:val="bottom"/>
          </w:tcPr>
          <w:p w14:paraId="1A298783" w14:textId="77777777" w:rsidR="00037128" w:rsidRPr="00BE5613" w:rsidRDefault="00037128" w:rsidP="003D4C06">
            <w:pPr>
              <w:jc w:val="center"/>
              <w:rPr>
                <w:sz w:val="22"/>
                <w:szCs w:val="22"/>
              </w:rPr>
            </w:pPr>
            <w:r w:rsidRPr="00BE5613">
              <w:rPr>
                <w:sz w:val="22"/>
                <w:szCs w:val="22"/>
              </w:rPr>
              <w:t>0.099</w:t>
            </w:r>
          </w:p>
        </w:tc>
        <w:tc>
          <w:tcPr>
            <w:tcW w:w="960" w:type="dxa"/>
            <w:tcBorders>
              <w:top w:val="single" w:sz="4" w:space="0" w:color="auto"/>
              <w:right w:val="single" w:sz="4" w:space="0" w:color="auto"/>
            </w:tcBorders>
            <w:shd w:val="clear" w:color="auto" w:fill="FFFFFF"/>
            <w:vAlign w:val="bottom"/>
          </w:tcPr>
          <w:p w14:paraId="4640763F" w14:textId="77777777" w:rsidR="00037128" w:rsidRPr="00BE5613" w:rsidRDefault="00037128" w:rsidP="003D4C06">
            <w:pPr>
              <w:jc w:val="center"/>
              <w:rPr>
                <w:sz w:val="22"/>
                <w:szCs w:val="22"/>
              </w:rPr>
            </w:pPr>
            <w:r w:rsidRPr="00BE5613">
              <w:rPr>
                <w:sz w:val="22"/>
                <w:szCs w:val="22"/>
              </w:rPr>
              <w:t>-0.347</w:t>
            </w:r>
          </w:p>
        </w:tc>
        <w:tc>
          <w:tcPr>
            <w:tcW w:w="960" w:type="dxa"/>
            <w:tcBorders>
              <w:top w:val="single" w:sz="4" w:space="0" w:color="auto"/>
              <w:left w:val="single" w:sz="4" w:space="0" w:color="auto"/>
            </w:tcBorders>
            <w:shd w:val="clear" w:color="auto" w:fill="FFFFFF"/>
            <w:vAlign w:val="bottom"/>
          </w:tcPr>
          <w:p w14:paraId="32051791" w14:textId="77777777" w:rsidR="00037128" w:rsidRPr="00BE5613" w:rsidRDefault="00037128" w:rsidP="003D4C06">
            <w:pPr>
              <w:jc w:val="center"/>
              <w:rPr>
                <w:sz w:val="22"/>
                <w:szCs w:val="22"/>
              </w:rPr>
            </w:pPr>
            <w:r w:rsidRPr="00BE5613">
              <w:rPr>
                <w:sz w:val="22"/>
                <w:szCs w:val="22"/>
              </w:rPr>
              <w:t>1.000</w:t>
            </w:r>
          </w:p>
        </w:tc>
        <w:tc>
          <w:tcPr>
            <w:tcW w:w="961" w:type="dxa"/>
            <w:tcBorders>
              <w:top w:val="single" w:sz="4" w:space="0" w:color="auto"/>
            </w:tcBorders>
            <w:shd w:val="clear" w:color="auto" w:fill="FFFFFF"/>
            <w:vAlign w:val="bottom"/>
          </w:tcPr>
          <w:p w14:paraId="0865F6DD" w14:textId="77777777" w:rsidR="00037128" w:rsidRPr="00BE5613" w:rsidRDefault="00037128"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4ABC1FF3" w14:textId="77777777" w:rsidR="00037128" w:rsidRPr="00BE5613" w:rsidRDefault="00037128" w:rsidP="003D4C06">
            <w:pPr>
              <w:jc w:val="center"/>
              <w:rPr>
                <w:sz w:val="22"/>
                <w:szCs w:val="22"/>
              </w:rPr>
            </w:pPr>
            <w:r w:rsidRPr="00BE5613">
              <w:rPr>
                <w:sz w:val="22"/>
                <w:szCs w:val="22"/>
              </w:rPr>
              <w:t> </w:t>
            </w:r>
          </w:p>
        </w:tc>
        <w:tc>
          <w:tcPr>
            <w:tcW w:w="961" w:type="dxa"/>
            <w:tcBorders>
              <w:top w:val="single" w:sz="4" w:space="0" w:color="auto"/>
              <w:left w:val="single" w:sz="4" w:space="0" w:color="auto"/>
            </w:tcBorders>
            <w:shd w:val="clear" w:color="auto" w:fill="FFFFFF"/>
            <w:vAlign w:val="bottom"/>
          </w:tcPr>
          <w:p w14:paraId="2E2298CD" w14:textId="77777777" w:rsidR="00037128" w:rsidRPr="00BE5613" w:rsidRDefault="00037128" w:rsidP="003D4C06">
            <w:pPr>
              <w:jc w:val="center"/>
              <w:rPr>
                <w:sz w:val="22"/>
                <w:szCs w:val="22"/>
              </w:rPr>
            </w:pPr>
          </w:p>
        </w:tc>
        <w:tc>
          <w:tcPr>
            <w:tcW w:w="961" w:type="dxa"/>
            <w:tcBorders>
              <w:top w:val="single" w:sz="4" w:space="0" w:color="auto"/>
            </w:tcBorders>
            <w:shd w:val="clear" w:color="auto" w:fill="FFFFFF"/>
            <w:vAlign w:val="bottom"/>
          </w:tcPr>
          <w:p w14:paraId="004CBD0E" w14:textId="77777777" w:rsidR="00037128" w:rsidRPr="00BE5613" w:rsidRDefault="00037128"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1AFD67A1" w14:textId="77777777" w:rsidR="00037128" w:rsidRPr="00BE5613" w:rsidRDefault="00037128" w:rsidP="003D4C06">
            <w:pPr>
              <w:jc w:val="center"/>
              <w:rPr>
                <w:sz w:val="22"/>
                <w:szCs w:val="22"/>
              </w:rPr>
            </w:pPr>
          </w:p>
        </w:tc>
      </w:tr>
      <w:tr w:rsidR="00037128" w:rsidRPr="00BE5613" w14:paraId="26F8D640" w14:textId="77777777">
        <w:trPr>
          <w:trHeight w:val="41"/>
          <w:jc w:val="right"/>
        </w:trPr>
        <w:tc>
          <w:tcPr>
            <w:tcW w:w="1219" w:type="dxa"/>
            <w:vMerge/>
            <w:tcBorders>
              <w:left w:val="single" w:sz="4" w:space="0" w:color="auto"/>
            </w:tcBorders>
            <w:shd w:val="clear" w:color="auto" w:fill="FFFFFF"/>
            <w:vAlign w:val="center"/>
          </w:tcPr>
          <w:p w14:paraId="0DE849AA" w14:textId="77777777" w:rsidR="00037128" w:rsidRPr="00BE5613" w:rsidRDefault="00037128" w:rsidP="003D4C06">
            <w:pPr>
              <w:ind w:left="142" w:right="255"/>
              <w:rPr>
                <w:sz w:val="22"/>
                <w:szCs w:val="22"/>
              </w:rPr>
            </w:pPr>
          </w:p>
        </w:tc>
        <w:tc>
          <w:tcPr>
            <w:tcW w:w="1244" w:type="dxa"/>
            <w:tcBorders>
              <w:right w:val="single" w:sz="4" w:space="0" w:color="auto"/>
            </w:tcBorders>
            <w:shd w:val="clear" w:color="auto" w:fill="FFFFFF"/>
            <w:vAlign w:val="bottom"/>
          </w:tcPr>
          <w:p w14:paraId="235EA8DF" w14:textId="77777777" w:rsidR="00037128" w:rsidRPr="00BE5613" w:rsidRDefault="00037128"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018129A3" w14:textId="77777777" w:rsidR="00037128" w:rsidRPr="00BE5613" w:rsidRDefault="00037128" w:rsidP="003D4C06">
            <w:pPr>
              <w:jc w:val="center"/>
              <w:rPr>
                <w:sz w:val="22"/>
                <w:szCs w:val="22"/>
              </w:rPr>
            </w:pPr>
            <w:r w:rsidRPr="00BE5613">
              <w:rPr>
                <w:sz w:val="22"/>
                <w:szCs w:val="22"/>
              </w:rPr>
              <w:t>0.192</w:t>
            </w:r>
          </w:p>
        </w:tc>
        <w:tc>
          <w:tcPr>
            <w:tcW w:w="960" w:type="dxa"/>
            <w:shd w:val="clear" w:color="auto" w:fill="FFFFFF"/>
            <w:vAlign w:val="bottom"/>
          </w:tcPr>
          <w:p w14:paraId="532715A6" w14:textId="77777777" w:rsidR="00037128" w:rsidRPr="00BE5613" w:rsidRDefault="00037128" w:rsidP="003D4C06">
            <w:pPr>
              <w:jc w:val="center"/>
              <w:rPr>
                <w:sz w:val="22"/>
                <w:szCs w:val="22"/>
              </w:rPr>
            </w:pPr>
            <w:r w:rsidRPr="00BE5613">
              <w:rPr>
                <w:sz w:val="22"/>
                <w:szCs w:val="22"/>
              </w:rPr>
              <w:t>0.472</w:t>
            </w:r>
          </w:p>
        </w:tc>
        <w:tc>
          <w:tcPr>
            <w:tcW w:w="960" w:type="dxa"/>
            <w:tcBorders>
              <w:right w:val="single" w:sz="4" w:space="0" w:color="auto"/>
            </w:tcBorders>
            <w:shd w:val="clear" w:color="auto" w:fill="FFFFFF"/>
            <w:vAlign w:val="bottom"/>
          </w:tcPr>
          <w:p w14:paraId="1D766D6E" w14:textId="77777777" w:rsidR="00037128" w:rsidRPr="00BE5613" w:rsidRDefault="00037128" w:rsidP="003D4C06">
            <w:pPr>
              <w:jc w:val="center"/>
              <w:rPr>
                <w:sz w:val="22"/>
                <w:szCs w:val="22"/>
              </w:rPr>
            </w:pPr>
            <w:r w:rsidRPr="00BE5613">
              <w:rPr>
                <w:sz w:val="22"/>
                <w:szCs w:val="22"/>
              </w:rPr>
              <w:t>0.017</w:t>
            </w:r>
          </w:p>
        </w:tc>
        <w:tc>
          <w:tcPr>
            <w:tcW w:w="960" w:type="dxa"/>
            <w:tcBorders>
              <w:left w:val="single" w:sz="4" w:space="0" w:color="auto"/>
            </w:tcBorders>
            <w:shd w:val="clear" w:color="auto" w:fill="FFFFFF"/>
            <w:vAlign w:val="bottom"/>
          </w:tcPr>
          <w:p w14:paraId="6350D805" w14:textId="77777777" w:rsidR="00037128" w:rsidRPr="00BE5613" w:rsidRDefault="00037128" w:rsidP="003D4C06">
            <w:pPr>
              <w:jc w:val="center"/>
              <w:rPr>
                <w:sz w:val="22"/>
                <w:szCs w:val="22"/>
              </w:rPr>
            </w:pPr>
            <w:r w:rsidRPr="00BE5613">
              <w:rPr>
                <w:sz w:val="22"/>
                <w:szCs w:val="22"/>
              </w:rPr>
              <w:t>0.244</w:t>
            </w:r>
          </w:p>
        </w:tc>
        <w:tc>
          <w:tcPr>
            <w:tcW w:w="960" w:type="dxa"/>
            <w:shd w:val="clear" w:color="auto" w:fill="FFFFFF"/>
            <w:vAlign w:val="bottom"/>
          </w:tcPr>
          <w:p w14:paraId="2F7C2776" w14:textId="77777777" w:rsidR="00037128" w:rsidRPr="00BE5613" w:rsidRDefault="00037128" w:rsidP="003D4C06">
            <w:pPr>
              <w:jc w:val="center"/>
              <w:rPr>
                <w:sz w:val="22"/>
                <w:szCs w:val="22"/>
              </w:rPr>
            </w:pPr>
            <w:r w:rsidRPr="00BE5613">
              <w:rPr>
                <w:sz w:val="22"/>
                <w:szCs w:val="22"/>
              </w:rPr>
              <w:t>0.514</w:t>
            </w:r>
          </w:p>
        </w:tc>
        <w:tc>
          <w:tcPr>
            <w:tcW w:w="960" w:type="dxa"/>
            <w:tcBorders>
              <w:right w:val="single" w:sz="4" w:space="0" w:color="auto"/>
            </w:tcBorders>
            <w:shd w:val="clear" w:color="auto" w:fill="FFFFFF"/>
            <w:vAlign w:val="bottom"/>
          </w:tcPr>
          <w:p w14:paraId="4902A612" w14:textId="77777777" w:rsidR="00037128" w:rsidRPr="00BE5613" w:rsidRDefault="00037128" w:rsidP="003D4C06">
            <w:pPr>
              <w:jc w:val="center"/>
              <w:rPr>
                <w:sz w:val="22"/>
                <w:szCs w:val="22"/>
              </w:rPr>
            </w:pPr>
            <w:r w:rsidRPr="00BE5613">
              <w:rPr>
                <w:sz w:val="22"/>
                <w:szCs w:val="22"/>
              </w:rPr>
              <w:t>-0.060</w:t>
            </w:r>
          </w:p>
        </w:tc>
        <w:tc>
          <w:tcPr>
            <w:tcW w:w="960" w:type="dxa"/>
            <w:tcBorders>
              <w:left w:val="single" w:sz="4" w:space="0" w:color="auto"/>
            </w:tcBorders>
            <w:shd w:val="clear" w:color="auto" w:fill="FFFFFF"/>
            <w:vAlign w:val="bottom"/>
          </w:tcPr>
          <w:p w14:paraId="05A9CFF8" w14:textId="77777777" w:rsidR="00037128" w:rsidRPr="00BE5613" w:rsidRDefault="00037128" w:rsidP="003D4C06">
            <w:pPr>
              <w:jc w:val="center"/>
              <w:rPr>
                <w:sz w:val="22"/>
                <w:szCs w:val="22"/>
              </w:rPr>
            </w:pPr>
            <w:r w:rsidRPr="00BE5613">
              <w:rPr>
                <w:sz w:val="22"/>
                <w:szCs w:val="22"/>
              </w:rPr>
              <w:t>0.317</w:t>
            </w:r>
          </w:p>
        </w:tc>
        <w:tc>
          <w:tcPr>
            <w:tcW w:w="961" w:type="dxa"/>
            <w:shd w:val="clear" w:color="auto" w:fill="FFFFFF"/>
            <w:vAlign w:val="bottom"/>
          </w:tcPr>
          <w:p w14:paraId="5E9BFEE3" w14:textId="77777777" w:rsidR="00037128" w:rsidRPr="00BE5613" w:rsidRDefault="00037128" w:rsidP="003D4C06">
            <w:pPr>
              <w:jc w:val="center"/>
              <w:rPr>
                <w:sz w:val="22"/>
                <w:szCs w:val="22"/>
              </w:rPr>
            </w:pPr>
            <w:r w:rsidRPr="00BE5613">
              <w:rPr>
                <w:sz w:val="22"/>
                <w:szCs w:val="22"/>
              </w:rPr>
              <w:t>1.000</w:t>
            </w:r>
          </w:p>
        </w:tc>
        <w:tc>
          <w:tcPr>
            <w:tcW w:w="961" w:type="dxa"/>
            <w:tcBorders>
              <w:right w:val="single" w:sz="4" w:space="0" w:color="auto"/>
            </w:tcBorders>
            <w:shd w:val="clear" w:color="auto" w:fill="FFFFFF"/>
            <w:vAlign w:val="bottom"/>
          </w:tcPr>
          <w:p w14:paraId="218E213C" w14:textId="77777777" w:rsidR="00037128" w:rsidRPr="00BE5613" w:rsidRDefault="00037128" w:rsidP="003D4C06">
            <w:pPr>
              <w:jc w:val="center"/>
              <w:rPr>
                <w:sz w:val="22"/>
                <w:szCs w:val="22"/>
              </w:rPr>
            </w:pPr>
            <w:r w:rsidRPr="00BE5613">
              <w:rPr>
                <w:sz w:val="22"/>
                <w:szCs w:val="22"/>
              </w:rPr>
              <w:t> </w:t>
            </w:r>
          </w:p>
        </w:tc>
        <w:tc>
          <w:tcPr>
            <w:tcW w:w="961" w:type="dxa"/>
            <w:tcBorders>
              <w:left w:val="single" w:sz="4" w:space="0" w:color="auto"/>
            </w:tcBorders>
            <w:shd w:val="clear" w:color="auto" w:fill="FFFFFF"/>
            <w:vAlign w:val="bottom"/>
          </w:tcPr>
          <w:p w14:paraId="649DBB4F" w14:textId="77777777" w:rsidR="00037128" w:rsidRPr="00BE5613" w:rsidRDefault="00037128" w:rsidP="003D4C06">
            <w:pPr>
              <w:jc w:val="center"/>
              <w:rPr>
                <w:sz w:val="22"/>
                <w:szCs w:val="22"/>
              </w:rPr>
            </w:pPr>
          </w:p>
        </w:tc>
        <w:tc>
          <w:tcPr>
            <w:tcW w:w="961" w:type="dxa"/>
            <w:shd w:val="clear" w:color="auto" w:fill="FFFFFF"/>
            <w:vAlign w:val="bottom"/>
          </w:tcPr>
          <w:p w14:paraId="1227AE9A" w14:textId="77777777" w:rsidR="00037128" w:rsidRPr="00BE5613" w:rsidRDefault="00037128" w:rsidP="003D4C06">
            <w:pPr>
              <w:jc w:val="center"/>
              <w:rPr>
                <w:sz w:val="22"/>
                <w:szCs w:val="22"/>
              </w:rPr>
            </w:pPr>
          </w:p>
        </w:tc>
        <w:tc>
          <w:tcPr>
            <w:tcW w:w="961" w:type="dxa"/>
            <w:tcBorders>
              <w:right w:val="single" w:sz="4" w:space="0" w:color="auto"/>
            </w:tcBorders>
            <w:shd w:val="clear" w:color="auto" w:fill="FFFFFF"/>
            <w:vAlign w:val="bottom"/>
          </w:tcPr>
          <w:p w14:paraId="176208D0" w14:textId="77777777" w:rsidR="00037128" w:rsidRPr="00BE5613" w:rsidRDefault="00037128" w:rsidP="003D4C06">
            <w:pPr>
              <w:jc w:val="center"/>
              <w:rPr>
                <w:sz w:val="22"/>
                <w:szCs w:val="22"/>
              </w:rPr>
            </w:pPr>
          </w:p>
        </w:tc>
      </w:tr>
      <w:tr w:rsidR="00037128" w:rsidRPr="00BE5613" w14:paraId="4129B06F"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3340220D" w14:textId="77777777" w:rsidR="00037128" w:rsidRPr="00BE5613" w:rsidRDefault="00037128"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3E672D88" w14:textId="77777777" w:rsidR="00037128" w:rsidRPr="00BE5613" w:rsidRDefault="00037128"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174A87F6" w14:textId="77777777" w:rsidR="00037128" w:rsidRPr="00BE5613" w:rsidRDefault="00037128" w:rsidP="003D4C06">
            <w:pPr>
              <w:jc w:val="center"/>
              <w:rPr>
                <w:sz w:val="22"/>
                <w:szCs w:val="22"/>
              </w:rPr>
            </w:pPr>
            <w:r w:rsidRPr="00BE5613">
              <w:rPr>
                <w:sz w:val="22"/>
                <w:szCs w:val="22"/>
              </w:rPr>
              <w:t>-0.091</w:t>
            </w:r>
          </w:p>
        </w:tc>
        <w:tc>
          <w:tcPr>
            <w:tcW w:w="960" w:type="dxa"/>
            <w:tcBorders>
              <w:bottom w:val="single" w:sz="4" w:space="0" w:color="auto"/>
            </w:tcBorders>
            <w:shd w:val="clear" w:color="auto" w:fill="FFFFFF"/>
            <w:vAlign w:val="bottom"/>
          </w:tcPr>
          <w:p w14:paraId="214E9BC5" w14:textId="77777777" w:rsidR="00037128" w:rsidRPr="00BE5613" w:rsidRDefault="00037128" w:rsidP="003D4C06">
            <w:pPr>
              <w:jc w:val="center"/>
              <w:rPr>
                <w:sz w:val="22"/>
                <w:szCs w:val="22"/>
              </w:rPr>
            </w:pPr>
            <w:r w:rsidRPr="00BE5613">
              <w:rPr>
                <w:sz w:val="22"/>
                <w:szCs w:val="22"/>
              </w:rPr>
              <w:t>0.298</w:t>
            </w:r>
            <w:r w:rsidRPr="00BE5613">
              <w:rPr>
                <w:sz w:val="22"/>
                <w:szCs w:val="22"/>
                <w:vertAlign w:val="superscript"/>
              </w:rPr>
              <w:t>(–2)</w:t>
            </w:r>
          </w:p>
        </w:tc>
        <w:tc>
          <w:tcPr>
            <w:tcW w:w="960" w:type="dxa"/>
            <w:tcBorders>
              <w:bottom w:val="single" w:sz="4" w:space="0" w:color="auto"/>
              <w:right w:val="single" w:sz="4" w:space="0" w:color="auto"/>
            </w:tcBorders>
            <w:shd w:val="clear" w:color="auto" w:fill="FFFFFF"/>
            <w:vAlign w:val="bottom"/>
          </w:tcPr>
          <w:p w14:paraId="5FBA9F45" w14:textId="77777777" w:rsidR="00037128" w:rsidRPr="00BE5613" w:rsidRDefault="00037128" w:rsidP="003D4C06">
            <w:pPr>
              <w:jc w:val="center"/>
              <w:rPr>
                <w:sz w:val="22"/>
                <w:szCs w:val="22"/>
              </w:rPr>
            </w:pPr>
            <w:r w:rsidRPr="00BE5613">
              <w:rPr>
                <w:sz w:val="22"/>
                <w:szCs w:val="22"/>
              </w:rPr>
              <w:t>0.263</w:t>
            </w:r>
            <w:r w:rsidRPr="00BE5613">
              <w:rPr>
                <w:sz w:val="22"/>
                <w:szCs w:val="22"/>
                <w:vertAlign w:val="superscript"/>
              </w:rPr>
              <w:t>(–2)</w:t>
            </w:r>
          </w:p>
        </w:tc>
        <w:tc>
          <w:tcPr>
            <w:tcW w:w="960" w:type="dxa"/>
            <w:tcBorders>
              <w:left w:val="single" w:sz="4" w:space="0" w:color="auto"/>
              <w:bottom w:val="single" w:sz="4" w:space="0" w:color="auto"/>
            </w:tcBorders>
            <w:shd w:val="clear" w:color="auto" w:fill="FFFFFF"/>
            <w:vAlign w:val="bottom"/>
          </w:tcPr>
          <w:p w14:paraId="157CF794" w14:textId="77777777" w:rsidR="00037128" w:rsidRPr="00BE5613" w:rsidRDefault="00037128" w:rsidP="003D4C06">
            <w:pPr>
              <w:jc w:val="center"/>
              <w:rPr>
                <w:sz w:val="22"/>
                <w:szCs w:val="22"/>
              </w:rPr>
            </w:pPr>
            <w:r w:rsidRPr="00BE5613">
              <w:rPr>
                <w:sz w:val="22"/>
                <w:szCs w:val="22"/>
              </w:rPr>
              <w:t>-0.209</w:t>
            </w:r>
            <w:r w:rsidRPr="00BE5613">
              <w:rPr>
                <w:sz w:val="22"/>
                <w:szCs w:val="22"/>
                <w:vertAlign w:val="superscript"/>
              </w:rPr>
              <w:t>(+1)</w:t>
            </w:r>
          </w:p>
        </w:tc>
        <w:tc>
          <w:tcPr>
            <w:tcW w:w="960" w:type="dxa"/>
            <w:tcBorders>
              <w:bottom w:val="single" w:sz="4" w:space="0" w:color="auto"/>
            </w:tcBorders>
            <w:shd w:val="clear" w:color="auto" w:fill="FFFFFF"/>
            <w:vAlign w:val="bottom"/>
          </w:tcPr>
          <w:p w14:paraId="7632B69D" w14:textId="77777777" w:rsidR="00037128" w:rsidRPr="00BE5613" w:rsidRDefault="00037128" w:rsidP="003D4C06">
            <w:pPr>
              <w:jc w:val="center"/>
              <w:rPr>
                <w:sz w:val="22"/>
                <w:szCs w:val="22"/>
              </w:rPr>
            </w:pPr>
            <w:r w:rsidRPr="00BE5613">
              <w:rPr>
                <w:sz w:val="22"/>
                <w:szCs w:val="22"/>
              </w:rPr>
              <w:t>0.311</w:t>
            </w:r>
            <w:r w:rsidRPr="00BE5613">
              <w:rPr>
                <w:sz w:val="22"/>
                <w:szCs w:val="22"/>
                <w:vertAlign w:val="superscript"/>
              </w:rPr>
              <w:t>(–2)</w:t>
            </w:r>
          </w:p>
        </w:tc>
        <w:tc>
          <w:tcPr>
            <w:tcW w:w="960" w:type="dxa"/>
            <w:tcBorders>
              <w:bottom w:val="single" w:sz="4" w:space="0" w:color="auto"/>
              <w:right w:val="single" w:sz="4" w:space="0" w:color="auto"/>
            </w:tcBorders>
            <w:shd w:val="clear" w:color="auto" w:fill="FFFFFF"/>
            <w:vAlign w:val="bottom"/>
          </w:tcPr>
          <w:p w14:paraId="12949AAD" w14:textId="77777777" w:rsidR="00037128" w:rsidRPr="00BE5613" w:rsidRDefault="00037128" w:rsidP="003D4C06">
            <w:pPr>
              <w:jc w:val="center"/>
              <w:rPr>
                <w:sz w:val="22"/>
                <w:szCs w:val="22"/>
              </w:rPr>
            </w:pPr>
            <w:r w:rsidRPr="00BE5613">
              <w:rPr>
                <w:sz w:val="22"/>
                <w:szCs w:val="22"/>
              </w:rPr>
              <w:t>0.350</w:t>
            </w:r>
            <w:r w:rsidRPr="00BE5613">
              <w:rPr>
                <w:sz w:val="22"/>
                <w:szCs w:val="22"/>
                <w:vertAlign w:val="superscript"/>
              </w:rPr>
              <w:t>(–3)</w:t>
            </w:r>
          </w:p>
        </w:tc>
        <w:tc>
          <w:tcPr>
            <w:tcW w:w="960" w:type="dxa"/>
            <w:tcBorders>
              <w:left w:val="single" w:sz="4" w:space="0" w:color="auto"/>
              <w:bottom w:val="single" w:sz="4" w:space="0" w:color="auto"/>
            </w:tcBorders>
            <w:shd w:val="clear" w:color="auto" w:fill="FFFFFF"/>
            <w:vAlign w:val="bottom"/>
          </w:tcPr>
          <w:p w14:paraId="69FE9937" w14:textId="77777777" w:rsidR="00037128" w:rsidRPr="00BE5613" w:rsidRDefault="00037128" w:rsidP="003D4C06">
            <w:pPr>
              <w:jc w:val="center"/>
              <w:rPr>
                <w:sz w:val="22"/>
                <w:szCs w:val="22"/>
              </w:rPr>
            </w:pPr>
            <w:r w:rsidRPr="00BE5613">
              <w:rPr>
                <w:sz w:val="22"/>
                <w:szCs w:val="22"/>
              </w:rPr>
              <w:t>-0.693</w:t>
            </w:r>
            <w:r w:rsidRPr="00BE5613">
              <w:rPr>
                <w:sz w:val="22"/>
                <w:szCs w:val="22"/>
                <w:vertAlign w:val="superscript"/>
              </w:rPr>
              <w:t>(+5)</w:t>
            </w:r>
          </w:p>
        </w:tc>
        <w:tc>
          <w:tcPr>
            <w:tcW w:w="961" w:type="dxa"/>
            <w:tcBorders>
              <w:bottom w:val="single" w:sz="4" w:space="0" w:color="auto"/>
            </w:tcBorders>
            <w:shd w:val="clear" w:color="auto" w:fill="FFFFFF"/>
            <w:vAlign w:val="bottom"/>
          </w:tcPr>
          <w:p w14:paraId="6748BFED" w14:textId="77777777" w:rsidR="00037128" w:rsidRPr="00BE5613" w:rsidRDefault="00037128" w:rsidP="003D4C06">
            <w:pPr>
              <w:jc w:val="center"/>
              <w:rPr>
                <w:sz w:val="22"/>
                <w:szCs w:val="22"/>
              </w:rPr>
            </w:pPr>
            <w:r w:rsidRPr="00BE5613">
              <w:rPr>
                <w:sz w:val="22"/>
                <w:szCs w:val="22"/>
              </w:rPr>
              <w:t>0.324</w:t>
            </w:r>
            <w:r w:rsidRPr="00BE5613">
              <w:rPr>
                <w:sz w:val="22"/>
                <w:szCs w:val="22"/>
                <w:vertAlign w:val="superscript"/>
              </w:rPr>
              <w:t>(–2)</w:t>
            </w:r>
          </w:p>
        </w:tc>
        <w:tc>
          <w:tcPr>
            <w:tcW w:w="961" w:type="dxa"/>
            <w:tcBorders>
              <w:bottom w:val="single" w:sz="4" w:space="0" w:color="auto"/>
              <w:right w:val="single" w:sz="4" w:space="0" w:color="auto"/>
            </w:tcBorders>
            <w:shd w:val="clear" w:color="auto" w:fill="FFFFFF"/>
            <w:vAlign w:val="bottom"/>
          </w:tcPr>
          <w:p w14:paraId="6CF7C4FB" w14:textId="77777777" w:rsidR="00037128" w:rsidRPr="00BE5613" w:rsidRDefault="00037128" w:rsidP="003D4C06">
            <w:pPr>
              <w:jc w:val="center"/>
              <w:rPr>
                <w:sz w:val="22"/>
                <w:szCs w:val="22"/>
              </w:rPr>
            </w:pPr>
            <w:r w:rsidRPr="00BE5613">
              <w:rPr>
                <w:sz w:val="22"/>
                <w:szCs w:val="22"/>
              </w:rPr>
              <w:t>1.000</w:t>
            </w:r>
          </w:p>
        </w:tc>
        <w:tc>
          <w:tcPr>
            <w:tcW w:w="961" w:type="dxa"/>
            <w:tcBorders>
              <w:left w:val="single" w:sz="4" w:space="0" w:color="auto"/>
              <w:bottom w:val="single" w:sz="4" w:space="0" w:color="auto"/>
            </w:tcBorders>
            <w:shd w:val="clear" w:color="auto" w:fill="FFFFFF"/>
            <w:vAlign w:val="bottom"/>
          </w:tcPr>
          <w:p w14:paraId="784CC1DF" w14:textId="77777777" w:rsidR="00037128" w:rsidRPr="00BE5613" w:rsidRDefault="00037128" w:rsidP="003D4C06">
            <w:pPr>
              <w:jc w:val="center"/>
              <w:rPr>
                <w:sz w:val="22"/>
                <w:szCs w:val="22"/>
              </w:rPr>
            </w:pPr>
          </w:p>
        </w:tc>
        <w:tc>
          <w:tcPr>
            <w:tcW w:w="961" w:type="dxa"/>
            <w:tcBorders>
              <w:bottom w:val="single" w:sz="4" w:space="0" w:color="auto"/>
            </w:tcBorders>
            <w:shd w:val="clear" w:color="auto" w:fill="FFFFFF"/>
            <w:vAlign w:val="bottom"/>
          </w:tcPr>
          <w:p w14:paraId="33B68F69" w14:textId="77777777" w:rsidR="00037128" w:rsidRPr="00BE5613" w:rsidRDefault="00037128"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7DA86B4F" w14:textId="77777777" w:rsidR="00037128" w:rsidRPr="00BE5613" w:rsidRDefault="00037128" w:rsidP="003D4C06">
            <w:pPr>
              <w:jc w:val="center"/>
              <w:rPr>
                <w:sz w:val="22"/>
                <w:szCs w:val="22"/>
              </w:rPr>
            </w:pPr>
          </w:p>
        </w:tc>
      </w:tr>
      <w:tr w:rsidR="00037128" w:rsidRPr="00BE5613" w14:paraId="06C3CCE2"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77625A2D" w14:textId="77777777" w:rsidR="00037128" w:rsidRPr="00BE5613" w:rsidRDefault="00037128" w:rsidP="003D4C06">
            <w:pPr>
              <w:jc w:val="center"/>
              <w:rPr>
                <w:sz w:val="22"/>
                <w:szCs w:val="22"/>
              </w:rPr>
            </w:pPr>
            <w:r w:rsidRPr="00BE5613">
              <w:rPr>
                <w:sz w:val="22"/>
                <w:szCs w:val="22"/>
              </w:rPr>
              <w:t>Model IV</w:t>
            </w:r>
          </w:p>
        </w:tc>
        <w:tc>
          <w:tcPr>
            <w:tcW w:w="1244" w:type="dxa"/>
            <w:tcBorders>
              <w:top w:val="single" w:sz="4" w:space="0" w:color="auto"/>
              <w:right w:val="single" w:sz="4" w:space="0" w:color="auto"/>
            </w:tcBorders>
            <w:shd w:val="clear" w:color="auto" w:fill="FFFFFF"/>
            <w:vAlign w:val="bottom"/>
          </w:tcPr>
          <w:p w14:paraId="132A77F9" w14:textId="77777777" w:rsidR="00037128" w:rsidRPr="00BE5613" w:rsidRDefault="00037128"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5F49363D" w14:textId="77777777" w:rsidR="00037128" w:rsidRPr="00BE5613" w:rsidRDefault="00037128" w:rsidP="003D4C06">
            <w:pPr>
              <w:jc w:val="center"/>
              <w:rPr>
                <w:sz w:val="22"/>
                <w:szCs w:val="22"/>
              </w:rPr>
            </w:pPr>
            <w:r w:rsidRPr="00BE5613">
              <w:rPr>
                <w:sz w:val="22"/>
                <w:szCs w:val="22"/>
              </w:rPr>
              <w:t>0.189</w:t>
            </w:r>
          </w:p>
        </w:tc>
        <w:tc>
          <w:tcPr>
            <w:tcW w:w="960" w:type="dxa"/>
            <w:tcBorders>
              <w:top w:val="single" w:sz="4" w:space="0" w:color="auto"/>
            </w:tcBorders>
            <w:shd w:val="clear" w:color="auto" w:fill="FFFFFF"/>
            <w:vAlign w:val="bottom"/>
          </w:tcPr>
          <w:p w14:paraId="16B2B780" w14:textId="77777777" w:rsidR="00037128" w:rsidRPr="00BE5613" w:rsidRDefault="00037128" w:rsidP="003D4C06">
            <w:pPr>
              <w:jc w:val="center"/>
              <w:rPr>
                <w:sz w:val="22"/>
                <w:szCs w:val="22"/>
              </w:rPr>
            </w:pPr>
            <w:r w:rsidRPr="00BE5613">
              <w:rPr>
                <w:sz w:val="22"/>
                <w:szCs w:val="22"/>
              </w:rPr>
              <w:t>0.061</w:t>
            </w:r>
          </w:p>
        </w:tc>
        <w:tc>
          <w:tcPr>
            <w:tcW w:w="960" w:type="dxa"/>
            <w:tcBorders>
              <w:top w:val="single" w:sz="4" w:space="0" w:color="auto"/>
              <w:right w:val="single" w:sz="4" w:space="0" w:color="auto"/>
            </w:tcBorders>
            <w:shd w:val="clear" w:color="auto" w:fill="FFFFFF"/>
            <w:vAlign w:val="bottom"/>
          </w:tcPr>
          <w:p w14:paraId="61366E35" w14:textId="77777777" w:rsidR="00037128" w:rsidRPr="00BE5613" w:rsidRDefault="00037128" w:rsidP="003D4C06">
            <w:pPr>
              <w:jc w:val="center"/>
              <w:rPr>
                <w:sz w:val="22"/>
                <w:szCs w:val="22"/>
              </w:rPr>
            </w:pPr>
            <w:r w:rsidRPr="00BE5613">
              <w:rPr>
                <w:sz w:val="22"/>
                <w:szCs w:val="22"/>
              </w:rPr>
              <w:t>-0.187</w:t>
            </w:r>
            <w:r w:rsidRPr="00BE5613">
              <w:rPr>
                <w:sz w:val="22"/>
                <w:szCs w:val="22"/>
                <w:vertAlign w:val="superscript"/>
              </w:rPr>
              <w:t>(+1)</w:t>
            </w:r>
          </w:p>
        </w:tc>
        <w:tc>
          <w:tcPr>
            <w:tcW w:w="960" w:type="dxa"/>
            <w:tcBorders>
              <w:top w:val="single" w:sz="4" w:space="0" w:color="auto"/>
              <w:left w:val="single" w:sz="4" w:space="0" w:color="auto"/>
            </w:tcBorders>
            <w:shd w:val="clear" w:color="auto" w:fill="FFFFFF"/>
            <w:vAlign w:val="bottom"/>
          </w:tcPr>
          <w:p w14:paraId="002ED6C0" w14:textId="77777777" w:rsidR="00037128" w:rsidRPr="00BE5613" w:rsidRDefault="00037128" w:rsidP="003D4C06">
            <w:pPr>
              <w:jc w:val="center"/>
              <w:rPr>
                <w:sz w:val="22"/>
                <w:szCs w:val="22"/>
              </w:rPr>
            </w:pPr>
            <w:r w:rsidRPr="00BE5613">
              <w:rPr>
                <w:sz w:val="22"/>
                <w:szCs w:val="22"/>
              </w:rPr>
              <w:t>0.333</w:t>
            </w:r>
          </w:p>
        </w:tc>
        <w:tc>
          <w:tcPr>
            <w:tcW w:w="960" w:type="dxa"/>
            <w:tcBorders>
              <w:top w:val="single" w:sz="4" w:space="0" w:color="auto"/>
            </w:tcBorders>
            <w:shd w:val="clear" w:color="auto" w:fill="FFFFFF"/>
            <w:vAlign w:val="bottom"/>
          </w:tcPr>
          <w:p w14:paraId="1FF14205" w14:textId="77777777" w:rsidR="00037128" w:rsidRPr="00BE5613" w:rsidRDefault="00037128" w:rsidP="003D4C06">
            <w:pPr>
              <w:jc w:val="center"/>
              <w:rPr>
                <w:sz w:val="22"/>
                <w:szCs w:val="22"/>
              </w:rPr>
            </w:pPr>
            <w:r w:rsidRPr="00BE5613">
              <w:rPr>
                <w:sz w:val="22"/>
                <w:szCs w:val="22"/>
              </w:rPr>
              <w:t>0.081</w:t>
            </w:r>
          </w:p>
        </w:tc>
        <w:tc>
          <w:tcPr>
            <w:tcW w:w="960" w:type="dxa"/>
            <w:tcBorders>
              <w:top w:val="single" w:sz="4" w:space="0" w:color="auto"/>
              <w:right w:val="single" w:sz="4" w:space="0" w:color="auto"/>
            </w:tcBorders>
            <w:shd w:val="clear" w:color="auto" w:fill="FFFFFF"/>
            <w:vAlign w:val="bottom"/>
          </w:tcPr>
          <w:p w14:paraId="057E6B20" w14:textId="77777777" w:rsidR="00037128" w:rsidRPr="00BE5613" w:rsidRDefault="00037128" w:rsidP="003D4C06">
            <w:pPr>
              <w:jc w:val="center"/>
              <w:rPr>
                <w:sz w:val="22"/>
                <w:szCs w:val="22"/>
              </w:rPr>
            </w:pPr>
            <w:r w:rsidRPr="00BE5613">
              <w:rPr>
                <w:sz w:val="22"/>
                <w:szCs w:val="22"/>
              </w:rPr>
              <w:t>-0.317</w:t>
            </w:r>
          </w:p>
        </w:tc>
        <w:tc>
          <w:tcPr>
            <w:tcW w:w="960" w:type="dxa"/>
            <w:tcBorders>
              <w:top w:val="single" w:sz="4" w:space="0" w:color="auto"/>
              <w:left w:val="single" w:sz="4" w:space="0" w:color="auto"/>
            </w:tcBorders>
            <w:shd w:val="clear" w:color="auto" w:fill="FFFFFF"/>
            <w:vAlign w:val="bottom"/>
          </w:tcPr>
          <w:p w14:paraId="5DE05A0E" w14:textId="77777777" w:rsidR="00037128" w:rsidRPr="00BE5613" w:rsidRDefault="00037128" w:rsidP="003D4C06">
            <w:pPr>
              <w:jc w:val="center"/>
              <w:rPr>
                <w:sz w:val="22"/>
                <w:szCs w:val="22"/>
              </w:rPr>
            </w:pPr>
            <w:r w:rsidRPr="00BE5613">
              <w:rPr>
                <w:sz w:val="22"/>
                <w:szCs w:val="22"/>
              </w:rPr>
              <w:t>0.974</w:t>
            </w:r>
          </w:p>
        </w:tc>
        <w:tc>
          <w:tcPr>
            <w:tcW w:w="961" w:type="dxa"/>
            <w:tcBorders>
              <w:top w:val="single" w:sz="4" w:space="0" w:color="auto"/>
            </w:tcBorders>
            <w:shd w:val="clear" w:color="auto" w:fill="FFFFFF"/>
            <w:vAlign w:val="bottom"/>
          </w:tcPr>
          <w:p w14:paraId="02EBA41B" w14:textId="77777777" w:rsidR="00037128" w:rsidRPr="00BE5613" w:rsidRDefault="00037128" w:rsidP="003D4C06">
            <w:pPr>
              <w:jc w:val="center"/>
              <w:rPr>
                <w:sz w:val="22"/>
                <w:szCs w:val="22"/>
              </w:rPr>
            </w:pPr>
            <w:r w:rsidRPr="00BE5613">
              <w:rPr>
                <w:sz w:val="22"/>
                <w:szCs w:val="22"/>
              </w:rPr>
              <w:t>0.308</w:t>
            </w:r>
            <w:r w:rsidRPr="00BE5613">
              <w:rPr>
                <w:sz w:val="22"/>
                <w:szCs w:val="22"/>
                <w:vertAlign w:val="superscript"/>
              </w:rPr>
              <w:t>(–2)</w:t>
            </w:r>
          </w:p>
        </w:tc>
        <w:tc>
          <w:tcPr>
            <w:tcW w:w="961" w:type="dxa"/>
            <w:tcBorders>
              <w:top w:val="single" w:sz="4" w:space="0" w:color="auto"/>
              <w:right w:val="single" w:sz="4" w:space="0" w:color="auto"/>
            </w:tcBorders>
            <w:shd w:val="clear" w:color="auto" w:fill="FFFFFF"/>
            <w:vAlign w:val="bottom"/>
          </w:tcPr>
          <w:p w14:paraId="25034B32" w14:textId="77777777" w:rsidR="00037128" w:rsidRPr="00BE5613" w:rsidRDefault="00037128" w:rsidP="003D4C06">
            <w:pPr>
              <w:jc w:val="center"/>
              <w:rPr>
                <w:sz w:val="22"/>
                <w:szCs w:val="22"/>
              </w:rPr>
            </w:pPr>
            <w:r w:rsidRPr="00BE5613">
              <w:rPr>
                <w:sz w:val="22"/>
                <w:szCs w:val="22"/>
              </w:rPr>
              <w:t>-0.664</w:t>
            </w:r>
            <w:r w:rsidRPr="00BE5613">
              <w:rPr>
                <w:sz w:val="22"/>
                <w:szCs w:val="22"/>
                <w:vertAlign w:val="superscript"/>
              </w:rPr>
              <w:t>(+4)</w:t>
            </w:r>
          </w:p>
        </w:tc>
        <w:tc>
          <w:tcPr>
            <w:tcW w:w="961" w:type="dxa"/>
            <w:tcBorders>
              <w:top w:val="single" w:sz="4" w:space="0" w:color="auto"/>
              <w:left w:val="single" w:sz="4" w:space="0" w:color="auto"/>
            </w:tcBorders>
            <w:shd w:val="clear" w:color="auto" w:fill="FFFFFF"/>
            <w:vAlign w:val="bottom"/>
          </w:tcPr>
          <w:p w14:paraId="0A68772A" w14:textId="77777777" w:rsidR="00037128" w:rsidRPr="00BE5613" w:rsidRDefault="00037128" w:rsidP="003D4C06">
            <w:pPr>
              <w:jc w:val="center"/>
              <w:rPr>
                <w:sz w:val="22"/>
                <w:szCs w:val="22"/>
              </w:rPr>
            </w:pPr>
            <w:r w:rsidRPr="00BE5613">
              <w:rPr>
                <w:sz w:val="22"/>
                <w:szCs w:val="22"/>
              </w:rPr>
              <w:t>1.000</w:t>
            </w:r>
          </w:p>
        </w:tc>
        <w:tc>
          <w:tcPr>
            <w:tcW w:w="961" w:type="dxa"/>
            <w:tcBorders>
              <w:top w:val="single" w:sz="4" w:space="0" w:color="auto"/>
            </w:tcBorders>
            <w:shd w:val="clear" w:color="auto" w:fill="FFFFFF"/>
            <w:vAlign w:val="bottom"/>
          </w:tcPr>
          <w:p w14:paraId="64B04100" w14:textId="77777777" w:rsidR="00037128" w:rsidRPr="00BE5613" w:rsidRDefault="00037128"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58BA866C" w14:textId="77777777" w:rsidR="00037128" w:rsidRPr="00BE5613" w:rsidRDefault="00037128" w:rsidP="003D4C06">
            <w:pPr>
              <w:jc w:val="center"/>
              <w:rPr>
                <w:sz w:val="22"/>
                <w:szCs w:val="22"/>
              </w:rPr>
            </w:pPr>
          </w:p>
        </w:tc>
      </w:tr>
      <w:tr w:rsidR="00037128" w:rsidRPr="00BE5613" w14:paraId="76D4F2C9" w14:textId="77777777">
        <w:trPr>
          <w:trHeight w:val="41"/>
          <w:jc w:val="right"/>
        </w:trPr>
        <w:tc>
          <w:tcPr>
            <w:tcW w:w="1219" w:type="dxa"/>
            <w:vMerge/>
            <w:tcBorders>
              <w:left w:val="single" w:sz="4" w:space="0" w:color="auto"/>
            </w:tcBorders>
            <w:shd w:val="clear" w:color="auto" w:fill="FFFFFF"/>
            <w:vAlign w:val="center"/>
          </w:tcPr>
          <w:p w14:paraId="20979FF1" w14:textId="77777777" w:rsidR="00037128" w:rsidRPr="00BE5613" w:rsidRDefault="00037128" w:rsidP="003D4C06">
            <w:pPr>
              <w:ind w:left="142" w:right="255"/>
              <w:rPr>
                <w:sz w:val="22"/>
                <w:szCs w:val="22"/>
              </w:rPr>
            </w:pPr>
          </w:p>
        </w:tc>
        <w:tc>
          <w:tcPr>
            <w:tcW w:w="1244" w:type="dxa"/>
            <w:tcBorders>
              <w:right w:val="single" w:sz="4" w:space="0" w:color="auto"/>
            </w:tcBorders>
            <w:shd w:val="clear" w:color="auto" w:fill="FFFFFF"/>
            <w:vAlign w:val="bottom"/>
          </w:tcPr>
          <w:p w14:paraId="73DFAFF9" w14:textId="77777777" w:rsidR="00037128" w:rsidRPr="00BE5613" w:rsidRDefault="00037128"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676ED1F9" w14:textId="77777777" w:rsidR="00037128" w:rsidRPr="00BE5613" w:rsidRDefault="00037128" w:rsidP="003D4C06">
            <w:pPr>
              <w:jc w:val="center"/>
              <w:rPr>
                <w:sz w:val="22"/>
                <w:szCs w:val="22"/>
              </w:rPr>
            </w:pPr>
            <w:r w:rsidRPr="00BE5613">
              <w:rPr>
                <w:sz w:val="22"/>
                <w:szCs w:val="22"/>
              </w:rPr>
              <w:t>0.135</w:t>
            </w:r>
          </w:p>
        </w:tc>
        <w:tc>
          <w:tcPr>
            <w:tcW w:w="960" w:type="dxa"/>
            <w:shd w:val="clear" w:color="auto" w:fill="FFFFFF"/>
            <w:vAlign w:val="bottom"/>
          </w:tcPr>
          <w:p w14:paraId="217A3AAA" w14:textId="77777777" w:rsidR="00037128" w:rsidRPr="00BE5613" w:rsidRDefault="00037128" w:rsidP="003D4C06">
            <w:pPr>
              <w:jc w:val="center"/>
              <w:rPr>
                <w:sz w:val="22"/>
                <w:szCs w:val="22"/>
              </w:rPr>
            </w:pPr>
            <w:r w:rsidRPr="00BE5613">
              <w:rPr>
                <w:sz w:val="22"/>
                <w:szCs w:val="22"/>
              </w:rPr>
              <w:t>0.427</w:t>
            </w:r>
          </w:p>
        </w:tc>
        <w:tc>
          <w:tcPr>
            <w:tcW w:w="960" w:type="dxa"/>
            <w:tcBorders>
              <w:right w:val="single" w:sz="4" w:space="0" w:color="auto"/>
            </w:tcBorders>
            <w:shd w:val="clear" w:color="auto" w:fill="FFFFFF"/>
            <w:vAlign w:val="bottom"/>
          </w:tcPr>
          <w:p w14:paraId="6929533D" w14:textId="77777777" w:rsidR="00037128" w:rsidRPr="00BE5613" w:rsidRDefault="00037128" w:rsidP="003D4C06">
            <w:pPr>
              <w:jc w:val="center"/>
              <w:rPr>
                <w:sz w:val="22"/>
                <w:szCs w:val="22"/>
              </w:rPr>
            </w:pPr>
            <w:r w:rsidRPr="00BE5613">
              <w:rPr>
                <w:sz w:val="22"/>
                <w:szCs w:val="22"/>
              </w:rPr>
              <w:t>0.065</w:t>
            </w:r>
          </w:p>
        </w:tc>
        <w:tc>
          <w:tcPr>
            <w:tcW w:w="960" w:type="dxa"/>
            <w:tcBorders>
              <w:left w:val="single" w:sz="4" w:space="0" w:color="auto"/>
            </w:tcBorders>
            <w:shd w:val="clear" w:color="auto" w:fill="FFFFFF"/>
            <w:vAlign w:val="bottom"/>
          </w:tcPr>
          <w:p w14:paraId="716B2FF0" w14:textId="77777777" w:rsidR="00037128" w:rsidRPr="00BE5613" w:rsidRDefault="00037128" w:rsidP="003D4C06">
            <w:pPr>
              <w:jc w:val="center"/>
              <w:rPr>
                <w:sz w:val="22"/>
                <w:szCs w:val="22"/>
              </w:rPr>
            </w:pPr>
            <w:r w:rsidRPr="00BE5613">
              <w:rPr>
                <w:sz w:val="22"/>
                <w:szCs w:val="22"/>
              </w:rPr>
              <w:t>0.176</w:t>
            </w:r>
          </w:p>
        </w:tc>
        <w:tc>
          <w:tcPr>
            <w:tcW w:w="960" w:type="dxa"/>
            <w:shd w:val="clear" w:color="auto" w:fill="FFFFFF"/>
            <w:vAlign w:val="bottom"/>
          </w:tcPr>
          <w:p w14:paraId="381AEFCB" w14:textId="77777777" w:rsidR="00037128" w:rsidRPr="00BE5613" w:rsidRDefault="00037128" w:rsidP="003D4C06">
            <w:pPr>
              <w:jc w:val="center"/>
              <w:rPr>
                <w:sz w:val="22"/>
                <w:szCs w:val="22"/>
              </w:rPr>
            </w:pPr>
            <w:r w:rsidRPr="00BE5613">
              <w:rPr>
                <w:sz w:val="22"/>
                <w:szCs w:val="22"/>
              </w:rPr>
              <w:t>0.452</w:t>
            </w:r>
          </w:p>
        </w:tc>
        <w:tc>
          <w:tcPr>
            <w:tcW w:w="960" w:type="dxa"/>
            <w:tcBorders>
              <w:right w:val="single" w:sz="4" w:space="0" w:color="auto"/>
            </w:tcBorders>
            <w:shd w:val="clear" w:color="auto" w:fill="FFFFFF"/>
            <w:vAlign w:val="bottom"/>
          </w:tcPr>
          <w:p w14:paraId="7C6DFDE8" w14:textId="77777777" w:rsidR="00037128" w:rsidRPr="00BE5613" w:rsidRDefault="00037128" w:rsidP="003D4C06">
            <w:pPr>
              <w:jc w:val="center"/>
              <w:rPr>
                <w:sz w:val="22"/>
                <w:szCs w:val="22"/>
              </w:rPr>
            </w:pPr>
            <w:r w:rsidRPr="00BE5613">
              <w:rPr>
                <w:sz w:val="22"/>
                <w:szCs w:val="22"/>
              </w:rPr>
              <w:t>-0.001</w:t>
            </w:r>
          </w:p>
        </w:tc>
        <w:tc>
          <w:tcPr>
            <w:tcW w:w="960" w:type="dxa"/>
            <w:tcBorders>
              <w:left w:val="single" w:sz="4" w:space="0" w:color="auto"/>
            </w:tcBorders>
            <w:shd w:val="clear" w:color="auto" w:fill="FFFFFF"/>
            <w:vAlign w:val="bottom"/>
          </w:tcPr>
          <w:p w14:paraId="22B2B235" w14:textId="77777777" w:rsidR="00037128" w:rsidRPr="00BE5613" w:rsidRDefault="00037128" w:rsidP="003D4C06">
            <w:pPr>
              <w:jc w:val="center"/>
              <w:rPr>
                <w:sz w:val="22"/>
                <w:szCs w:val="22"/>
              </w:rPr>
            </w:pPr>
            <w:r w:rsidRPr="00BE5613">
              <w:rPr>
                <w:sz w:val="22"/>
                <w:szCs w:val="22"/>
              </w:rPr>
              <w:t>0.301</w:t>
            </w:r>
            <w:r w:rsidRPr="00BE5613">
              <w:rPr>
                <w:sz w:val="22"/>
                <w:szCs w:val="22"/>
                <w:vertAlign w:val="superscript"/>
              </w:rPr>
              <w:t>(+1)</w:t>
            </w:r>
          </w:p>
        </w:tc>
        <w:tc>
          <w:tcPr>
            <w:tcW w:w="961" w:type="dxa"/>
            <w:shd w:val="clear" w:color="auto" w:fill="FFFFFF"/>
            <w:vAlign w:val="bottom"/>
          </w:tcPr>
          <w:p w14:paraId="3C6B57B9" w14:textId="77777777" w:rsidR="00037128" w:rsidRPr="00BE5613" w:rsidRDefault="00037128" w:rsidP="003D4C06">
            <w:pPr>
              <w:jc w:val="center"/>
              <w:rPr>
                <w:sz w:val="22"/>
                <w:szCs w:val="22"/>
              </w:rPr>
            </w:pPr>
            <w:r w:rsidRPr="00BE5613">
              <w:rPr>
                <w:sz w:val="22"/>
                <w:szCs w:val="22"/>
              </w:rPr>
              <w:t>0.804</w:t>
            </w:r>
            <w:r w:rsidRPr="00BE5613">
              <w:rPr>
                <w:sz w:val="22"/>
                <w:szCs w:val="22"/>
                <w:vertAlign w:val="superscript"/>
              </w:rPr>
              <w:t>(+1)</w:t>
            </w:r>
          </w:p>
        </w:tc>
        <w:tc>
          <w:tcPr>
            <w:tcW w:w="961" w:type="dxa"/>
            <w:tcBorders>
              <w:right w:val="single" w:sz="4" w:space="0" w:color="auto"/>
            </w:tcBorders>
            <w:shd w:val="clear" w:color="auto" w:fill="FFFFFF"/>
            <w:vAlign w:val="bottom"/>
          </w:tcPr>
          <w:p w14:paraId="7D111E15" w14:textId="77777777" w:rsidR="00037128" w:rsidRPr="00BE5613" w:rsidRDefault="00037128" w:rsidP="003D4C06">
            <w:pPr>
              <w:jc w:val="center"/>
              <w:rPr>
                <w:sz w:val="22"/>
                <w:szCs w:val="22"/>
              </w:rPr>
            </w:pPr>
            <w:r w:rsidRPr="00BE5613">
              <w:rPr>
                <w:sz w:val="22"/>
                <w:szCs w:val="22"/>
              </w:rPr>
              <w:t>0.308</w:t>
            </w:r>
          </w:p>
        </w:tc>
        <w:tc>
          <w:tcPr>
            <w:tcW w:w="961" w:type="dxa"/>
            <w:tcBorders>
              <w:left w:val="single" w:sz="4" w:space="0" w:color="auto"/>
            </w:tcBorders>
            <w:shd w:val="clear" w:color="auto" w:fill="FFFFFF"/>
            <w:vAlign w:val="bottom"/>
          </w:tcPr>
          <w:p w14:paraId="14BC0F95" w14:textId="77777777" w:rsidR="00037128" w:rsidRPr="00BE5613" w:rsidRDefault="00037128" w:rsidP="003D4C06">
            <w:pPr>
              <w:jc w:val="center"/>
              <w:rPr>
                <w:sz w:val="22"/>
                <w:szCs w:val="22"/>
              </w:rPr>
            </w:pPr>
            <w:r w:rsidRPr="00BE5613">
              <w:rPr>
                <w:sz w:val="22"/>
                <w:szCs w:val="22"/>
              </w:rPr>
              <w:t>0.314</w:t>
            </w:r>
          </w:p>
        </w:tc>
        <w:tc>
          <w:tcPr>
            <w:tcW w:w="961" w:type="dxa"/>
            <w:shd w:val="clear" w:color="auto" w:fill="FFFFFF"/>
            <w:vAlign w:val="bottom"/>
          </w:tcPr>
          <w:p w14:paraId="0DAE75AA" w14:textId="77777777" w:rsidR="00037128" w:rsidRPr="00BE5613" w:rsidRDefault="00037128" w:rsidP="003D4C06">
            <w:pPr>
              <w:jc w:val="center"/>
              <w:rPr>
                <w:sz w:val="22"/>
                <w:szCs w:val="22"/>
              </w:rPr>
            </w:pPr>
            <w:r w:rsidRPr="00BE5613">
              <w:rPr>
                <w:sz w:val="22"/>
                <w:szCs w:val="22"/>
              </w:rPr>
              <w:t>1.000</w:t>
            </w:r>
          </w:p>
        </w:tc>
        <w:tc>
          <w:tcPr>
            <w:tcW w:w="961" w:type="dxa"/>
            <w:tcBorders>
              <w:right w:val="single" w:sz="4" w:space="0" w:color="auto"/>
            </w:tcBorders>
            <w:shd w:val="clear" w:color="auto" w:fill="FFFFFF"/>
            <w:vAlign w:val="bottom"/>
          </w:tcPr>
          <w:p w14:paraId="78E4A683" w14:textId="77777777" w:rsidR="00037128" w:rsidRPr="00BE5613" w:rsidRDefault="00037128" w:rsidP="003D4C06">
            <w:pPr>
              <w:jc w:val="center"/>
              <w:rPr>
                <w:sz w:val="22"/>
                <w:szCs w:val="22"/>
              </w:rPr>
            </w:pPr>
          </w:p>
        </w:tc>
      </w:tr>
      <w:tr w:rsidR="00037128" w:rsidRPr="00BE5613" w14:paraId="5C7E6049"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62730B51" w14:textId="77777777" w:rsidR="00037128" w:rsidRPr="00BE5613" w:rsidRDefault="00037128"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72861DD4" w14:textId="77777777" w:rsidR="00037128" w:rsidRPr="00BE5613" w:rsidRDefault="00037128"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1E335470" w14:textId="77777777" w:rsidR="00037128" w:rsidRPr="00BE5613" w:rsidRDefault="00037128" w:rsidP="003D4C06">
            <w:pPr>
              <w:jc w:val="center"/>
              <w:rPr>
                <w:sz w:val="22"/>
                <w:szCs w:val="22"/>
              </w:rPr>
            </w:pPr>
            <w:r w:rsidRPr="00BE5613">
              <w:rPr>
                <w:sz w:val="22"/>
                <w:szCs w:val="22"/>
              </w:rPr>
              <w:t>-0.094</w:t>
            </w:r>
          </w:p>
        </w:tc>
        <w:tc>
          <w:tcPr>
            <w:tcW w:w="960" w:type="dxa"/>
            <w:tcBorders>
              <w:bottom w:val="single" w:sz="4" w:space="0" w:color="auto"/>
            </w:tcBorders>
            <w:shd w:val="clear" w:color="auto" w:fill="FFFFFF"/>
            <w:vAlign w:val="bottom"/>
          </w:tcPr>
          <w:p w14:paraId="323B216F" w14:textId="77777777" w:rsidR="00037128" w:rsidRPr="00BE5613" w:rsidRDefault="00037128" w:rsidP="003D4C06">
            <w:pPr>
              <w:jc w:val="center"/>
              <w:rPr>
                <w:sz w:val="22"/>
                <w:szCs w:val="22"/>
              </w:rPr>
            </w:pPr>
            <w:r w:rsidRPr="00BE5613">
              <w:rPr>
                <w:sz w:val="22"/>
                <w:szCs w:val="22"/>
              </w:rPr>
              <w:t>0.267</w:t>
            </w:r>
          </w:p>
        </w:tc>
        <w:tc>
          <w:tcPr>
            <w:tcW w:w="960" w:type="dxa"/>
            <w:tcBorders>
              <w:bottom w:val="single" w:sz="4" w:space="0" w:color="auto"/>
              <w:right w:val="single" w:sz="4" w:space="0" w:color="auto"/>
            </w:tcBorders>
            <w:shd w:val="clear" w:color="auto" w:fill="FFFFFF"/>
            <w:vAlign w:val="bottom"/>
          </w:tcPr>
          <w:p w14:paraId="217E6383" w14:textId="77777777" w:rsidR="00037128" w:rsidRPr="00BE5613" w:rsidRDefault="00037128" w:rsidP="003D4C06">
            <w:pPr>
              <w:jc w:val="center"/>
              <w:rPr>
                <w:sz w:val="22"/>
                <w:szCs w:val="22"/>
              </w:rPr>
            </w:pPr>
            <w:r w:rsidRPr="00BE5613">
              <w:rPr>
                <w:sz w:val="22"/>
                <w:szCs w:val="22"/>
              </w:rPr>
              <w:t>0.249</w:t>
            </w:r>
          </w:p>
        </w:tc>
        <w:tc>
          <w:tcPr>
            <w:tcW w:w="960" w:type="dxa"/>
            <w:tcBorders>
              <w:left w:val="single" w:sz="4" w:space="0" w:color="auto"/>
              <w:bottom w:val="single" w:sz="4" w:space="0" w:color="auto"/>
            </w:tcBorders>
            <w:shd w:val="clear" w:color="auto" w:fill="FFFFFF"/>
            <w:vAlign w:val="bottom"/>
          </w:tcPr>
          <w:p w14:paraId="08BC574F" w14:textId="77777777" w:rsidR="00037128" w:rsidRPr="00BE5613" w:rsidRDefault="00037128" w:rsidP="003D4C06">
            <w:pPr>
              <w:jc w:val="center"/>
              <w:rPr>
                <w:sz w:val="22"/>
                <w:szCs w:val="22"/>
              </w:rPr>
            </w:pPr>
            <w:r w:rsidRPr="00BE5613">
              <w:rPr>
                <w:sz w:val="22"/>
                <w:szCs w:val="22"/>
              </w:rPr>
              <w:t>-0.213</w:t>
            </w:r>
            <w:r w:rsidRPr="00BE5613">
              <w:rPr>
                <w:sz w:val="22"/>
                <w:szCs w:val="22"/>
                <w:vertAlign w:val="superscript"/>
              </w:rPr>
              <w:t>(+1)</w:t>
            </w:r>
          </w:p>
        </w:tc>
        <w:tc>
          <w:tcPr>
            <w:tcW w:w="960" w:type="dxa"/>
            <w:tcBorders>
              <w:bottom w:val="single" w:sz="4" w:space="0" w:color="auto"/>
            </w:tcBorders>
            <w:shd w:val="clear" w:color="auto" w:fill="FFFFFF"/>
            <w:vAlign w:val="bottom"/>
          </w:tcPr>
          <w:p w14:paraId="3C6E2673" w14:textId="77777777" w:rsidR="00037128" w:rsidRPr="00BE5613" w:rsidRDefault="00037128" w:rsidP="003D4C06">
            <w:pPr>
              <w:jc w:val="center"/>
              <w:rPr>
                <w:sz w:val="22"/>
                <w:szCs w:val="22"/>
              </w:rPr>
            </w:pPr>
            <w:r w:rsidRPr="00BE5613">
              <w:rPr>
                <w:sz w:val="22"/>
                <w:szCs w:val="22"/>
              </w:rPr>
              <w:t>0.290</w:t>
            </w:r>
            <w:r w:rsidRPr="00BE5613">
              <w:rPr>
                <w:sz w:val="22"/>
                <w:szCs w:val="22"/>
                <w:vertAlign w:val="superscript"/>
              </w:rPr>
              <w:t>(–2)</w:t>
            </w:r>
          </w:p>
        </w:tc>
        <w:tc>
          <w:tcPr>
            <w:tcW w:w="960" w:type="dxa"/>
            <w:tcBorders>
              <w:bottom w:val="single" w:sz="4" w:space="0" w:color="auto"/>
              <w:right w:val="single" w:sz="4" w:space="0" w:color="auto"/>
            </w:tcBorders>
            <w:shd w:val="clear" w:color="auto" w:fill="FFFFFF"/>
            <w:vAlign w:val="bottom"/>
          </w:tcPr>
          <w:p w14:paraId="68C5DED2" w14:textId="77777777" w:rsidR="00037128" w:rsidRPr="00BE5613" w:rsidRDefault="00037128" w:rsidP="003D4C06">
            <w:pPr>
              <w:jc w:val="center"/>
              <w:rPr>
                <w:sz w:val="22"/>
                <w:szCs w:val="22"/>
              </w:rPr>
            </w:pPr>
            <w:r w:rsidRPr="00BE5613">
              <w:rPr>
                <w:sz w:val="22"/>
                <w:szCs w:val="22"/>
              </w:rPr>
              <w:t>0.341</w:t>
            </w:r>
            <w:r w:rsidRPr="00BE5613">
              <w:rPr>
                <w:sz w:val="22"/>
                <w:szCs w:val="22"/>
                <w:vertAlign w:val="superscript"/>
              </w:rPr>
              <w:t>(–3)</w:t>
            </w:r>
          </w:p>
        </w:tc>
        <w:tc>
          <w:tcPr>
            <w:tcW w:w="960" w:type="dxa"/>
            <w:tcBorders>
              <w:left w:val="single" w:sz="4" w:space="0" w:color="auto"/>
              <w:bottom w:val="single" w:sz="4" w:space="0" w:color="auto"/>
            </w:tcBorders>
            <w:shd w:val="clear" w:color="auto" w:fill="FFFFFF"/>
            <w:vAlign w:val="bottom"/>
          </w:tcPr>
          <w:p w14:paraId="0A01FE5A" w14:textId="77777777" w:rsidR="00037128" w:rsidRPr="00BE5613" w:rsidRDefault="00037128" w:rsidP="003D4C06">
            <w:pPr>
              <w:jc w:val="center"/>
              <w:rPr>
                <w:sz w:val="22"/>
                <w:szCs w:val="22"/>
              </w:rPr>
            </w:pPr>
            <w:r w:rsidRPr="00BE5613">
              <w:rPr>
                <w:sz w:val="22"/>
                <w:szCs w:val="22"/>
              </w:rPr>
              <w:t>-0.653</w:t>
            </w:r>
            <w:r w:rsidRPr="00BE5613">
              <w:rPr>
                <w:sz w:val="22"/>
                <w:szCs w:val="22"/>
                <w:vertAlign w:val="superscript"/>
              </w:rPr>
              <w:t>(+4)</w:t>
            </w:r>
          </w:p>
        </w:tc>
        <w:tc>
          <w:tcPr>
            <w:tcW w:w="961" w:type="dxa"/>
            <w:tcBorders>
              <w:bottom w:val="single" w:sz="4" w:space="0" w:color="auto"/>
            </w:tcBorders>
            <w:shd w:val="clear" w:color="auto" w:fill="FFFFFF"/>
            <w:vAlign w:val="bottom"/>
          </w:tcPr>
          <w:p w14:paraId="098770EE" w14:textId="77777777" w:rsidR="00037128" w:rsidRPr="00BE5613" w:rsidRDefault="00037128" w:rsidP="003D4C06">
            <w:pPr>
              <w:jc w:val="center"/>
              <w:rPr>
                <w:sz w:val="22"/>
                <w:szCs w:val="22"/>
              </w:rPr>
            </w:pPr>
            <w:r w:rsidRPr="00BE5613">
              <w:rPr>
                <w:sz w:val="22"/>
                <w:szCs w:val="22"/>
              </w:rPr>
              <w:t>0.298</w:t>
            </w:r>
            <w:r w:rsidRPr="00BE5613">
              <w:rPr>
                <w:sz w:val="22"/>
                <w:szCs w:val="22"/>
                <w:vertAlign w:val="superscript"/>
              </w:rPr>
              <w:t>(–2)</w:t>
            </w:r>
          </w:p>
        </w:tc>
        <w:tc>
          <w:tcPr>
            <w:tcW w:w="961" w:type="dxa"/>
            <w:tcBorders>
              <w:bottom w:val="single" w:sz="4" w:space="0" w:color="auto"/>
              <w:right w:val="single" w:sz="4" w:space="0" w:color="auto"/>
            </w:tcBorders>
            <w:shd w:val="clear" w:color="auto" w:fill="FFFFFF"/>
            <w:vAlign w:val="bottom"/>
          </w:tcPr>
          <w:p w14:paraId="2C0410B6" w14:textId="77777777" w:rsidR="00037128" w:rsidRPr="00BE5613" w:rsidRDefault="00037128" w:rsidP="003D4C06">
            <w:pPr>
              <w:jc w:val="center"/>
              <w:rPr>
                <w:sz w:val="22"/>
                <w:szCs w:val="22"/>
              </w:rPr>
            </w:pPr>
            <w:r w:rsidRPr="00BE5613">
              <w:rPr>
                <w:sz w:val="22"/>
                <w:szCs w:val="22"/>
              </w:rPr>
              <w:t>0.947</w:t>
            </w:r>
          </w:p>
        </w:tc>
        <w:tc>
          <w:tcPr>
            <w:tcW w:w="961" w:type="dxa"/>
            <w:tcBorders>
              <w:left w:val="single" w:sz="4" w:space="0" w:color="auto"/>
              <w:bottom w:val="single" w:sz="4" w:space="0" w:color="auto"/>
            </w:tcBorders>
            <w:shd w:val="clear" w:color="auto" w:fill="FFFFFF"/>
            <w:vAlign w:val="bottom"/>
          </w:tcPr>
          <w:p w14:paraId="3301DD13" w14:textId="77777777" w:rsidR="00037128" w:rsidRPr="00BE5613" w:rsidRDefault="00037128" w:rsidP="003D4C06">
            <w:pPr>
              <w:jc w:val="center"/>
              <w:rPr>
                <w:sz w:val="22"/>
                <w:szCs w:val="22"/>
              </w:rPr>
            </w:pPr>
            <w:r w:rsidRPr="00BE5613">
              <w:rPr>
                <w:sz w:val="22"/>
                <w:szCs w:val="22"/>
              </w:rPr>
              <w:t>-0.674</w:t>
            </w:r>
            <w:r w:rsidRPr="00BE5613">
              <w:rPr>
                <w:sz w:val="22"/>
                <w:szCs w:val="22"/>
                <w:vertAlign w:val="superscript"/>
              </w:rPr>
              <w:t>(+4)</w:t>
            </w:r>
          </w:p>
        </w:tc>
        <w:tc>
          <w:tcPr>
            <w:tcW w:w="961" w:type="dxa"/>
            <w:tcBorders>
              <w:bottom w:val="single" w:sz="4" w:space="0" w:color="auto"/>
            </w:tcBorders>
            <w:shd w:val="clear" w:color="auto" w:fill="FFFFFF"/>
            <w:vAlign w:val="bottom"/>
          </w:tcPr>
          <w:p w14:paraId="698AFC43" w14:textId="77777777" w:rsidR="00037128" w:rsidRPr="00BE5613" w:rsidRDefault="00037128" w:rsidP="003D4C06">
            <w:pPr>
              <w:jc w:val="center"/>
              <w:rPr>
                <w:sz w:val="22"/>
                <w:szCs w:val="22"/>
              </w:rPr>
            </w:pPr>
            <w:r w:rsidRPr="00BE5613">
              <w:rPr>
                <w:sz w:val="22"/>
                <w:szCs w:val="22"/>
              </w:rPr>
              <w:t>0.353</w:t>
            </w:r>
            <w:r w:rsidRPr="00BE5613">
              <w:rPr>
                <w:sz w:val="22"/>
                <w:szCs w:val="22"/>
                <w:vertAlign w:val="superscript"/>
              </w:rPr>
              <w:t>(–2)</w:t>
            </w:r>
          </w:p>
        </w:tc>
        <w:tc>
          <w:tcPr>
            <w:tcW w:w="961" w:type="dxa"/>
            <w:tcBorders>
              <w:bottom w:val="single" w:sz="4" w:space="0" w:color="auto"/>
              <w:right w:val="single" w:sz="4" w:space="0" w:color="auto"/>
            </w:tcBorders>
            <w:shd w:val="clear" w:color="auto" w:fill="FFFFFF"/>
            <w:vAlign w:val="bottom"/>
          </w:tcPr>
          <w:p w14:paraId="13FC98CB" w14:textId="77777777" w:rsidR="00037128" w:rsidRPr="00BE5613" w:rsidRDefault="00037128" w:rsidP="003D4C06">
            <w:pPr>
              <w:jc w:val="center"/>
              <w:rPr>
                <w:sz w:val="22"/>
                <w:szCs w:val="22"/>
              </w:rPr>
            </w:pPr>
            <w:r w:rsidRPr="00BE5613">
              <w:rPr>
                <w:sz w:val="22"/>
                <w:szCs w:val="22"/>
              </w:rPr>
              <w:t>1.000</w:t>
            </w:r>
          </w:p>
        </w:tc>
      </w:tr>
    </w:tbl>
    <w:p w14:paraId="7740C7BA" w14:textId="77777777" w:rsidR="00CA2553" w:rsidRPr="00BE5613" w:rsidRDefault="00CA2553" w:rsidP="00CA2553">
      <w:pPr>
        <w:jc w:val="both"/>
        <w:rPr>
          <w:strike/>
          <w:sz w:val="20"/>
          <w:szCs w:val="20"/>
        </w:rPr>
      </w:pPr>
      <w:r w:rsidRPr="00BE5613">
        <w:rPr>
          <w:sz w:val="20"/>
          <w:szCs w:val="20"/>
        </w:rPr>
        <w:t>Notes: U score and C score represent unconditional and conditional score, respectively; whilst UTC ratio is the unconditional-to-conditional-score ratio. Superscripts combining +/– with a figure going from 1 to 5 highlight cases where Spearman correlation is greater (+) or lower (–) than Pearson correlation and the adjacent figure shows the magnitude of the absolute difference in the range from 0.100 to 0.199 at most (labelled by 1), from 0.200 to 0.299 at most (labelled by 2), etc., from 0.500 to 0.599 at most (labelled by 5).</w:t>
      </w:r>
    </w:p>
    <w:p w14:paraId="0B3B2A67" w14:textId="77777777" w:rsidR="00CA2553" w:rsidRPr="00BE5613" w:rsidRDefault="00CA2553" w:rsidP="00CA2553">
      <w:pPr>
        <w:jc w:val="both"/>
        <w:rPr>
          <w:sz w:val="20"/>
          <w:szCs w:val="20"/>
        </w:rPr>
      </w:pPr>
    </w:p>
    <w:p w14:paraId="77D66065" w14:textId="77777777" w:rsidR="009E2E5F" w:rsidRPr="00BE5613" w:rsidRDefault="009E2E5F" w:rsidP="00CA2553">
      <w:pPr>
        <w:jc w:val="both"/>
        <w:rPr>
          <w:sz w:val="20"/>
          <w:szCs w:val="20"/>
        </w:rPr>
      </w:pPr>
    </w:p>
    <w:p w14:paraId="763CFE9F" w14:textId="77777777" w:rsidR="00CA2553" w:rsidRPr="00BE5613" w:rsidRDefault="00CA2553" w:rsidP="00CA2553">
      <w:pPr>
        <w:jc w:val="both"/>
        <w:rPr>
          <w:sz w:val="20"/>
          <w:szCs w:val="20"/>
        </w:rPr>
      </w:pPr>
    </w:p>
    <w:p w14:paraId="1D010463" w14:textId="77777777" w:rsidR="00CA2553" w:rsidRPr="00BE5613" w:rsidRDefault="00CA2553" w:rsidP="00CA2553">
      <w:pPr>
        <w:jc w:val="both"/>
      </w:pPr>
      <w:r w:rsidRPr="00BE5613">
        <w:br w:type="page"/>
      </w:r>
      <w:r w:rsidRPr="00BE5613">
        <w:lastRenderedPageBreak/>
        <w:t xml:space="preserve">Spearman correlations between unconditional and conditional scores and UTC ratios yielded by different input-output specifications under partial frontiers (for </w:t>
      </w:r>
      <w:r w:rsidRPr="00BE5613">
        <w:rPr>
          <w:i/>
        </w:rPr>
        <w:t>m</w:t>
      </w:r>
      <w:r w:rsidRPr="00BE5613">
        <w:t xml:space="preserve"> = 150)</w:t>
      </w:r>
    </w:p>
    <w:tbl>
      <w:tblPr>
        <w:tblW w:w="13988" w:type="dxa"/>
        <w:jc w:val="right"/>
        <w:shd w:val="clear" w:color="auto" w:fill="FFFFFF"/>
        <w:tblLayout w:type="fixed"/>
        <w:tblCellMar>
          <w:left w:w="28" w:type="dxa"/>
          <w:right w:w="28" w:type="dxa"/>
        </w:tblCellMar>
        <w:tblLook w:val="01E0" w:firstRow="1" w:lastRow="1" w:firstColumn="1" w:lastColumn="1" w:noHBand="0" w:noVBand="0"/>
      </w:tblPr>
      <w:tblGrid>
        <w:gridCol w:w="1219"/>
        <w:gridCol w:w="1244"/>
        <w:gridCol w:w="960"/>
        <w:gridCol w:w="960"/>
        <w:gridCol w:w="960"/>
        <w:gridCol w:w="960"/>
        <w:gridCol w:w="960"/>
        <w:gridCol w:w="960"/>
        <w:gridCol w:w="960"/>
        <w:gridCol w:w="961"/>
        <w:gridCol w:w="961"/>
        <w:gridCol w:w="961"/>
        <w:gridCol w:w="961"/>
        <w:gridCol w:w="961"/>
      </w:tblGrid>
      <w:tr w:rsidR="00CA2553" w:rsidRPr="00BE5613" w14:paraId="086857CB" w14:textId="77777777">
        <w:trPr>
          <w:trHeight w:val="41"/>
          <w:jc w:val="right"/>
        </w:trPr>
        <w:tc>
          <w:tcPr>
            <w:tcW w:w="2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120FB9" w14:textId="77777777" w:rsidR="00CA2553" w:rsidRPr="00BE5613" w:rsidRDefault="00CA2553" w:rsidP="003D4C06">
            <w:pPr>
              <w:jc w:val="center"/>
              <w:rPr>
                <w:sz w:val="22"/>
                <w:szCs w:val="22"/>
              </w:rPr>
            </w:pPr>
            <w:r w:rsidRPr="00BE5613">
              <w:rPr>
                <w:sz w:val="22"/>
                <w:szCs w:val="22"/>
              </w:rPr>
              <w:t>Type of scores</w:t>
            </w:r>
          </w:p>
        </w:tc>
        <w:tc>
          <w:tcPr>
            <w:tcW w:w="2880" w:type="dxa"/>
            <w:gridSpan w:val="3"/>
            <w:tcBorders>
              <w:top w:val="single" w:sz="4" w:space="0" w:color="auto"/>
              <w:left w:val="single" w:sz="4" w:space="0" w:color="auto"/>
              <w:right w:val="single" w:sz="4" w:space="0" w:color="auto"/>
            </w:tcBorders>
            <w:shd w:val="clear" w:color="auto" w:fill="FFFFFF"/>
            <w:vAlign w:val="bottom"/>
          </w:tcPr>
          <w:p w14:paraId="0EF20A2C" w14:textId="77777777" w:rsidR="00CA2553" w:rsidRPr="00BE5613" w:rsidRDefault="00CA2553" w:rsidP="003D4C06">
            <w:pPr>
              <w:jc w:val="center"/>
              <w:rPr>
                <w:sz w:val="22"/>
                <w:szCs w:val="22"/>
              </w:rPr>
            </w:pPr>
            <w:r w:rsidRPr="00BE5613">
              <w:rPr>
                <w:sz w:val="22"/>
                <w:szCs w:val="22"/>
              </w:rPr>
              <w:t>Model I</w:t>
            </w:r>
          </w:p>
        </w:tc>
        <w:tc>
          <w:tcPr>
            <w:tcW w:w="2880" w:type="dxa"/>
            <w:gridSpan w:val="3"/>
            <w:tcBorders>
              <w:top w:val="single" w:sz="4" w:space="0" w:color="auto"/>
              <w:left w:val="single" w:sz="4" w:space="0" w:color="auto"/>
              <w:right w:val="single" w:sz="4" w:space="0" w:color="auto"/>
            </w:tcBorders>
            <w:shd w:val="clear" w:color="auto" w:fill="FFFFFF"/>
            <w:vAlign w:val="bottom"/>
          </w:tcPr>
          <w:p w14:paraId="767CE4EA" w14:textId="77777777" w:rsidR="00CA2553" w:rsidRPr="00BE5613" w:rsidRDefault="00CA2553" w:rsidP="003D4C06">
            <w:pPr>
              <w:jc w:val="center"/>
              <w:rPr>
                <w:sz w:val="22"/>
                <w:szCs w:val="22"/>
              </w:rPr>
            </w:pPr>
            <w:r w:rsidRPr="00BE5613">
              <w:rPr>
                <w:sz w:val="22"/>
                <w:szCs w:val="22"/>
              </w:rPr>
              <w:t>Model II</w:t>
            </w:r>
          </w:p>
        </w:tc>
        <w:tc>
          <w:tcPr>
            <w:tcW w:w="2882" w:type="dxa"/>
            <w:gridSpan w:val="3"/>
            <w:tcBorders>
              <w:top w:val="single" w:sz="4" w:space="0" w:color="auto"/>
              <w:left w:val="single" w:sz="4" w:space="0" w:color="auto"/>
              <w:right w:val="single" w:sz="4" w:space="0" w:color="auto"/>
            </w:tcBorders>
            <w:shd w:val="clear" w:color="auto" w:fill="FFFFFF"/>
            <w:vAlign w:val="bottom"/>
          </w:tcPr>
          <w:p w14:paraId="3066E849" w14:textId="77777777" w:rsidR="00CA2553" w:rsidRPr="00BE5613" w:rsidRDefault="00CA2553" w:rsidP="003D4C06">
            <w:pPr>
              <w:jc w:val="center"/>
              <w:rPr>
                <w:sz w:val="22"/>
                <w:szCs w:val="22"/>
              </w:rPr>
            </w:pPr>
            <w:r w:rsidRPr="00BE5613">
              <w:rPr>
                <w:sz w:val="22"/>
                <w:szCs w:val="22"/>
              </w:rPr>
              <w:t>Model III</w:t>
            </w:r>
          </w:p>
        </w:tc>
        <w:tc>
          <w:tcPr>
            <w:tcW w:w="2883" w:type="dxa"/>
            <w:gridSpan w:val="3"/>
            <w:tcBorders>
              <w:top w:val="single" w:sz="4" w:space="0" w:color="auto"/>
              <w:left w:val="single" w:sz="4" w:space="0" w:color="auto"/>
              <w:right w:val="single" w:sz="4" w:space="0" w:color="auto"/>
            </w:tcBorders>
            <w:shd w:val="clear" w:color="auto" w:fill="FFFFFF"/>
            <w:vAlign w:val="bottom"/>
          </w:tcPr>
          <w:p w14:paraId="76E9F4FC" w14:textId="77777777" w:rsidR="00CA2553" w:rsidRPr="00BE5613" w:rsidRDefault="00CA2553" w:rsidP="003D4C06">
            <w:pPr>
              <w:jc w:val="center"/>
              <w:rPr>
                <w:sz w:val="22"/>
                <w:szCs w:val="22"/>
              </w:rPr>
            </w:pPr>
            <w:r w:rsidRPr="00BE5613">
              <w:rPr>
                <w:sz w:val="22"/>
                <w:szCs w:val="22"/>
              </w:rPr>
              <w:t>Model IV</w:t>
            </w:r>
          </w:p>
        </w:tc>
      </w:tr>
      <w:tr w:rsidR="00CA2553" w:rsidRPr="00BE5613" w14:paraId="39D5DBB5" w14:textId="77777777">
        <w:trPr>
          <w:trHeight w:val="41"/>
          <w:jc w:val="right"/>
        </w:trPr>
        <w:tc>
          <w:tcPr>
            <w:tcW w:w="2463" w:type="dxa"/>
            <w:gridSpan w:val="2"/>
            <w:vMerge/>
            <w:tcBorders>
              <w:left w:val="single" w:sz="4" w:space="0" w:color="auto"/>
              <w:bottom w:val="single" w:sz="4" w:space="0" w:color="auto"/>
              <w:right w:val="single" w:sz="4" w:space="0" w:color="auto"/>
            </w:tcBorders>
            <w:shd w:val="clear" w:color="auto" w:fill="FFFFFF"/>
            <w:vAlign w:val="center"/>
          </w:tcPr>
          <w:p w14:paraId="25FCBE1F" w14:textId="77777777" w:rsidR="00CA2553" w:rsidRPr="00BE5613" w:rsidRDefault="00CA2553" w:rsidP="003D4C06">
            <w:pPr>
              <w:jc w:val="center"/>
              <w:rPr>
                <w:b/>
                <w:sz w:val="22"/>
                <w:szCs w:val="22"/>
              </w:rPr>
            </w:pPr>
          </w:p>
        </w:tc>
        <w:tc>
          <w:tcPr>
            <w:tcW w:w="960" w:type="dxa"/>
            <w:tcBorders>
              <w:left w:val="single" w:sz="4" w:space="0" w:color="auto"/>
              <w:bottom w:val="single" w:sz="4" w:space="0" w:color="auto"/>
            </w:tcBorders>
            <w:shd w:val="clear" w:color="auto" w:fill="FFFFFF"/>
            <w:vAlign w:val="bottom"/>
          </w:tcPr>
          <w:p w14:paraId="6C1667A7" w14:textId="77777777" w:rsidR="00CA2553" w:rsidRPr="00BE5613" w:rsidRDefault="00CA2553" w:rsidP="003D4C06">
            <w:pPr>
              <w:jc w:val="center"/>
              <w:rPr>
                <w:b/>
                <w:sz w:val="22"/>
                <w:szCs w:val="22"/>
              </w:rPr>
            </w:pPr>
            <w:r w:rsidRPr="00BE5613">
              <w:rPr>
                <w:sz w:val="22"/>
                <w:szCs w:val="22"/>
              </w:rPr>
              <w:t>U score</w:t>
            </w:r>
          </w:p>
        </w:tc>
        <w:tc>
          <w:tcPr>
            <w:tcW w:w="960" w:type="dxa"/>
            <w:tcBorders>
              <w:bottom w:val="single" w:sz="4" w:space="0" w:color="auto"/>
            </w:tcBorders>
            <w:shd w:val="clear" w:color="auto" w:fill="FFFFFF"/>
            <w:vAlign w:val="bottom"/>
          </w:tcPr>
          <w:p w14:paraId="32935AF2" w14:textId="77777777" w:rsidR="00CA2553" w:rsidRPr="00BE5613" w:rsidRDefault="00CA2553" w:rsidP="003D4C06">
            <w:pPr>
              <w:jc w:val="center"/>
              <w:rPr>
                <w:b/>
                <w:sz w:val="22"/>
                <w:szCs w:val="22"/>
              </w:rPr>
            </w:pPr>
            <w:r w:rsidRPr="00BE5613">
              <w:rPr>
                <w:sz w:val="22"/>
                <w:szCs w:val="22"/>
              </w:rPr>
              <w:t>C score</w:t>
            </w:r>
          </w:p>
        </w:tc>
        <w:tc>
          <w:tcPr>
            <w:tcW w:w="960" w:type="dxa"/>
            <w:tcBorders>
              <w:bottom w:val="single" w:sz="4" w:space="0" w:color="auto"/>
              <w:right w:val="single" w:sz="4" w:space="0" w:color="auto"/>
            </w:tcBorders>
            <w:shd w:val="clear" w:color="auto" w:fill="FFFFFF"/>
            <w:vAlign w:val="bottom"/>
          </w:tcPr>
          <w:p w14:paraId="5A14B155" w14:textId="77777777" w:rsidR="00CA2553" w:rsidRPr="00BE5613" w:rsidRDefault="00CA2553" w:rsidP="003D4C06">
            <w:pPr>
              <w:jc w:val="center"/>
              <w:rPr>
                <w:b/>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66E3E54A" w14:textId="77777777" w:rsidR="00CA2553" w:rsidRPr="00BE5613" w:rsidRDefault="00CA2553" w:rsidP="003D4C06">
            <w:pPr>
              <w:jc w:val="center"/>
              <w:rPr>
                <w:b/>
                <w:sz w:val="22"/>
                <w:szCs w:val="22"/>
              </w:rPr>
            </w:pPr>
            <w:r w:rsidRPr="00BE5613">
              <w:rPr>
                <w:sz w:val="22"/>
                <w:szCs w:val="22"/>
              </w:rPr>
              <w:t>U score</w:t>
            </w:r>
          </w:p>
        </w:tc>
        <w:tc>
          <w:tcPr>
            <w:tcW w:w="960" w:type="dxa"/>
            <w:tcBorders>
              <w:bottom w:val="single" w:sz="4" w:space="0" w:color="auto"/>
            </w:tcBorders>
            <w:shd w:val="clear" w:color="auto" w:fill="FFFFFF"/>
            <w:vAlign w:val="bottom"/>
          </w:tcPr>
          <w:p w14:paraId="4FE038CD" w14:textId="77777777" w:rsidR="00CA2553" w:rsidRPr="00BE5613" w:rsidRDefault="00CA2553" w:rsidP="003D4C06">
            <w:pPr>
              <w:jc w:val="center"/>
              <w:rPr>
                <w:b/>
                <w:sz w:val="22"/>
                <w:szCs w:val="22"/>
              </w:rPr>
            </w:pPr>
            <w:r w:rsidRPr="00BE5613">
              <w:rPr>
                <w:sz w:val="22"/>
                <w:szCs w:val="22"/>
              </w:rPr>
              <w:t>C score</w:t>
            </w:r>
          </w:p>
        </w:tc>
        <w:tc>
          <w:tcPr>
            <w:tcW w:w="960" w:type="dxa"/>
            <w:tcBorders>
              <w:bottom w:val="single" w:sz="4" w:space="0" w:color="auto"/>
              <w:right w:val="single" w:sz="4" w:space="0" w:color="auto"/>
            </w:tcBorders>
            <w:shd w:val="clear" w:color="auto" w:fill="FFFFFF"/>
            <w:vAlign w:val="bottom"/>
          </w:tcPr>
          <w:p w14:paraId="67EFE00B" w14:textId="77777777" w:rsidR="00CA2553" w:rsidRPr="00BE5613" w:rsidRDefault="00CA2553" w:rsidP="003D4C06">
            <w:pPr>
              <w:jc w:val="center"/>
              <w:rPr>
                <w:b/>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78730273" w14:textId="77777777" w:rsidR="00CA2553" w:rsidRPr="00BE5613" w:rsidRDefault="00CA2553" w:rsidP="003D4C06">
            <w:pPr>
              <w:jc w:val="center"/>
              <w:rPr>
                <w:b/>
                <w:sz w:val="22"/>
                <w:szCs w:val="22"/>
              </w:rPr>
            </w:pPr>
            <w:r w:rsidRPr="00BE5613">
              <w:rPr>
                <w:sz w:val="22"/>
                <w:szCs w:val="22"/>
              </w:rPr>
              <w:t>U score</w:t>
            </w:r>
          </w:p>
        </w:tc>
        <w:tc>
          <w:tcPr>
            <w:tcW w:w="961" w:type="dxa"/>
            <w:tcBorders>
              <w:bottom w:val="single" w:sz="4" w:space="0" w:color="auto"/>
            </w:tcBorders>
            <w:shd w:val="clear" w:color="auto" w:fill="FFFFFF"/>
            <w:vAlign w:val="bottom"/>
          </w:tcPr>
          <w:p w14:paraId="6F31EAAA" w14:textId="77777777" w:rsidR="00CA2553" w:rsidRPr="00BE5613" w:rsidRDefault="00CA2553" w:rsidP="003D4C06">
            <w:pPr>
              <w:jc w:val="center"/>
              <w:rPr>
                <w:b/>
                <w:sz w:val="22"/>
                <w:szCs w:val="22"/>
              </w:rPr>
            </w:pPr>
            <w:r w:rsidRPr="00BE5613">
              <w:rPr>
                <w:sz w:val="22"/>
                <w:szCs w:val="22"/>
              </w:rPr>
              <w:t>C score</w:t>
            </w:r>
          </w:p>
        </w:tc>
        <w:tc>
          <w:tcPr>
            <w:tcW w:w="961" w:type="dxa"/>
            <w:tcBorders>
              <w:bottom w:val="single" w:sz="4" w:space="0" w:color="auto"/>
              <w:right w:val="single" w:sz="4" w:space="0" w:color="auto"/>
            </w:tcBorders>
            <w:shd w:val="clear" w:color="auto" w:fill="FFFFFF"/>
            <w:vAlign w:val="bottom"/>
          </w:tcPr>
          <w:p w14:paraId="69046362" w14:textId="77777777" w:rsidR="00CA2553" w:rsidRPr="00BE5613" w:rsidRDefault="00CA2553" w:rsidP="003D4C06">
            <w:pPr>
              <w:jc w:val="center"/>
              <w:rPr>
                <w:b/>
                <w:sz w:val="22"/>
                <w:szCs w:val="22"/>
              </w:rPr>
            </w:pPr>
            <w:r w:rsidRPr="00BE5613">
              <w:rPr>
                <w:sz w:val="22"/>
                <w:szCs w:val="22"/>
              </w:rPr>
              <w:t>UTC ratio</w:t>
            </w:r>
          </w:p>
        </w:tc>
        <w:tc>
          <w:tcPr>
            <w:tcW w:w="961" w:type="dxa"/>
            <w:tcBorders>
              <w:left w:val="single" w:sz="4" w:space="0" w:color="auto"/>
              <w:bottom w:val="single" w:sz="4" w:space="0" w:color="auto"/>
            </w:tcBorders>
            <w:shd w:val="clear" w:color="auto" w:fill="FFFFFF"/>
            <w:vAlign w:val="bottom"/>
          </w:tcPr>
          <w:p w14:paraId="68658888" w14:textId="77777777" w:rsidR="00CA2553" w:rsidRPr="00BE5613" w:rsidRDefault="00CA2553" w:rsidP="003D4C06">
            <w:pPr>
              <w:jc w:val="center"/>
              <w:rPr>
                <w:b/>
                <w:sz w:val="22"/>
                <w:szCs w:val="22"/>
              </w:rPr>
            </w:pPr>
            <w:r w:rsidRPr="00BE5613">
              <w:rPr>
                <w:sz w:val="22"/>
                <w:szCs w:val="22"/>
              </w:rPr>
              <w:t>U score</w:t>
            </w:r>
          </w:p>
        </w:tc>
        <w:tc>
          <w:tcPr>
            <w:tcW w:w="961" w:type="dxa"/>
            <w:tcBorders>
              <w:bottom w:val="single" w:sz="4" w:space="0" w:color="auto"/>
            </w:tcBorders>
            <w:shd w:val="clear" w:color="auto" w:fill="FFFFFF"/>
            <w:vAlign w:val="bottom"/>
          </w:tcPr>
          <w:p w14:paraId="1A33B2C2" w14:textId="77777777" w:rsidR="00CA2553" w:rsidRPr="00BE5613" w:rsidRDefault="00CA2553" w:rsidP="003D4C06">
            <w:pPr>
              <w:jc w:val="center"/>
              <w:rPr>
                <w:b/>
                <w:sz w:val="22"/>
                <w:szCs w:val="22"/>
              </w:rPr>
            </w:pPr>
            <w:r w:rsidRPr="00BE5613">
              <w:rPr>
                <w:sz w:val="22"/>
                <w:szCs w:val="22"/>
              </w:rPr>
              <w:t>C score</w:t>
            </w:r>
          </w:p>
        </w:tc>
        <w:tc>
          <w:tcPr>
            <w:tcW w:w="961" w:type="dxa"/>
            <w:tcBorders>
              <w:bottom w:val="single" w:sz="4" w:space="0" w:color="auto"/>
              <w:right w:val="single" w:sz="4" w:space="0" w:color="auto"/>
            </w:tcBorders>
            <w:shd w:val="clear" w:color="auto" w:fill="FFFFFF"/>
            <w:vAlign w:val="bottom"/>
          </w:tcPr>
          <w:p w14:paraId="4C5D7ECA" w14:textId="77777777" w:rsidR="00CA2553" w:rsidRPr="00BE5613" w:rsidRDefault="00CA2553" w:rsidP="003D4C06">
            <w:pPr>
              <w:jc w:val="center"/>
              <w:rPr>
                <w:b/>
                <w:sz w:val="22"/>
                <w:szCs w:val="22"/>
              </w:rPr>
            </w:pPr>
            <w:r w:rsidRPr="00BE5613">
              <w:rPr>
                <w:sz w:val="22"/>
                <w:szCs w:val="22"/>
              </w:rPr>
              <w:t>UTC ratio</w:t>
            </w:r>
          </w:p>
        </w:tc>
      </w:tr>
      <w:tr w:rsidR="00CA2553" w:rsidRPr="00BE5613" w14:paraId="33464449"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5C5A7DCD" w14:textId="77777777" w:rsidR="00CA2553" w:rsidRPr="00BE5613" w:rsidRDefault="00CA2553" w:rsidP="003D4C06">
            <w:pPr>
              <w:jc w:val="center"/>
              <w:rPr>
                <w:sz w:val="22"/>
                <w:szCs w:val="22"/>
              </w:rPr>
            </w:pPr>
            <w:r w:rsidRPr="00BE5613">
              <w:rPr>
                <w:sz w:val="22"/>
                <w:szCs w:val="22"/>
              </w:rPr>
              <w:t>Model I</w:t>
            </w:r>
          </w:p>
        </w:tc>
        <w:tc>
          <w:tcPr>
            <w:tcW w:w="1244" w:type="dxa"/>
            <w:tcBorders>
              <w:top w:val="single" w:sz="4" w:space="0" w:color="auto"/>
              <w:right w:val="single" w:sz="4" w:space="0" w:color="auto"/>
            </w:tcBorders>
            <w:shd w:val="clear" w:color="auto" w:fill="FFFFFF"/>
            <w:vAlign w:val="bottom"/>
          </w:tcPr>
          <w:p w14:paraId="16991384" w14:textId="77777777" w:rsidR="00CA2553" w:rsidRPr="00BE5613" w:rsidRDefault="00CA2553"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098E73F7" w14:textId="77777777" w:rsidR="00CA2553" w:rsidRPr="00BE5613" w:rsidRDefault="00CA2553" w:rsidP="003D4C06">
            <w:pPr>
              <w:jc w:val="center"/>
              <w:rPr>
                <w:sz w:val="22"/>
                <w:szCs w:val="22"/>
              </w:rPr>
            </w:pPr>
            <w:r w:rsidRPr="00BE5613">
              <w:rPr>
                <w:sz w:val="22"/>
                <w:szCs w:val="22"/>
              </w:rPr>
              <w:t>1.000</w:t>
            </w:r>
          </w:p>
        </w:tc>
        <w:tc>
          <w:tcPr>
            <w:tcW w:w="960" w:type="dxa"/>
            <w:tcBorders>
              <w:top w:val="single" w:sz="4" w:space="0" w:color="auto"/>
            </w:tcBorders>
            <w:shd w:val="clear" w:color="auto" w:fill="FFFFFF"/>
            <w:vAlign w:val="bottom"/>
          </w:tcPr>
          <w:p w14:paraId="3903895F" w14:textId="77777777" w:rsidR="00CA2553" w:rsidRPr="00BE5613" w:rsidRDefault="00CA2553" w:rsidP="003D4C06">
            <w:pPr>
              <w:jc w:val="center"/>
              <w:rPr>
                <w:sz w:val="22"/>
                <w:szCs w:val="22"/>
              </w:rPr>
            </w:pPr>
          </w:p>
        </w:tc>
        <w:tc>
          <w:tcPr>
            <w:tcW w:w="960" w:type="dxa"/>
            <w:tcBorders>
              <w:top w:val="single" w:sz="4" w:space="0" w:color="auto"/>
              <w:right w:val="single" w:sz="4" w:space="0" w:color="auto"/>
            </w:tcBorders>
            <w:shd w:val="clear" w:color="auto" w:fill="FFFFFF"/>
            <w:vAlign w:val="bottom"/>
          </w:tcPr>
          <w:p w14:paraId="57B9D5A8" w14:textId="77777777" w:rsidR="00CA2553" w:rsidRPr="00BE5613" w:rsidRDefault="00CA2553" w:rsidP="003D4C06">
            <w:pPr>
              <w:jc w:val="center"/>
              <w:rPr>
                <w:sz w:val="22"/>
                <w:szCs w:val="22"/>
              </w:rPr>
            </w:pPr>
          </w:p>
        </w:tc>
        <w:tc>
          <w:tcPr>
            <w:tcW w:w="960" w:type="dxa"/>
            <w:tcBorders>
              <w:top w:val="single" w:sz="4" w:space="0" w:color="auto"/>
              <w:left w:val="single" w:sz="4" w:space="0" w:color="auto"/>
            </w:tcBorders>
            <w:shd w:val="clear" w:color="auto" w:fill="FFFFFF"/>
            <w:vAlign w:val="bottom"/>
          </w:tcPr>
          <w:p w14:paraId="0F466733" w14:textId="77777777" w:rsidR="00CA2553" w:rsidRPr="00BE5613" w:rsidRDefault="00CA2553" w:rsidP="003D4C06">
            <w:pPr>
              <w:jc w:val="center"/>
              <w:rPr>
                <w:sz w:val="22"/>
                <w:szCs w:val="22"/>
              </w:rPr>
            </w:pPr>
          </w:p>
        </w:tc>
        <w:tc>
          <w:tcPr>
            <w:tcW w:w="960" w:type="dxa"/>
            <w:tcBorders>
              <w:top w:val="single" w:sz="4" w:space="0" w:color="auto"/>
            </w:tcBorders>
            <w:shd w:val="clear" w:color="auto" w:fill="FFFFFF"/>
            <w:vAlign w:val="bottom"/>
          </w:tcPr>
          <w:p w14:paraId="1AF1C8DA" w14:textId="77777777" w:rsidR="00CA2553" w:rsidRPr="00BE5613" w:rsidRDefault="00CA2553" w:rsidP="003D4C06">
            <w:pPr>
              <w:jc w:val="center"/>
              <w:rPr>
                <w:sz w:val="22"/>
                <w:szCs w:val="22"/>
              </w:rPr>
            </w:pPr>
          </w:p>
        </w:tc>
        <w:tc>
          <w:tcPr>
            <w:tcW w:w="960" w:type="dxa"/>
            <w:tcBorders>
              <w:top w:val="single" w:sz="4" w:space="0" w:color="auto"/>
              <w:right w:val="single" w:sz="4" w:space="0" w:color="auto"/>
            </w:tcBorders>
            <w:shd w:val="clear" w:color="auto" w:fill="FFFFFF"/>
            <w:vAlign w:val="bottom"/>
          </w:tcPr>
          <w:p w14:paraId="48B304F3" w14:textId="77777777" w:rsidR="00CA2553" w:rsidRPr="00BE5613" w:rsidRDefault="00CA2553" w:rsidP="003D4C06">
            <w:pPr>
              <w:jc w:val="center"/>
              <w:rPr>
                <w:sz w:val="22"/>
                <w:szCs w:val="22"/>
              </w:rPr>
            </w:pPr>
          </w:p>
        </w:tc>
        <w:tc>
          <w:tcPr>
            <w:tcW w:w="960" w:type="dxa"/>
            <w:tcBorders>
              <w:top w:val="single" w:sz="4" w:space="0" w:color="auto"/>
              <w:left w:val="single" w:sz="4" w:space="0" w:color="auto"/>
            </w:tcBorders>
            <w:shd w:val="clear" w:color="auto" w:fill="FFFFFF"/>
            <w:vAlign w:val="bottom"/>
          </w:tcPr>
          <w:p w14:paraId="16D1A922"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04524270"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62CB884B" w14:textId="77777777" w:rsidR="00CA2553" w:rsidRPr="00BE5613" w:rsidRDefault="00CA2553" w:rsidP="003D4C06">
            <w:pPr>
              <w:jc w:val="center"/>
              <w:rPr>
                <w:sz w:val="22"/>
                <w:szCs w:val="22"/>
              </w:rPr>
            </w:pPr>
          </w:p>
        </w:tc>
        <w:tc>
          <w:tcPr>
            <w:tcW w:w="961" w:type="dxa"/>
            <w:tcBorders>
              <w:top w:val="single" w:sz="4" w:space="0" w:color="auto"/>
              <w:left w:val="single" w:sz="4" w:space="0" w:color="auto"/>
            </w:tcBorders>
            <w:shd w:val="clear" w:color="auto" w:fill="FFFFFF"/>
            <w:vAlign w:val="bottom"/>
          </w:tcPr>
          <w:p w14:paraId="35389BA2"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57B76F64"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33392B7E" w14:textId="77777777" w:rsidR="00CA2553" w:rsidRPr="00BE5613" w:rsidRDefault="00CA2553" w:rsidP="003D4C06">
            <w:pPr>
              <w:jc w:val="center"/>
              <w:rPr>
                <w:sz w:val="22"/>
                <w:szCs w:val="22"/>
              </w:rPr>
            </w:pPr>
          </w:p>
        </w:tc>
      </w:tr>
      <w:tr w:rsidR="00CA2553" w:rsidRPr="00BE5613" w14:paraId="0C185265" w14:textId="77777777">
        <w:trPr>
          <w:trHeight w:val="41"/>
          <w:jc w:val="right"/>
        </w:trPr>
        <w:tc>
          <w:tcPr>
            <w:tcW w:w="1219" w:type="dxa"/>
            <w:vMerge/>
            <w:tcBorders>
              <w:left w:val="single" w:sz="4" w:space="0" w:color="auto"/>
            </w:tcBorders>
            <w:shd w:val="clear" w:color="auto" w:fill="FFFFFF"/>
            <w:vAlign w:val="center"/>
          </w:tcPr>
          <w:p w14:paraId="29B6713F" w14:textId="77777777" w:rsidR="00CA2553" w:rsidRPr="00BE5613" w:rsidRDefault="00CA2553" w:rsidP="003D4C06">
            <w:pPr>
              <w:ind w:left="142" w:right="255"/>
              <w:rPr>
                <w:sz w:val="22"/>
                <w:szCs w:val="22"/>
              </w:rPr>
            </w:pPr>
          </w:p>
        </w:tc>
        <w:tc>
          <w:tcPr>
            <w:tcW w:w="1244" w:type="dxa"/>
            <w:tcBorders>
              <w:right w:val="single" w:sz="4" w:space="0" w:color="auto"/>
            </w:tcBorders>
            <w:shd w:val="clear" w:color="auto" w:fill="FFFFFF"/>
            <w:vAlign w:val="bottom"/>
          </w:tcPr>
          <w:p w14:paraId="572357BA" w14:textId="77777777" w:rsidR="00CA2553" w:rsidRPr="00BE5613" w:rsidRDefault="00CA2553"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01E94C3F" w14:textId="77777777" w:rsidR="00CA2553" w:rsidRPr="00BE5613" w:rsidRDefault="00CA2553" w:rsidP="003D4C06">
            <w:pPr>
              <w:jc w:val="center"/>
              <w:rPr>
                <w:sz w:val="22"/>
                <w:szCs w:val="22"/>
              </w:rPr>
            </w:pPr>
            <w:r w:rsidRPr="00BE5613">
              <w:rPr>
                <w:sz w:val="22"/>
                <w:szCs w:val="22"/>
              </w:rPr>
              <w:t>0.996</w:t>
            </w:r>
          </w:p>
        </w:tc>
        <w:tc>
          <w:tcPr>
            <w:tcW w:w="960" w:type="dxa"/>
            <w:shd w:val="clear" w:color="auto" w:fill="FFFFFF"/>
            <w:vAlign w:val="bottom"/>
          </w:tcPr>
          <w:p w14:paraId="6E1EBFE9" w14:textId="77777777" w:rsidR="00CA2553" w:rsidRPr="00BE5613" w:rsidRDefault="00CA2553" w:rsidP="003D4C06">
            <w:pPr>
              <w:jc w:val="center"/>
              <w:rPr>
                <w:sz w:val="22"/>
                <w:szCs w:val="22"/>
              </w:rPr>
            </w:pPr>
            <w:r w:rsidRPr="00BE5613">
              <w:rPr>
                <w:sz w:val="22"/>
                <w:szCs w:val="22"/>
              </w:rPr>
              <w:t>1.000</w:t>
            </w:r>
          </w:p>
        </w:tc>
        <w:tc>
          <w:tcPr>
            <w:tcW w:w="960" w:type="dxa"/>
            <w:tcBorders>
              <w:right w:val="single" w:sz="4" w:space="0" w:color="auto"/>
            </w:tcBorders>
            <w:shd w:val="clear" w:color="auto" w:fill="FFFFFF"/>
            <w:vAlign w:val="bottom"/>
          </w:tcPr>
          <w:p w14:paraId="2CB5423D"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40BADAA1" w14:textId="77777777" w:rsidR="00CA2553" w:rsidRPr="00BE5613" w:rsidRDefault="00CA2553" w:rsidP="003D4C06">
            <w:pPr>
              <w:jc w:val="center"/>
              <w:rPr>
                <w:sz w:val="22"/>
                <w:szCs w:val="22"/>
              </w:rPr>
            </w:pPr>
          </w:p>
        </w:tc>
        <w:tc>
          <w:tcPr>
            <w:tcW w:w="960" w:type="dxa"/>
            <w:shd w:val="clear" w:color="auto" w:fill="FFFFFF"/>
            <w:vAlign w:val="bottom"/>
          </w:tcPr>
          <w:p w14:paraId="5B621C5E" w14:textId="77777777" w:rsidR="00CA2553" w:rsidRPr="00BE5613" w:rsidRDefault="00CA2553" w:rsidP="003D4C06">
            <w:pPr>
              <w:jc w:val="center"/>
              <w:rPr>
                <w:sz w:val="22"/>
                <w:szCs w:val="22"/>
              </w:rPr>
            </w:pPr>
          </w:p>
        </w:tc>
        <w:tc>
          <w:tcPr>
            <w:tcW w:w="960" w:type="dxa"/>
            <w:tcBorders>
              <w:right w:val="single" w:sz="4" w:space="0" w:color="auto"/>
            </w:tcBorders>
            <w:shd w:val="clear" w:color="auto" w:fill="FFFFFF"/>
            <w:vAlign w:val="bottom"/>
          </w:tcPr>
          <w:p w14:paraId="5DE71FBB"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06B9441F" w14:textId="77777777" w:rsidR="00CA2553" w:rsidRPr="00BE5613" w:rsidRDefault="00CA2553" w:rsidP="003D4C06">
            <w:pPr>
              <w:jc w:val="center"/>
              <w:rPr>
                <w:sz w:val="22"/>
                <w:szCs w:val="22"/>
              </w:rPr>
            </w:pPr>
          </w:p>
        </w:tc>
        <w:tc>
          <w:tcPr>
            <w:tcW w:w="961" w:type="dxa"/>
            <w:shd w:val="clear" w:color="auto" w:fill="FFFFFF"/>
            <w:vAlign w:val="bottom"/>
          </w:tcPr>
          <w:p w14:paraId="0C76FE0E"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4BFD19AE" w14:textId="77777777" w:rsidR="00CA2553" w:rsidRPr="00BE5613" w:rsidRDefault="00CA2553" w:rsidP="003D4C06">
            <w:pPr>
              <w:jc w:val="center"/>
              <w:rPr>
                <w:sz w:val="22"/>
                <w:szCs w:val="22"/>
              </w:rPr>
            </w:pPr>
          </w:p>
        </w:tc>
        <w:tc>
          <w:tcPr>
            <w:tcW w:w="961" w:type="dxa"/>
            <w:tcBorders>
              <w:left w:val="single" w:sz="4" w:space="0" w:color="auto"/>
            </w:tcBorders>
            <w:shd w:val="clear" w:color="auto" w:fill="FFFFFF"/>
            <w:vAlign w:val="bottom"/>
          </w:tcPr>
          <w:p w14:paraId="47CF03B3" w14:textId="77777777" w:rsidR="00CA2553" w:rsidRPr="00BE5613" w:rsidRDefault="00CA2553" w:rsidP="003D4C06">
            <w:pPr>
              <w:jc w:val="center"/>
              <w:rPr>
                <w:sz w:val="22"/>
                <w:szCs w:val="22"/>
              </w:rPr>
            </w:pPr>
          </w:p>
        </w:tc>
        <w:tc>
          <w:tcPr>
            <w:tcW w:w="961" w:type="dxa"/>
            <w:shd w:val="clear" w:color="auto" w:fill="FFFFFF"/>
            <w:vAlign w:val="bottom"/>
          </w:tcPr>
          <w:p w14:paraId="6BCDBB8C"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4EA0DBAD" w14:textId="77777777" w:rsidR="00CA2553" w:rsidRPr="00BE5613" w:rsidRDefault="00CA2553" w:rsidP="003D4C06">
            <w:pPr>
              <w:jc w:val="center"/>
              <w:rPr>
                <w:sz w:val="22"/>
                <w:szCs w:val="22"/>
              </w:rPr>
            </w:pPr>
          </w:p>
        </w:tc>
      </w:tr>
      <w:tr w:rsidR="00CA2553" w:rsidRPr="00BE5613" w14:paraId="4C3BAF70"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1C1D984D" w14:textId="77777777" w:rsidR="00CA2553" w:rsidRPr="00BE5613" w:rsidRDefault="00CA2553"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366890E0" w14:textId="77777777" w:rsidR="00CA2553" w:rsidRPr="00BE5613" w:rsidRDefault="00CA2553"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648A9F1D" w14:textId="77777777" w:rsidR="00CA2553" w:rsidRPr="00BE5613" w:rsidRDefault="00CA2553" w:rsidP="003D4C06">
            <w:pPr>
              <w:jc w:val="center"/>
              <w:rPr>
                <w:sz w:val="22"/>
                <w:szCs w:val="22"/>
              </w:rPr>
            </w:pPr>
            <w:r w:rsidRPr="00BE5613">
              <w:rPr>
                <w:sz w:val="22"/>
                <w:szCs w:val="22"/>
              </w:rPr>
              <w:t>0.987</w:t>
            </w:r>
          </w:p>
        </w:tc>
        <w:tc>
          <w:tcPr>
            <w:tcW w:w="960" w:type="dxa"/>
            <w:tcBorders>
              <w:bottom w:val="single" w:sz="4" w:space="0" w:color="auto"/>
            </w:tcBorders>
            <w:shd w:val="clear" w:color="auto" w:fill="FFFFFF"/>
            <w:vAlign w:val="bottom"/>
          </w:tcPr>
          <w:p w14:paraId="35070F27" w14:textId="77777777" w:rsidR="00CA2553" w:rsidRPr="00BE5613" w:rsidRDefault="00CA2553" w:rsidP="003D4C06">
            <w:pPr>
              <w:jc w:val="center"/>
              <w:rPr>
                <w:sz w:val="22"/>
                <w:szCs w:val="22"/>
              </w:rPr>
            </w:pPr>
            <w:r w:rsidRPr="00BE5613">
              <w:rPr>
                <w:sz w:val="22"/>
                <w:szCs w:val="22"/>
              </w:rPr>
              <w:t>0.997</w:t>
            </w:r>
          </w:p>
        </w:tc>
        <w:tc>
          <w:tcPr>
            <w:tcW w:w="960" w:type="dxa"/>
            <w:tcBorders>
              <w:bottom w:val="single" w:sz="4" w:space="0" w:color="auto"/>
              <w:right w:val="single" w:sz="4" w:space="0" w:color="auto"/>
            </w:tcBorders>
            <w:shd w:val="clear" w:color="auto" w:fill="FFFFFF"/>
            <w:vAlign w:val="bottom"/>
          </w:tcPr>
          <w:p w14:paraId="6ADD090E" w14:textId="77777777" w:rsidR="00CA2553" w:rsidRPr="00BE5613" w:rsidRDefault="00CA2553" w:rsidP="003D4C06">
            <w:pPr>
              <w:jc w:val="center"/>
              <w:rPr>
                <w:sz w:val="22"/>
                <w:szCs w:val="22"/>
              </w:rPr>
            </w:pPr>
            <w:r w:rsidRPr="00BE5613">
              <w:rPr>
                <w:sz w:val="22"/>
                <w:szCs w:val="22"/>
              </w:rPr>
              <w:t>1.000</w:t>
            </w:r>
          </w:p>
        </w:tc>
        <w:tc>
          <w:tcPr>
            <w:tcW w:w="960" w:type="dxa"/>
            <w:tcBorders>
              <w:left w:val="single" w:sz="4" w:space="0" w:color="auto"/>
              <w:bottom w:val="single" w:sz="4" w:space="0" w:color="auto"/>
            </w:tcBorders>
            <w:shd w:val="clear" w:color="auto" w:fill="FFFFFF"/>
            <w:vAlign w:val="bottom"/>
          </w:tcPr>
          <w:p w14:paraId="3CB15FA3" w14:textId="77777777" w:rsidR="00CA2553" w:rsidRPr="00BE5613" w:rsidRDefault="00CA2553" w:rsidP="003D4C06">
            <w:pPr>
              <w:jc w:val="center"/>
              <w:rPr>
                <w:sz w:val="22"/>
                <w:szCs w:val="22"/>
              </w:rPr>
            </w:pPr>
          </w:p>
        </w:tc>
        <w:tc>
          <w:tcPr>
            <w:tcW w:w="960" w:type="dxa"/>
            <w:tcBorders>
              <w:bottom w:val="single" w:sz="4" w:space="0" w:color="auto"/>
            </w:tcBorders>
            <w:shd w:val="clear" w:color="auto" w:fill="FFFFFF"/>
            <w:vAlign w:val="bottom"/>
          </w:tcPr>
          <w:p w14:paraId="7BAECC4C" w14:textId="77777777" w:rsidR="00CA2553" w:rsidRPr="00BE5613" w:rsidRDefault="00CA2553" w:rsidP="003D4C06">
            <w:pPr>
              <w:jc w:val="center"/>
              <w:rPr>
                <w:sz w:val="22"/>
                <w:szCs w:val="22"/>
              </w:rPr>
            </w:pPr>
          </w:p>
        </w:tc>
        <w:tc>
          <w:tcPr>
            <w:tcW w:w="960" w:type="dxa"/>
            <w:tcBorders>
              <w:bottom w:val="single" w:sz="4" w:space="0" w:color="auto"/>
              <w:right w:val="single" w:sz="4" w:space="0" w:color="auto"/>
            </w:tcBorders>
            <w:shd w:val="clear" w:color="auto" w:fill="FFFFFF"/>
            <w:vAlign w:val="bottom"/>
          </w:tcPr>
          <w:p w14:paraId="7BE088E0" w14:textId="77777777" w:rsidR="00CA2553" w:rsidRPr="00BE5613" w:rsidRDefault="00CA2553" w:rsidP="003D4C06">
            <w:pPr>
              <w:jc w:val="center"/>
              <w:rPr>
                <w:sz w:val="22"/>
                <w:szCs w:val="22"/>
              </w:rPr>
            </w:pPr>
          </w:p>
        </w:tc>
        <w:tc>
          <w:tcPr>
            <w:tcW w:w="960" w:type="dxa"/>
            <w:tcBorders>
              <w:left w:val="single" w:sz="4" w:space="0" w:color="auto"/>
              <w:bottom w:val="single" w:sz="4" w:space="0" w:color="auto"/>
            </w:tcBorders>
            <w:shd w:val="clear" w:color="auto" w:fill="FFFFFF"/>
            <w:vAlign w:val="bottom"/>
          </w:tcPr>
          <w:p w14:paraId="6FEFF095"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62ED8408"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4CEF0324" w14:textId="77777777" w:rsidR="00CA2553" w:rsidRPr="00BE5613" w:rsidRDefault="00CA2553" w:rsidP="003D4C06">
            <w:pPr>
              <w:jc w:val="center"/>
              <w:rPr>
                <w:sz w:val="22"/>
                <w:szCs w:val="22"/>
              </w:rPr>
            </w:pPr>
          </w:p>
        </w:tc>
        <w:tc>
          <w:tcPr>
            <w:tcW w:w="961" w:type="dxa"/>
            <w:tcBorders>
              <w:left w:val="single" w:sz="4" w:space="0" w:color="auto"/>
              <w:bottom w:val="single" w:sz="4" w:space="0" w:color="auto"/>
            </w:tcBorders>
            <w:shd w:val="clear" w:color="auto" w:fill="FFFFFF"/>
            <w:vAlign w:val="bottom"/>
          </w:tcPr>
          <w:p w14:paraId="08586CED"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43576257"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0A647DD3" w14:textId="77777777" w:rsidR="00CA2553" w:rsidRPr="00BE5613" w:rsidRDefault="00CA2553" w:rsidP="003D4C06">
            <w:pPr>
              <w:jc w:val="center"/>
              <w:rPr>
                <w:sz w:val="22"/>
                <w:szCs w:val="22"/>
              </w:rPr>
            </w:pPr>
          </w:p>
        </w:tc>
      </w:tr>
      <w:tr w:rsidR="00CA2553" w:rsidRPr="00BE5613" w14:paraId="4A80F4EC"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28C646D6" w14:textId="77777777" w:rsidR="00CA2553" w:rsidRPr="00BE5613" w:rsidRDefault="00CA2553" w:rsidP="003D4C06">
            <w:pPr>
              <w:jc w:val="center"/>
              <w:rPr>
                <w:sz w:val="22"/>
                <w:szCs w:val="22"/>
              </w:rPr>
            </w:pPr>
            <w:r w:rsidRPr="00BE5613">
              <w:rPr>
                <w:sz w:val="22"/>
                <w:szCs w:val="22"/>
              </w:rPr>
              <w:t>Model II</w:t>
            </w:r>
          </w:p>
        </w:tc>
        <w:tc>
          <w:tcPr>
            <w:tcW w:w="1244" w:type="dxa"/>
            <w:tcBorders>
              <w:top w:val="single" w:sz="4" w:space="0" w:color="auto"/>
              <w:right w:val="single" w:sz="4" w:space="0" w:color="auto"/>
            </w:tcBorders>
            <w:shd w:val="clear" w:color="auto" w:fill="FFFFFF"/>
            <w:vAlign w:val="bottom"/>
          </w:tcPr>
          <w:p w14:paraId="59984FD7" w14:textId="77777777" w:rsidR="00CA2553" w:rsidRPr="00BE5613" w:rsidRDefault="00CA2553"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433BCB9D" w14:textId="77777777" w:rsidR="00CA2553" w:rsidRPr="00BE5613" w:rsidRDefault="00CA2553" w:rsidP="003D4C06">
            <w:pPr>
              <w:jc w:val="center"/>
              <w:rPr>
                <w:sz w:val="22"/>
                <w:szCs w:val="22"/>
              </w:rPr>
            </w:pPr>
            <w:r w:rsidRPr="00BE5613">
              <w:rPr>
                <w:sz w:val="22"/>
                <w:szCs w:val="22"/>
              </w:rPr>
              <w:t>0.982</w:t>
            </w:r>
          </w:p>
        </w:tc>
        <w:tc>
          <w:tcPr>
            <w:tcW w:w="960" w:type="dxa"/>
            <w:tcBorders>
              <w:top w:val="single" w:sz="4" w:space="0" w:color="auto"/>
            </w:tcBorders>
            <w:shd w:val="clear" w:color="auto" w:fill="FFFFFF"/>
            <w:vAlign w:val="bottom"/>
          </w:tcPr>
          <w:p w14:paraId="67FF1E13" w14:textId="77777777" w:rsidR="00CA2553" w:rsidRPr="00BE5613" w:rsidRDefault="00CA2553" w:rsidP="003D4C06">
            <w:pPr>
              <w:jc w:val="center"/>
              <w:rPr>
                <w:sz w:val="22"/>
                <w:szCs w:val="22"/>
              </w:rPr>
            </w:pPr>
            <w:r w:rsidRPr="00BE5613">
              <w:rPr>
                <w:sz w:val="22"/>
                <w:szCs w:val="22"/>
              </w:rPr>
              <w:t>0.995</w:t>
            </w:r>
          </w:p>
        </w:tc>
        <w:tc>
          <w:tcPr>
            <w:tcW w:w="960" w:type="dxa"/>
            <w:tcBorders>
              <w:top w:val="single" w:sz="4" w:space="0" w:color="auto"/>
              <w:right w:val="single" w:sz="4" w:space="0" w:color="auto"/>
            </w:tcBorders>
            <w:shd w:val="clear" w:color="auto" w:fill="FFFFFF"/>
            <w:vAlign w:val="bottom"/>
          </w:tcPr>
          <w:p w14:paraId="4131A927" w14:textId="77777777" w:rsidR="00CA2553" w:rsidRPr="00BE5613" w:rsidRDefault="00CA2553" w:rsidP="003D4C06">
            <w:pPr>
              <w:jc w:val="center"/>
              <w:rPr>
                <w:sz w:val="22"/>
                <w:szCs w:val="22"/>
              </w:rPr>
            </w:pPr>
            <w:r w:rsidRPr="00BE5613">
              <w:rPr>
                <w:sz w:val="22"/>
                <w:szCs w:val="22"/>
              </w:rPr>
              <w:t>0.999</w:t>
            </w:r>
          </w:p>
        </w:tc>
        <w:tc>
          <w:tcPr>
            <w:tcW w:w="960" w:type="dxa"/>
            <w:tcBorders>
              <w:top w:val="single" w:sz="4" w:space="0" w:color="auto"/>
              <w:left w:val="single" w:sz="4" w:space="0" w:color="auto"/>
            </w:tcBorders>
            <w:shd w:val="clear" w:color="auto" w:fill="FFFFFF"/>
            <w:vAlign w:val="bottom"/>
          </w:tcPr>
          <w:p w14:paraId="29330660" w14:textId="77777777" w:rsidR="00CA2553" w:rsidRPr="00BE5613" w:rsidRDefault="00CA2553" w:rsidP="003D4C06">
            <w:pPr>
              <w:jc w:val="center"/>
              <w:rPr>
                <w:sz w:val="22"/>
                <w:szCs w:val="22"/>
              </w:rPr>
            </w:pPr>
            <w:r w:rsidRPr="00BE5613">
              <w:rPr>
                <w:sz w:val="22"/>
                <w:szCs w:val="22"/>
              </w:rPr>
              <w:t>1.000</w:t>
            </w:r>
          </w:p>
        </w:tc>
        <w:tc>
          <w:tcPr>
            <w:tcW w:w="960" w:type="dxa"/>
            <w:tcBorders>
              <w:top w:val="single" w:sz="4" w:space="0" w:color="auto"/>
            </w:tcBorders>
            <w:shd w:val="clear" w:color="auto" w:fill="FFFFFF"/>
            <w:vAlign w:val="bottom"/>
          </w:tcPr>
          <w:p w14:paraId="2588561C" w14:textId="77777777" w:rsidR="00CA2553" w:rsidRPr="00BE5613" w:rsidRDefault="00CA2553" w:rsidP="003D4C06">
            <w:pPr>
              <w:jc w:val="center"/>
              <w:rPr>
                <w:sz w:val="22"/>
                <w:szCs w:val="22"/>
              </w:rPr>
            </w:pPr>
          </w:p>
        </w:tc>
        <w:tc>
          <w:tcPr>
            <w:tcW w:w="960" w:type="dxa"/>
            <w:tcBorders>
              <w:top w:val="single" w:sz="4" w:space="0" w:color="auto"/>
              <w:right w:val="single" w:sz="4" w:space="0" w:color="auto"/>
            </w:tcBorders>
            <w:shd w:val="clear" w:color="auto" w:fill="FFFFFF"/>
            <w:vAlign w:val="bottom"/>
          </w:tcPr>
          <w:p w14:paraId="7A5C43B7" w14:textId="77777777" w:rsidR="00CA2553" w:rsidRPr="00BE5613" w:rsidRDefault="00CA2553" w:rsidP="003D4C06">
            <w:pPr>
              <w:jc w:val="center"/>
              <w:rPr>
                <w:sz w:val="22"/>
                <w:szCs w:val="22"/>
              </w:rPr>
            </w:pPr>
          </w:p>
        </w:tc>
        <w:tc>
          <w:tcPr>
            <w:tcW w:w="960" w:type="dxa"/>
            <w:tcBorders>
              <w:top w:val="single" w:sz="4" w:space="0" w:color="auto"/>
              <w:left w:val="single" w:sz="4" w:space="0" w:color="auto"/>
            </w:tcBorders>
            <w:shd w:val="clear" w:color="auto" w:fill="FFFFFF"/>
            <w:vAlign w:val="bottom"/>
          </w:tcPr>
          <w:p w14:paraId="409EB1A0"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23112191"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6341745E" w14:textId="77777777" w:rsidR="00CA2553" w:rsidRPr="00BE5613" w:rsidRDefault="00CA2553" w:rsidP="003D4C06">
            <w:pPr>
              <w:jc w:val="center"/>
              <w:rPr>
                <w:sz w:val="22"/>
                <w:szCs w:val="22"/>
              </w:rPr>
            </w:pPr>
          </w:p>
        </w:tc>
        <w:tc>
          <w:tcPr>
            <w:tcW w:w="961" w:type="dxa"/>
            <w:tcBorders>
              <w:top w:val="single" w:sz="4" w:space="0" w:color="auto"/>
              <w:left w:val="single" w:sz="4" w:space="0" w:color="auto"/>
            </w:tcBorders>
            <w:shd w:val="clear" w:color="auto" w:fill="FFFFFF"/>
            <w:vAlign w:val="bottom"/>
          </w:tcPr>
          <w:p w14:paraId="611A18EE" w14:textId="77777777" w:rsidR="00CA2553" w:rsidRPr="00BE5613" w:rsidRDefault="00CA2553" w:rsidP="003D4C06">
            <w:pPr>
              <w:jc w:val="center"/>
              <w:rPr>
                <w:sz w:val="22"/>
                <w:szCs w:val="22"/>
              </w:rPr>
            </w:pPr>
          </w:p>
        </w:tc>
        <w:tc>
          <w:tcPr>
            <w:tcW w:w="961" w:type="dxa"/>
            <w:tcBorders>
              <w:top w:val="single" w:sz="4" w:space="0" w:color="auto"/>
            </w:tcBorders>
            <w:shd w:val="clear" w:color="auto" w:fill="FFFFFF"/>
            <w:vAlign w:val="bottom"/>
          </w:tcPr>
          <w:p w14:paraId="413B5A0C" w14:textId="77777777" w:rsidR="00CA2553" w:rsidRPr="00BE5613" w:rsidRDefault="00CA2553"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1CFA544E" w14:textId="77777777" w:rsidR="00CA2553" w:rsidRPr="00BE5613" w:rsidRDefault="00CA2553" w:rsidP="003D4C06">
            <w:pPr>
              <w:jc w:val="center"/>
              <w:rPr>
                <w:sz w:val="22"/>
                <w:szCs w:val="22"/>
              </w:rPr>
            </w:pPr>
          </w:p>
        </w:tc>
      </w:tr>
      <w:tr w:rsidR="00CA2553" w:rsidRPr="00BE5613" w14:paraId="42DF919A" w14:textId="77777777">
        <w:trPr>
          <w:trHeight w:val="41"/>
          <w:jc w:val="right"/>
        </w:trPr>
        <w:tc>
          <w:tcPr>
            <w:tcW w:w="1219" w:type="dxa"/>
            <w:vMerge/>
            <w:tcBorders>
              <w:left w:val="single" w:sz="4" w:space="0" w:color="auto"/>
            </w:tcBorders>
            <w:shd w:val="clear" w:color="auto" w:fill="FFFFFF"/>
            <w:vAlign w:val="center"/>
          </w:tcPr>
          <w:p w14:paraId="5040F19A" w14:textId="77777777" w:rsidR="00CA2553" w:rsidRPr="00BE5613" w:rsidRDefault="00CA2553" w:rsidP="003D4C06">
            <w:pPr>
              <w:ind w:left="142" w:right="255"/>
              <w:rPr>
                <w:sz w:val="22"/>
                <w:szCs w:val="22"/>
              </w:rPr>
            </w:pPr>
          </w:p>
        </w:tc>
        <w:tc>
          <w:tcPr>
            <w:tcW w:w="1244" w:type="dxa"/>
            <w:tcBorders>
              <w:right w:val="single" w:sz="4" w:space="0" w:color="auto"/>
            </w:tcBorders>
            <w:shd w:val="clear" w:color="auto" w:fill="FFFFFF"/>
            <w:vAlign w:val="bottom"/>
          </w:tcPr>
          <w:p w14:paraId="6681820D" w14:textId="77777777" w:rsidR="00CA2553" w:rsidRPr="00BE5613" w:rsidRDefault="00CA2553"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11671626" w14:textId="77777777" w:rsidR="00CA2553" w:rsidRPr="00BE5613" w:rsidRDefault="00CA2553" w:rsidP="003D4C06">
            <w:pPr>
              <w:jc w:val="center"/>
              <w:rPr>
                <w:sz w:val="22"/>
                <w:szCs w:val="22"/>
              </w:rPr>
            </w:pPr>
            <w:r w:rsidRPr="00BE5613">
              <w:rPr>
                <w:sz w:val="22"/>
                <w:szCs w:val="22"/>
              </w:rPr>
              <w:t>0.885</w:t>
            </w:r>
          </w:p>
        </w:tc>
        <w:tc>
          <w:tcPr>
            <w:tcW w:w="960" w:type="dxa"/>
            <w:shd w:val="clear" w:color="auto" w:fill="FFFFFF"/>
            <w:vAlign w:val="bottom"/>
          </w:tcPr>
          <w:p w14:paraId="3AC97916" w14:textId="77777777" w:rsidR="00CA2553" w:rsidRPr="00BE5613" w:rsidRDefault="00CA2553" w:rsidP="003D4C06">
            <w:pPr>
              <w:jc w:val="center"/>
              <w:rPr>
                <w:sz w:val="22"/>
                <w:szCs w:val="22"/>
              </w:rPr>
            </w:pPr>
            <w:r w:rsidRPr="00BE5613">
              <w:rPr>
                <w:sz w:val="22"/>
                <w:szCs w:val="22"/>
              </w:rPr>
              <w:t>0.893</w:t>
            </w:r>
          </w:p>
        </w:tc>
        <w:tc>
          <w:tcPr>
            <w:tcW w:w="960" w:type="dxa"/>
            <w:tcBorders>
              <w:right w:val="single" w:sz="4" w:space="0" w:color="auto"/>
            </w:tcBorders>
            <w:shd w:val="clear" w:color="auto" w:fill="FFFFFF"/>
            <w:vAlign w:val="bottom"/>
          </w:tcPr>
          <w:p w14:paraId="5E370D31" w14:textId="77777777" w:rsidR="00CA2553" w:rsidRPr="00BE5613" w:rsidRDefault="00CA2553" w:rsidP="003D4C06">
            <w:pPr>
              <w:jc w:val="center"/>
              <w:rPr>
                <w:sz w:val="22"/>
                <w:szCs w:val="22"/>
              </w:rPr>
            </w:pPr>
            <w:r w:rsidRPr="00BE5613">
              <w:rPr>
                <w:sz w:val="22"/>
                <w:szCs w:val="22"/>
              </w:rPr>
              <w:t>0.895</w:t>
            </w:r>
          </w:p>
        </w:tc>
        <w:tc>
          <w:tcPr>
            <w:tcW w:w="960" w:type="dxa"/>
            <w:tcBorders>
              <w:left w:val="single" w:sz="4" w:space="0" w:color="auto"/>
            </w:tcBorders>
            <w:shd w:val="clear" w:color="auto" w:fill="FFFFFF"/>
            <w:vAlign w:val="bottom"/>
          </w:tcPr>
          <w:p w14:paraId="01020698" w14:textId="77777777" w:rsidR="00CA2553" w:rsidRPr="00BE5613" w:rsidRDefault="00CA2553" w:rsidP="003D4C06">
            <w:pPr>
              <w:jc w:val="center"/>
              <w:rPr>
                <w:sz w:val="22"/>
                <w:szCs w:val="22"/>
              </w:rPr>
            </w:pPr>
            <w:r w:rsidRPr="00BE5613">
              <w:rPr>
                <w:sz w:val="22"/>
                <w:szCs w:val="22"/>
              </w:rPr>
              <w:t>0.895</w:t>
            </w:r>
          </w:p>
        </w:tc>
        <w:tc>
          <w:tcPr>
            <w:tcW w:w="960" w:type="dxa"/>
            <w:shd w:val="clear" w:color="auto" w:fill="FFFFFF"/>
            <w:vAlign w:val="bottom"/>
          </w:tcPr>
          <w:p w14:paraId="45C39703" w14:textId="77777777" w:rsidR="00CA2553" w:rsidRPr="00BE5613" w:rsidRDefault="00CA2553" w:rsidP="003D4C06">
            <w:pPr>
              <w:jc w:val="center"/>
              <w:rPr>
                <w:sz w:val="22"/>
                <w:szCs w:val="22"/>
              </w:rPr>
            </w:pPr>
            <w:r w:rsidRPr="00BE5613">
              <w:rPr>
                <w:sz w:val="22"/>
                <w:szCs w:val="22"/>
              </w:rPr>
              <w:t>1.000</w:t>
            </w:r>
          </w:p>
        </w:tc>
        <w:tc>
          <w:tcPr>
            <w:tcW w:w="960" w:type="dxa"/>
            <w:tcBorders>
              <w:right w:val="single" w:sz="4" w:space="0" w:color="auto"/>
            </w:tcBorders>
            <w:shd w:val="clear" w:color="auto" w:fill="FFFFFF"/>
            <w:vAlign w:val="bottom"/>
          </w:tcPr>
          <w:p w14:paraId="7B8524DB" w14:textId="77777777" w:rsidR="00CA2553" w:rsidRPr="00BE5613" w:rsidRDefault="00CA2553" w:rsidP="003D4C06">
            <w:pPr>
              <w:jc w:val="center"/>
              <w:rPr>
                <w:sz w:val="22"/>
                <w:szCs w:val="22"/>
              </w:rPr>
            </w:pPr>
          </w:p>
        </w:tc>
        <w:tc>
          <w:tcPr>
            <w:tcW w:w="960" w:type="dxa"/>
            <w:tcBorders>
              <w:left w:val="single" w:sz="4" w:space="0" w:color="auto"/>
            </w:tcBorders>
            <w:shd w:val="clear" w:color="auto" w:fill="FFFFFF"/>
            <w:vAlign w:val="bottom"/>
          </w:tcPr>
          <w:p w14:paraId="3DE3D7E6" w14:textId="77777777" w:rsidR="00CA2553" w:rsidRPr="00BE5613" w:rsidRDefault="00CA2553" w:rsidP="003D4C06">
            <w:pPr>
              <w:jc w:val="center"/>
              <w:rPr>
                <w:sz w:val="22"/>
                <w:szCs w:val="22"/>
              </w:rPr>
            </w:pPr>
          </w:p>
        </w:tc>
        <w:tc>
          <w:tcPr>
            <w:tcW w:w="961" w:type="dxa"/>
            <w:shd w:val="clear" w:color="auto" w:fill="FFFFFF"/>
            <w:vAlign w:val="bottom"/>
          </w:tcPr>
          <w:p w14:paraId="68DE7396"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390523F3" w14:textId="77777777" w:rsidR="00CA2553" w:rsidRPr="00BE5613" w:rsidRDefault="00CA2553" w:rsidP="003D4C06">
            <w:pPr>
              <w:jc w:val="center"/>
              <w:rPr>
                <w:sz w:val="22"/>
                <w:szCs w:val="22"/>
              </w:rPr>
            </w:pPr>
          </w:p>
        </w:tc>
        <w:tc>
          <w:tcPr>
            <w:tcW w:w="961" w:type="dxa"/>
            <w:tcBorders>
              <w:left w:val="single" w:sz="4" w:space="0" w:color="auto"/>
            </w:tcBorders>
            <w:shd w:val="clear" w:color="auto" w:fill="FFFFFF"/>
            <w:vAlign w:val="bottom"/>
          </w:tcPr>
          <w:p w14:paraId="1540EEAE" w14:textId="77777777" w:rsidR="00CA2553" w:rsidRPr="00BE5613" w:rsidRDefault="00CA2553" w:rsidP="003D4C06">
            <w:pPr>
              <w:jc w:val="center"/>
              <w:rPr>
                <w:sz w:val="22"/>
                <w:szCs w:val="22"/>
              </w:rPr>
            </w:pPr>
          </w:p>
        </w:tc>
        <w:tc>
          <w:tcPr>
            <w:tcW w:w="961" w:type="dxa"/>
            <w:shd w:val="clear" w:color="auto" w:fill="FFFFFF"/>
            <w:vAlign w:val="bottom"/>
          </w:tcPr>
          <w:p w14:paraId="77115509" w14:textId="77777777" w:rsidR="00CA2553" w:rsidRPr="00BE5613" w:rsidRDefault="00CA2553" w:rsidP="003D4C06">
            <w:pPr>
              <w:jc w:val="center"/>
              <w:rPr>
                <w:sz w:val="22"/>
                <w:szCs w:val="22"/>
              </w:rPr>
            </w:pPr>
          </w:p>
        </w:tc>
        <w:tc>
          <w:tcPr>
            <w:tcW w:w="961" w:type="dxa"/>
            <w:tcBorders>
              <w:right w:val="single" w:sz="4" w:space="0" w:color="auto"/>
            </w:tcBorders>
            <w:shd w:val="clear" w:color="auto" w:fill="FFFFFF"/>
            <w:vAlign w:val="bottom"/>
          </w:tcPr>
          <w:p w14:paraId="6EF83393" w14:textId="77777777" w:rsidR="00CA2553" w:rsidRPr="00BE5613" w:rsidRDefault="00CA2553" w:rsidP="003D4C06">
            <w:pPr>
              <w:jc w:val="center"/>
              <w:rPr>
                <w:sz w:val="22"/>
                <w:szCs w:val="22"/>
              </w:rPr>
            </w:pPr>
          </w:p>
        </w:tc>
      </w:tr>
      <w:tr w:rsidR="00CA2553" w:rsidRPr="00BE5613" w14:paraId="318854A8"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15E19CE3" w14:textId="77777777" w:rsidR="00CA2553" w:rsidRPr="00BE5613" w:rsidRDefault="00CA2553"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0B4C5F13" w14:textId="77777777" w:rsidR="00CA2553" w:rsidRPr="00BE5613" w:rsidRDefault="00CA2553"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0BE80EA2" w14:textId="77777777" w:rsidR="00CA2553" w:rsidRPr="00BE5613" w:rsidRDefault="00CA2553" w:rsidP="003D4C06">
            <w:pPr>
              <w:jc w:val="center"/>
              <w:rPr>
                <w:sz w:val="22"/>
                <w:szCs w:val="22"/>
              </w:rPr>
            </w:pPr>
            <w:r w:rsidRPr="00BE5613">
              <w:rPr>
                <w:sz w:val="22"/>
                <w:szCs w:val="22"/>
              </w:rPr>
              <w:t>0.879</w:t>
            </w:r>
          </w:p>
        </w:tc>
        <w:tc>
          <w:tcPr>
            <w:tcW w:w="960" w:type="dxa"/>
            <w:tcBorders>
              <w:bottom w:val="single" w:sz="4" w:space="0" w:color="auto"/>
            </w:tcBorders>
            <w:shd w:val="clear" w:color="auto" w:fill="FFFFFF"/>
            <w:vAlign w:val="bottom"/>
          </w:tcPr>
          <w:p w14:paraId="60860F34" w14:textId="77777777" w:rsidR="00CA2553" w:rsidRPr="00BE5613" w:rsidRDefault="00CA2553" w:rsidP="003D4C06">
            <w:pPr>
              <w:jc w:val="center"/>
              <w:rPr>
                <w:sz w:val="22"/>
                <w:szCs w:val="22"/>
              </w:rPr>
            </w:pPr>
            <w:r w:rsidRPr="00BE5613">
              <w:rPr>
                <w:sz w:val="22"/>
                <w:szCs w:val="22"/>
              </w:rPr>
              <w:t>0.893</w:t>
            </w:r>
          </w:p>
        </w:tc>
        <w:tc>
          <w:tcPr>
            <w:tcW w:w="960" w:type="dxa"/>
            <w:tcBorders>
              <w:bottom w:val="single" w:sz="4" w:space="0" w:color="auto"/>
              <w:right w:val="single" w:sz="4" w:space="0" w:color="auto"/>
            </w:tcBorders>
            <w:shd w:val="clear" w:color="auto" w:fill="FFFFFF"/>
            <w:vAlign w:val="bottom"/>
          </w:tcPr>
          <w:p w14:paraId="12021A21" w14:textId="77777777" w:rsidR="00CA2553" w:rsidRPr="00BE5613" w:rsidRDefault="00CA2553" w:rsidP="003D4C06">
            <w:pPr>
              <w:jc w:val="center"/>
              <w:rPr>
                <w:sz w:val="22"/>
                <w:szCs w:val="22"/>
              </w:rPr>
            </w:pPr>
            <w:r w:rsidRPr="00BE5613">
              <w:rPr>
                <w:sz w:val="22"/>
                <w:szCs w:val="22"/>
              </w:rPr>
              <w:t>0.900</w:t>
            </w:r>
          </w:p>
        </w:tc>
        <w:tc>
          <w:tcPr>
            <w:tcW w:w="960" w:type="dxa"/>
            <w:tcBorders>
              <w:left w:val="single" w:sz="4" w:space="0" w:color="auto"/>
              <w:bottom w:val="single" w:sz="4" w:space="0" w:color="auto"/>
            </w:tcBorders>
            <w:shd w:val="clear" w:color="auto" w:fill="FFFFFF"/>
            <w:vAlign w:val="bottom"/>
          </w:tcPr>
          <w:p w14:paraId="75B12E77" w14:textId="77777777" w:rsidR="00CA2553" w:rsidRPr="00BE5613" w:rsidRDefault="00CA2553" w:rsidP="003D4C06">
            <w:pPr>
              <w:jc w:val="center"/>
              <w:rPr>
                <w:sz w:val="22"/>
                <w:szCs w:val="22"/>
              </w:rPr>
            </w:pPr>
            <w:r w:rsidRPr="00BE5613">
              <w:rPr>
                <w:sz w:val="22"/>
                <w:szCs w:val="22"/>
              </w:rPr>
              <w:t>0.902</w:t>
            </w:r>
          </w:p>
        </w:tc>
        <w:tc>
          <w:tcPr>
            <w:tcW w:w="960" w:type="dxa"/>
            <w:tcBorders>
              <w:bottom w:val="single" w:sz="4" w:space="0" w:color="auto"/>
            </w:tcBorders>
            <w:shd w:val="clear" w:color="auto" w:fill="FFFFFF"/>
            <w:vAlign w:val="bottom"/>
          </w:tcPr>
          <w:p w14:paraId="29507A33" w14:textId="77777777" w:rsidR="00CA2553" w:rsidRPr="00BE5613" w:rsidRDefault="00CA2553" w:rsidP="003D4C06">
            <w:pPr>
              <w:jc w:val="center"/>
              <w:rPr>
                <w:sz w:val="22"/>
                <w:szCs w:val="22"/>
              </w:rPr>
            </w:pPr>
            <w:r w:rsidRPr="00BE5613">
              <w:rPr>
                <w:sz w:val="22"/>
                <w:szCs w:val="22"/>
              </w:rPr>
              <w:t>0.984</w:t>
            </w:r>
          </w:p>
        </w:tc>
        <w:tc>
          <w:tcPr>
            <w:tcW w:w="960" w:type="dxa"/>
            <w:tcBorders>
              <w:bottom w:val="single" w:sz="4" w:space="0" w:color="auto"/>
              <w:right w:val="single" w:sz="4" w:space="0" w:color="auto"/>
            </w:tcBorders>
            <w:shd w:val="clear" w:color="auto" w:fill="FFFFFF"/>
            <w:vAlign w:val="bottom"/>
          </w:tcPr>
          <w:p w14:paraId="0F6CD0D2" w14:textId="77777777" w:rsidR="00CA2553" w:rsidRPr="00BE5613" w:rsidRDefault="00CA2553" w:rsidP="003D4C06">
            <w:pPr>
              <w:jc w:val="center"/>
              <w:rPr>
                <w:sz w:val="22"/>
                <w:szCs w:val="22"/>
              </w:rPr>
            </w:pPr>
            <w:r w:rsidRPr="00BE5613">
              <w:rPr>
                <w:sz w:val="22"/>
                <w:szCs w:val="22"/>
              </w:rPr>
              <w:t>1.000</w:t>
            </w:r>
          </w:p>
        </w:tc>
        <w:tc>
          <w:tcPr>
            <w:tcW w:w="960" w:type="dxa"/>
            <w:tcBorders>
              <w:left w:val="single" w:sz="4" w:space="0" w:color="auto"/>
              <w:bottom w:val="single" w:sz="4" w:space="0" w:color="auto"/>
            </w:tcBorders>
            <w:shd w:val="clear" w:color="auto" w:fill="FFFFFF"/>
            <w:vAlign w:val="bottom"/>
          </w:tcPr>
          <w:p w14:paraId="5C93B70B"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29E20806"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5F5A9EA7" w14:textId="77777777" w:rsidR="00CA2553" w:rsidRPr="00BE5613" w:rsidRDefault="00CA2553" w:rsidP="003D4C06">
            <w:pPr>
              <w:jc w:val="center"/>
              <w:rPr>
                <w:sz w:val="22"/>
                <w:szCs w:val="22"/>
              </w:rPr>
            </w:pPr>
          </w:p>
        </w:tc>
        <w:tc>
          <w:tcPr>
            <w:tcW w:w="961" w:type="dxa"/>
            <w:tcBorders>
              <w:left w:val="single" w:sz="4" w:space="0" w:color="auto"/>
              <w:bottom w:val="single" w:sz="4" w:space="0" w:color="auto"/>
            </w:tcBorders>
            <w:shd w:val="clear" w:color="auto" w:fill="FFFFFF"/>
            <w:vAlign w:val="bottom"/>
          </w:tcPr>
          <w:p w14:paraId="328549A8" w14:textId="77777777" w:rsidR="00CA2553" w:rsidRPr="00BE5613" w:rsidRDefault="00CA2553" w:rsidP="003D4C06">
            <w:pPr>
              <w:jc w:val="center"/>
              <w:rPr>
                <w:sz w:val="22"/>
                <w:szCs w:val="22"/>
              </w:rPr>
            </w:pPr>
          </w:p>
        </w:tc>
        <w:tc>
          <w:tcPr>
            <w:tcW w:w="961" w:type="dxa"/>
            <w:tcBorders>
              <w:bottom w:val="single" w:sz="4" w:space="0" w:color="auto"/>
            </w:tcBorders>
            <w:shd w:val="clear" w:color="auto" w:fill="FFFFFF"/>
            <w:vAlign w:val="bottom"/>
          </w:tcPr>
          <w:p w14:paraId="3E677578" w14:textId="77777777" w:rsidR="00CA2553" w:rsidRPr="00BE5613" w:rsidRDefault="00CA2553"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2212425B" w14:textId="77777777" w:rsidR="00CA2553" w:rsidRPr="00BE5613" w:rsidRDefault="00CA2553" w:rsidP="003D4C06">
            <w:pPr>
              <w:jc w:val="center"/>
              <w:rPr>
                <w:sz w:val="22"/>
                <w:szCs w:val="22"/>
              </w:rPr>
            </w:pPr>
          </w:p>
        </w:tc>
      </w:tr>
      <w:tr w:rsidR="002B594A" w:rsidRPr="00BE5613" w14:paraId="240CCD69"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56248254" w14:textId="77777777" w:rsidR="002B594A" w:rsidRPr="00BE5613" w:rsidRDefault="002B594A" w:rsidP="003D4C06">
            <w:pPr>
              <w:jc w:val="center"/>
              <w:rPr>
                <w:sz w:val="22"/>
                <w:szCs w:val="22"/>
              </w:rPr>
            </w:pPr>
            <w:r w:rsidRPr="00BE5613">
              <w:rPr>
                <w:sz w:val="22"/>
                <w:szCs w:val="22"/>
              </w:rPr>
              <w:t>Model III</w:t>
            </w:r>
          </w:p>
        </w:tc>
        <w:tc>
          <w:tcPr>
            <w:tcW w:w="1244" w:type="dxa"/>
            <w:tcBorders>
              <w:top w:val="single" w:sz="4" w:space="0" w:color="auto"/>
              <w:right w:val="single" w:sz="4" w:space="0" w:color="auto"/>
            </w:tcBorders>
            <w:shd w:val="clear" w:color="auto" w:fill="FFFFFF"/>
            <w:vAlign w:val="bottom"/>
          </w:tcPr>
          <w:p w14:paraId="51A8AD6D" w14:textId="77777777" w:rsidR="002B594A" w:rsidRPr="00BE5613" w:rsidRDefault="002B594A"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4F12116D" w14:textId="77777777" w:rsidR="002B594A" w:rsidRPr="00BE5613" w:rsidRDefault="002B594A" w:rsidP="003D4C06">
            <w:pPr>
              <w:jc w:val="center"/>
              <w:rPr>
                <w:sz w:val="22"/>
                <w:szCs w:val="22"/>
              </w:rPr>
            </w:pPr>
            <w:r w:rsidRPr="00BE5613">
              <w:rPr>
                <w:sz w:val="22"/>
                <w:szCs w:val="22"/>
              </w:rPr>
              <w:t>-0.633</w:t>
            </w:r>
            <w:r w:rsidRPr="00BE5613">
              <w:rPr>
                <w:sz w:val="22"/>
                <w:szCs w:val="22"/>
                <w:vertAlign w:val="superscript"/>
              </w:rPr>
              <w:t>(+1)</w:t>
            </w:r>
          </w:p>
        </w:tc>
        <w:tc>
          <w:tcPr>
            <w:tcW w:w="960" w:type="dxa"/>
            <w:tcBorders>
              <w:top w:val="single" w:sz="4" w:space="0" w:color="auto"/>
            </w:tcBorders>
            <w:shd w:val="clear" w:color="auto" w:fill="FFFFFF"/>
            <w:vAlign w:val="bottom"/>
          </w:tcPr>
          <w:p w14:paraId="033372D8" w14:textId="77777777" w:rsidR="002B594A" w:rsidRPr="00BE5613" w:rsidRDefault="002B594A" w:rsidP="003D4C06">
            <w:pPr>
              <w:jc w:val="center"/>
              <w:rPr>
                <w:sz w:val="22"/>
                <w:szCs w:val="22"/>
              </w:rPr>
            </w:pPr>
            <w:r w:rsidRPr="00BE5613">
              <w:rPr>
                <w:sz w:val="22"/>
                <w:szCs w:val="22"/>
              </w:rPr>
              <w:t>-0.623</w:t>
            </w:r>
            <w:r w:rsidRPr="00BE5613">
              <w:rPr>
                <w:sz w:val="22"/>
                <w:szCs w:val="22"/>
                <w:vertAlign w:val="superscript"/>
              </w:rPr>
              <w:t>(+1)</w:t>
            </w:r>
          </w:p>
        </w:tc>
        <w:tc>
          <w:tcPr>
            <w:tcW w:w="960" w:type="dxa"/>
            <w:tcBorders>
              <w:top w:val="single" w:sz="4" w:space="0" w:color="auto"/>
              <w:right w:val="single" w:sz="4" w:space="0" w:color="auto"/>
            </w:tcBorders>
            <w:shd w:val="clear" w:color="auto" w:fill="FFFFFF"/>
            <w:vAlign w:val="bottom"/>
          </w:tcPr>
          <w:p w14:paraId="67C97FB0" w14:textId="77777777" w:rsidR="002B594A" w:rsidRPr="00BE5613" w:rsidRDefault="002B594A" w:rsidP="003D4C06">
            <w:pPr>
              <w:jc w:val="center"/>
              <w:rPr>
                <w:sz w:val="22"/>
                <w:szCs w:val="22"/>
              </w:rPr>
            </w:pPr>
            <w:r w:rsidRPr="00BE5613">
              <w:rPr>
                <w:sz w:val="22"/>
                <w:szCs w:val="22"/>
              </w:rPr>
              <w:t>-0.612</w:t>
            </w:r>
            <w:r w:rsidRPr="00BE5613">
              <w:rPr>
                <w:sz w:val="22"/>
                <w:szCs w:val="22"/>
                <w:vertAlign w:val="superscript"/>
              </w:rPr>
              <w:t>(+1)</w:t>
            </w:r>
          </w:p>
        </w:tc>
        <w:tc>
          <w:tcPr>
            <w:tcW w:w="960" w:type="dxa"/>
            <w:tcBorders>
              <w:top w:val="single" w:sz="4" w:space="0" w:color="auto"/>
              <w:left w:val="single" w:sz="4" w:space="0" w:color="auto"/>
            </w:tcBorders>
            <w:shd w:val="clear" w:color="auto" w:fill="FFFFFF"/>
            <w:vAlign w:val="bottom"/>
          </w:tcPr>
          <w:p w14:paraId="38347E1F" w14:textId="77777777" w:rsidR="002B594A" w:rsidRPr="00BE5613" w:rsidRDefault="002B594A" w:rsidP="003D4C06">
            <w:pPr>
              <w:jc w:val="center"/>
              <w:rPr>
                <w:sz w:val="22"/>
                <w:szCs w:val="22"/>
              </w:rPr>
            </w:pPr>
            <w:r w:rsidRPr="00BE5613">
              <w:rPr>
                <w:sz w:val="22"/>
                <w:szCs w:val="22"/>
              </w:rPr>
              <w:t>-0.605</w:t>
            </w:r>
            <w:r w:rsidRPr="00BE5613">
              <w:rPr>
                <w:sz w:val="22"/>
                <w:szCs w:val="22"/>
                <w:vertAlign w:val="superscript"/>
              </w:rPr>
              <w:t>(+1)</w:t>
            </w:r>
          </w:p>
        </w:tc>
        <w:tc>
          <w:tcPr>
            <w:tcW w:w="960" w:type="dxa"/>
            <w:tcBorders>
              <w:top w:val="single" w:sz="4" w:space="0" w:color="auto"/>
            </w:tcBorders>
            <w:shd w:val="clear" w:color="auto" w:fill="FFFFFF"/>
            <w:vAlign w:val="bottom"/>
          </w:tcPr>
          <w:p w14:paraId="50D74D6B" w14:textId="77777777" w:rsidR="002B594A" w:rsidRPr="00BE5613" w:rsidRDefault="002B594A" w:rsidP="003D4C06">
            <w:pPr>
              <w:jc w:val="center"/>
              <w:rPr>
                <w:sz w:val="22"/>
                <w:szCs w:val="22"/>
              </w:rPr>
            </w:pPr>
            <w:r w:rsidRPr="00BE5613">
              <w:rPr>
                <w:sz w:val="22"/>
                <w:szCs w:val="22"/>
              </w:rPr>
              <w:t>-0.300</w:t>
            </w:r>
          </w:p>
        </w:tc>
        <w:tc>
          <w:tcPr>
            <w:tcW w:w="960" w:type="dxa"/>
            <w:tcBorders>
              <w:top w:val="single" w:sz="4" w:space="0" w:color="auto"/>
              <w:right w:val="single" w:sz="4" w:space="0" w:color="auto"/>
            </w:tcBorders>
            <w:shd w:val="clear" w:color="auto" w:fill="FFFFFF"/>
            <w:vAlign w:val="bottom"/>
          </w:tcPr>
          <w:p w14:paraId="6EC1D9C2" w14:textId="77777777" w:rsidR="002B594A" w:rsidRPr="00BE5613" w:rsidRDefault="002B594A" w:rsidP="003D4C06">
            <w:pPr>
              <w:jc w:val="center"/>
              <w:rPr>
                <w:sz w:val="22"/>
                <w:szCs w:val="22"/>
              </w:rPr>
            </w:pPr>
            <w:r w:rsidRPr="00BE5613">
              <w:rPr>
                <w:sz w:val="22"/>
                <w:szCs w:val="22"/>
              </w:rPr>
              <w:t>-0.292</w:t>
            </w:r>
          </w:p>
        </w:tc>
        <w:tc>
          <w:tcPr>
            <w:tcW w:w="960" w:type="dxa"/>
            <w:tcBorders>
              <w:top w:val="single" w:sz="4" w:space="0" w:color="auto"/>
              <w:left w:val="single" w:sz="4" w:space="0" w:color="auto"/>
            </w:tcBorders>
            <w:shd w:val="clear" w:color="auto" w:fill="FFFFFF"/>
            <w:vAlign w:val="bottom"/>
          </w:tcPr>
          <w:p w14:paraId="1DCBEA27" w14:textId="77777777" w:rsidR="002B594A" w:rsidRPr="00BE5613" w:rsidRDefault="002B594A" w:rsidP="003D4C06">
            <w:pPr>
              <w:jc w:val="center"/>
              <w:rPr>
                <w:sz w:val="22"/>
                <w:szCs w:val="22"/>
              </w:rPr>
            </w:pPr>
            <w:r w:rsidRPr="00BE5613">
              <w:rPr>
                <w:sz w:val="22"/>
                <w:szCs w:val="22"/>
              </w:rPr>
              <w:t>1.000</w:t>
            </w:r>
          </w:p>
        </w:tc>
        <w:tc>
          <w:tcPr>
            <w:tcW w:w="961" w:type="dxa"/>
            <w:tcBorders>
              <w:top w:val="single" w:sz="4" w:space="0" w:color="auto"/>
            </w:tcBorders>
            <w:shd w:val="clear" w:color="auto" w:fill="FFFFFF"/>
            <w:vAlign w:val="bottom"/>
          </w:tcPr>
          <w:p w14:paraId="32E2AB9E" w14:textId="77777777" w:rsidR="002B594A" w:rsidRPr="00BE5613" w:rsidRDefault="002B594A"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3CDE90E2" w14:textId="77777777" w:rsidR="002B594A" w:rsidRPr="00BE5613" w:rsidRDefault="002B594A" w:rsidP="003D4C06">
            <w:pPr>
              <w:jc w:val="center"/>
              <w:rPr>
                <w:sz w:val="22"/>
                <w:szCs w:val="22"/>
              </w:rPr>
            </w:pPr>
          </w:p>
        </w:tc>
        <w:tc>
          <w:tcPr>
            <w:tcW w:w="961" w:type="dxa"/>
            <w:tcBorders>
              <w:top w:val="single" w:sz="4" w:space="0" w:color="auto"/>
              <w:left w:val="single" w:sz="4" w:space="0" w:color="auto"/>
            </w:tcBorders>
            <w:shd w:val="clear" w:color="auto" w:fill="FFFFFF"/>
            <w:vAlign w:val="bottom"/>
          </w:tcPr>
          <w:p w14:paraId="416908B1" w14:textId="77777777" w:rsidR="002B594A" w:rsidRPr="00BE5613" w:rsidRDefault="002B594A" w:rsidP="003D4C06">
            <w:pPr>
              <w:jc w:val="center"/>
              <w:rPr>
                <w:sz w:val="22"/>
                <w:szCs w:val="22"/>
              </w:rPr>
            </w:pPr>
          </w:p>
        </w:tc>
        <w:tc>
          <w:tcPr>
            <w:tcW w:w="961" w:type="dxa"/>
            <w:tcBorders>
              <w:top w:val="single" w:sz="4" w:space="0" w:color="auto"/>
            </w:tcBorders>
            <w:shd w:val="clear" w:color="auto" w:fill="FFFFFF"/>
            <w:vAlign w:val="bottom"/>
          </w:tcPr>
          <w:p w14:paraId="757F38ED" w14:textId="77777777" w:rsidR="002B594A" w:rsidRPr="00BE5613" w:rsidRDefault="002B594A"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2CB7D901" w14:textId="77777777" w:rsidR="002B594A" w:rsidRPr="00BE5613" w:rsidRDefault="002B594A" w:rsidP="003D4C06">
            <w:pPr>
              <w:jc w:val="center"/>
              <w:rPr>
                <w:sz w:val="22"/>
                <w:szCs w:val="22"/>
              </w:rPr>
            </w:pPr>
          </w:p>
        </w:tc>
      </w:tr>
      <w:tr w:rsidR="002B594A" w:rsidRPr="00BE5613" w14:paraId="628D8462" w14:textId="77777777">
        <w:trPr>
          <w:trHeight w:val="41"/>
          <w:jc w:val="right"/>
        </w:trPr>
        <w:tc>
          <w:tcPr>
            <w:tcW w:w="1219" w:type="dxa"/>
            <w:vMerge/>
            <w:tcBorders>
              <w:left w:val="single" w:sz="4" w:space="0" w:color="auto"/>
            </w:tcBorders>
            <w:shd w:val="clear" w:color="auto" w:fill="FFFFFF"/>
            <w:vAlign w:val="center"/>
          </w:tcPr>
          <w:p w14:paraId="1A310B04" w14:textId="77777777" w:rsidR="002B594A" w:rsidRPr="00BE5613" w:rsidRDefault="002B594A" w:rsidP="003D4C06">
            <w:pPr>
              <w:ind w:left="142" w:right="255"/>
              <w:rPr>
                <w:sz w:val="22"/>
                <w:szCs w:val="22"/>
              </w:rPr>
            </w:pPr>
          </w:p>
        </w:tc>
        <w:tc>
          <w:tcPr>
            <w:tcW w:w="1244" w:type="dxa"/>
            <w:tcBorders>
              <w:right w:val="single" w:sz="4" w:space="0" w:color="auto"/>
            </w:tcBorders>
            <w:shd w:val="clear" w:color="auto" w:fill="FFFFFF"/>
            <w:vAlign w:val="bottom"/>
          </w:tcPr>
          <w:p w14:paraId="66805212" w14:textId="77777777" w:rsidR="002B594A" w:rsidRPr="00BE5613" w:rsidRDefault="002B594A"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63D97087" w14:textId="77777777" w:rsidR="002B594A" w:rsidRPr="00BE5613" w:rsidRDefault="002B594A" w:rsidP="003D4C06">
            <w:pPr>
              <w:jc w:val="center"/>
              <w:rPr>
                <w:sz w:val="22"/>
                <w:szCs w:val="22"/>
              </w:rPr>
            </w:pPr>
            <w:r w:rsidRPr="00BE5613">
              <w:rPr>
                <w:sz w:val="22"/>
                <w:szCs w:val="22"/>
              </w:rPr>
              <w:t>-0.583</w:t>
            </w:r>
          </w:p>
        </w:tc>
        <w:tc>
          <w:tcPr>
            <w:tcW w:w="960" w:type="dxa"/>
            <w:shd w:val="clear" w:color="auto" w:fill="FFFFFF"/>
            <w:vAlign w:val="bottom"/>
          </w:tcPr>
          <w:p w14:paraId="27BECBC7" w14:textId="77777777" w:rsidR="002B594A" w:rsidRPr="00BE5613" w:rsidRDefault="002B594A" w:rsidP="003D4C06">
            <w:pPr>
              <w:jc w:val="center"/>
              <w:rPr>
                <w:sz w:val="22"/>
                <w:szCs w:val="22"/>
              </w:rPr>
            </w:pPr>
            <w:r w:rsidRPr="00BE5613">
              <w:rPr>
                <w:sz w:val="22"/>
                <w:szCs w:val="22"/>
              </w:rPr>
              <w:t>-0.579</w:t>
            </w:r>
          </w:p>
        </w:tc>
        <w:tc>
          <w:tcPr>
            <w:tcW w:w="960" w:type="dxa"/>
            <w:tcBorders>
              <w:right w:val="single" w:sz="4" w:space="0" w:color="auto"/>
            </w:tcBorders>
            <w:shd w:val="clear" w:color="auto" w:fill="FFFFFF"/>
            <w:vAlign w:val="bottom"/>
          </w:tcPr>
          <w:p w14:paraId="5D9C57E0" w14:textId="77777777" w:rsidR="002B594A" w:rsidRPr="00BE5613" w:rsidRDefault="002B594A" w:rsidP="003D4C06">
            <w:pPr>
              <w:jc w:val="center"/>
              <w:rPr>
                <w:sz w:val="22"/>
                <w:szCs w:val="22"/>
              </w:rPr>
            </w:pPr>
            <w:r w:rsidRPr="00BE5613">
              <w:rPr>
                <w:sz w:val="22"/>
                <w:szCs w:val="22"/>
              </w:rPr>
              <w:t>-0.573</w:t>
            </w:r>
          </w:p>
        </w:tc>
        <w:tc>
          <w:tcPr>
            <w:tcW w:w="960" w:type="dxa"/>
            <w:tcBorders>
              <w:left w:val="single" w:sz="4" w:space="0" w:color="auto"/>
            </w:tcBorders>
            <w:shd w:val="clear" w:color="auto" w:fill="FFFFFF"/>
            <w:vAlign w:val="bottom"/>
          </w:tcPr>
          <w:p w14:paraId="51E40A42" w14:textId="77777777" w:rsidR="002B594A" w:rsidRPr="00BE5613" w:rsidRDefault="002B594A" w:rsidP="003D4C06">
            <w:pPr>
              <w:jc w:val="center"/>
              <w:rPr>
                <w:sz w:val="22"/>
                <w:szCs w:val="22"/>
              </w:rPr>
            </w:pPr>
            <w:r w:rsidRPr="00BE5613">
              <w:rPr>
                <w:sz w:val="22"/>
                <w:szCs w:val="22"/>
              </w:rPr>
              <w:t>-0.569</w:t>
            </w:r>
          </w:p>
        </w:tc>
        <w:tc>
          <w:tcPr>
            <w:tcW w:w="960" w:type="dxa"/>
            <w:shd w:val="clear" w:color="auto" w:fill="FFFFFF"/>
            <w:vAlign w:val="bottom"/>
          </w:tcPr>
          <w:p w14:paraId="346A76AB" w14:textId="77777777" w:rsidR="002B594A" w:rsidRPr="00BE5613" w:rsidRDefault="002B594A" w:rsidP="003D4C06">
            <w:pPr>
              <w:jc w:val="center"/>
              <w:rPr>
                <w:sz w:val="22"/>
                <w:szCs w:val="22"/>
              </w:rPr>
            </w:pPr>
            <w:r w:rsidRPr="00BE5613">
              <w:rPr>
                <w:sz w:val="22"/>
                <w:szCs w:val="22"/>
              </w:rPr>
              <w:t>-0.261</w:t>
            </w:r>
          </w:p>
        </w:tc>
        <w:tc>
          <w:tcPr>
            <w:tcW w:w="960" w:type="dxa"/>
            <w:tcBorders>
              <w:right w:val="single" w:sz="4" w:space="0" w:color="auto"/>
            </w:tcBorders>
            <w:shd w:val="clear" w:color="auto" w:fill="FFFFFF"/>
            <w:vAlign w:val="bottom"/>
          </w:tcPr>
          <w:p w14:paraId="73575F27" w14:textId="77777777" w:rsidR="002B594A" w:rsidRPr="00BE5613" w:rsidRDefault="002B594A" w:rsidP="003D4C06">
            <w:pPr>
              <w:jc w:val="center"/>
              <w:rPr>
                <w:sz w:val="22"/>
                <w:szCs w:val="22"/>
              </w:rPr>
            </w:pPr>
            <w:r w:rsidRPr="00BE5613">
              <w:rPr>
                <w:sz w:val="22"/>
                <w:szCs w:val="22"/>
              </w:rPr>
              <w:t>-0.250</w:t>
            </w:r>
          </w:p>
        </w:tc>
        <w:tc>
          <w:tcPr>
            <w:tcW w:w="960" w:type="dxa"/>
            <w:tcBorders>
              <w:left w:val="single" w:sz="4" w:space="0" w:color="auto"/>
            </w:tcBorders>
            <w:shd w:val="clear" w:color="auto" w:fill="FFFFFF"/>
            <w:vAlign w:val="bottom"/>
          </w:tcPr>
          <w:p w14:paraId="79EA3D9F" w14:textId="77777777" w:rsidR="002B594A" w:rsidRPr="00BE5613" w:rsidRDefault="002B594A" w:rsidP="003D4C06">
            <w:pPr>
              <w:jc w:val="center"/>
              <w:rPr>
                <w:sz w:val="22"/>
                <w:szCs w:val="22"/>
              </w:rPr>
            </w:pPr>
            <w:r w:rsidRPr="00BE5613">
              <w:rPr>
                <w:sz w:val="22"/>
                <w:szCs w:val="22"/>
              </w:rPr>
              <w:t>0.983</w:t>
            </w:r>
          </w:p>
        </w:tc>
        <w:tc>
          <w:tcPr>
            <w:tcW w:w="961" w:type="dxa"/>
            <w:shd w:val="clear" w:color="auto" w:fill="FFFFFF"/>
            <w:vAlign w:val="bottom"/>
          </w:tcPr>
          <w:p w14:paraId="2A4AF0AD" w14:textId="77777777" w:rsidR="002B594A" w:rsidRPr="00BE5613" w:rsidRDefault="002B594A" w:rsidP="003D4C06">
            <w:pPr>
              <w:jc w:val="center"/>
              <w:rPr>
                <w:sz w:val="22"/>
                <w:szCs w:val="22"/>
              </w:rPr>
            </w:pPr>
            <w:r w:rsidRPr="00BE5613">
              <w:rPr>
                <w:sz w:val="22"/>
                <w:szCs w:val="22"/>
              </w:rPr>
              <w:t>1.000</w:t>
            </w:r>
          </w:p>
        </w:tc>
        <w:tc>
          <w:tcPr>
            <w:tcW w:w="961" w:type="dxa"/>
            <w:tcBorders>
              <w:right w:val="single" w:sz="4" w:space="0" w:color="auto"/>
            </w:tcBorders>
            <w:shd w:val="clear" w:color="auto" w:fill="FFFFFF"/>
            <w:vAlign w:val="bottom"/>
          </w:tcPr>
          <w:p w14:paraId="17FFF6B0" w14:textId="77777777" w:rsidR="002B594A" w:rsidRPr="00BE5613" w:rsidRDefault="002B594A" w:rsidP="003D4C06">
            <w:pPr>
              <w:jc w:val="center"/>
              <w:rPr>
                <w:sz w:val="22"/>
                <w:szCs w:val="22"/>
              </w:rPr>
            </w:pPr>
          </w:p>
        </w:tc>
        <w:tc>
          <w:tcPr>
            <w:tcW w:w="961" w:type="dxa"/>
            <w:tcBorders>
              <w:left w:val="single" w:sz="4" w:space="0" w:color="auto"/>
            </w:tcBorders>
            <w:shd w:val="clear" w:color="auto" w:fill="FFFFFF"/>
            <w:vAlign w:val="bottom"/>
          </w:tcPr>
          <w:p w14:paraId="51A78F9C" w14:textId="77777777" w:rsidR="002B594A" w:rsidRPr="00BE5613" w:rsidRDefault="002B594A" w:rsidP="003D4C06">
            <w:pPr>
              <w:jc w:val="center"/>
              <w:rPr>
                <w:sz w:val="22"/>
                <w:szCs w:val="22"/>
              </w:rPr>
            </w:pPr>
          </w:p>
        </w:tc>
        <w:tc>
          <w:tcPr>
            <w:tcW w:w="961" w:type="dxa"/>
            <w:shd w:val="clear" w:color="auto" w:fill="FFFFFF"/>
            <w:vAlign w:val="bottom"/>
          </w:tcPr>
          <w:p w14:paraId="243D2D10" w14:textId="77777777" w:rsidR="002B594A" w:rsidRPr="00BE5613" w:rsidRDefault="002B594A" w:rsidP="003D4C06">
            <w:pPr>
              <w:jc w:val="center"/>
              <w:rPr>
                <w:sz w:val="22"/>
                <w:szCs w:val="22"/>
              </w:rPr>
            </w:pPr>
          </w:p>
        </w:tc>
        <w:tc>
          <w:tcPr>
            <w:tcW w:w="961" w:type="dxa"/>
            <w:tcBorders>
              <w:right w:val="single" w:sz="4" w:space="0" w:color="auto"/>
            </w:tcBorders>
            <w:shd w:val="clear" w:color="auto" w:fill="FFFFFF"/>
            <w:vAlign w:val="bottom"/>
          </w:tcPr>
          <w:p w14:paraId="59F68D09" w14:textId="77777777" w:rsidR="002B594A" w:rsidRPr="00BE5613" w:rsidRDefault="002B594A" w:rsidP="003D4C06">
            <w:pPr>
              <w:jc w:val="center"/>
              <w:rPr>
                <w:sz w:val="22"/>
                <w:szCs w:val="22"/>
              </w:rPr>
            </w:pPr>
          </w:p>
        </w:tc>
      </w:tr>
      <w:tr w:rsidR="002B594A" w:rsidRPr="00BE5613" w14:paraId="3825C301"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6A1C95F1" w14:textId="77777777" w:rsidR="002B594A" w:rsidRPr="00BE5613" w:rsidRDefault="002B594A"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65B11F6E" w14:textId="77777777" w:rsidR="002B594A" w:rsidRPr="00BE5613" w:rsidRDefault="002B594A"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570FB9D8" w14:textId="77777777" w:rsidR="002B594A" w:rsidRPr="00BE5613" w:rsidRDefault="002B594A" w:rsidP="003D4C06">
            <w:pPr>
              <w:jc w:val="center"/>
              <w:rPr>
                <w:sz w:val="22"/>
                <w:szCs w:val="22"/>
              </w:rPr>
            </w:pPr>
            <w:r w:rsidRPr="00BE5613">
              <w:rPr>
                <w:sz w:val="22"/>
                <w:szCs w:val="22"/>
              </w:rPr>
              <w:t>-0.554</w:t>
            </w:r>
          </w:p>
        </w:tc>
        <w:tc>
          <w:tcPr>
            <w:tcW w:w="960" w:type="dxa"/>
            <w:tcBorders>
              <w:bottom w:val="single" w:sz="4" w:space="0" w:color="auto"/>
            </w:tcBorders>
            <w:shd w:val="clear" w:color="auto" w:fill="FFFFFF"/>
            <w:vAlign w:val="bottom"/>
          </w:tcPr>
          <w:p w14:paraId="1159691D" w14:textId="77777777" w:rsidR="002B594A" w:rsidRPr="00BE5613" w:rsidRDefault="002B594A" w:rsidP="003D4C06">
            <w:pPr>
              <w:jc w:val="center"/>
              <w:rPr>
                <w:sz w:val="22"/>
                <w:szCs w:val="22"/>
              </w:rPr>
            </w:pPr>
            <w:r w:rsidRPr="00BE5613">
              <w:rPr>
                <w:sz w:val="22"/>
                <w:szCs w:val="22"/>
              </w:rPr>
              <w:t>-0.553</w:t>
            </w:r>
          </w:p>
        </w:tc>
        <w:tc>
          <w:tcPr>
            <w:tcW w:w="960" w:type="dxa"/>
            <w:tcBorders>
              <w:bottom w:val="single" w:sz="4" w:space="0" w:color="auto"/>
              <w:right w:val="single" w:sz="4" w:space="0" w:color="auto"/>
            </w:tcBorders>
            <w:shd w:val="clear" w:color="auto" w:fill="FFFFFF"/>
            <w:vAlign w:val="bottom"/>
          </w:tcPr>
          <w:p w14:paraId="2E22489D" w14:textId="77777777" w:rsidR="002B594A" w:rsidRPr="00BE5613" w:rsidRDefault="002B594A" w:rsidP="003D4C06">
            <w:pPr>
              <w:jc w:val="center"/>
              <w:rPr>
                <w:sz w:val="22"/>
                <w:szCs w:val="22"/>
              </w:rPr>
            </w:pPr>
            <w:r w:rsidRPr="00BE5613">
              <w:rPr>
                <w:sz w:val="22"/>
                <w:szCs w:val="22"/>
              </w:rPr>
              <w:t>-0.549</w:t>
            </w:r>
          </w:p>
        </w:tc>
        <w:tc>
          <w:tcPr>
            <w:tcW w:w="960" w:type="dxa"/>
            <w:tcBorders>
              <w:left w:val="single" w:sz="4" w:space="0" w:color="auto"/>
              <w:bottom w:val="single" w:sz="4" w:space="0" w:color="auto"/>
            </w:tcBorders>
            <w:shd w:val="clear" w:color="auto" w:fill="FFFFFF"/>
            <w:vAlign w:val="bottom"/>
          </w:tcPr>
          <w:p w14:paraId="74488905" w14:textId="77777777" w:rsidR="002B594A" w:rsidRPr="00BE5613" w:rsidRDefault="002B594A" w:rsidP="003D4C06">
            <w:pPr>
              <w:jc w:val="center"/>
              <w:rPr>
                <w:sz w:val="22"/>
                <w:szCs w:val="22"/>
              </w:rPr>
            </w:pPr>
            <w:r w:rsidRPr="00BE5613">
              <w:rPr>
                <w:sz w:val="22"/>
                <w:szCs w:val="22"/>
              </w:rPr>
              <w:t>-0.546</w:t>
            </w:r>
          </w:p>
        </w:tc>
        <w:tc>
          <w:tcPr>
            <w:tcW w:w="960" w:type="dxa"/>
            <w:tcBorders>
              <w:bottom w:val="single" w:sz="4" w:space="0" w:color="auto"/>
            </w:tcBorders>
            <w:shd w:val="clear" w:color="auto" w:fill="FFFFFF"/>
            <w:vAlign w:val="bottom"/>
          </w:tcPr>
          <w:p w14:paraId="1DBD8ACA" w14:textId="77777777" w:rsidR="002B594A" w:rsidRPr="00BE5613" w:rsidRDefault="002B594A" w:rsidP="003D4C06">
            <w:pPr>
              <w:jc w:val="center"/>
              <w:rPr>
                <w:sz w:val="22"/>
                <w:szCs w:val="22"/>
              </w:rPr>
            </w:pPr>
            <w:r w:rsidRPr="00BE5613">
              <w:rPr>
                <w:sz w:val="22"/>
                <w:szCs w:val="22"/>
              </w:rPr>
              <w:t>-0.241</w:t>
            </w:r>
          </w:p>
        </w:tc>
        <w:tc>
          <w:tcPr>
            <w:tcW w:w="960" w:type="dxa"/>
            <w:tcBorders>
              <w:bottom w:val="single" w:sz="4" w:space="0" w:color="auto"/>
              <w:right w:val="single" w:sz="4" w:space="0" w:color="auto"/>
            </w:tcBorders>
            <w:shd w:val="clear" w:color="auto" w:fill="FFFFFF"/>
            <w:vAlign w:val="bottom"/>
          </w:tcPr>
          <w:p w14:paraId="0B823889" w14:textId="77777777" w:rsidR="002B594A" w:rsidRPr="00BE5613" w:rsidRDefault="002B594A" w:rsidP="003D4C06">
            <w:pPr>
              <w:jc w:val="center"/>
              <w:rPr>
                <w:sz w:val="22"/>
                <w:szCs w:val="22"/>
              </w:rPr>
            </w:pPr>
            <w:r w:rsidRPr="00BE5613">
              <w:rPr>
                <w:sz w:val="22"/>
                <w:szCs w:val="22"/>
              </w:rPr>
              <w:t>-0.227</w:t>
            </w:r>
          </w:p>
        </w:tc>
        <w:tc>
          <w:tcPr>
            <w:tcW w:w="960" w:type="dxa"/>
            <w:tcBorders>
              <w:left w:val="single" w:sz="4" w:space="0" w:color="auto"/>
              <w:bottom w:val="single" w:sz="4" w:space="0" w:color="auto"/>
            </w:tcBorders>
            <w:shd w:val="clear" w:color="auto" w:fill="FFFFFF"/>
            <w:vAlign w:val="bottom"/>
          </w:tcPr>
          <w:p w14:paraId="1DBF8862" w14:textId="77777777" w:rsidR="002B594A" w:rsidRPr="00BE5613" w:rsidRDefault="002B594A" w:rsidP="003D4C06">
            <w:pPr>
              <w:jc w:val="center"/>
              <w:rPr>
                <w:sz w:val="22"/>
                <w:szCs w:val="22"/>
              </w:rPr>
            </w:pPr>
            <w:r w:rsidRPr="00BE5613">
              <w:rPr>
                <w:sz w:val="22"/>
                <w:szCs w:val="22"/>
              </w:rPr>
              <w:t>0.960</w:t>
            </w:r>
          </w:p>
        </w:tc>
        <w:tc>
          <w:tcPr>
            <w:tcW w:w="961" w:type="dxa"/>
            <w:tcBorders>
              <w:bottom w:val="single" w:sz="4" w:space="0" w:color="auto"/>
            </w:tcBorders>
            <w:shd w:val="clear" w:color="auto" w:fill="FFFFFF"/>
            <w:vAlign w:val="bottom"/>
          </w:tcPr>
          <w:p w14:paraId="57DFDC4F" w14:textId="77777777" w:rsidR="002B594A" w:rsidRPr="00BE5613" w:rsidRDefault="002B594A" w:rsidP="003D4C06">
            <w:pPr>
              <w:jc w:val="center"/>
              <w:rPr>
                <w:sz w:val="22"/>
                <w:szCs w:val="22"/>
              </w:rPr>
            </w:pPr>
            <w:r w:rsidRPr="00BE5613">
              <w:rPr>
                <w:sz w:val="22"/>
                <w:szCs w:val="22"/>
              </w:rPr>
              <w:t>0.994</w:t>
            </w:r>
          </w:p>
        </w:tc>
        <w:tc>
          <w:tcPr>
            <w:tcW w:w="961" w:type="dxa"/>
            <w:tcBorders>
              <w:bottom w:val="single" w:sz="4" w:space="0" w:color="auto"/>
              <w:right w:val="single" w:sz="4" w:space="0" w:color="auto"/>
            </w:tcBorders>
            <w:shd w:val="clear" w:color="auto" w:fill="FFFFFF"/>
            <w:vAlign w:val="bottom"/>
          </w:tcPr>
          <w:p w14:paraId="4213B231" w14:textId="77777777" w:rsidR="002B594A" w:rsidRPr="00BE5613" w:rsidRDefault="002B594A" w:rsidP="003D4C06">
            <w:pPr>
              <w:jc w:val="center"/>
              <w:rPr>
                <w:sz w:val="22"/>
                <w:szCs w:val="22"/>
              </w:rPr>
            </w:pPr>
            <w:r w:rsidRPr="00BE5613">
              <w:rPr>
                <w:sz w:val="22"/>
                <w:szCs w:val="22"/>
              </w:rPr>
              <w:t>1.000</w:t>
            </w:r>
          </w:p>
        </w:tc>
        <w:tc>
          <w:tcPr>
            <w:tcW w:w="961" w:type="dxa"/>
            <w:tcBorders>
              <w:left w:val="single" w:sz="4" w:space="0" w:color="auto"/>
              <w:bottom w:val="single" w:sz="4" w:space="0" w:color="auto"/>
            </w:tcBorders>
            <w:shd w:val="clear" w:color="auto" w:fill="FFFFFF"/>
            <w:vAlign w:val="bottom"/>
          </w:tcPr>
          <w:p w14:paraId="08A7E66F" w14:textId="77777777" w:rsidR="002B594A" w:rsidRPr="00BE5613" w:rsidRDefault="002B594A" w:rsidP="003D4C06">
            <w:pPr>
              <w:jc w:val="center"/>
              <w:rPr>
                <w:sz w:val="22"/>
                <w:szCs w:val="22"/>
              </w:rPr>
            </w:pPr>
          </w:p>
        </w:tc>
        <w:tc>
          <w:tcPr>
            <w:tcW w:w="961" w:type="dxa"/>
            <w:tcBorders>
              <w:bottom w:val="single" w:sz="4" w:space="0" w:color="auto"/>
            </w:tcBorders>
            <w:shd w:val="clear" w:color="auto" w:fill="FFFFFF"/>
            <w:vAlign w:val="bottom"/>
          </w:tcPr>
          <w:p w14:paraId="2C3FE1A1" w14:textId="77777777" w:rsidR="002B594A" w:rsidRPr="00BE5613" w:rsidRDefault="002B594A" w:rsidP="003D4C06">
            <w:pPr>
              <w:jc w:val="center"/>
              <w:rPr>
                <w:sz w:val="22"/>
                <w:szCs w:val="22"/>
              </w:rPr>
            </w:pPr>
          </w:p>
        </w:tc>
        <w:tc>
          <w:tcPr>
            <w:tcW w:w="961" w:type="dxa"/>
            <w:tcBorders>
              <w:bottom w:val="single" w:sz="4" w:space="0" w:color="auto"/>
              <w:right w:val="single" w:sz="4" w:space="0" w:color="auto"/>
            </w:tcBorders>
            <w:shd w:val="clear" w:color="auto" w:fill="FFFFFF"/>
            <w:vAlign w:val="bottom"/>
          </w:tcPr>
          <w:p w14:paraId="29BFA4E6" w14:textId="77777777" w:rsidR="002B594A" w:rsidRPr="00BE5613" w:rsidRDefault="002B594A" w:rsidP="003D4C06">
            <w:pPr>
              <w:jc w:val="center"/>
              <w:rPr>
                <w:sz w:val="22"/>
                <w:szCs w:val="22"/>
              </w:rPr>
            </w:pPr>
          </w:p>
        </w:tc>
      </w:tr>
      <w:tr w:rsidR="002B594A" w:rsidRPr="00BE5613" w14:paraId="766BEC7C" w14:textId="77777777">
        <w:trPr>
          <w:trHeight w:val="41"/>
          <w:jc w:val="right"/>
        </w:trPr>
        <w:tc>
          <w:tcPr>
            <w:tcW w:w="1219" w:type="dxa"/>
            <w:vMerge w:val="restart"/>
            <w:tcBorders>
              <w:top w:val="single" w:sz="4" w:space="0" w:color="auto"/>
              <w:left w:val="single" w:sz="4" w:space="0" w:color="auto"/>
            </w:tcBorders>
            <w:shd w:val="clear" w:color="auto" w:fill="FFFFFF"/>
            <w:vAlign w:val="center"/>
          </w:tcPr>
          <w:p w14:paraId="1BB6C0BA" w14:textId="77777777" w:rsidR="002B594A" w:rsidRPr="00BE5613" w:rsidRDefault="002B594A" w:rsidP="003D4C06">
            <w:pPr>
              <w:jc w:val="center"/>
              <w:rPr>
                <w:sz w:val="22"/>
                <w:szCs w:val="22"/>
              </w:rPr>
            </w:pPr>
            <w:r w:rsidRPr="00BE5613">
              <w:rPr>
                <w:sz w:val="22"/>
                <w:szCs w:val="22"/>
              </w:rPr>
              <w:t>Model IV</w:t>
            </w:r>
          </w:p>
        </w:tc>
        <w:tc>
          <w:tcPr>
            <w:tcW w:w="1244" w:type="dxa"/>
            <w:tcBorders>
              <w:top w:val="single" w:sz="4" w:space="0" w:color="auto"/>
              <w:right w:val="single" w:sz="4" w:space="0" w:color="auto"/>
            </w:tcBorders>
            <w:shd w:val="clear" w:color="auto" w:fill="FFFFFF"/>
            <w:vAlign w:val="bottom"/>
          </w:tcPr>
          <w:p w14:paraId="4D0C5E5C" w14:textId="77777777" w:rsidR="002B594A" w:rsidRPr="00BE5613" w:rsidRDefault="002B594A" w:rsidP="003D4C06">
            <w:pPr>
              <w:jc w:val="center"/>
              <w:rPr>
                <w:sz w:val="22"/>
                <w:szCs w:val="22"/>
              </w:rPr>
            </w:pPr>
            <w:r w:rsidRPr="00BE5613">
              <w:rPr>
                <w:sz w:val="22"/>
                <w:szCs w:val="22"/>
              </w:rPr>
              <w:t>U score</w:t>
            </w:r>
          </w:p>
        </w:tc>
        <w:tc>
          <w:tcPr>
            <w:tcW w:w="960" w:type="dxa"/>
            <w:tcBorders>
              <w:top w:val="single" w:sz="4" w:space="0" w:color="auto"/>
              <w:left w:val="single" w:sz="4" w:space="0" w:color="auto"/>
            </w:tcBorders>
            <w:shd w:val="clear" w:color="auto" w:fill="FFFFFF"/>
            <w:vAlign w:val="bottom"/>
          </w:tcPr>
          <w:p w14:paraId="6E8CD180" w14:textId="77777777" w:rsidR="002B594A" w:rsidRPr="00BE5613" w:rsidRDefault="002B594A" w:rsidP="003D4C06">
            <w:pPr>
              <w:jc w:val="center"/>
              <w:rPr>
                <w:sz w:val="22"/>
                <w:szCs w:val="22"/>
              </w:rPr>
            </w:pPr>
            <w:r w:rsidRPr="00BE5613">
              <w:rPr>
                <w:sz w:val="22"/>
                <w:szCs w:val="22"/>
              </w:rPr>
              <w:t>0.876</w:t>
            </w:r>
          </w:p>
        </w:tc>
        <w:tc>
          <w:tcPr>
            <w:tcW w:w="960" w:type="dxa"/>
            <w:tcBorders>
              <w:top w:val="single" w:sz="4" w:space="0" w:color="auto"/>
            </w:tcBorders>
            <w:shd w:val="clear" w:color="auto" w:fill="FFFFFF"/>
            <w:vAlign w:val="bottom"/>
          </w:tcPr>
          <w:p w14:paraId="2B4E12CA" w14:textId="77777777" w:rsidR="002B594A" w:rsidRPr="00BE5613" w:rsidRDefault="002B594A" w:rsidP="003D4C06">
            <w:pPr>
              <w:jc w:val="center"/>
              <w:rPr>
                <w:sz w:val="22"/>
                <w:szCs w:val="22"/>
              </w:rPr>
            </w:pPr>
            <w:r w:rsidRPr="00BE5613">
              <w:rPr>
                <w:sz w:val="22"/>
                <w:szCs w:val="22"/>
              </w:rPr>
              <w:t>0.892</w:t>
            </w:r>
          </w:p>
        </w:tc>
        <w:tc>
          <w:tcPr>
            <w:tcW w:w="960" w:type="dxa"/>
            <w:tcBorders>
              <w:top w:val="single" w:sz="4" w:space="0" w:color="auto"/>
              <w:right w:val="single" w:sz="4" w:space="0" w:color="auto"/>
            </w:tcBorders>
            <w:shd w:val="clear" w:color="auto" w:fill="FFFFFF"/>
            <w:vAlign w:val="bottom"/>
          </w:tcPr>
          <w:p w14:paraId="6D338973" w14:textId="77777777" w:rsidR="002B594A" w:rsidRPr="00BE5613" w:rsidRDefault="002B594A" w:rsidP="003D4C06">
            <w:pPr>
              <w:jc w:val="center"/>
              <w:rPr>
                <w:sz w:val="22"/>
                <w:szCs w:val="22"/>
              </w:rPr>
            </w:pPr>
            <w:r w:rsidRPr="00BE5613">
              <w:rPr>
                <w:sz w:val="22"/>
                <w:szCs w:val="22"/>
              </w:rPr>
              <w:t>0.900</w:t>
            </w:r>
          </w:p>
        </w:tc>
        <w:tc>
          <w:tcPr>
            <w:tcW w:w="960" w:type="dxa"/>
            <w:tcBorders>
              <w:top w:val="single" w:sz="4" w:space="0" w:color="auto"/>
              <w:left w:val="single" w:sz="4" w:space="0" w:color="auto"/>
            </w:tcBorders>
            <w:shd w:val="clear" w:color="auto" w:fill="FFFFFF"/>
            <w:vAlign w:val="bottom"/>
          </w:tcPr>
          <w:p w14:paraId="6D2CF836" w14:textId="77777777" w:rsidR="002B594A" w:rsidRPr="00BE5613" w:rsidRDefault="002B594A" w:rsidP="003D4C06">
            <w:pPr>
              <w:jc w:val="center"/>
              <w:rPr>
                <w:sz w:val="22"/>
                <w:szCs w:val="22"/>
              </w:rPr>
            </w:pPr>
            <w:r w:rsidRPr="00BE5613">
              <w:rPr>
                <w:sz w:val="22"/>
                <w:szCs w:val="22"/>
              </w:rPr>
              <w:t>0.903</w:t>
            </w:r>
          </w:p>
        </w:tc>
        <w:tc>
          <w:tcPr>
            <w:tcW w:w="960" w:type="dxa"/>
            <w:tcBorders>
              <w:top w:val="single" w:sz="4" w:space="0" w:color="auto"/>
            </w:tcBorders>
            <w:shd w:val="clear" w:color="auto" w:fill="FFFFFF"/>
            <w:vAlign w:val="bottom"/>
          </w:tcPr>
          <w:p w14:paraId="713B1E22" w14:textId="77777777" w:rsidR="002B594A" w:rsidRPr="00BE5613" w:rsidRDefault="002B594A" w:rsidP="003D4C06">
            <w:pPr>
              <w:jc w:val="center"/>
              <w:rPr>
                <w:sz w:val="22"/>
                <w:szCs w:val="22"/>
              </w:rPr>
            </w:pPr>
            <w:r w:rsidRPr="00BE5613">
              <w:rPr>
                <w:sz w:val="22"/>
                <w:szCs w:val="22"/>
              </w:rPr>
              <w:t>0.973</w:t>
            </w:r>
          </w:p>
        </w:tc>
        <w:tc>
          <w:tcPr>
            <w:tcW w:w="960" w:type="dxa"/>
            <w:tcBorders>
              <w:top w:val="single" w:sz="4" w:space="0" w:color="auto"/>
              <w:right w:val="single" w:sz="4" w:space="0" w:color="auto"/>
            </w:tcBorders>
            <w:shd w:val="clear" w:color="auto" w:fill="FFFFFF"/>
            <w:vAlign w:val="bottom"/>
          </w:tcPr>
          <w:p w14:paraId="03FFFB90" w14:textId="77777777" w:rsidR="002B594A" w:rsidRPr="00BE5613" w:rsidRDefault="002B594A" w:rsidP="003D4C06">
            <w:pPr>
              <w:jc w:val="center"/>
              <w:rPr>
                <w:sz w:val="22"/>
                <w:szCs w:val="22"/>
              </w:rPr>
            </w:pPr>
            <w:r w:rsidRPr="00BE5613">
              <w:rPr>
                <w:sz w:val="22"/>
                <w:szCs w:val="22"/>
              </w:rPr>
              <w:t>0.995</w:t>
            </w:r>
          </w:p>
        </w:tc>
        <w:tc>
          <w:tcPr>
            <w:tcW w:w="960" w:type="dxa"/>
            <w:tcBorders>
              <w:top w:val="single" w:sz="4" w:space="0" w:color="auto"/>
              <w:left w:val="single" w:sz="4" w:space="0" w:color="auto"/>
            </w:tcBorders>
            <w:shd w:val="clear" w:color="auto" w:fill="FFFFFF"/>
            <w:vAlign w:val="bottom"/>
          </w:tcPr>
          <w:p w14:paraId="0E626482" w14:textId="77777777" w:rsidR="002B594A" w:rsidRPr="00BE5613" w:rsidRDefault="002B594A" w:rsidP="003D4C06">
            <w:pPr>
              <w:jc w:val="center"/>
              <w:rPr>
                <w:sz w:val="22"/>
                <w:szCs w:val="22"/>
              </w:rPr>
            </w:pPr>
            <w:r w:rsidRPr="00BE5613">
              <w:rPr>
                <w:sz w:val="22"/>
                <w:szCs w:val="22"/>
              </w:rPr>
              <w:t>-0.293</w:t>
            </w:r>
          </w:p>
        </w:tc>
        <w:tc>
          <w:tcPr>
            <w:tcW w:w="961" w:type="dxa"/>
            <w:tcBorders>
              <w:top w:val="single" w:sz="4" w:space="0" w:color="auto"/>
            </w:tcBorders>
            <w:shd w:val="clear" w:color="auto" w:fill="FFFFFF"/>
            <w:vAlign w:val="bottom"/>
          </w:tcPr>
          <w:p w14:paraId="6FB6949C" w14:textId="77777777" w:rsidR="002B594A" w:rsidRPr="00BE5613" w:rsidRDefault="002B594A" w:rsidP="003D4C06">
            <w:pPr>
              <w:jc w:val="center"/>
              <w:rPr>
                <w:sz w:val="22"/>
                <w:szCs w:val="22"/>
              </w:rPr>
            </w:pPr>
            <w:r w:rsidRPr="00BE5613">
              <w:rPr>
                <w:sz w:val="22"/>
                <w:szCs w:val="22"/>
              </w:rPr>
              <w:t>-0.298</w:t>
            </w:r>
          </w:p>
        </w:tc>
        <w:tc>
          <w:tcPr>
            <w:tcW w:w="961" w:type="dxa"/>
            <w:tcBorders>
              <w:top w:val="single" w:sz="4" w:space="0" w:color="auto"/>
              <w:right w:val="single" w:sz="4" w:space="0" w:color="auto"/>
            </w:tcBorders>
            <w:shd w:val="clear" w:color="auto" w:fill="FFFFFF"/>
            <w:vAlign w:val="bottom"/>
          </w:tcPr>
          <w:p w14:paraId="4A700627" w14:textId="77777777" w:rsidR="002B594A" w:rsidRPr="00BE5613" w:rsidRDefault="002B594A" w:rsidP="003D4C06">
            <w:pPr>
              <w:jc w:val="center"/>
              <w:rPr>
                <w:sz w:val="22"/>
                <w:szCs w:val="22"/>
              </w:rPr>
            </w:pPr>
            <w:r w:rsidRPr="00BE5613">
              <w:rPr>
                <w:sz w:val="22"/>
                <w:szCs w:val="22"/>
              </w:rPr>
              <w:t>-0.224</w:t>
            </w:r>
          </w:p>
        </w:tc>
        <w:tc>
          <w:tcPr>
            <w:tcW w:w="961" w:type="dxa"/>
            <w:tcBorders>
              <w:top w:val="single" w:sz="4" w:space="0" w:color="auto"/>
              <w:left w:val="single" w:sz="4" w:space="0" w:color="auto"/>
            </w:tcBorders>
            <w:shd w:val="clear" w:color="auto" w:fill="FFFFFF"/>
            <w:vAlign w:val="bottom"/>
          </w:tcPr>
          <w:p w14:paraId="46A8EC25" w14:textId="77777777" w:rsidR="002B594A" w:rsidRPr="00BE5613" w:rsidRDefault="002B594A" w:rsidP="003D4C06">
            <w:pPr>
              <w:jc w:val="center"/>
              <w:rPr>
                <w:sz w:val="22"/>
                <w:szCs w:val="22"/>
              </w:rPr>
            </w:pPr>
            <w:r w:rsidRPr="00BE5613">
              <w:rPr>
                <w:sz w:val="22"/>
                <w:szCs w:val="22"/>
              </w:rPr>
              <w:t>1.000</w:t>
            </w:r>
          </w:p>
        </w:tc>
        <w:tc>
          <w:tcPr>
            <w:tcW w:w="961" w:type="dxa"/>
            <w:tcBorders>
              <w:top w:val="single" w:sz="4" w:space="0" w:color="auto"/>
            </w:tcBorders>
            <w:shd w:val="clear" w:color="auto" w:fill="FFFFFF"/>
            <w:vAlign w:val="bottom"/>
          </w:tcPr>
          <w:p w14:paraId="59782972" w14:textId="77777777" w:rsidR="002B594A" w:rsidRPr="00BE5613" w:rsidRDefault="002B594A" w:rsidP="003D4C06">
            <w:pPr>
              <w:jc w:val="center"/>
              <w:rPr>
                <w:sz w:val="22"/>
                <w:szCs w:val="22"/>
              </w:rPr>
            </w:pPr>
          </w:p>
        </w:tc>
        <w:tc>
          <w:tcPr>
            <w:tcW w:w="961" w:type="dxa"/>
            <w:tcBorders>
              <w:top w:val="single" w:sz="4" w:space="0" w:color="auto"/>
              <w:right w:val="single" w:sz="4" w:space="0" w:color="auto"/>
            </w:tcBorders>
            <w:shd w:val="clear" w:color="auto" w:fill="FFFFFF"/>
            <w:vAlign w:val="bottom"/>
          </w:tcPr>
          <w:p w14:paraId="71DAEABB" w14:textId="77777777" w:rsidR="002B594A" w:rsidRPr="00BE5613" w:rsidRDefault="002B594A" w:rsidP="003D4C06">
            <w:pPr>
              <w:jc w:val="center"/>
              <w:rPr>
                <w:sz w:val="22"/>
                <w:szCs w:val="22"/>
              </w:rPr>
            </w:pPr>
          </w:p>
        </w:tc>
      </w:tr>
      <w:tr w:rsidR="002B594A" w:rsidRPr="00BE5613" w14:paraId="6E8D7DFE" w14:textId="77777777">
        <w:trPr>
          <w:trHeight w:val="41"/>
          <w:jc w:val="right"/>
        </w:trPr>
        <w:tc>
          <w:tcPr>
            <w:tcW w:w="1219" w:type="dxa"/>
            <w:vMerge/>
            <w:tcBorders>
              <w:left w:val="single" w:sz="4" w:space="0" w:color="auto"/>
            </w:tcBorders>
            <w:shd w:val="clear" w:color="auto" w:fill="FFFFFF"/>
            <w:vAlign w:val="center"/>
          </w:tcPr>
          <w:p w14:paraId="255C4842" w14:textId="77777777" w:rsidR="002B594A" w:rsidRPr="00BE5613" w:rsidRDefault="002B594A" w:rsidP="003D4C06">
            <w:pPr>
              <w:ind w:left="142" w:right="255"/>
              <w:rPr>
                <w:sz w:val="22"/>
                <w:szCs w:val="22"/>
              </w:rPr>
            </w:pPr>
          </w:p>
        </w:tc>
        <w:tc>
          <w:tcPr>
            <w:tcW w:w="1244" w:type="dxa"/>
            <w:tcBorders>
              <w:right w:val="single" w:sz="4" w:space="0" w:color="auto"/>
            </w:tcBorders>
            <w:shd w:val="clear" w:color="auto" w:fill="FFFFFF"/>
            <w:vAlign w:val="bottom"/>
          </w:tcPr>
          <w:p w14:paraId="604CE584" w14:textId="77777777" w:rsidR="002B594A" w:rsidRPr="00BE5613" w:rsidRDefault="002B594A" w:rsidP="003D4C06">
            <w:pPr>
              <w:jc w:val="center"/>
              <w:rPr>
                <w:sz w:val="22"/>
                <w:szCs w:val="22"/>
              </w:rPr>
            </w:pPr>
            <w:r w:rsidRPr="00BE5613">
              <w:rPr>
                <w:sz w:val="22"/>
                <w:szCs w:val="22"/>
              </w:rPr>
              <w:t>C score</w:t>
            </w:r>
          </w:p>
        </w:tc>
        <w:tc>
          <w:tcPr>
            <w:tcW w:w="960" w:type="dxa"/>
            <w:tcBorders>
              <w:left w:val="single" w:sz="4" w:space="0" w:color="auto"/>
            </w:tcBorders>
            <w:shd w:val="clear" w:color="auto" w:fill="FFFFFF"/>
            <w:vAlign w:val="bottom"/>
          </w:tcPr>
          <w:p w14:paraId="010DD51E" w14:textId="77777777" w:rsidR="002B594A" w:rsidRPr="00BE5613" w:rsidRDefault="002B594A" w:rsidP="003D4C06">
            <w:pPr>
              <w:jc w:val="center"/>
              <w:rPr>
                <w:sz w:val="22"/>
                <w:szCs w:val="22"/>
              </w:rPr>
            </w:pPr>
            <w:r w:rsidRPr="00BE5613">
              <w:rPr>
                <w:sz w:val="22"/>
                <w:szCs w:val="22"/>
              </w:rPr>
              <w:t>0.873</w:t>
            </w:r>
            <w:r w:rsidRPr="00BE5613">
              <w:rPr>
                <w:sz w:val="22"/>
                <w:szCs w:val="22"/>
                <w:vertAlign w:val="superscript"/>
              </w:rPr>
              <w:t>(–1)</w:t>
            </w:r>
          </w:p>
        </w:tc>
        <w:tc>
          <w:tcPr>
            <w:tcW w:w="960" w:type="dxa"/>
            <w:shd w:val="clear" w:color="auto" w:fill="FFFFFF"/>
            <w:vAlign w:val="bottom"/>
          </w:tcPr>
          <w:p w14:paraId="0AB5A36A" w14:textId="77777777" w:rsidR="002B594A" w:rsidRPr="00BE5613" w:rsidRDefault="002B594A" w:rsidP="003D4C06">
            <w:pPr>
              <w:jc w:val="center"/>
              <w:rPr>
                <w:sz w:val="22"/>
                <w:szCs w:val="22"/>
              </w:rPr>
            </w:pPr>
            <w:r w:rsidRPr="00BE5613">
              <w:rPr>
                <w:sz w:val="22"/>
                <w:szCs w:val="22"/>
              </w:rPr>
              <w:t>0.891</w:t>
            </w:r>
          </w:p>
        </w:tc>
        <w:tc>
          <w:tcPr>
            <w:tcW w:w="960" w:type="dxa"/>
            <w:tcBorders>
              <w:right w:val="single" w:sz="4" w:space="0" w:color="auto"/>
            </w:tcBorders>
            <w:shd w:val="clear" w:color="auto" w:fill="FFFFFF"/>
            <w:vAlign w:val="bottom"/>
          </w:tcPr>
          <w:p w14:paraId="754ABFDF" w14:textId="77777777" w:rsidR="002B594A" w:rsidRPr="00BE5613" w:rsidRDefault="002B594A" w:rsidP="003D4C06">
            <w:pPr>
              <w:jc w:val="center"/>
              <w:rPr>
                <w:sz w:val="22"/>
                <w:szCs w:val="22"/>
              </w:rPr>
            </w:pPr>
            <w:r w:rsidRPr="00BE5613">
              <w:rPr>
                <w:sz w:val="22"/>
                <w:szCs w:val="22"/>
              </w:rPr>
              <w:t>0.900</w:t>
            </w:r>
          </w:p>
        </w:tc>
        <w:tc>
          <w:tcPr>
            <w:tcW w:w="960" w:type="dxa"/>
            <w:tcBorders>
              <w:left w:val="single" w:sz="4" w:space="0" w:color="auto"/>
            </w:tcBorders>
            <w:shd w:val="clear" w:color="auto" w:fill="FFFFFF"/>
            <w:vAlign w:val="bottom"/>
          </w:tcPr>
          <w:p w14:paraId="4FAFB35A" w14:textId="77777777" w:rsidR="002B594A" w:rsidRPr="00BE5613" w:rsidRDefault="002B594A" w:rsidP="003D4C06">
            <w:pPr>
              <w:jc w:val="center"/>
              <w:rPr>
                <w:sz w:val="22"/>
                <w:szCs w:val="22"/>
              </w:rPr>
            </w:pPr>
            <w:r w:rsidRPr="00BE5613">
              <w:rPr>
                <w:sz w:val="22"/>
                <w:szCs w:val="22"/>
              </w:rPr>
              <w:t>0.904</w:t>
            </w:r>
          </w:p>
        </w:tc>
        <w:tc>
          <w:tcPr>
            <w:tcW w:w="960" w:type="dxa"/>
            <w:shd w:val="clear" w:color="auto" w:fill="FFFFFF"/>
            <w:vAlign w:val="bottom"/>
          </w:tcPr>
          <w:p w14:paraId="22806421" w14:textId="77777777" w:rsidR="002B594A" w:rsidRPr="00BE5613" w:rsidRDefault="002B594A" w:rsidP="003D4C06">
            <w:pPr>
              <w:jc w:val="center"/>
              <w:rPr>
                <w:sz w:val="22"/>
                <w:szCs w:val="22"/>
              </w:rPr>
            </w:pPr>
            <w:r w:rsidRPr="00BE5613">
              <w:rPr>
                <w:sz w:val="22"/>
                <w:szCs w:val="22"/>
              </w:rPr>
              <w:t>0.961</w:t>
            </w:r>
            <w:r w:rsidRPr="00BE5613">
              <w:rPr>
                <w:sz w:val="22"/>
                <w:szCs w:val="22"/>
                <w:vertAlign w:val="superscript"/>
              </w:rPr>
              <w:t>(–1)</w:t>
            </w:r>
          </w:p>
        </w:tc>
        <w:tc>
          <w:tcPr>
            <w:tcW w:w="960" w:type="dxa"/>
            <w:tcBorders>
              <w:right w:val="single" w:sz="4" w:space="0" w:color="auto"/>
            </w:tcBorders>
            <w:shd w:val="clear" w:color="auto" w:fill="FFFFFF"/>
            <w:vAlign w:val="bottom"/>
          </w:tcPr>
          <w:p w14:paraId="328E1710" w14:textId="77777777" w:rsidR="002B594A" w:rsidRPr="00BE5613" w:rsidRDefault="002B594A" w:rsidP="003D4C06">
            <w:pPr>
              <w:jc w:val="center"/>
              <w:rPr>
                <w:sz w:val="22"/>
                <w:szCs w:val="22"/>
              </w:rPr>
            </w:pPr>
            <w:r w:rsidRPr="00BE5613">
              <w:rPr>
                <w:sz w:val="22"/>
                <w:szCs w:val="22"/>
              </w:rPr>
              <w:t>0.988</w:t>
            </w:r>
          </w:p>
        </w:tc>
        <w:tc>
          <w:tcPr>
            <w:tcW w:w="960" w:type="dxa"/>
            <w:tcBorders>
              <w:left w:val="single" w:sz="4" w:space="0" w:color="auto"/>
            </w:tcBorders>
            <w:shd w:val="clear" w:color="auto" w:fill="FFFFFF"/>
            <w:vAlign w:val="bottom"/>
          </w:tcPr>
          <w:p w14:paraId="101788D2" w14:textId="77777777" w:rsidR="002B594A" w:rsidRPr="00BE5613" w:rsidRDefault="002B594A" w:rsidP="003D4C06">
            <w:pPr>
              <w:jc w:val="center"/>
              <w:rPr>
                <w:sz w:val="22"/>
                <w:szCs w:val="22"/>
              </w:rPr>
            </w:pPr>
            <w:r w:rsidRPr="00BE5613">
              <w:rPr>
                <w:sz w:val="22"/>
                <w:szCs w:val="22"/>
              </w:rPr>
              <w:t>-0.249</w:t>
            </w:r>
          </w:p>
        </w:tc>
        <w:tc>
          <w:tcPr>
            <w:tcW w:w="961" w:type="dxa"/>
            <w:shd w:val="clear" w:color="auto" w:fill="FFFFFF"/>
            <w:vAlign w:val="bottom"/>
          </w:tcPr>
          <w:p w14:paraId="71E8A91E" w14:textId="77777777" w:rsidR="002B594A" w:rsidRPr="00BE5613" w:rsidRDefault="002B594A" w:rsidP="003D4C06">
            <w:pPr>
              <w:jc w:val="center"/>
              <w:rPr>
                <w:sz w:val="22"/>
                <w:szCs w:val="22"/>
              </w:rPr>
            </w:pPr>
            <w:r w:rsidRPr="00BE5613">
              <w:rPr>
                <w:sz w:val="22"/>
                <w:szCs w:val="22"/>
              </w:rPr>
              <w:t>-0.252</w:t>
            </w:r>
          </w:p>
        </w:tc>
        <w:tc>
          <w:tcPr>
            <w:tcW w:w="961" w:type="dxa"/>
            <w:tcBorders>
              <w:right w:val="single" w:sz="4" w:space="0" w:color="auto"/>
            </w:tcBorders>
            <w:shd w:val="clear" w:color="auto" w:fill="FFFFFF"/>
            <w:vAlign w:val="bottom"/>
          </w:tcPr>
          <w:p w14:paraId="05ACD305" w14:textId="77777777" w:rsidR="002B594A" w:rsidRPr="00BE5613" w:rsidRDefault="002B594A" w:rsidP="003D4C06">
            <w:pPr>
              <w:jc w:val="center"/>
              <w:rPr>
                <w:sz w:val="22"/>
                <w:szCs w:val="22"/>
              </w:rPr>
            </w:pPr>
            <w:r w:rsidRPr="00BE5613">
              <w:rPr>
                <w:sz w:val="22"/>
                <w:szCs w:val="22"/>
              </w:rPr>
              <w:t>-0.225</w:t>
            </w:r>
          </w:p>
        </w:tc>
        <w:tc>
          <w:tcPr>
            <w:tcW w:w="961" w:type="dxa"/>
            <w:tcBorders>
              <w:left w:val="single" w:sz="4" w:space="0" w:color="auto"/>
            </w:tcBorders>
            <w:shd w:val="clear" w:color="auto" w:fill="FFFFFF"/>
            <w:vAlign w:val="bottom"/>
          </w:tcPr>
          <w:p w14:paraId="522828AD" w14:textId="77777777" w:rsidR="002B594A" w:rsidRPr="00BE5613" w:rsidRDefault="002B594A" w:rsidP="003D4C06">
            <w:pPr>
              <w:jc w:val="center"/>
              <w:rPr>
                <w:sz w:val="22"/>
                <w:szCs w:val="22"/>
              </w:rPr>
            </w:pPr>
            <w:r w:rsidRPr="00BE5613">
              <w:rPr>
                <w:sz w:val="22"/>
                <w:szCs w:val="22"/>
              </w:rPr>
              <w:t>0.995</w:t>
            </w:r>
          </w:p>
        </w:tc>
        <w:tc>
          <w:tcPr>
            <w:tcW w:w="961" w:type="dxa"/>
            <w:shd w:val="clear" w:color="auto" w:fill="FFFFFF"/>
            <w:vAlign w:val="bottom"/>
          </w:tcPr>
          <w:p w14:paraId="69AD6816" w14:textId="77777777" w:rsidR="002B594A" w:rsidRPr="00BE5613" w:rsidRDefault="002B594A" w:rsidP="003D4C06">
            <w:pPr>
              <w:jc w:val="center"/>
              <w:rPr>
                <w:sz w:val="22"/>
                <w:szCs w:val="22"/>
              </w:rPr>
            </w:pPr>
            <w:r w:rsidRPr="00BE5613">
              <w:rPr>
                <w:sz w:val="22"/>
                <w:szCs w:val="22"/>
              </w:rPr>
              <w:t>1.000</w:t>
            </w:r>
          </w:p>
        </w:tc>
        <w:tc>
          <w:tcPr>
            <w:tcW w:w="961" w:type="dxa"/>
            <w:tcBorders>
              <w:right w:val="single" w:sz="4" w:space="0" w:color="auto"/>
            </w:tcBorders>
            <w:shd w:val="clear" w:color="auto" w:fill="FFFFFF"/>
            <w:vAlign w:val="bottom"/>
          </w:tcPr>
          <w:p w14:paraId="3C7EFBC5" w14:textId="77777777" w:rsidR="002B594A" w:rsidRPr="00BE5613" w:rsidRDefault="002B594A" w:rsidP="003D4C06">
            <w:pPr>
              <w:jc w:val="center"/>
              <w:rPr>
                <w:sz w:val="22"/>
                <w:szCs w:val="22"/>
              </w:rPr>
            </w:pPr>
          </w:p>
        </w:tc>
      </w:tr>
      <w:tr w:rsidR="002B594A" w:rsidRPr="00BE5613" w14:paraId="49BC53FA" w14:textId="77777777">
        <w:trPr>
          <w:trHeight w:val="41"/>
          <w:jc w:val="right"/>
        </w:trPr>
        <w:tc>
          <w:tcPr>
            <w:tcW w:w="1219" w:type="dxa"/>
            <w:vMerge/>
            <w:tcBorders>
              <w:left w:val="single" w:sz="4" w:space="0" w:color="auto"/>
              <w:bottom w:val="single" w:sz="4" w:space="0" w:color="auto"/>
            </w:tcBorders>
            <w:shd w:val="clear" w:color="auto" w:fill="FFFFFF"/>
            <w:vAlign w:val="center"/>
          </w:tcPr>
          <w:p w14:paraId="452779C7" w14:textId="77777777" w:rsidR="002B594A" w:rsidRPr="00BE5613" w:rsidRDefault="002B594A" w:rsidP="003D4C06">
            <w:pPr>
              <w:ind w:left="142" w:right="255"/>
              <w:rPr>
                <w:sz w:val="22"/>
                <w:szCs w:val="22"/>
              </w:rPr>
            </w:pPr>
          </w:p>
        </w:tc>
        <w:tc>
          <w:tcPr>
            <w:tcW w:w="1244" w:type="dxa"/>
            <w:tcBorders>
              <w:bottom w:val="single" w:sz="4" w:space="0" w:color="auto"/>
              <w:right w:val="single" w:sz="4" w:space="0" w:color="auto"/>
            </w:tcBorders>
            <w:shd w:val="clear" w:color="auto" w:fill="FFFFFF"/>
            <w:vAlign w:val="bottom"/>
          </w:tcPr>
          <w:p w14:paraId="16778E8D" w14:textId="77777777" w:rsidR="002B594A" w:rsidRPr="00BE5613" w:rsidRDefault="002B594A" w:rsidP="003D4C06">
            <w:pPr>
              <w:jc w:val="center"/>
              <w:rPr>
                <w:sz w:val="22"/>
                <w:szCs w:val="22"/>
              </w:rPr>
            </w:pPr>
            <w:r w:rsidRPr="00BE5613">
              <w:rPr>
                <w:sz w:val="22"/>
                <w:szCs w:val="22"/>
              </w:rPr>
              <w:t>UTC ratio</w:t>
            </w:r>
          </w:p>
        </w:tc>
        <w:tc>
          <w:tcPr>
            <w:tcW w:w="960" w:type="dxa"/>
            <w:tcBorders>
              <w:left w:val="single" w:sz="4" w:space="0" w:color="auto"/>
              <w:bottom w:val="single" w:sz="4" w:space="0" w:color="auto"/>
            </w:tcBorders>
            <w:shd w:val="clear" w:color="auto" w:fill="FFFFFF"/>
            <w:vAlign w:val="bottom"/>
          </w:tcPr>
          <w:p w14:paraId="03A4871A" w14:textId="77777777" w:rsidR="002B594A" w:rsidRPr="00BE5613" w:rsidRDefault="002B594A" w:rsidP="003D4C06">
            <w:pPr>
              <w:jc w:val="center"/>
              <w:rPr>
                <w:sz w:val="22"/>
                <w:szCs w:val="22"/>
              </w:rPr>
            </w:pPr>
            <w:r w:rsidRPr="00BE5613">
              <w:rPr>
                <w:sz w:val="22"/>
                <w:szCs w:val="22"/>
              </w:rPr>
              <w:t>-0.665</w:t>
            </w:r>
            <w:r w:rsidRPr="00BE5613">
              <w:rPr>
                <w:sz w:val="22"/>
                <w:szCs w:val="22"/>
                <w:vertAlign w:val="superscript"/>
              </w:rPr>
              <w:t>(+2)</w:t>
            </w:r>
          </w:p>
        </w:tc>
        <w:tc>
          <w:tcPr>
            <w:tcW w:w="960" w:type="dxa"/>
            <w:tcBorders>
              <w:bottom w:val="single" w:sz="4" w:space="0" w:color="auto"/>
            </w:tcBorders>
            <w:shd w:val="clear" w:color="auto" w:fill="FFFFFF"/>
            <w:vAlign w:val="bottom"/>
          </w:tcPr>
          <w:p w14:paraId="59DF95AF" w14:textId="77777777" w:rsidR="002B594A" w:rsidRPr="00BE5613" w:rsidRDefault="002B594A" w:rsidP="003D4C06">
            <w:pPr>
              <w:jc w:val="center"/>
              <w:rPr>
                <w:sz w:val="22"/>
                <w:szCs w:val="22"/>
              </w:rPr>
            </w:pPr>
            <w:r w:rsidRPr="00BE5613">
              <w:rPr>
                <w:sz w:val="22"/>
                <w:szCs w:val="22"/>
              </w:rPr>
              <w:t>-0.649</w:t>
            </w:r>
            <w:r w:rsidRPr="00BE5613">
              <w:rPr>
                <w:sz w:val="22"/>
                <w:szCs w:val="22"/>
                <w:vertAlign w:val="superscript"/>
              </w:rPr>
              <w:t>(+2)</w:t>
            </w:r>
          </w:p>
        </w:tc>
        <w:tc>
          <w:tcPr>
            <w:tcW w:w="960" w:type="dxa"/>
            <w:tcBorders>
              <w:bottom w:val="single" w:sz="4" w:space="0" w:color="auto"/>
              <w:right w:val="single" w:sz="4" w:space="0" w:color="auto"/>
            </w:tcBorders>
            <w:shd w:val="clear" w:color="auto" w:fill="FFFFFF"/>
            <w:vAlign w:val="bottom"/>
          </w:tcPr>
          <w:p w14:paraId="717E3EFA" w14:textId="77777777" w:rsidR="002B594A" w:rsidRPr="00BE5613" w:rsidRDefault="002B594A" w:rsidP="003D4C06">
            <w:pPr>
              <w:jc w:val="center"/>
              <w:rPr>
                <w:sz w:val="22"/>
                <w:szCs w:val="22"/>
              </w:rPr>
            </w:pPr>
            <w:r w:rsidRPr="00BE5613">
              <w:rPr>
                <w:sz w:val="22"/>
                <w:szCs w:val="22"/>
              </w:rPr>
              <w:t>-0.633</w:t>
            </w:r>
            <w:r w:rsidRPr="00BE5613">
              <w:rPr>
                <w:sz w:val="22"/>
                <w:szCs w:val="22"/>
                <w:vertAlign w:val="superscript"/>
              </w:rPr>
              <w:t>(+2)</w:t>
            </w:r>
          </w:p>
        </w:tc>
        <w:tc>
          <w:tcPr>
            <w:tcW w:w="960" w:type="dxa"/>
            <w:tcBorders>
              <w:left w:val="single" w:sz="4" w:space="0" w:color="auto"/>
              <w:bottom w:val="single" w:sz="4" w:space="0" w:color="auto"/>
            </w:tcBorders>
            <w:shd w:val="clear" w:color="auto" w:fill="FFFFFF"/>
            <w:vAlign w:val="bottom"/>
          </w:tcPr>
          <w:p w14:paraId="1342E5F3" w14:textId="77777777" w:rsidR="002B594A" w:rsidRPr="00BE5613" w:rsidRDefault="002B594A" w:rsidP="003D4C06">
            <w:pPr>
              <w:jc w:val="center"/>
              <w:rPr>
                <w:sz w:val="22"/>
                <w:szCs w:val="22"/>
              </w:rPr>
            </w:pPr>
            <w:r w:rsidRPr="00BE5613">
              <w:rPr>
                <w:sz w:val="22"/>
                <w:szCs w:val="22"/>
              </w:rPr>
              <w:t>-0.624</w:t>
            </w:r>
            <w:r w:rsidRPr="00BE5613">
              <w:rPr>
                <w:sz w:val="22"/>
                <w:szCs w:val="22"/>
                <w:vertAlign w:val="superscript"/>
              </w:rPr>
              <w:t>(+2)</w:t>
            </w:r>
          </w:p>
        </w:tc>
        <w:tc>
          <w:tcPr>
            <w:tcW w:w="960" w:type="dxa"/>
            <w:tcBorders>
              <w:bottom w:val="single" w:sz="4" w:space="0" w:color="auto"/>
            </w:tcBorders>
            <w:shd w:val="clear" w:color="auto" w:fill="FFFFFF"/>
            <w:vAlign w:val="bottom"/>
          </w:tcPr>
          <w:p w14:paraId="087C48C3" w14:textId="77777777" w:rsidR="002B594A" w:rsidRPr="00BE5613" w:rsidRDefault="002B594A" w:rsidP="003D4C06">
            <w:pPr>
              <w:jc w:val="center"/>
              <w:rPr>
                <w:sz w:val="22"/>
                <w:szCs w:val="22"/>
              </w:rPr>
            </w:pPr>
            <w:r w:rsidRPr="00BE5613">
              <w:rPr>
                <w:sz w:val="22"/>
                <w:szCs w:val="22"/>
              </w:rPr>
              <w:t>-0.324</w:t>
            </w:r>
            <w:r w:rsidRPr="00BE5613">
              <w:rPr>
                <w:sz w:val="22"/>
                <w:szCs w:val="22"/>
                <w:vertAlign w:val="superscript"/>
              </w:rPr>
              <w:t>(+1)</w:t>
            </w:r>
          </w:p>
        </w:tc>
        <w:tc>
          <w:tcPr>
            <w:tcW w:w="960" w:type="dxa"/>
            <w:tcBorders>
              <w:bottom w:val="single" w:sz="4" w:space="0" w:color="auto"/>
              <w:right w:val="single" w:sz="4" w:space="0" w:color="auto"/>
            </w:tcBorders>
            <w:shd w:val="clear" w:color="auto" w:fill="FFFFFF"/>
            <w:vAlign w:val="bottom"/>
          </w:tcPr>
          <w:p w14:paraId="23001E22" w14:textId="77777777" w:rsidR="002B594A" w:rsidRPr="00BE5613" w:rsidRDefault="002B594A" w:rsidP="003D4C06">
            <w:pPr>
              <w:jc w:val="center"/>
              <w:rPr>
                <w:sz w:val="22"/>
                <w:szCs w:val="22"/>
              </w:rPr>
            </w:pPr>
            <w:r w:rsidRPr="00BE5613">
              <w:rPr>
                <w:sz w:val="22"/>
                <w:szCs w:val="22"/>
              </w:rPr>
              <w:t>-0.324</w:t>
            </w:r>
            <w:r w:rsidRPr="00BE5613">
              <w:rPr>
                <w:sz w:val="22"/>
                <w:szCs w:val="22"/>
                <w:vertAlign w:val="superscript"/>
              </w:rPr>
              <w:t>(+1)</w:t>
            </w:r>
          </w:p>
        </w:tc>
        <w:tc>
          <w:tcPr>
            <w:tcW w:w="960" w:type="dxa"/>
            <w:tcBorders>
              <w:left w:val="single" w:sz="4" w:space="0" w:color="auto"/>
              <w:bottom w:val="single" w:sz="4" w:space="0" w:color="auto"/>
            </w:tcBorders>
            <w:shd w:val="clear" w:color="auto" w:fill="FFFFFF"/>
            <w:vAlign w:val="bottom"/>
          </w:tcPr>
          <w:p w14:paraId="5690C828" w14:textId="77777777" w:rsidR="002B594A" w:rsidRPr="00BE5613" w:rsidRDefault="002B594A" w:rsidP="003D4C06">
            <w:pPr>
              <w:jc w:val="center"/>
              <w:rPr>
                <w:sz w:val="22"/>
                <w:szCs w:val="22"/>
              </w:rPr>
            </w:pPr>
            <w:r w:rsidRPr="00BE5613">
              <w:rPr>
                <w:sz w:val="22"/>
                <w:szCs w:val="22"/>
              </w:rPr>
              <w:t>0.961</w:t>
            </w:r>
          </w:p>
        </w:tc>
        <w:tc>
          <w:tcPr>
            <w:tcW w:w="961" w:type="dxa"/>
            <w:tcBorders>
              <w:bottom w:val="single" w:sz="4" w:space="0" w:color="auto"/>
            </w:tcBorders>
            <w:shd w:val="clear" w:color="auto" w:fill="FFFFFF"/>
            <w:vAlign w:val="bottom"/>
          </w:tcPr>
          <w:p w14:paraId="0B5B7D27" w14:textId="77777777" w:rsidR="002B594A" w:rsidRPr="00BE5613" w:rsidRDefault="002B594A" w:rsidP="003D4C06">
            <w:pPr>
              <w:jc w:val="center"/>
              <w:rPr>
                <w:sz w:val="22"/>
                <w:szCs w:val="22"/>
              </w:rPr>
            </w:pPr>
            <w:r w:rsidRPr="00BE5613">
              <w:rPr>
                <w:sz w:val="22"/>
                <w:szCs w:val="22"/>
              </w:rPr>
              <w:t>0.906</w:t>
            </w:r>
          </w:p>
        </w:tc>
        <w:tc>
          <w:tcPr>
            <w:tcW w:w="961" w:type="dxa"/>
            <w:tcBorders>
              <w:bottom w:val="single" w:sz="4" w:space="0" w:color="auto"/>
              <w:right w:val="single" w:sz="4" w:space="0" w:color="auto"/>
            </w:tcBorders>
            <w:shd w:val="clear" w:color="auto" w:fill="FFFFFF"/>
            <w:vAlign w:val="bottom"/>
          </w:tcPr>
          <w:p w14:paraId="4FDCF3BE" w14:textId="77777777" w:rsidR="002B594A" w:rsidRPr="00BE5613" w:rsidRDefault="002B594A" w:rsidP="003D4C06">
            <w:pPr>
              <w:jc w:val="center"/>
              <w:rPr>
                <w:sz w:val="22"/>
                <w:szCs w:val="22"/>
              </w:rPr>
            </w:pPr>
            <w:r w:rsidRPr="00BE5613">
              <w:rPr>
                <w:sz w:val="22"/>
                <w:szCs w:val="22"/>
              </w:rPr>
              <w:t>0.866</w:t>
            </w:r>
          </w:p>
        </w:tc>
        <w:tc>
          <w:tcPr>
            <w:tcW w:w="961" w:type="dxa"/>
            <w:tcBorders>
              <w:left w:val="single" w:sz="4" w:space="0" w:color="auto"/>
              <w:bottom w:val="single" w:sz="4" w:space="0" w:color="auto"/>
            </w:tcBorders>
            <w:shd w:val="clear" w:color="auto" w:fill="FFFFFF"/>
            <w:vAlign w:val="bottom"/>
          </w:tcPr>
          <w:p w14:paraId="6A7FB12A" w14:textId="77777777" w:rsidR="002B594A" w:rsidRPr="00BE5613" w:rsidRDefault="002B594A" w:rsidP="003D4C06">
            <w:pPr>
              <w:jc w:val="center"/>
              <w:rPr>
                <w:sz w:val="22"/>
                <w:szCs w:val="22"/>
              </w:rPr>
            </w:pPr>
            <w:r w:rsidRPr="00BE5613">
              <w:rPr>
                <w:sz w:val="22"/>
                <w:szCs w:val="22"/>
              </w:rPr>
              <w:t>-0.329</w:t>
            </w:r>
          </w:p>
        </w:tc>
        <w:tc>
          <w:tcPr>
            <w:tcW w:w="961" w:type="dxa"/>
            <w:tcBorders>
              <w:bottom w:val="single" w:sz="4" w:space="0" w:color="auto"/>
            </w:tcBorders>
            <w:shd w:val="clear" w:color="auto" w:fill="FFFFFF"/>
            <w:vAlign w:val="bottom"/>
          </w:tcPr>
          <w:p w14:paraId="3FBC7CBD" w14:textId="77777777" w:rsidR="002B594A" w:rsidRPr="00BE5613" w:rsidRDefault="002B594A" w:rsidP="003D4C06">
            <w:pPr>
              <w:jc w:val="center"/>
              <w:rPr>
                <w:sz w:val="22"/>
                <w:szCs w:val="22"/>
              </w:rPr>
            </w:pPr>
            <w:r w:rsidRPr="00BE5613">
              <w:rPr>
                <w:sz w:val="22"/>
                <w:szCs w:val="22"/>
              </w:rPr>
              <w:t>-0.337</w:t>
            </w:r>
          </w:p>
        </w:tc>
        <w:tc>
          <w:tcPr>
            <w:tcW w:w="961" w:type="dxa"/>
            <w:tcBorders>
              <w:bottom w:val="single" w:sz="4" w:space="0" w:color="auto"/>
              <w:right w:val="single" w:sz="4" w:space="0" w:color="auto"/>
            </w:tcBorders>
            <w:shd w:val="clear" w:color="auto" w:fill="FFFFFF"/>
            <w:vAlign w:val="bottom"/>
          </w:tcPr>
          <w:p w14:paraId="3D0A2864" w14:textId="77777777" w:rsidR="002B594A" w:rsidRPr="00BE5613" w:rsidRDefault="002B594A" w:rsidP="003D4C06">
            <w:pPr>
              <w:jc w:val="center"/>
              <w:rPr>
                <w:sz w:val="22"/>
                <w:szCs w:val="22"/>
              </w:rPr>
            </w:pPr>
            <w:r w:rsidRPr="00BE5613">
              <w:rPr>
                <w:sz w:val="22"/>
                <w:szCs w:val="22"/>
              </w:rPr>
              <w:t>1.000</w:t>
            </w:r>
          </w:p>
        </w:tc>
      </w:tr>
    </w:tbl>
    <w:p w14:paraId="58EE7AE1" w14:textId="77777777" w:rsidR="00CA2553" w:rsidRPr="00BE5613" w:rsidRDefault="00CA2553" w:rsidP="00CA2553">
      <w:pPr>
        <w:jc w:val="both"/>
        <w:rPr>
          <w:sz w:val="20"/>
          <w:szCs w:val="20"/>
        </w:rPr>
      </w:pPr>
      <w:r w:rsidRPr="00BE5613">
        <w:rPr>
          <w:sz w:val="20"/>
          <w:szCs w:val="20"/>
        </w:rPr>
        <w:t>Notes: U score and C score represent unconditional and conditional score, respectively; whilst UTC ratio is the unconditional-to-conditional-score ratio. Superscripts combining +/– with a figure going from 1 to 2 highlight cases where Spearman correlation is greater (+) or lower (–) than Pearson correlation and the adjacent figure shows the magnitude of the absolute difference in the range from 0.100 to 0.199 at most (labelled by 1), from 0.200 to 0.299 at most (labelled by 2).</w:t>
      </w:r>
    </w:p>
    <w:p w14:paraId="4FECFA81" w14:textId="77777777" w:rsidR="00287CC2" w:rsidRPr="00BE5613" w:rsidRDefault="00287CC2" w:rsidP="00CA2553">
      <w:pPr>
        <w:jc w:val="both"/>
        <w:rPr>
          <w:sz w:val="20"/>
          <w:szCs w:val="20"/>
        </w:rPr>
      </w:pPr>
    </w:p>
    <w:p w14:paraId="51530EDD" w14:textId="77777777" w:rsidR="00287CC2" w:rsidRPr="00BE5613" w:rsidRDefault="00287CC2" w:rsidP="00CA2553">
      <w:pPr>
        <w:jc w:val="both"/>
        <w:rPr>
          <w:sz w:val="20"/>
          <w:szCs w:val="20"/>
        </w:rPr>
      </w:pPr>
    </w:p>
    <w:p w14:paraId="7A6E129E" w14:textId="77777777" w:rsidR="009E2E5F" w:rsidRPr="00BE5613" w:rsidRDefault="009E2E5F" w:rsidP="00CA2553">
      <w:pPr>
        <w:jc w:val="both"/>
        <w:rPr>
          <w:strike/>
          <w:sz w:val="20"/>
          <w:szCs w:val="20"/>
        </w:rPr>
      </w:pPr>
    </w:p>
    <w:p w14:paraId="6BCD2B89" w14:textId="77777777" w:rsidR="00CA2553" w:rsidRPr="00BE5613" w:rsidRDefault="00CA2553" w:rsidP="00CA2553">
      <w:pPr>
        <w:tabs>
          <w:tab w:val="left" w:pos="9369"/>
        </w:tabs>
        <w:jc w:val="both"/>
        <w:rPr>
          <w:sz w:val="20"/>
          <w:szCs w:val="20"/>
        </w:rPr>
      </w:pPr>
      <w:r w:rsidRPr="00BE5613">
        <w:rPr>
          <w:sz w:val="20"/>
          <w:szCs w:val="20"/>
        </w:rPr>
        <w:tab/>
      </w:r>
    </w:p>
    <w:p w14:paraId="390C1597" w14:textId="77777777" w:rsidR="00CA2553" w:rsidRPr="00BE5613" w:rsidRDefault="00CA2553" w:rsidP="00CA2553">
      <w:pPr>
        <w:jc w:val="center"/>
        <w:rPr>
          <w:b/>
        </w:rPr>
        <w:sectPr w:rsidR="00CA2553" w:rsidRPr="00BE5613" w:rsidSect="00CA2553">
          <w:pgSz w:w="16840" w:h="11907" w:orient="landscape" w:code="9"/>
          <w:pgMar w:top="1418" w:right="1440" w:bottom="1418" w:left="1440" w:header="720" w:footer="720" w:gutter="0"/>
          <w:cols w:space="720"/>
          <w:docGrid w:linePitch="360"/>
        </w:sectPr>
      </w:pPr>
    </w:p>
    <w:p w14:paraId="1FA50E36" w14:textId="77777777" w:rsidR="00CA2553" w:rsidRPr="00BE5613" w:rsidRDefault="002E70D2" w:rsidP="00CA2553">
      <w:pPr>
        <w:rPr>
          <w:b/>
        </w:rPr>
      </w:pPr>
      <w:r w:rsidRPr="00BE5613">
        <w:rPr>
          <w:b/>
        </w:rPr>
        <w:lastRenderedPageBreak/>
        <w:t xml:space="preserve">Appendix </w:t>
      </w:r>
      <w:bookmarkStart w:id="15" w:name="appendix_effects"/>
      <w:r w:rsidRPr="00BE5613">
        <w:rPr>
          <w:b/>
        </w:rPr>
        <w:fldChar w:fldCharType="begin"/>
      </w:r>
      <w:r w:rsidRPr="00BE5613">
        <w:rPr>
          <w:b/>
        </w:rPr>
        <w:instrText xml:space="preserve"> SEQ appendix \* ALPHABETIC  \* MERGEFORMAT </w:instrText>
      </w:r>
      <w:r w:rsidRPr="00BE5613">
        <w:rPr>
          <w:b/>
        </w:rPr>
        <w:fldChar w:fldCharType="separate"/>
      </w:r>
      <w:r w:rsidR="00AA45FA" w:rsidRPr="00BE5613">
        <w:rPr>
          <w:b/>
          <w:noProof/>
        </w:rPr>
        <w:t>C</w:t>
      </w:r>
      <w:r w:rsidRPr="00BE5613">
        <w:rPr>
          <w:b/>
        </w:rPr>
        <w:fldChar w:fldCharType="end"/>
      </w:r>
      <w:bookmarkEnd w:id="15"/>
    </w:p>
    <w:p w14:paraId="1A1EE49E" w14:textId="77777777" w:rsidR="00CA2553" w:rsidRPr="00BE5613" w:rsidRDefault="00CA2553" w:rsidP="00CA2553"/>
    <w:p w14:paraId="2E354150" w14:textId="77777777" w:rsidR="00CA2553" w:rsidRPr="00BE5613" w:rsidRDefault="00CA2553" w:rsidP="00CA2553">
      <w:pPr>
        <w:jc w:val="both"/>
      </w:pPr>
      <w:r w:rsidRPr="00BE5613">
        <w:t xml:space="preserve">Marginal effects of contextual variables upon MSWM performance in Model I under partial frontiers (for </w:t>
      </w:r>
      <w:r w:rsidRPr="00BE5613">
        <w:rPr>
          <w:i/>
        </w:rPr>
        <w:t>m</w:t>
      </w:r>
      <w:r w:rsidRPr="00BE5613">
        <w:t xml:space="preserve"> = 150)</w:t>
      </w:r>
    </w:p>
    <w:p w14:paraId="4C177194" w14:textId="77777777" w:rsidR="00CA2553" w:rsidRPr="00BE5613" w:rsidRDefault="00BE5613" w:rsidP="00CA2553">
      <w:r w:rsidRPr="00BE5613">
        <w:pict w14:anchorId="066A2244">
          <v:shape id="_x0000_i1103" type="#_x0000_t75" style="width:453pt;height:388.5pt">
            <v:imagedata r:id="rId148" o:title=""/>
          </v:shape>
        </w:pict>
      </w:r>
    </w:p>
    <w:p w14:paraId="3A6D1A99" w14:textId="77777777" w:rsidR="00CA2553" w:rsidRPr="00BE5613" w:rsidRDefault="00BE5613" w:rsidP="00CA2553">
      <w:r w:rsidRPr="00BE5613">
        <w:pict w14:anchorId="30B1442D">
          <v:shape id="_x0000_i1104" type="#_x0000_t75" style="width:453pt;height:32.25pt">
            <v:imagedata r:id="rId149" o:title=""/>
          </v:shape>
        </w:pict>
      </w:r>
    </w:p>
    <w:p w14:paraId="06A245A3" w14:textId="77777777" w:rsidR="00CA2553" w:rsidRPr="00BE5613" w:rsidRDefault="00CA2553" w:rsidP="00CA2553"/>
    <w:p w14:paraId="1A5640D4" w14:textId="77777777" w:rsidR="00CA2553" w:rsidRPr="00BE5613" w:rsidRDefault="00CA2553" w:rsidP="00CA2553">
      <w:pPr>
        <w:jc w:val="both"/>
      </w:pPr>
      <w:r w:rsidRPr="00BE5613">
        <w:br w:type="page"/>
      </w:r>
      <w:r w:rsidRPr="00BE5613">
        <w:lastRenderedPageBreak/>
        <w:t xml:space="preserve">Marginal effects of contextual variables upon MSWM performance in Model II under partial frontiers (for </w:t>
      </w:r>
      <w:r w:rsidRPr="00BE5613">
        <w:rPr>
          <w:i/>
        </w:rPr>
        <w:t>m</w:t>
      </w:r>
      <w:r w:rsidRPr="00BE5613">
        <w:t xml:space="preserve"> = 150)</w:t>
      </w:r>
    </w:p>
    <w:p w14:paraId="7A01CAD8" w14:textId="77777777" w:rsidR="00CA2553" w:rsidRPr="00BE5613" w:rsidRDefault="00BE5613" w:rsidP="00CA2553">
      <w:r w:rsidRPr="00BE5613">
        <w:pict w14:anchorId="1B91320A">
          <v:shape id="_x0000_i1105" type="#_x0000_t75" style="width:453pt;height:388.5pt">
            <v:imagedata r:id="rId150" o:title=""/>
          </v:shape>
        </w:pict>
      </w:r>
      <w:r w:rsidRPr="00BE5613">
        <w:pict w14:anchorId="2C396C3F">
          <v:shape id="_x0000_i1106" type="#_x0000_t75" style="width:453pt;height:32.25pt">
            <v:imagedata r:id="rId149" o:title=""/>
          </v:shape>
        </w:pict>
      </w:r>
    </w:p>
    <w:p w14:paraId="31CFCBC3" w14:textId="77777777" w:rsidR="00CA2553" w:rsidRPr="00BE5613" w:rsidRDefault="00CA2553" w:rsidP="00CA2553"/>
    <w:p w14:paraId="0BC8C518" w14:textId="77777777" w:rsidR="00CA2553" w:rsidRPr="00BE5613" w:rsidRDefault="00CA2553" w:rsidP="00CA2553">
      <w:pPr>
        <w:jc w:val="both"/>
      </w:pPr>
      <w:r w:rsidRPr="00BE5613">
        <w:br w:type="page"/>
      </w:r>
      <w:r w:rsidRPr="00BE5613">
        <w:lastRenderedPageBreak/>
        <w:t xml:space="preserve">Marginal effects of contextual variables upon MSWM performance in Model III under partial frontiers (for </w:t>
      </w:r>
      <w:r w:rsidRPr="00BE5613">
        <w:rPr>
          <w:i/>
        </w:rPr>
        <w:t>m</w:t>
      </w:r>
      <w:r w:rsidRPr="00BE5613">
        <w:t xml:space="preserve"> = 150)</w:t>
      </w:r>
    </w:p>
    <w:p w14:paraId="303DE79C" w14:textId="77777777" w:rsidR="00287CC2" w:rsidRPr="00BE5613" w:rsidRDefault="00BE5613" w:rsidP="00CA2553">
      <w:pPr>
        <w:jc w:val="both"/>
      </w:pPr>
      <w:r w:rsidRPr="00BE5613">
        <w:pict w14:anchorId="31FA72B9">
          <v:shape id="_x0000_i1107" type="#_x0000_t75" style="width:453pt;height:388.5pt">
            <v:imagedata r:id="rId151" o:title=""/>
          </v:shape>
        </w:pict>
      </w:r>
    </w:p>
    <w:p w14:paraId="51EB26DC" w14:textId="77777777" w:rsidR="00CA2553" w:rsidRPr="00BE5613" w:rsidRDefault="00BE5613" w:rsidP="00CA2553">
      <w:r w:rsidRPr="00BE5613">
        <w:pict w14:anchorId="700FE1C5">
          <v:shape id="_x0000_i1108" type="#_x0000_t75" style="width:453pt;height:32.25pt">
            <v:imagedata r:id="rId149" o:title=""/>
          </v:shape>
        </w:pict>
      </w:r>
    </w:p>
    <w:p w14:paraId="453EA1EF" w14:textId="77777777" w:rsidR="00CA2553" w:rsidRPr="00BE5613" w:rsidRDefault="00CA2553" w:rsidP="00CA2553"/>
    <w:p w14:paraId="0ED729C4" w14:textId="77777777" w:rsidR="00CA2553" w:rsidRPr="00BE5613" w:rsidRDefault="00CA2553" w:rsidP="00CA2553">
      <w:pPr>
        <w:jc w:val="both"/>
      </w:pPr>
      <w:r w:rsidRPr="00BE5613">
        <w:br w:type="page"/>
      </w:r>
      <w:r w:rsidRPr="00BE5613">
        <w:lastRenderedPageBreak/>
        <w:t xml:space="preserve">Marginal effects of contextual variables upon MSWM performance in Model IV under partial frontiers (for </w:t>
      </w:r>
      <w:r w:rsidRPr="00BE5613">
        <w:rPr>
          <w:i/>
        </w:rPr>
        <w:t>m</w:t>
      </w:r>
      <w:r w:rsidRPr="00BE5613">
        <w:t xml:space="preserve"> = 150)</w:t>
      </w:r>
    </w:p>
    <w:p w14:paraId="6F69F2CE" w14:textId="77777777" w:rsidR="00CC3F19" w:rsidRPr="00BE5613" w:rsidRDefault="00BE5613" w:rsidP="00CA2553">
      <w:pPr>
        <w:jc w:val="both"/>
      </w:pPr>
      <w:r w:rsidRPr="00BE5613">
        <w:pict w14:anchorId="2C55361B">
          <v:shape id="_x0000_i1109" type="#_x0000_t75" style="width:453pt;height:388.5pt">
            <v:imagedata r:id="rId152" o:title=""/>
          </v:shape>
        </w:pict>
      </w:r>
    </w:p>
    <w:p w14:paraId="4E94C84A" w14:textId="77777777" w:rsidR="00CA2553" w:rsidRPr="00BE5613" w:rsidRDefault="00BE5613" w:rsidP="00CA2553">
      <w:r w:rsidRPr="00BE5613">
        <w:pict w14:anchorId="5C09873E">
          <v:shape id="_x0000_i1110" type="#_x0000_t75" style="width:453pt;height:32.25pt">
            <v:imagedata r:id="rId149" o:title=""/>
          </v:shape>
        </w:pict>
      </w:r>
    </w:p>
    <w:p w14:paraId="3CD497AC" w14:textId="77777777" w:rsidR="00E81256" w:rsidRPr="00BE5613" w:rsidRDefault="00E81256" w:rsidP="00CA2553"/>
    <w:p w14:paraId="42CB84B1" w14:textId="77777777" w:rsidR="00E81256" w:rsidRPr="00BE5613" w:rsidRDefault="00E81256" w:rsidP="00AA45FA">
      <w:pPr>
        <w:spacing w:line="480" w:lineRule="auto"/>
        <w:rPr>
          <w:b/>
          <w:lang w:val="pt-BR"/>
        </w:rPr>
      </w:pPr>
      <w:r w:rsidRPr="00BE5613">
        <w:rPr>
          <w:b/>
          <w:lang w:val="pt-BR"/>
        </w:rPr>
        <w:t>References</w:t>
      </w:r>
    </w:p>
    <w:p w14:paraId="14AE40A9" w14:textId="77777777" w:rsidR="00E81256" w:rsidRPr="00BE5613" w:rsidRDefault="00E81256" w:rsidP="00AA45FA">
      <w:pPr>
        <w:spacing w:line="480" w:lineRule="auto"/>
        <w:rPr>
          <w:lang w:val="pt-BR"/>
        </w:rPr>
      </w:pPr>
    </w:p>
    <w:p w14:paraId="7BF35C5F" w14:textId="77777777" w:rsidR="00EC4658" w:rsidRPr="00BE5613" w:rsidRDefault="00EC4658" w:rsidP="00AA45FA">
      <w:pPr>
        <w:spacing w:line="480" w:lineRule="auto"/>
        <w:ind w:left="284" w:hanging="284"/>
        <w:jc w:val="both"/>
        <w:rPr>
          <w:sz w:val="22"/>
          <w:szCs w:val="22"/>
        </w:rPr>
      </w:pPr>
      <w:r w:rsidRPr="00BE5613">
        <w:rPr>
          <w:sz w:val="22"/>
          <w:szCs w:val="22"/>
          <w:lang w:val="pt-BR"/>
        </w:rPr>
        <w:t xml:space="preserve">Ando, A. W., &amp; Gosselin, A. Y. (2005). </w:t>
      </w:r>
      <w:r w:rsidRPr="00BE5613">
        <w:rPr>
          <w:sz w:val="22"/>
          <w:szCs w:val="22"/>
        </w:rPr>
        <w:t xml:space="preserve">Recycling in multifamily dwellings: does convenience </w:t>
      </w:r>
      <w:proofErr w:type="gramStart"/>
      <w:r w:rsidRPr="00BE5613">
        <w:rPr>
          <w:sz w:val="22"/>
          <w:szCs w:val="22"/>
        </w:rPr>
        <w:t>matter?.</w:t>
      </w:r>
      <w:proofErr w:type="gramEnd"/>
      <w:r w:rsidRPr="00BE5613">
        <w:rPr>
          <w:sz w:val="22"/>
          <w:szCs w:val="22"/>
        </w:rPr>
        <w:t xml:space="preserve"> Econ. Inq., 43(2), 426-438. https://doi.org/10.1093/ei/cbi029. </w:t>
      </w:r>
    </w:p>
    <w:p w14:paraId="422BA591" w14:textId="77777777" w:rsidR="00EC4658" w:rsidRPr="00BE5613" w:rsidRDefault="00EC4658" w:rsidP="00AA45FA">
      <w:pPr>
        <w:spacing w:line="480" w:lineRule="auto"/>
        <w:ind w:left="284" w:hanging="284"/>
        <w:jc w:val="both"/>
        <w:rPr>
          <w:sz w:val="22"/>
          <w:szCs w:val="22"/>
        </w:rPr>
      </w:pPr>
      <w:r w:rsidRPr="00BE5613">
        <w:rPr>
          <w:sz w:val="22"/>
          <w:szCs w:val="22"/>
        </w:rPr>
        <w:t xml:space="preserve">Aragon, Y., </w:t>
      </w:r>
      <w:proofErr w:type="spellStart"/>
      <w:r w:rsidRPr="00BE5613">
        <w:rPr>
          <w:sz w:val="22"/>
          <w:szCs w:val="22"/>
        </w:rPr>
        <w:t>Daouia</w:t>
      </w:r>
      <w:proofErr w:type="spellEnd"/>
      <w:r w:rsidRPr="00BE5613">
        <w:rPr>
          <w:sz w:val="22"/>
          <w:szCs w:val="22"/>
        </w:rPr>
        <w:t>, A., &amp; Thomas-</w:t>
      </w:r>
      <w:proofErr w:type="spellStart"/>
      <w:r w:rsidRPr="00BE5613">
        <w:rPr>
          <w:sz w:val="22"/>
          <w:szCs w:val="22"/>
        </w:rPr>
        <w:t>Agnan</w:t>
      </w:r>
      <w:proofErr w:type="spellEnd"/>
      <w:r w:rsidRPr="00BE5613">
        <w:rPr>
          <w:sz w:val="22"/>
          <w:szCs w:val="22"/>
        </w:rPr>
        <w:t xml:space="preserve">, C. (2005). Nonparametric frontier estimation: a conditional quantile-based approach. </w:t>
      </w:r>
      <w:proofErr w:type="spellStart"/>
      <w:r w:rsidRPr="00BE5613">
        <w:rPr>
          <w:sz w:val="22"/>
          <w:szCs w:val="22"/>
        </w:rPr>
        <w:t>Econom</w:t>
      </w:r>
      <w:proofErr w:type="spellEnd"/>
      <w:r w:rsidRPr="00BE5613">
        <w:rPr>
          <w:sz w:val="22"/>
          <w:szCs w:val="22"/>
        </w:rPr>
        <w:t>. Theory, 21(2), 358-389. https://doi.org/10.1017/ S0266466605050206.</w:t>
      </w:r>
    </w:p>
    <w:p w14:paraId="1F7B8BA9" w14:textId="77777777" w:rsidR="00EC4658" w:rsidRPr="00BE5613" w:rsidRDefault="00EC4658" w:rsidP="00AA45FA">
      <w:pPr>
        <w:spacing w:line="480" w:lineRule="auto"/>
        <w:ind w:left="284" w:hanging="284"/>
        <w:jc w:val="both"/>
        <w:rPr>
          <w:sz w:val="22"/>
          <w:szCs w:val="22"/>
        </w:rPr>
      </w:pPr>
      <w:proofErr w:type="spellStart"/>
      <w:r w:rsidRPr="00BE5613">
        <w:rPr>
          <w:sz w:val="22"/>
          <w:szCs w:val="22"/>
        </w:rPr>
        <w:lastRenderedPageBreak/>
        <w:t>Bădin</w:t>
      </w:r>
      <w:proofErr w:type="spellEnd"/>
      <w:r w:rsidRPr="00BE5613">
        <w:rPr>
          <w:sz w:val="22"/>
          <w:szCs w:val="22"/>
        </w:rPr>
        <w:t xml:space="preserve">, L., </w:t>
      </w:r>
      <w:proofErr w:type="spellStart"/>
      <w:r w:rsidRPr="00BE5613">
        <w:rPr>
          <w:sz w:val="22"/>
          <w:szCs w:val="22"/>
        </w:rPr>
        <w:t>Daraio</w:t>
      </w:r>
      <w:proofErr w:type="spellEnd"/>
      <w:r w:rsidRPr="00BE5613">
        <w:rPr>
          <w:sz w:val="22"/>
          <w:szCs w:val="22"/>
        </w:rPr>
        <w:t xml:space="preserve">, C., &amp; Simar, L. (2014). Explaining inefficiency in nonparametric production models: the state of the art. Ann. </w:t>
      </w:r>
      <w:proofErr w:type="spellStart"/>
      <w:r w:rsidRPr="00BE5613">
        <w:rPr>
          <w:sz w:val="22"/>
          <w:szCs w:val="22"/>
        </w:rPr>
        <w:t>Oper</w:t>
      </w:r>
      <w:proofErr w:type="spellEnd"/>
      <w:r w:rsidRPr="00BE5613">
        <w:rPr>
          <w:sz w:val="22"/>
          <w:szCs w:val="22"/>
        </w:rPr>
        <w:t xml:space="preserve">. Res., 214(1), 5-30. https://doi.org/10.1007/s10479-012-1173-7. </w:t>
      </w:r>
    </w:p>
    <w:p w14:paraId="61A9A005" w14:textId="77777777" w:rsidR="00EC4658" w:rsidRPr="00BE5613" w:rsidRDefault="00EC4658" w:rsidP="00AA45FA">
      <w:pPr>
        <w:spacing w:line="480" w:lineRule="auto"/>
        <w:ind w:left="284" w:hanging="284"/>
        <w:jc w:val="both"/>
        <w:rPr>
          <w:sz w:val="22"/>
          <w:szCs w:val="22"/>
        </w:rPr>
      </w:pPr>
      <w:r w:rsidRPr="00BE5613">
        <w:rPr>
          <w:sz w:val="22"/>
          <w:szCs w:val="22"/>
        </w:rPr>
        <w:t xml:space="preserve">Banker, R. D., Charnes, A., &amp; Cooper, W. W. (1984). Some models for estimating technical and scale inefficiencies in data envelopment analysis. </w:t>
      </w:r>
      <w:proofErr w:type="spellStart"/>
      <w:r w:rsidRPr="00BE5613">
        <w:rPr>
          <w:sz w:val="22"/>
          <w:szCs w:val="22"/>
        </w:rPr>
        <w:t>Manag</w:t>
      </w:r>
      <w:proofErr w:type="spellEnd"/>
      <w:r w:rsidRPr="00BE5613">
        <w:rPr>
          <w:sz w:val="22"/>
          <w:szCs w:val="22"/>
        </w:rPr>
        <w:t xml:space="preserve">. Sci., 30(9), 1078-1092. https://doi.org/10.1287/mnsc.30.9.1078. </w:t>
      </w:r>
    </w:p>
    <w:p w14:paraId="436CC08D" w14:textId="77777777" w:rsidR="00EC4658" w:rsidRPr="00BE5613" w:rsidRDefault="00EC4658" w:rsidP="00AA45FA">
      <w:pPr>
        <w:spacing w:line="480" w:lineRule="auto"/>
        <w:ind w:left="284" w:hanging="284"/>
        <w:jc w:val="both"/>
        <w:rPr>
          <w:sz w:val="22"/>
          <w:szCs w:val="22"/>
          <w:lang w:val="pt-BR"/>
        </w:rPr>
      </w:pPr>
      <w:r w:rsidRPr="00BE5613">
        <w:rPr>
          <w:sz w:val="22"/>
          <w:szCs w:val="22"/>
        </w:rPr>
        <w:t xml:space="preserve">Banker, R. D., &amp; Natarajan, R. (2008). Evaluating contextual variables affecting productivity. </w:t>
      </w:r>
      <w:r w:rsidRPr="00BE5613">
        <w:rPr>
          <w:sz w:val="22"/>
          <w:szCs w:val="22"/>
          <w:lang w:val="pt-BR"/>
        </w:rPr>
        <w:t>Oper. Res., 56, 48-58. http://doi.org/10.1287/opre.1070.0460</w:t>
      </w:r>
    </w:p>
    <w:p w14:paraId="3E23A7CE" w14:textId="77777777" w:rsidR="00EC4658" w:rsidRPr="00BE5613" w:rsidRDefault="00EC4658" w:rsidP="00AA45FA">
      <w:pPr>
        <w:spacing w:line="480" w:lineRule="auto"/>
        <w:ind w:left="284" w:hanging="284"/>
        <w:jc w:val="both"/>
        <w:rPr>
          <w:sz w:val="22"/>
          <w:szCs w:val="22"/>
        </w:rPr>
      </w:pPr>
      <w:r w:rsidRPr="00BE5613">
        <w:rPr>
          <w:sz w:val="22"/>
          <w:szCs w:val="22"/>
          <w:lang w:val="pt-BR"/>
        </w:rPr>
        <w:t xml:space="preserve">Banker, R. D., Natarajan, R., &amp; Zhang, D. (2019). </w:t>
      </w:r>
      <w:r w:rsidRPr="00BE5613">
        <w:rPr>
          <w:sz w:val="22"/>
          <w:szCs w:val="22"/>
        </w:rPr>
        <w:t xml:space="preserve">Two-stage estimation of the impact of contextual variables in stochastic frontier production function models using data envelopment analysis: Second stage OLS versus bootstrap approaches. Eur. J. </w:t>
      </w:r>
      <w:proofErr w:type="spellStart"/>
      <w:r w:rsidRPr="00BE5613">
        <w:rPr>
          <w:sz w:val="22"/>
          <w:szCs w:val="22"/>
        </w:rPr>
        <w:t>Oper</w:t>
      </w:r>
      <w:proofErr w:type="spellEnd"/>
      <w:r w:rsidRPr="00BE5613">
        <w:rPr>
          <w:sz w:val="22"/>
          <w:szCs w:val="22"/>
        </w:rPr>
        <w:t xml:space="preserve">. Res., 278(2), 368-384. https://doi.org/10.1016/j.ejor.2018.10.050. </w:t>
      </w:r>
    </w:p>
    <w:p w14:paraId="78E967B8" w14:textId="77777777" w:rsidR="00EC4658" w:rsidRPr="00BE5613" w:rsidRDefault="00EC4658" w:rsidP="00AA45FA">
      <w:pPr>
        <w:spacing w:line="480" w:lineRule="auto"/>
        <w:ind w:left="284" w:hanging="284"/>
        <w:jc w:val="both"/>
        <w:rPr>
          <w:sz w:val="22"/>
          <w:szCs w:val="22"/>
        </w:rPr>
      </w:pPr>
      <w:proofErr w:type="spellStart"/>
      <w:r w:rsidRPr="00BE5613">
        <w:rPr>
          <w:sz w:val="22"/>
          <w:szCs w:val="22"/>
        </w:rPr>
        <w:t>Bartolacci</w:t>
      </w:r>
      <w:proofErr w:type="spellEnd"/>
      <w:r w:rsidRPr="00BE5613">
        <w:rPr>
          <w:sz w:val="22"/>
          <w:szCs w:val="22"/>
        </w:rPr>
        <w:t xml:space="preserve">, F., Del Gobbo, R., </w:t>
      </w:r>
      <w:proofErr w:type="spellStart"/>
      <w:r w:rsidRPr="00BE5613">
        <w:rPr>
          <w:sz w:val="22"/>
          <w:szCs w:val="22"/>
        </w:rPr>
        <w:t>Paolini</w:t>
      </w:r>
      <w:proofErr w:type="spellEnd"/>
      <w:r w:rsidRPr="00BE5613">
        <w:rPr>
          <w:sz w:val="22"/>
          <w:szCs w:val="22"/>
        </w:rPr>
        <w:t xml:space="preserve">, A., &amp; </w:t>
      </w:r>
      <w:proofErr w:type="spellStart"/>
      <w:r w:rsidRPr="00BE5613">
        <w:rPr>
          <w:sz w:val="22"/>
          <w:szCs w:val="22"/>
        </w:rPr>
        <w:t>Soverchia</w:t>
      </w:r>
      <w:proofErr w:type="spellEnd"/>
      <w:r w:rsidRPr="00BE5613">
        <w:rPr>
          <w:sz w:val="22"/>
          <w:szCs w:val="22"/>
        </w:rPr>
        <w:t xml:space="preserve">, M. (2019). Efficiency in waste management companies: A proposal to assess scale economies.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xml:space="preserve">., 148, 124-131. https://doi.org/10.1016/j.resconrec.2019.05.019. </w:t>
      </w:r>
    </w:p>
    <w:p w14:paraId="2D3CEE8A" w14:textId="77777777" w:rsidR="0088061E" w:rsidRPr="00BE5613" w:rsidRDefault="0088061E" w:rsidP="00AA45FA">
      <w:pPr>
        <w:spacing w:line="480" w:lineRule="auto"/>
        <w:ind w:left="284" w:hanging="284"/>
        <w:jc w:val="both"/>
        <w:rPr>
          <w:sz w:val="22"/>
          <w:szCs w:val="22"/>
        </w:rPr>
      </w:pPr>
      <w:r w:rsidRPr="00BE5613">
        <w:rPr>
          <w:sz w:val="22"/>
          <w:szCs w:val="22"/>
        </w:rPr>
        <w:t xml:space="preserve">Beigl, P., Lebersorger, S., &amp; </w:t>
      </w:r>
      <w:proofErr w:type="spellStart"/>
      <w:r w:rsidRPr="00BE5613">
        <w:rPr>
          <w:sz w:val="22"/>
          <w:szCs w:val="22"/>
        </w:rPr>
        <w:t>Salhofer</w:t>
      </w:r>
      <w:proofErr w:type="spellEnd"/>
      <w:r w:rsidRPr="00BE5613">
        <w:rPr>
          <w:sz w:val="22"/>
          <w:szCs w:val="22"/>
        </w:rPr>
        <w:t xml:space="preserve">, S. (2008). Modelling municipal solid waste generation: A review. Waste </w:t>
      </w:r>
      <w:proofErr w:type="spellStart"/>
      <w:r w:rsidRPr="00BE5613">
        <w:rPr>
          <w:sz w:val="22"/>
          <w:szCs w:val="22"/>
        </w:rPr>
        <w:t>Manag</w:t>
      </w:r>
      <w:proofErr w:type="spellEnd"/>
      <w:r w:rsidRPr="00BE5613">
        <w:rPr>
          <w:sz w:val="22"/>
          <w:szCs w:val="22"/>
        </w:rPr>
        <w:t xml:space="preserve">., 28(1), 200-214. https://doi.org/10.1016/j.wasman.2006.12.011. </w:t>
      </w:r>
    </w:p>
    <w:p w14:paraId="1597DECE" w14:textId="77777777" w:rsidR="00EC4658" w:rsidRPr="00BE5613" w:rsidRDefault="00EC4658" w:rsidP="00AA45FA">
      <w:pPr>
        <w:spacing w:line="480" w:lineRule="auto"/>
        <w:ind w:left="284" w:hanging="284"/>
        <w:jc w:val="both"/>
        <w:rPr>
          <w:sz w:val="22"/>
          <w:szCs w:val="22"/>
        </w:rPr>
      </w:pPr>
      <w:r w:rsidRPr="00BE5613">
        <w:rPr>
          <w:sz w:val="22"/>
          <w:szCs w:val="22"/>
        </w:rPr>
        <w:t xml:space="preserve">Bel, G., Dijkgraaf, E., </w:t>
      </w:r>
      <w:proofErr w:type="spellStart"/>
      <w:r w:rsidRPr="00BE5613">
        <w:rPr>
          <w:sz w:val="22"/>
          <w:szCs w:val="22"/>
        </w:rPr>
        <w:t>Fageda</w:t>
      </w:r>
      <w:proofErr w:type="spellEnd"/>
      <w:r w:rsidRPr="00BE5613">
        <w:rPr>
          <w:sz w:val="22"/>
          <w:szCs w:val="22"/>
        </w:rPr>
        <w:t xml:space="preserve">, X., &amp; Gradus, R. (2010). Similar problems, different solutions: Comparing refuse collection in the Netherlands and Spain. Public Admin., 88(2), 479-495. https://doi.org/10.1111/j.1467-9299.2009.01808.x. </w:t>
      </w:r>
    </w:p>
    <w:p w14:paraId="7E4B40ED" w14:textId="77777777" w:rsidR="00EC4658" w:rsidRPr="00BE5613" w:rsidRDefault="00EC4658" w:rsidP="00AA45FA">
      <w:pPr>
        <w:spacing w:line="480" w:lineRule="auto"/>
        <w:ind w:left="284" w:hanging="284"/>
        <w:jc w:val="both"/>
        <w:rPr>
          <w:sz w:val="22"/>
          <w:szCs w:val="22"/>
        </w:rPr>
      </w:pPr>
      <w:r w:rsidRPr="00BE5613">
        <w:rPr>
          <w:sz w:val="22"/>
          <w:szCs w:val="22"/>
        </w:rPr>
        <w:t xml:space="preserve">Bel, G., </w:t>
      </w:r>
      <w:proofErr w:type="spellStart"/>
      <w:r w:rsidRPr="00BE5613">
        <w:rPr>
          <w:sz w:val="22"/>
          <w:szCs w:val="22"/>
        </w:rPr>
        <w:t>Fageda</w:t>
      </w:r>
      <w:proofErr w:type="spellEnd"/>
      <w:r w:rsidRPr="00BE5613">
        <w:rPr>
          <w:sz w:val="22"/>
          <w:szCs w:val="22"/>
        </w:rPr>
        <w:t xml:space="preserve">, X., &amp; Warner, M. E. (2010). Is private production of public services cheaper than public production? A meta‐regression analysis of solid waste and water services. J. Policy Anal. </w:t>
      </w:r>
      <w:proofErr w:type="spellStart"/>
      <w:r w:rsidRPr="00BE5613">
        <w:rPr>
          <w:sz w:val="22"/>
          <w:szCs w:val="22"/>
        </w:rPr>
        <w:t>Manag</w:t>
      </w:r>
      <w:proofErr w:type="spellEnd"/>
      <w:r w:rsidRPr="00BE5613">
        <w:rPr>
          <w:sz w:val="22"/>
          <w:szCs w:val="22"/>
        </w:rPr>
        <w:t>., 29(3), 553-577. http</w:t>
      </w:r>
      <w:r w:rsidR="00043D1A" w:rsidRPr="00BE5613">
        <w:rPr>
          <w:sz w:val="22"/>
          <w:szCs w:val="22"/>
        </w:rPr>
        <w:t xml:space="preserve">s://doi.org/10.1002/pam.20509. </w:t>
      </w:r>
    </w:p>
    <w:p w14:paraId="2806B7DD" w14:textId="77777777" w:rsidR="00EC4658" w:rsidRPr="00BE5613" w:rsidRDefault="00EC4658" w:rsidP="00AA45FA">
      <w:pPr>
        <w:spacing w:line="480" w:lineRule="auto"/>
        <w:ind w:left="284" w:hanging="284"/>
        <w:jc w:val="both"/>
        <w:rPr>
          <w:sz w:val="22"/>
          <w:szCs w:val="22"/>
        </w:rPr>
      </w:pPr>
      <w:r w:rsidRPr="00BE5613">
        <w:rPr>
          <w:sz w:val="22"/>
          <w:szCs w:val="22"/>
        </w:rPr>
        <w:t xml:space="preserve">Bel, G., &amp; Gradus, R. (2018). </w:t>
      </w:r>
      <w:proofErr w:type="spellStart"/>
      <w:r w:rsidRPr="00BE5613">
        <w:rPr>
          <w:sz w:val="22"/>
          <w:szCs w:val="22"/>
        </w:rPr>
        <w:t>Privatisation</w:t>
      </w:r>
      <w:proofErr w:type="spellEnd"/>
      <w:r w:rsidRPr="00BE5613">
        <w:rPr>
          <w:sz w:val="22"/>
          <w:szCs w:val="22"/>
        </w:rPr>
        <w:t xml:space="preserve">, contracting-out and inter-municipal cooperation: new developments in local public service delivery. Local Gov. Stud., 44(1), 11-21. https://doi.org/10.1080/03003930.2017.1403904. </w:t>
      </w:r>
    </w:p>
    <w:p w14:paraId="24C86531" w14:textId="77777777" w:rsidR="00EC4658" w:rsidRPr="00BE5613" w:rsidRDefault="00EC4658" w:rsidP="00AA45FA">
      <w:pPr>
        <w:spacing w:line="480" w:lineRule="auto"/>
        <w:ind w:left="284" w:hanging="284"/>
        <w:jc w:val="both"/>
        <w:rPr>
          <w:sz w:val="22"/>
          <w:szCs w:val="22"/>
        </w:rPr>
      </w:pPr>
      <w:r w:rsidRPr="00BE5613">
        <w:rPr>
          <w:sz w:val="22"/>
          <w:szCs w:val="22"/>
        </w:rPr>
        <w:lastRenderedPageBreak/>
        <w:t xml:space="preserve">Bel, G., &amp; Warner, M. (2008). Does privatization of solid waste and water services reduce costs? A review of empirical studies.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xml:space="preserve">., 52(12), 1337-1348. https://doi.org/10.1016/j.resconrec.2008.07.014. </w:t>
      </w:r>
    </w:p>
    <w:p w14:paraId="36DEBC5A" w14:textId="77777777" w:rsidR="0088061E" w:rsidRPr="00BE5613" w:rsidRDefault="0088061E" w:rsidP="00AA45FA">
      <w:pPr>
        <w:spacing w:line="480" w:lineRule="auto"/>
        <w:ind w:left="284" w:hanging="284"/>
        <w:jc w:val="both"/>
        <w:rPr>
          <w:sz w:val="22"/>
          <w:szCs w:val="22"/>
          <w:lang w:val="pt-BR"/>
        </w:rPr>
      </w:pPr>
      <w:r w:rsidRPr="00BE5613">
        <w:rPr>
          <w:sz w:val="22"/>
          <w:szCs w:val="22"/>
          <w:lang w:val="pt-BR"/>
        </w:rPr>
        <w:t xml:space="preserve">Benito-López, B., del Rocio Moreno-Enguix, M., &amp; Solana-Ibañez, J. (2011). </w:t>
      </w:r>
      <w:r w:rsidRPr="00BE5613">
        <w:rPr>
          <w:sz w:val="22"/>
          <w:szCs w:val="22"/>
        </w:rPr>
        <w:t xml:space="preserve">Determinants of efficiency in the provision of municipal street-cleaning and refuse collection services. </w:t>
      </w:r>
      <w:r w:rsidRPr="00BE5613">
        <w:rPr>
          <w:sz w:val="22"/>
          <w:szCs w:val="22"/>
          <w:lang w:val="pt-BR"/>
        </w:rPr>
        <w:t xml:space="preserve">Waste Manag., 31(6), 1099-1108. https://doi.org/10.1016/j.wasman.2011.01.019. </w:t>
      </w:r>
    </w:p>
    <w:p w14:paraId="19ECA157" w14:textId="77777777" w:rsidR="008F2607" w:rsidRPr="00BE5613" w:rsidRDefault="008F2607" w:rsidP="00AA45FA">
      <w:pPr>
        <w:spacing w:line="480" w:lineRule="auto"/>
        <w:ind w:left="284" w:hanging="284"/>
        <w:jc w:val="both"/>
        <w:rPr>
          <w:sz w:val="22"/>
          <w:szCs w:val="22"/>
        </w:rPr>
      </w:pPr>
      <w:r w:rsidRPr="00BE5613">
        <w:rPr>
          <w:sz w:val="22"/>
          <w:szCs w:val="22"/>
          <w:lang w:val="pt-BR"/>
        </w:rPr>
        <w:t xml:space="preserve">Benito, B., Guillamón, M. D., Martínez-Córdoba, P. J., &amp; Ríos, A. M. (2021). </w:t>
      </w:r>
      <w:r w:rsidRPr="00BE5613">
        <w:rPr>
          <w:sz w:val="22"/>
          <w:szCs w:val="22"/>
        </w:rPr>
        <w:t xml:space="preserve">Influence of selected aspects of local governance on the efficiency of waste collection and street cleaning services. Waste Manage., 126, 800-809. https://doi.org/10.1016/j.wasman.2021.04.019. </w:t>
      </w:r>
    </w:p>
    <w:p w14:paraId="25F63583" w14:textId="77777777" w:rsidR="00E81256" w:rsidRPr="00BE5613" w:rsidRDefault="00E81256" w:rsidP="00AA45FA">
      <w:pPr>
        <w:spacing w:line="480" w:lineRule="auto"/>
        <w:ind w:left="284" w:hanging="284"/>
        <w:jc w:val="both"/>
        <w:rPr>
          <w:sz w:val="22"/>
          <w:szCs w:val="22"/>
        </w:rPr>
      </w:pPr>
      <w:proofErr w:type="spellStart"/>
      <w:r w:rsidRPr="00BE5613">
        <w:rPr>
          <w:sz w:val="22"/>
          <w:szCs w:val="22"/>
        </w:rPr>
        <w:t>Bogetoft</w:t>
      </w:r>
      <w:proofErr w:type="spellEnd"/>
      <w:r w:rsidRPr="00BE5613">
        <w:rPr>
          <w:sz w:val="22"/>
          <w:szCs w:val="22"/>
        </w:rPr>
        <w:t>, P., &amp; Otto, L. (2011). Benchmarking with DEA, SFA, and R. Springer, New York.</w:t>
      </w:r>
    </w:p>
    <w:p w14:paraId="716FB130" w14:textId="77777777" w:rsidR="0088061E" w:rsidRPr="00BE5613" w:rsidRDefault="0088061E" w:rsidP="00AA45FA">
      <w:pPr>
        <w:spacing w:line="480" w:lineRule="auto"/>
        <w:ind w:left="284" w:hanging="284"/>
        <w:jc w:val="both"/>
        <w:rPr>
          <w:sz w:val="22"/>
          <w:szCs w:val="22"/>
        </w:rPr>
      </w:pPr>
      <w:r w:rsidRPr="00BE5613">
        <w:rPr>
          <w:sz w:val="22"/>
          <w:szCs w:val="22"/>
        </w:rPr>
        <w:t xml:space="preserve">Bucciol, A., </w:t>
      </w:r>
      <w:proofErr w:type="spellStart"/>
      <w:r w:rsidRPr="00BE5613">
        <w:rPr>
          <w:sz w:val="22"/>
          <w:szCs w:val="22"/>
        </w:rPr>
        <w:t>Montinari</w:t>
      </w:r>
      <w:proofErr w:type="spellEnd"/>
      <w:r w:rsidRPr="00BE5613">
        <w:rPr>
          <w:sz w:val="22"/>
          <w:szCs w:val="22"/>
        </w:rPr>
        <w:t xml:space="preserve">, N., &amp; </w:t>
      </w:r>
      <w:proofErr w:type="spellStart"/>
      <w:r w:rsidRPr="00BE5613">
        <w:rPr>
          <w:sz w:val="22"/>
          <w:szCs w:val="22"/>
        </w:rPr>
        <w:t>Piovesan</w:t>
      </w:r>
      <w:proofErr w:type="spellEnd"/>
      <w:r w:rsidRPr="00BE5613">
        <w:rPr>
          <w:sz w:val="22"/>
          <w:szCs w:val="22"/>
        </w:rPr>
        <w:t xml:space="preserve">, M. (2015). Do not trash the incentive! Monetary incentives and waste sorting. Scand. J. Econ., 117(4), 1204-1229. https://doi.org/10.1111/sjoe.12122. </w:t>
      </w:r>
    </w:p>
    <w:p w14:paraId="64ED6D08" w14:textId="77777777" w:rsidR="0088061E" w:rsidRPr="00BE5613" w:rsidRDefault="0088061E" w:rsidP="00AA45FA">
      <w:pPr>
        <w:spacing w:line="480" w:lineRule="auto"/>
        <w:ind w:left="284" w:hanging="284"/>
        <w:jc w:val="both"/>
        <w:rPr>
          <w:sz w:val="22"/>
          <w:szCs w:val="22"/>
          <w:lang w:val="pt-BR"/>
        </w:rPr>
      </w:pPr>
      <w:r w:rsidRPr="00BE5613">
        <w:rPr>
          <w:sz w:val="22"/>
          <w:szCs w:val="22"/>
        </w:rPr>
        <w:t xml:space="preserve">Callan, S. J., &amp; Thomas, J. M. (2001). Economies of scale and scope: A cost analysis of municipal solid waste services. </w:t>
      </w:r>
      <w:r w:rsidRPr="00BE5613">
        <w:rPr>
          <w:sz w:val="22"/>
          <w:szCs w:val="22"/>
          <w:lang w:val="pt-BR"/>
        </w:rPr>
        <w:t xml:space="preserve">Land. Econ., 77(4), 548-560. https://doi.org//10.2307/3146940. </w:t>
      </w:r>
    </w:p>
    <w:p w14:paraId="037CA9A5" w14:textId="77777777" w:rsidR="0088061E" w:rsidRPr="00BE5613" w:rsidRDefault="0088061E" w:rsidP="00AA45FA">
      <w:pPr>
        <w:spacing w:line="480" w:lineRule="auto"/>
        <w:ind w:left="284" w:hanging="284"/>
        <w:jc w:val="both"/>
        <w:rPr>
          <w:sz w:val="22"/>
          <w:szCs w:val="22"/>
          <w:lang w:val="pt-BR"/>
        </w:rPr>
      </w:pPr>
      <w:r w:rsidRPr="00BE5613">
        <w:rPr>
          <w:sz w:val="22"/>
          <w:szCs w:val="22"/>
          <w:lang w:val="pt-BR"/>
        </w:rPr>
        <w:t xml:space="preserve">Carvalho, P., &amp; Marques, R. C. (2014). </w:t>
      </w:r>
      <w:r w:rsidRPr="00BE5613">
        <w:rPr>
          <w:sz w:val="22"/>
          <w:szCs w:val="22"/>
        </w:rPr>
        <w:t xml:space="preserve">Economies of size and density in municipal solid waste recycling in Portugal. </w:t>
      </w:r>
      <w:r w:rsidRPr="00BE5613">
        <w:rPr>
          <w:sz w:val="22"/>
          <w:szCs w:val="22"/>
          <w:lang w:val="pt-BR"/>
        </w:rPr>
        <w:t xml:space="preserve">Waste Manag., 34(1), 12-20. https://doi.org/10.1016/j.wasman.2013.10.004. </w:t>
      </w:r>
    </w:p>
    <w:p w14:paraId="6084DB55"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Carvalho, P., Marques, R. C., &amp; Dollery, B. (2015). </w:t>
      </w:r>
      <w:r w:rsidRPr="00BE5613">
        <w:rPr>
          <w:sz w:val="22"/>
          <w:szCs w:val="22"/>
        </w:rPr>
        <w:t xml:space="preserve">Is bigger better? An empirical analysis of waste management in New South Wales. Waste </w:t>
      </w:r>
      <w:proofErr w:type="spellStart"/>
      <w:r w:rsidRPr="00BE5613">
        <w:rPr>
          <w:sz w:val="22"/>
          <w:szCs w:val="22"/>
        </w:rPr>
        <w:t>Manag</w:t>
      </w:r>
      <w:proofErr w:type="spellEnd"/>
      <w:r w:rsidRPr="00BE5613">
        <w:rPr>
          <w:sz w:val="22"/>
          <w:szCs w:val="22"/>
        </w:rPr>
        <w:t xml:space="preserve">., 39, 277-286. https://doi.org/10.1016/j.wasman.2015.01.024. </w:t>
      </w:r>
    </w:p>
    <w:p w14:paraId="63DF3527" w14:textId="77777777" w:rsidR="0088061E" w:rsidRPr="00BE5613" w:rsidRDefault="0088061E" w:rsidP="00AA45FA">
      <w:pPr>
        <w:spacing w:line="480" w:lineRule="auto"/>
        <w:ind w:left="284" w:hanging="284"/>
        <w:jc w:val="both"/>
        <w:rPr>
          <w:sz w:val="22"/>
          <w:szCs w:val="22"/>
        </w:rPr>
      </w:pPr>
      <w:r w:rsidRPr="00BE5613">
        <w:rPr>
          <w:sz w:val="22"/>
          <w:szCs w:val="22"/>
        </w:rPr>
        <w:t>Castillo-</w:t>
      </w:r>
      <w:proofErr w:type="spellStart"/>
      <w:r w:rsidRPr="00BE5613">
        <w:rPr>
          <w:sz w:val="22"/>
          <w:szCs w:val="22"/>
        </w:rPr>
        <w:t>Giménez</w:t>
      </w:r>
      <w:proofErr w:type="spellEnd"/>
      <w:r w:rsidRPr="00BE5613">
        <w:rPr>
          <w:sz w:val="22"/>
          <w:szCs w:val="22"/>
        </w:rPr>
        <w:t xml:space="preserve">, J., </w:t>
      </w:r>
      <w:proofErr w:type="spellStart"/>
      <w:r w:rsidRPr="00BE5613">
        <w:rPr>
          <w:sz w:val="22"/>
          <w:szCs w:val="22"/>
        </w:rPr>
        <w:t>Montañés</w:t>
      </w:r>
      <w:proofErr w:type="spellEnd"/>
      <w:r w:rsidRPr="00BE5613">
        <w:rPr>
          <w:sz w:val="22"/>
          <w:szCs w:val="22"/>
        </w:rPr>
        <w:t xml:space="preserve">, A., &amp; </w:t>
      </w:r>
      <w:proofErr w:type="spellStart"/>
      <w:r w:rsidRPr="00BE5613">
        <w:rPr>
          <w:sz w:val="22"/>
          <w:szCs w:val="22"/>
        </w:rPr>
        <w:t>Picazo-Tadeo</w:t>
      </w:r>
      <w:proofErr w:type="spellEnd"/>
      <w:r w:rsidRPr="00BE5613">
        <w:rPr>
          <w:sz w:val="22"/>
          <w:szCs w:val="22"/>
        </w:rPr>
        <w:t xml:space="preserve">, A. J. (2019a). Performance and convergence in municipal waste treatment in the European Union. Waste </w:t>
      </w:r>
      <w:proofErr w:type="spellStart"/>
      <w:r w:rsidRPr="00BE5613">
        <w:rPr>
          <w:sz w:val="22"/>
          <w:szCs w:val="22"/>
        </w:rPr>
        <w:t>Manag</w:t>
      </w:r>
      <w:proofErr w:type="spellEnd"/>
      <w:r w:rsidRPr="00BE5613">
        <w:rPr>
          <w:sz w:val="22"/>
          <w:szCs w:val="22"/>
        </w:rPr>
        <w:t xml:space="preserve">., 85, 222-231. https://doi.org/10.1016/j.wasman.2018.12.025. </w:t>
      </w:r>
    </w:p>
    <w:p w14:paraId="0506FAE1" w14:textId="77777777" w:rsidR="0088061E" w:rsidRPr="00BE5613" w:rsidRDefault="0088061E" w:rsidP="00AA45FA">
      <w:pPr>
        <w:spacing w:line="480" w:lineRule="auto"/>
        <w:ind w:left="284" w:hanging="284"/>
        <w:jc w:val="both"/>
        <w:rPr>
          <w:sz w:val="22"/>
          <w:szCs w:val="22"/>
        </w:rPr>
      </w:pPr>
      <w:r w:rsidRPr="00BE5613">
        <w:rPr>
          <w:sz w:val="22"/>
          <w:szCs w:val="22"/>
        </w:rPr>
        <w:t>Castillo-</w:t>
      </w:r>
      <w:proofErr w:type="spellStart"/>
      <w:r w:rsidRPr="00BE5613">
        <w:rPr>
          <w:sz w:val="22"/>
          <w:szCs w:val="22"/>
        </w:rPr>
        <w:t>Giménez</w:t>
      </w:r>
      <w:proofErr w:type="spellEnd"/>
      <w:r w:rsidRPr="00BE5613">
        <w:rPr>
          <w:sz w:val="22"/>
          <w:szCs w:val="22"/>
        </w:rPr>
        <w:t xml:space="preserve">, J., </w:t>
      </w:r>
      <w:proofErr w:type="spellStart"/>
      <w:r w:rsidRPr="00BE5613">
        <w:rPr>
          <w:sz w:val="22"/>
          <w:szCs w:val="22"/>
        </w:rPr>
        <w:t>Montañés</w:t>
      </w:r>
      <w:proofErr w:type="spellEnd"/>
      <w:r w:rsidRPr="00BE5613">
        <w:rPr>
          <w:sz w:val="22"/>
          <w:szCs w:val="22"/>
        </w:rPr>
        <w:t xml:space="preserve">, A., &amp; </w:t>
      </w:r>
      <w:proofErr w:type="spellStart"/>
      <w:r w:rsidRPr="00BE5613">
        <w:rPr>
          <w:sz w:val="22"/>
          <w:szCs w:val="22"/>
        </w:rPr>
        <w:t>Picazo-Tadeo</w:t>
      </w:r>
      <w:proofErr w:type="spellEnd"/>
      <w:r w:rsidRPr="00BE5613">
        <w:rPr>
          <w:sz w:val="22"/>
          <w:szCs w:val="22"/>
        </w:rPr>
        <w:t xml:space="preserve">, A. J. (2019b). Performance in the treatment of municipal waste: Are European Union member states so </w:t>
      </w:r>
      <w:proofErr w:type="gramStart"/>
      <w:r w:rsidRPr="00BE5613">
        <w:rPr>
          <w:sz w:val="22"/>
          <w:szCs w:val="22"/>
        </w:rPr>
        <w:t>different?.</w:t>
      </w:r>
      <w:proofErr w:type="gramEnd"/>
      <w:r w:rsidRPr="00BE5613">
        <w:rPr>
          <w:sz w:val="22"/>
          <w:szCs w:val="22"/>
        </w:rPr>
        <w:t xml:space="preserve"> Sci. Total Environ., 687, 1305-1314. https://doi.org/10.1016/j.scitotenv.2019.06.016. </w:t>
      </w:r>
    </w:p>
    <w:p w14:paraId="77D337D1"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t>Cazals</w:t>
      </w:r>
      <w:proofErr w:type="spellEnd"/>
      <w:r w:rsidRPr="00BE5613">
        <w:rPr>
          <w:sz w:val="22"/>
          <w:szCs w:val="22"/>
        </w:rPr>
        <w:t xml:space="preserve">, C., </w:t>
      </w:r>
      <w:proofErr w:type="spellStart"/>
      <w:r w:rsidRPr="00BE5613">
        <w:rPr>
          <w:sz w:val="22"/>
          <w:szCs w:val="22"/>
        </w:rPr>
        <w:t>Florens</w:t>
      </w:r>
      <w:proofErr w:type="spellEnd"/>
      <w:r w:rsidRPr="00BE5613">
        <w:rPr>
          <w:sz w:val="22"/>
          <w:szCs w:val="22"/>
        </w:rPr>
        <w:t xml:space="preserve">, J.-P., &amp; Simar, L. (2002). Nonparametric frontier estimation: a robust approach. J. </w:t>
      </w:r>
      <w:proofErr w:type="spellStart"/>
      <w:r w:rsidRPr="00BE5613">
        <w:rPr>
          <w:sz w:val="22"/>
          <w:szCs w:val="22"/>
        </w:rPr>
        <w:t>Econom</w:t>
      </w:r>
      <w:proofErr w:type="spellEnd"/>
      <w:r w:rsidRPr="00BE5613">
        <w:rPr>
          <w:sz w:val="22"/>
          <w:szCs w:val="22"/>
        </w:rPr>
        <w:t>., 106(1), 1-25. https://doi.org/10.1016/S0304-4076(01)00080-X.</w:t>
      </w:r>
    </w:p>
    <w:p w14:paraId="7D1141F6" w14:textId="77777777" w:rsidR="0088061E" w:rsidRPr="00BE5613" w:rsidRDefault="0088061E" w:rsidP="00AA45FA">
      <w:pPr>
        <w:spacing w:line="480" w:lineRule="auto"/>
        <w:ind w:left="284" w:hanging="284"/>
        <w:jc w:val="both"/>
        <w:rPr>
          <w:sz w:val="22"/>
          <w:szCs w:val="22"/>
          <w:lang w:val="pt-BR"/>
        </w:rPr>
      </w:pPr>
      <w:r w:rsidRPr="00BE5613">
        <w:rPr>
          <w:sz w:val="22"/>
          <w:szCs w:val="22"/>
        </w:rPr>
        <w:lastRenderedPageBreak/>
        <w:t>Cordero, J. M., Alonso-</w:t>
      </w:r>
      <w:proofErr w:type="spellStart"/>
      <w:r w:rsidRPr="00BE5613">
        <w:rPr>
          <w:sz w:val="22"/>
          <w:szCs w:val="22"/>
        </w:rPr>
        <w:t>Morán</w:t>
      </w:r>
      <w:proofErr w:type="spellEnd"/>
      <w:r w:rsidRPr="00BE5613">
        <w:rPr>
          <w:sz w:val="22"/>
          <w:szCs w:val="22"/>
        </w:rPr>
        <w:t xml:space="preserve">, E., </w:t>
      </w:r>
      <w:proofErr w:type="spellStart"/>
      <w:r w:rsidRPr="00BE5613">
        <w:rPr>
          <w:sz w:val="22"/>
          <w:szCs w:val="22"/>
        </w:rPr>
        <w:t>Nuño-Solinis</w:t>
      </w:r>
      <w:proofErr w:type="spellEnd"/>
      <w:r w:rsidRPr="00BE5613">
        <w:rPr>
          <w:sz w:val="22"/>
          <w:szCs w:val="22"/>
        </w:rPr>
        <w:t xml:space="preserve">, R., </w:t>
      </w:r>
      <w:proofErr w:type="spellStart"/>
      <w:r w:rsidRPr="00BE5613">
        <w:rPr>
          <w:sz w:val="22"/>
          <w:szCs w:val="22"/>
        </w:rPr>
        <w:t>Orueta</w:t>
      </w:r>
      <w:proofErr w:type="spellEnd"/>
      <w:r w:rsidRPr="00BE5613">
        <w:rPr>
          <w:sz w:val="22"/>
          <w:szCs w:val="22"/>
        </w:rPr>
        <w:t xml:space="preserve">, J. F., &amp; Arce, R. S. (2015). Efficiency assessment of primary care providers: A conditional nonparametric approach. </w:t>
      </w:r>
      <w:r w:rsidRPr="00BE5613">
        <w:rPr>
          <w:sz w:val="22"/>
          <w:szCs w:val="22"/>
          <w:lang w:val="pt-BR"/>
        </w:rPr>
        <w:t xml:space="preserve">Eur. J. Oper. Res, 240(1), 235-244. https://doi.org/10.1016/j.ejor.2014.06.040. </w:t>
      </w:r>
    </w:p>
    <w:p w14:paraId="1A1C7015" w14:textId="77777777" w:rsidR="0088061E" w:rsidRPr="00BE5613" w:rsidRDefault="0088061E" w:rsidP="00AA45FA">
      <w:pPr>
        <w:spacing w:line="480" w:lineRule="auto"/>
        <w:ind w:left="284" w:hanging="284"/>
        <w:jc w:val="both"/>
        <w:rPr>
          <w:sz w:val="22"/>
          <w:szCs w:val="22"/>
          <w:lang w:val="pt-BR"/>
        </w:rPr>
      </w:pPr>
      <w:r w:rsidRPr="00BE5613">
        <w:rPr>
          <w:sz w:val="22"/>
          <w:szCs w:val="22"/>
          <w:lang w:val="pt-BR"/>
        </w:rPr>
        <w:t xml:space="preserve">Cordero, J. M., Pedraja-Chaparro, F., Pisaflores, E. C., &amp; Polo, C. (2017). </w:t>
      </w:r>
      <w:r w:rsidRPr="00BE5613">
        <w:rPr>
          <w:sz w:val="22"/>
          <w:szCs w:val="22"/>
        </w:rPr>
        <w:t xml:space="preserve">Efficiency assessment of Portuguese municipalities using a conditional nonparametric approach. </w:t>
      </w:r>
      <w:r w:rsidRPr="00BE5613">
        <w:rPr>
          <w:sz w:val="22"/>
          <w:szCs w:val="22"/>
          <w:lang w:val="pt-BR"/>
        </w:rPr>
        <w:t xml:space="preserve">J. Prod. Anal., 48(1), 1-24. https://doi.org/10.1007/s11123-017-0500-z. </w:t>
      </w:r>
    </w:p>
    <w:p w14:paraId="500496E4" w14:textId="77777777" w:rsidR="0088061E" w:rsidRPr="00BE5613" w:rsidRDefault="0088061E" w:rsidP="00AA45FA">
      <w:pPr>
        <w:spacing w:line="480" w:lineRule="auto"/>
        <w:ind w:left="284" w:hanging="284"/>
        <w:jc w:val="both"/>
        <w:rPr>
          <w:sz w:val="22"/>
          <w:szCs w:val="22"/>
          <w:lang w:val="pt-BR"/>
        </w:rPr>
      </w:pPr>
      <w:r w:rsidRPr="00BE5613">
        <w:rPr>
          <w:sz w:val="22"/>
          <w:szCs w:val="22"/>
          <w:lang w:val="pt-BR"/>
        </w:rPr>
        <w:t xml:space="preserve">Da Cruz, N. F., &amp; Marques, R. C. (2014). </w:t>
      </w:r>
      <w:r w:rsidRPr="00BE5613">
        <w:rPr>
          <w:sz w:val="22"/>
          <w:szCs w:val="22"/>
        </w:rPr>
        <w:t xml:space="preserve">Revisiting the determinants of local government performance. </w:t>
      </w:r>
      <w:r w:rsidRPr="00BE5613">
        <w:rPr>
          <w:sz w:val="22"/>
          <w:szCs w:val="22"/>
          <w:lang w:val="pt-BR"/>
        </w:rPr>
        <w:t xml:space="preserve">Omega, 44, 91-103. https://doi.org/10.1016/j.omega.2013.09.002. </w:t>
      </w:r>
    </w:p>
    <w:p w14:paraId="5B1D8AAF"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Dahlén, L., &amp; Lagerkvist, A. (2010). </w:t>
      </w:r>
      <w:r w:rsidRPr="00BE5613">
        <w:rPr>
          <w:sz w:val="22"/>
          <w:szCs w:val="22"/>
        </w:rPr>
        <w:t xml:space="preserve">Evaluation of recycling </w:t>
      </w:r>
      <w:proofErr w:type="spellStart"/>
      <w:r w:rsidRPr="00BE5613">
        <w:rPr>
          <w:sz w:val="22"/>
          <w:szCs w:val="22"/>
        </w:rPr>
        <w:t>programmes</w:t>
      </w:r>
      <w:proofErr w:type="spellEnd"/>
      <w:r w:rsidRPr="00BE5613">
        <w:rPr>
          <w:sz w:val="22"/>
          <w:szCs w:val="22"/>
        </w:rPr>
        <w:t xml:space="preserve"> in household waste collection systems. Waste </w:t>
      </w:r>
      <w:proofErr w:type="spellStart"/>
      <w:r w:rsidRPr="00BE5613">
        <w:rPr>
          <w:sz w:val="22"/>
          <w:szCs w:val="22"/>
        </w:rPr>
        <w:t>Manag</w:t>
      </w:r>
      <w:proofErr w:type="spellEnd"/>
      <w:r w:rsidRPr="00BE5613">
        <w:rPr>
          <w:sz w:val="22"/>
          <w:szCs w:val="22"/>
        </w:rPr>
        <w:t xml:space="preserve">. Res., 28(7), 577-586. https://doi.org/10.1177/0734242X09341193. </w:t>
      </w:r>
    </w:p>
    <w:p w14:paraId="175E3DF5"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t>Daouia</w:t>
      </w:r>
      <w:proofErr w:type="spellEnd"/>
      <w:r w:rsidRPr="00BE5613">
        <w:rPr>
          <w:sz w:val="22"/>
          <w:szCs w:val="22"/>
        </w:rPr>
        <w:t xml:space="preserve">, A., &amp; Laurent, T. (2013). </w:t>
      </w:r>
      <w:proofErr w:type="spellStart"/>
      <w:r w:rsidRPr="00BE5613">
        <w:rPr>
          <w:sz w:val="22"/>
          <w:szCs w:val="22"/>
        </w:rPr>
        <w:t>frontiles</w:t>
      </w:r>
      <w:proofErr w:type="spellEnd"/>
      <w:r w:rsidRPr="00BE5613">
        <w:rPr>
          <w:sz w:val="22"/>
          <w:szCs w:val="22"/>
        </w:rPr>
        <w:t>: Partial frontier efficiency analysis. R package, version 1.2. https://cran.r-project.org/package=frontiles.</w:t>
      </w:r>
    </w:p>
    <w:p w14:paraId="157BA670" w14:textId="77777777" w:rsidR="0088061E" w:rsidRPr="00BE5613" w:rsidRDefault="0088061E" w:rsidP="00AA45FA">
      <w:pPr>
        <w:spacing w:line="480" w:lineRule="auto"/>
        <w:ind w:left="284" w:hanging="284"/>
        <w:jc w:val="both"/>
        <w:rPr>
          <w:sz w:val="22"/>
          <w:szCs w:val="22"/>
          <w:lang w:val="pt-BR"/>
        </w:rPr>
      </w:pPr>
      <w:proofErr w:type="spellStart"/>
      <w:r w:rsidRPr="00BE5613">
        <w:rPr>
          <w:sz w:val="22"/>
          <w:szCs w:val="22"/>
        </w:rPr>
        <w:t>Daouia</w:t>
      </w:r>
      <w:proofErr w:type="spellEnd"/>
      <w:r w:rsidRPr="00BE5613">
        <w:rPr>
          <w:sz w:val="22"/>
          <w:szCs w:val="22"/>
        </w:rPr>
        <w:t xml:space="preserve">, A., &amp; </w:t>
      </w:r>
      <w:proofErr w:type="spellStart"/>
      <w:r w:rsidRPr="00BE5613">
        <w:rPr>
          <w:sz w:val="22"/>
          <w:szCs w:val="22"/>
        </w:rPr>
        <w:t>Gijbles</w:t>
      </w:r>
      <w:proofErr w:type="spellEnd"/>
      <w:r w:rsidRPr="00BE5613">
        <w:rPr>
          <w:sz w:val="22"/>
          <w:szCs w:val="22"/>
        </w:rPr>
        <w:t xml:space="preserve">, I. (2011). Robustness and inference in nonparametric partial frontier modeling. </w:t>
      </w:r>
      <w:r w:rsidRPr="00BE5613">
        <w:rPr>
          <w:sz w:val="22"/>
          <w:szCs w:val="22"/>
          <w:lang w:val="pt-BR"/>
        </w:rPr>
        <w:t xml:space="preserve">J. Econom., 161(2), 147-165. https://doi.org/10.1016/j.jeconom.2010.12.002. </w:t>
      </w:r>
    </w:p>
    <w:p w14:paraId="43ACE6A3"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Daraio, C., &amp; Simar, L. (2005). </w:t>
      </w:r>
      <w:r w:rsidRPr="00BE5613">
        <w:rPr>
          <w:sz w:val="22"/>
          <w:szCs w:val="22"/>
        </w:rPr>
        <w:t>Introducing environmental variables in nonparametric frontier models: a probabilistic approach. J. Prod. Anal., 24, 93-121. https://doi.org/10.1007/s11123-005-3042-8.</w:t>
      </w:r>
    </w:p>
    <w:p w14:paraId="5B18CDC9"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t>Daraio</w:t>
      </w:r>
      <w:proofErr w:type="spellEnd"/>
      <w:r w:rsidRPr="00BE5613">
        <w:rPr>
          <w:sz w:val="22"/>
          <w:szCs w:val="22"/>
        </w:rPr>
        <w:t>, C., &amp; Simar, L. (2007). Conditional nonparametric frontier models for convex and nonconvex technologies: a unifying approach. J. Prod. Anal., 28, 13–32. https://doi.org/10.1007/s11123-007-0049-3.</w:t>
      </w:r>
    </w:p>
    <w:p w14:paraId="619B784D" w14:textId="77777777" w:rsidR="0088061E" w:rsidRPr="00BE5613" w:rsidRDefault="0088061E" w:rsidP="00AA45FA">
      <w:pPr>
        <w:spacing w:line="480" w:lineRule="auto"/>
        <w:ind w:left="284" w:hanging="284"/>
        <w:jc w:val="both"/>
        <w:rPr>
          <w:sz w:val="22"/>
          <w:szCs w:val="22"/>
          <w:lang w:val="pt-BR"/>
        </w:rPr>
      </w:pPr>
      <w:proofErr w:type="spellStart"/>
      <w:r w:rsidRPr="00BE5613">
        <w:rPr>
          <w:sz w:val="22"/>
          <w:szCs w:val="22"/>
        </w:rPr>
        <w:t>Daraio</w:t>
      </w:r>
      <w:proofErr w:type="spellEnd"/>
      <w:r w:rsidRPr="00BE5613">
        <w:rPr>
          <w:sz w:val="22"/>
          <w:szCs w:val="22"/>
        </w:rPr>
        <w:t xml:space="preserve">, C., Simar, L., &amp; Wilson, P. (2018). Central limit theorems for conditional efﬁciency measures and tests of the ‘separability’ condition in non-parametric, two-stage models of production. </w:t>
      </w:r>
      <w:r w:rsidRPr="00BE5613">
        <w:rPr>
          <w:sz w:val="22"/>
          <w:szCs w:val="22"/>
          <w:lang w:val="pt-BR"/>
        </w:rPr>
        <w:t xml:space="preserve">Econom. J., 21(2), 170–191. https://doi.org/10.1111/ectj.12103. </w:t>
      </w:r>
    </w:p>
    <w:p w14:paraId="24630B79"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Daraio, C., Simar, L., &amp; Wilson, P. (2020). </w:t>
      </w:r>
      <w:r w:rsidRPr="00BE5613">
        <w:rPr>
          <w:sz w:val="22"/>
          <w:szCs w:val="22"/>
        </w:rPr>
        <w:t xml:space="preserve">Fast and efficient computation of directional distance estimators. Ann. </w:t>
      </w:r>
      <w:proofErr w:type="spellStart"/>
      <w:r w:rsidRPr="00BE5613">
        <w:rPr>
          <w:sz w:val="22"/>
          <w:szCs w:val="22"/>
        </w:rPr>
        <w:t>Oper</w:t>
      </w:r>
      <w:proofErr w:type="spellEnd"/>
      <w:r w:rsidRPr="00BE5613">
        <w:rPr>
          <w:sz w:val="22"/>
          <w:szCs w:val="22"/>
        </w:rPr>
        <w:t>. Res., 288, 805-835. https://doi.org/10.1007/s10479-019-03163-9.</w:t>
      </w:r>
    </w:p>
    <w:p w14:paraId="06BBF136" w14:textId="77777777" w:rsidR="0088061E" w:rsidRPr="00BE5613" w:rsidRDefault="0088061E" w:rsidP="00AA45FA">
      <w:pPr>
        <w:spacing w:line="480" w:lineRule="auto"/>
        <w:ind w:left="284" w:hanging="284"/>
        <w:jc w:val="both"/>
        <w:rPr>
          <w:sz w:val="22"/>
          <w:szCs w:val="22"/>
        </w:rPr>
      </w:pPr>
      <w:r w:rsidRPr="00BE5613">
        <w:rPr>
          <w:sz w:val="22"/>
          <w:szCs w:val="22"/>
        </w:rPr>
        <w:t xml:space="preserve">De Jaeger, S., </w:t>
      </w:r>
      <w:proofErr w:type="spellStart"/>
      <w:r w:rsidRPr="00BE5613">
        <w:rPr>
          <w:sz w:val="22"/>
          <w:szCs w:val="22"/>
        </w:rPr>
        <w:t>Eyckmans</w:t>
      </w:r>
      <w:proofErr w:type="spellEnd"/>
      <w:r w:rsidRPr="00BE5613">
        <w:rPr>
          <w:sz w:val="22"/>
          <w:szCs w:val="22"/>
        </w:rPr>
        <w:t xml:space="preserve">, J., Rogge, N., &amp; Van </w:t>
      </w:r>
      <w:proofErr w:type="spellStart"/>
      <w:r w:rsidRPr="00BE5613">
        <w:rPr>
          <w:sz w:val="22"/>
          <w:szCs w:val="22"/>
        </w:rPr>
        <w:t>Puyenbroeck</w:t>
      </w:r>
      <w:proofErr w:type="spellEnd"/>
      <w:r w:rsidRPr="00BE5613">
        <w:rPr>
          <w:sz w:val="22"/>
          <w:szCs w:val="22"/>
        </w:rPr>
        <w:t xml:space="preserve">, T. (2011). Wasteful waste-reducing policies? The impact of waste reduction policy instruments on collection and processing costs of </w:t>
      </w:r>
      <w:r w:rsidRPr="00BE5613">
        <w:rPr>
          <w:sz w:val="22"/>
          <w:szCs w:val="22"/>
        </w:rPr>
        <w:lastRenderedPageBreak/>
        <w:t xml:space="preserve">municipal solid waste. Waste </w:t>
      </w:r>
      <w:proofErr w:type="spellStart"/>
      <w:r w:rsidRPr="00BE5613">
        <w:rPr>
          <w:sz w:val="22"/>
          <w:szCs w:val="22"/>
        </w:rPr>
        <w:t>Manag</w:t>
      </w:r>
      <w:proofErr w:type="spellEnd"/>
      <w:r w:rsidRPr="00BE5613">
        <w:rPr>
          <w:sz w:val="22"/>
          <w:szCs w:val="22"/>
        </w:rPr>
        <w:t xml:space="preserve">., 31(7), 1429-1440. https://doi.org/10.1016/j.wasman.2011.02.021. </w:t>
      </w:r>
    </w:p>
    <w:p w14:paraId="73214655" w14:textId="77777777" w:rsidR="0088061E" w:rsidRPr="00BE5613" w:rsidRDefault="00A959E7" w:rsidP="00AA45FA">
      <w:pPr>
        <w:spacing w:line="480" w:lineRule="auto"/>
        <w:ind w:left="284" w:hanging="284"/>
        <w:jc w:val="both"/>
        <w:rPr>
          <w:sz w:val="22"/>
          <w:szCs w:val="22"/>
        </w:rPr>
      </w:pPr>
      <w:r w:rsidRPr="00BE5613">
        <w:rPr>
          <w:sz w:val="22"/>
          <w:szCs w:val="22"/>
        </w:rPr>
        <w:t>De Witte</w:t>
      </w:r>
      <w:r w:rsidR="0088061E" w:rsidRPr="00BE5613">
        <w:rPr>
          <w:sz w:val="22"/>
          <w:szCs w:val="22"/>
        </w:rPr>
        <w:t xml:space="preserve">, K., &amp; </w:t>
      </w:r>
      <w:proofErr w:type="spellStart"/>
      <w:r w:rsidR="0088061E" w:rsidRPr="00BE5613">
        <w:rPr>
          <w:sz w:val="22"/>
          <w:szCs w:val="22"/>
        </w:rPr>
        <w:t>Kortelainen</w:t>
      </w:r>
      <w:proofErr w:type="spellEnd"/>
      <w:r w:rsidR="0088061E" w:rsidRPr="00BE5613">
        <w:rPr>
          <w:sz w:val="22"/>
          <w:szCs w:val="22"/>
        </w:rPr>
        <w:t xml:space="preserve">, M. (2013). What explains the performance of students in a heterogeneous environment? Conditional efficiency estimation with continuous and discrete environmental variables. Appl. Econ., 45(17), 2401-2412. https://doi.org/10.1080/00036846.2012.665602. </w:t>
      </w:r>
    </w:p>
    <w:p w14:paraId="5E94210A" w14:textId="77777777" w:rsidR="00E520B8" w:rsidRPr="00BE5613" w:rsidRDefault="00E520B8" w:rsidP="00AA45FA">
      <w:pPr>
        <w:spacing w:line="480" w:lineRule="auto"/>
        <w:ind w:left="284" w:hanging="284"/>
        <w:jc w:val="both"/>
        <w:rPr>
          <w:sz w:val="22"/>
          <w:szCs w:val="22"/>
        </w:rPr>
      </w:pPr>
      <w:proofErr w:type="spellStart"/>
      <w:r w:rsidRPr="00BE5613">
        <w:rPr>
          <w:sz w:val="22"/>
          <w:szCs w:val="22"/>
        </w:rPr>
        <w:t>Deprins</w:t>
      </w:r>
      <w:proofErr w:type="spellEnd"/>
      <w:r w:rsidRPr="00BE5613">
        <w:rPr>
          <w:sz w:val="22"/>
          <w:szCs w:val="22"/>
        </w:rPr>
        <w:t xml:space="preserve">, D., Simar, L., &amp; </w:t>
      </w:r>
      <w:proofErr w:type="spellStart"/>
      <w:r w:rsidRPr="00BE5613">
        <w:rPr>
          <w:sz w:val="22"/>
          <w:szCs w:val="22"/>
        </w:rPr>
        <w:t>Tulkens</w:t>
      </w:r>
      <w:proofErr w:type="spellEnd"/>
      <w:r w:rsidRPr="00BE5613">
        <w:rPr>
          <w:sz w:val="22"/>
          <w:szCs w:val="22"/>
        </w:rPr>
        <w:t xml:space="preserve">, H. (1984). Measuring labor inefficiency in post offices, in: Marchand, M., </w:t>
      </w:r>
      <w:proofErr w:type="spellStart"/>
      <w:r w:rsidRPr="00BE5613">
        <w:rPr>
          <w:sz w:val="22"/>
          <w:szCs w:val="22"/>
        </w:rPr>
        <w:t>Pestieau</w:t>
      </w:r>
      <w:proofErr w:type="spellEnd"/>
      <w:r w:rsidRPr="00BE5613">
        <w:rPr>
          <w:sz w:val="22"/>
          <w:szCs w:val="22"/>
        </w:rPr>
        <w:t xml:space="preserve">, P., &amp; </w:t>
      </w:r>
      <w:proofErr w:type="spellStart"/>
      <w:r w:rsidRPr="00BE5613">
        <w:rPr>
          <w:sz w:val="22"/>
          <w:szCs w:val="22"/>
        </w:rPr>
        <w:t>Tulkens</w:t>
      </w:r>
      <w:proofErr w:type="spellEnd"/>
      <w:r w:rsidRPr="00BE5613">
        <w:rPr>
          <w:sz w:val="22"/>
          <w:szCs w:val="22"/>
        </w:rPr>
        <w:t>, H. (Eds.), The performance of public enterprises: concepts and measurements. North-Holland, Amsterdam, pp. 243-267.</w:t>
      </w:r>
    </w:p>
    <w:p w14:paraId="73C467B4" w14:textId="77777777" w:rsidR="0088061E" w:rsidRPr="00BE5613" w:rsidRDefault="0088061E" w:rsidP="00AA45FA">
      <w:pPr>
        <w:spacing w:line="480" w:lineRule="auto"/>
        <w:ind w:left="284" w:hanging="284"/>
        <w:jc w:val="both"/>
        <w:rPr>
          <w:sz w:val="22"/>
          <w:szCs w:val="22"/>
        </w:rPr>
      </w:pPr>
      <w:r w:rsidRPr="00BE5613">
        <w:rPr>
          <w:sz w:val="22"/>
          <w:szCs w:val="22"/>
        </w:rPr>
        <w:t xml:space="preserve">Di Foggia, G., &amp; </w:t>
      </w:r>
      <w:proofErr w:type="spellStart"/>
      <w:r w:rsidRPr="00BE5613">
        <w:rPr>
          <w:sz w:val="22"/>
          <w:szCs w:val="22"/>
        </w:rPr>
        <w:t>Beccarello</w:t>
      </w:r>
      <w:proofErr w:type="spellEnd"/>
      <w:r w:rsidRPr="00BE5613">
        <w:rPr>
          <w:sz w:val="22"/>
          <w:szCs w:val="22"/>
        </w:rPr>
        <w:t xml:space="preserve">, M. (2020). Drivers of municipal solid waste management cost based on cost models inherent to sorted and unsorted waste. Waste </w:t>
      </w:r>
      <w:proofErr w:type="spellStart"/>
      <w:r w:rsidRPr="00BE5613">
        <w:rPr>
          <w:sz w:val="22"/>
          <w:szCs w:val="22"/>
        </w:rPr>
        <w:t>Manag</w:t>
      </w:r>
      <w:proofErr w:type="spellEnd"/>
      <w:r w:rsidRPr="00BE5613">
        <w:rPr>
          <w:sz w:val="22"/>
          <w:szCs w:val="22"/>
        </w:rPr>
        <w:t xml:space="preserve">., 114, 202-214. https://doi.org/10.1016/j.wasman.2020.07.012. </w:t>
      </w:r>
    </w:p>
    <w:p w14:paraId="50CB53E2" w14:textId="77777777" w:rsidR="0088061E" w:rsidRPr="00BE5613" w:rsidRDefault="0088061E" w:rsidP="00AA45FA">
      <w:pPr>
        <w:spacing w:line="480" w:lineRule="auto"/>
        <w:ind w:left="284" w:hanging="284"/>
        <w:jc w:val="both"/>
        <w:rPr>
          <w:sz w:val="22"/>
          <w:szCs w:val="22"/>
        </w:rPr>
      </w:pPr>
      <w:r w:rsidRPr="00BE5613">
        <w:rPr>
          <w:sz w:val="22"/>
          <w:szCs w:val="22"/>
        </w:rPr>
        <w:t xml:space="preserve">Díaz-Villavicencio, G., </w:t>
      </w:r>
      <w:proofErr w:type="spellStart"/>
      <w:r w:rsidRPr="00BE5613">
        <w:rPr>
          <w:sz w:val="22"/>
          <w:szCs w:val="22"/>
        </w:rPr>
        <w:t>Didonet</w:t>
      </w:r>
      <w:proofErr w:type="spellEnd"/>
      <w:r w:rsidRPr="00BE5613">
        <w:rPr>
          <w:sz w:val="22"/>
          <w:szCs w:val="22"/>
        </w:rPr>
        <w:t xml:space="preserve">, S. R., &amp; Dodd, A. (2017). Influencing factors of eco-efficient urban waste management: Evidence from Spanish municipalities. J. Clean. Prod., 164, 1486-1496. https://doi.org/10.1016/j.jclepro.2017.07.064. </w:t>
      </w:r>
    </w:p>
    <w:p w14:paraId="235DE9BB"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t>Dubin</w:t>
      </w:r>
      <w:proofErr w:type="spellEnd"/>
      <w:r w:rsidRPr="00BE5613">
        <w:rPr>
          <w:sz w:val="22"/>
          <w:szCs w:val="22"/>
        </w:rPr>
        <w:t>, J. A., &amp; Navarro, P. (1988). How markets for impure public goods organize: the case of household refuse collection. J. Law. Econ. Organ., 4(2), 217-241. https://doi.org/10.1093/oxfordjournals.jleo.a036951.</w:t>
      </w:r>
    </w:p>
    <w:p w14:paraId="64DC8299" w14:textId="77777777" w:rsidR="0088061E" w:rsidRPr="00BE5613" w:rsidRDefault="0088061E" w:rsidP="00AA45FA">
      <w:pPr>
        <w:spacing w:line="480" w:lineRule="auto"/>
        <w:ind w:left="284" w:hanging="284"/>
        <w:jc w:val="both"/>
        <w:rPr>
          <w:sz w:val="22"/>
          <w:szCs w:val="22"/>
        </w:rPr>
      </w:pPr>
      <w:r w:rsidRPr="00BE5613">
        <w:rPr>
          <w:sz w:val="22"/>
          <w:szCs w:val="22"/>
        </w:rPr>
        <w:t xml:space="preserve">Dyson, R. G., Allen, R., </w:t>
      </w:r>
      <w:proofErr w:type="spellStart"/>
      <w:r w:rsidRPr="00BE5613">
        <w:rPr>
          <w:sz w:val="22"/>
          <w:szCs w:val="22"/>
        </w:rPr>
        <w:t>Camanho</w:t>
      </w:r>
      <w:proofErr w:type="spellEnd"/>
      <w:r w:rsidRPr="00BE5613">
        <w:rPr>
          <w:sz w:val="22"/>
          <w:szCs w:val="22"/>
        </w:rPr>
        <w:t xml:space="preserve">, A. S., </w:t>
      </w:r>
      <w:proofErr w:type="spellStart"/>
      <w:r w:rsidRPr="00BE5613">
        <w:rPr>
          <w:sz w:val="22"/>
          <w:szCs w:val="22"/>
        </w:rPr>
        <w:t>Podinovski</w:t>
      </w:r>
      <w:proofErr w:type="spellEnd"/>
      <w:r w:rsidRPr="00BE5613">
        <w:rPr>
          <w:sz w:val="22"/>
          <w:szCs w:val="22"/>
        </w:rPr>
        <w:t xml:space="preserve">, V. V., </w:t>
      </w:r>
      <w:proofErr w:type="spellStart"/>
      <w:r w:rsidRPr="00BE5613">
        <w:rPr>
          <w:sz w:val="22"/>
          <w:szCs w:val="22"/>
        </w:rPr>
        <w:t>Sarrico</w:t>
      </w:r>
      <w:proofErr w:type="spellEnd"/>
      <w:r w:rsidRPr="00BE5613">
        <w:rPr>
          <w:sz w:val="22"/>
          <w:szCs w:val="22"/>
        </w:rPr>
        <w:t xml:space="preserve">, C. S., &amp; Shale, E. A. (2001). Pitfalls and protocols in DEA. Eur. J. </w:t>
      </w:r>
      <w:proofErr w:type="spellStart"/>
      <w:r w:rsidRPr="00BE5613">
        <w:rPr>
          <w:sz w:val="22"/>
          <w:szCs w:val="22"/>
        </w:rPr>
        <w:t>Oper</w:t>
      </w:r>
      <w:proofErr w:type="spellEnd"/>
      <w:r w:rsidRPr="00BE5613">
        <w:rPr>
          <w:sz w:val="22"/>
          <w:szCs w:val="22"/>
        </w:rPr>
        <w:t xml:space="preserve">. Res., 132(2), 245-259. https://doi.org/10.1016/S0377-2217(00)00149-1. </w:t>
      </w:r>
    </w:p>
    <w:p w14:paraId="7A8B1559" w14:textId="77777777" w:rsidR="0088061E" w:rsidRPr="00BE5613" w:rsidRDefault="0088061E" w:rsidP="00AA45FA">
      <w:pPr>
        <w:spacing w:line="480" w:lineRule="auto"/>
        <w:ind w:left="284" w:hanging="284"/>
        <w:jc w:val="both"/>
        <w:rPr>
          <w:sz w:val="22"/>
          <w:szCs w:val="22"/>
          <w:lang w:val="pt-BR"/>
        </w:rPr>
      </w:pPr>
      <w:r w:rsidRPr="00BE5613">
        <w:rPr>
          <w:sz w:val="22"/>
          <w:szCs w:val="22"/>
        </w:rPr>
        <w:t xml:space="preserve">Fan, X., Yu, B., Chu, Z., Chu, X., Huang, W. C., &amp; Zhang, L. (2020). A stochastic frontier analysis of the efficiency of municipal solid waste collection services in China. </w:t>
      </w:r>
      <w:r w:rsidRPr="00BE5613">
        <w:rPr>
          <w:sz w:val="22"/>
          <w:szCs w:val="22"/>
          <w:lang w:val="pt-BR"/>
        </w:rPr>
        <w:t xml:space="preserve">Sci. Total Environ., 743, 140707. https://doi.org/10.1016/j.scitotenv.2020.140707. </w:t>
      </w:r>
    </w:p>
    <w:p w14:paraId="44BEFB81"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Ferreira, D.C., Marques, R.C., Pedro, M. I., &amp; Amaral, C. (2020). </w:t>
      </w:r>
      <w:r w:rsidRPr="00BE5613">
        <w:rPr>
          <w:sz w:val="22"/>
          <w:szCs w:val="22"/>
        </w:rPr>
        <w:t xml:space="preserve">Economic Inefficiency Levels of Urban Solid Waste Management Services in Portugal. Sustainability, 12(10), 4170. https://doi.org/10.3390/su12104170. </w:t>
      </w:r>
    </w:p>
    <w:p w14:paraId="6DC36D96"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lastRenderedPageBreak/>
        <w:t>Folz</w:t>
      </w:r>
      <w:proofErr w:type="spellEnd"/>
      <w:r w:rsidRPr="00BE5613">
        <w:rPr>
          <w:sz w:val="22"/>
          <w:szCs w:val="22"/>
        </w:rPr>
        <w:t xml:space="preserve">, D. H. (1991). Recycling program design, management, and participation: a national survey of municipal experience. Public Admin. Rev., 51(3), 222-231. https://doi.org/10.2307/976946. </w:t>
      </w:r>
    </w:p>
    <w:p w14:paraId="7D4FF8A4" w14:textId="77777777" w:rsidR="0088061E" w:rsidRPr="00BE5613" w:rsidRDefault="0088061E" w:rsidP="00AA45FA">
      <w:pPr>
        <w:spacing w:line="480" w:lineRule="auto"/>
        <w:ind w:left="284" w:hanging="284"/>
        <w:jc w:val="both"/>
        <w:rPr>
          <w:sz w:val="22"/>
          <w:szCs w:val="22"/>
        </w:rPr>
      </w:pPr>
      <w:r w:rsidRPr="00BE5613">
        <w:rPr>
          <w:sz w:val="22"/>
          <w:szCs w:val="22"/>
        </w:rPr>
        <w:t xml:space="preserve">Førsund, F. R. (2013). Measuring efficiency and effectiveness in the public sector (No. 16/2013). Memorandum, Department of Economics, University of Oslo. http://hdl.handle.net/10419/90755. </w:t>
      </w:r>
    </w:p>
    <w:p w14:paraId="0002B42D" w14:textId="77777777" w:rsidR="0088061E" w:rsidRPr="00BE5613" w:rsidRDefault="0088061E" w:rsidP="00AA45FA">
      <w:pPr>
        <w:spacing w:line="480" w:lineRule="auto"/>
        <w:ind w:left="284" w:hanging="284"/>
        <w:jc w:val="both"/>
        <w:rPr>
          <w:sz w:val="22"/>
          <w:szCs w:val="22"/>
        </w:rPr>
      </w:pPr>
      <w:r w:rsidRPr="00BE5613">
        <w:rPr>
          <w:sz w:val="22"/>
          <w:szCs w:val="22"/>
        </w:rPr>
        <w:t xml:space="preserve">García-Sánchez, I. M. (2008). The performance of Spanish solid waste collection. Waste </w:t>
      </w:r>
      <w:proofErr w:type="spellStart"/>
      <w:r w:rsidRPr="00BE5613">
        <w:rPr>
          <w:sz w:val="22"/>
          <w:szCs w:val="22"/>
        </w:rPr>
        <w:t>Manag</w:t>
      </w:r>
      <w:proofErr w:type="spellEnd"/>
      <w:r w:rsidRPr="00BE5613">
        <w:rPr>
          <w:sz w:val="22"/>
          <w:szCs w:val="22"/>
        </w:rPr>
        <w:t xml:space="preserve">. Res., 26(4), 327-336. https://doi.org/10.1177/0734242X07081486. </w:t>
      </w:r>
    </w:p>
    <w:p w14:paraId="02C6DAEC" w14:textId="77777777" w:rsidR="0088061E" w:rsidRPr="00BE5613" w:rsidRDefault="0088061E" w:rsidP="00AA45FA">
      <w:pPr>
        <w:spacing w:line="480" w:lineRule="auto"/>
        <w:ind w:left="284" w:hanging="284"/>
        <w:jc w:val="both"/>
        <w:rPr>
          <w:sz w:val="22"/>
          <w:szCs w:val="22"/>
        </w:rPr>
      </w:pPr>
      <w:r w:rsidRPr="00BE5613">
        <w:rPr>
          <w:sz w:val="22"/>
          <w:szCs w:val="22"/>
        </w:rPr>
        <w:t xml:space="preserve">Gastaldi, M., Lombardi, G. V., </w:t>
      </w:r>
      <w:proofErr w:type="spellStart"/>
      <w:r w:rsidRPr="00BE5613">
        <w:rPr>
          <w:sz w:val="22"/>
          <w:szCs w:val="22"/>
        </w:rPr>
        <w:t>Rapposelli</w:t>
      </w:r>
      <w:proofErr w:type="spellEnd"/>
      <w:r w:rsidRPr="00BE5613">
        <w:rPr>
          <w:sz w:val="22"/>
          <w:szCs w:val="22"/>
        </w:rPr>
        <w:t xml:space="preserve">, A., &amp; Romano, G. (2020). The Efficiency of Waste Sector in Italy: An Application by Data Envelopment Analysis. Environ. </w:t>
      </w:r>
      <w:proofErr w:type="spellStart"/>
      <w:r w:rsidRPr="00BE5613">
        <w:rPr>
          <w:sz w:val="22"/>
          <w:szCs w:val="22"/>
        </w:rPr>
        <w:t>Clim</w:t>
      </w:r>
      <w:proofErr w:type="spellEnd"/>
      <w:r w:rsidRPr="00BE5613">
        <w:rPr>
          <w:sz w:val="22"/>
          <w:szCs w:val="22"/>
        </w:rPr>
        <w:t xml:space="preserve">. Technol., 24(3), 225-238. https://doi.org/10.2478/rtuect-2020-0099. </w:t>
      </w:r>
    </w:p>
    <w:p w14:paraId="21C94889" w14:textId="77777777" w:rsidR="0088061E" w:rsidRPr="00BE5613" w:rsidRDefault="0088061E" w:rsidP="00AA45FA">
      <w:pPr>
        <w:spacing w:line="480" w:lineRule="auto"/>
        <w:ind w:left="284" w:hanging="284"/>
        <w:jc w:val="both"/>
        <w:rPr>
          <w:sz w:val="22"/>
          <w:szCs w:val="22"/>
          <w:lang w:val="pt-BR"/>
        </w:rPr>
      </w:pPr>
      <w:proofErr w:type="spellStart"/>
      <w:r w:rsidRPr="00BE5613">
        <w:rPr>
          <w:sz w:val="22"/>
          <w:szCs w:val="22"/>
        </w:rPr>
        <w:t>Giannakitsidou</w:t>
      </w:r>
      <w:proofErr w:type="spellEnd"/>
      <w:r w:rsidRPr="00BE5613">
        <w:rPr>
          <w:sz w:val="22"/>
          <w:szCs w:val="22"/>
        </w:rPr>
        <w:t xml:space="preserve">, O., </w:t>
      </w:r>
      <w:proofErr w:type="spellStart"/>
      <w:r w:rsidRPr="00BE5613">
        <w:rPr>
          <w:sz w:val="22"/>
          <w:szCs w:val="22"/>
        </w:rPr>
        <w:t>Giannikos</w:t>
      </w:r>
      <w:proofErr w:type="spellEnd"/>
      <w:r w:rsidRPr="00BE5613">
        <w:rPr>
          <w:sz w:val="22"/>
          <w:szCs w:val="22"/>
        </w:rPr>
        <w:t xml:space="preserve">, I., &amp; </w:t>
      </w:r>
      <w:proofErr w:type="spellStart"/>
      <w:r w:rsidRPr="00BE5613">
        <w:rPr>
          <w:sz w:val="22"/>
          <w:szCs w:val="22"/>
        </w:rPr>
        <w:t>Chondrou</w:t>
      </w:r>
      <w:proofErr w:type="spellEnd"/>
      <w:r w:rsidRPr="00BE5613">
        <w:rPr>
          <w:sz w:val="22"/>
          <w:szCs w:val="22"/>
        </w:rPr>
        <w:t xml:space="preserve">, A. (2020). Ranking European countries </w:t>
      </w:r>
      <w:proofErr w:type="gramStart"/>
      <w:r w:rsidRPr="00BE5613">
        <w:rPr>
          <w:sz w:val="22"/>
          <w:szCs w:val="22"/>
        </w:rPr>
        <w:t>on the basis of</w:t>
      </w:r>
      <w:proofErr w:type="gramEnd"/>
      <w:r w:rsidRPr="00BE5613">
        <w:rPr>
          <w:sz w:val="22"/>
          <w:szCs w:val="22"/>
        </w:rPr>
        <w:t xml:space="preserve"> their environmental and circular economy performance: A DEA application in MSW. </w:t>
      </w:r>
      <w:r w:rsidRPr="00BE5613">
        <w:rPr>
          <w:sz w:val="22"/>
          <w:szCs w:val="22"/>
          <w:lang w:val="pt-BR"/>
        </w:rPr>
        <w:t>Waste Manag., 109, 181-191. https://doi.org</w:t>
      </w:r>
      <w:r w:rsidR="003A2D69" w:rsidRPr="00BE5613">
        <w:rPr>
          <w:sz w:val="22"/>
          <w:szCs w:val="22"/>
          <w:lang w:val="pt-BR"/>
        </w:rPr>
        <w:t xml:space="preserve">/10.1016/j.wasman.2020.04.055. </w:t>
      </w:r>
    </w:p>
    <w:p w14:paraId="41F064F1" w14:textId="77777777" w:rsidR="0088061E" w:rsidRPr="00BE5613" w:rsidRDefault="0088061E" w:rsidP="00AA45FA">
      <w:pPr>
        <w:spacing w:line="480" w:lineRule="auto"/>
        <w:ind w:left="284" w:hanging="284"/>
        <w:jc w:val="both"/>
        <w:rPr>
          <w:sz w:val="22"/>
          <w:szCs w:val="22"/>
          <w:lang w:val="pt-BR"/>
        </w:rPr>
      </w:pPr>
      <w:r w:rsidRPr="00BE5613">
        <w:rPr>
          <w:sz w:val="22"/>
          <w:szCs w:val="22"/>
          <w:lang w:val="pt-BR"/>
        </w:rPr>
        <w:t xml:space="preserve">González-Torre, P. L., &amp; Adenso-Díaz, B. (2005). </w:t>
      </w:r>
      <w:r w:rsidRPr="00BE5613">
        <w:rPr>
          <w:sz w:val="22"/>
          <w:szCs w:val="22"/>
        </w:rPr>
        <w:t xml:space="preserve">Influence of distance on the motivation and frequency of household recycling. </w:t>
      </w:r>
      <w:r w:rsidRPr="00BE5613">
        <w:rPr>
          <w:sz w:val="22"/>
          <w:szCs w:val="22"/>
          <w:lang w:val="pt-BR"/>
        </w:rPr>
        <w:t xml:space="preserve">Waste Manag., 25(1), 15-23. https://doi.org/10.1016/j.wasman.2004.08.007. </w:t>
      </w:r>
    </w:p>
    <w:p w14:paraId="3E5D59A0" w14:textId="77777777" w:rsidR="0088061E" w:rsidRPr="00BE5613" w:rsidRDefault="0088061E" w:rsidP="00AA45FA">
      <w:pPr>
        <w:spacing w:line="480" w:lineRule="auto"/>
        <w:ind w:left="284" w:hanging="284"/>
        <w:jc w:val="both"/>
        <w:rPr>
          <w:sz w:val="22"/>
          <w:szCs w:val="22"/>
        </w:rPr>
      </w:pPr>
      <w:r w:rsidRPr="00BE5613">
        <w:rPr>
          <w:sz w:val="22"/>
          <w:szCs w:val="22"/>
          <w:lang w:val="pt-BR"/>
        </w:rPr>
        <w:t xml:space="preserve">Guerrini, A., Carvalho, P., Romano, G., Marques, R. C., &amp; Leardini, C. (2017). </w:t>
      </w:r>
      <w:r w:rsidRPr="00BE5613">
        <w:rPr>
          <w:sz w:val="22"/>
          <w:szCs w:val="22"/>
        </w:rPr>
        <w:t xml:space="preserve">Assessing efficiency drivers in municipal solid waste collection services through a non-parametric method. J. Clean. Prod., 147, 431-441. https://doi.org/10.1016/j.jclepro.2017.01.079. </w:t>
      </w:r>
    </w:p>
    <w:p w14:paraId="1E44346E" w14:textId="77777777" w:rsidR="0088061E" w:rsidRPr="00BE5613" w:rsidRDefault="0088061E" w:rsidP="00AA45FA">
      <w:pPr>
        <w:spacing w:line="480" w:lineRule="auto"/>
        <w:ind w:left="284" w:hanging="284"/>
        <w:jc w:val="both"/>
        <w:rPr>
          <w:sz w:val="22"/>
          <w:szCs w:val="22"/>
        </w:rPr>
      </w:pPr>
      <w:proofErr w:type="spellStart"/>
      <w:r w:rsidRPr="00BE5613">
        <w:rPr>
          <w:sz w:val="22"/>
          <w:szCs w:val="22"/>
        </w:rPr>
        <w:t>Halkos</w:t>
      </w:r>
      <w:proofErr w:type="spellEnd"/>
      <w:r w:rsidRPr="00BE5613">
        <w:rPr>
          <w:sz w:val="22"/>
          <w:szCs w:val="22"/>
        </w:rPr>
        <w:t xml:space="preserve">, G., &amp; </w:t>
      </w:r>
      <w:proofErr w:type="spellStart"/>
      <w:r w:rsidRPr="00BE5613">
        <w:rPr>
          <w:sz w:val="22"/>
          <w:szCs w:val="22"/>
        </w:rPr>
        <w:t>Petrou</w:t>
      </w:r>
      <w:proofErr w:type="spellEnd"/>
      <w:r w:rsidRPr="00BE5613">
        <w:rPr>
          <w:sz w:val="22"/>
          <w:szCs w:val="22"/>
        </w:rPr>
        <w:t xml:space="preserve">, K. N. (2019). Assessing 28 EU member states' environmental efficiency in national waste generation with DEA. J. Clean. Prod., 208, 509-521. https://doi.org/10.1016/j.jclepro.2018.10.145. </w:t>
      </w:r>
    </w:p>
    <w:p w14:paraId="399C299E" w14:textId="77777777" w:rsidR="0088061E" w:rsidRPr="00BE5613" w:rsidRDefault="0088061E" w:rsidP="00AA45FA">
      <w:pPr>
        <w:spacing w:line="480" w:lineRule="auto"/>
        <w:ind w:left="284" w:hanging="284"/>
        <w:jc w:val="both"/>
        <w:rPr>
          <w:sz w:val="22"/>
          <w:szCs w:val="22"/>
        </w:rPr>
      </w:pPr>
      <w:r w:rsidRPr="00BE5613">
        <w:rPr>
          <w:sz w:val="22"/>
          <w:szCs w:val="22"/>
        </w:rPr>
        <w:t>Hastie, T. J. (2019). gam: Generalized additive models. R package, version 1.16.1. https://cran.r-project.org/package=gam.</w:t>
      </w:r>
    </w:p>
    <w:p w14:paraId="36F55B14" w14:textId="77777777" w:rsidR="0088061E" w:rsidRPr="00BE5613" w:rsidRDefault="0088061E" w:rsidP="00AA45FA">
      <w:pPr>
        <w:spacing w:line="480" w:lineRule="auto"/>
        <w:ind w:left="284" w:hanging="284"/>
        <w:jc w:val="both"/>
        <w:rPr>
          <w:sz w:val="22"/>
          <w:szCs w:val="22"/>
        </w:rPr>
      </w:pPr>
      <w:r w:rsidRPr="00BE5613">
        <w:rPr>
          <w:sz w:val="22"/>
          <w:szCs w:val="22"/>
        </w:rPr>
        <w:t xml:space="preserve">Hastie, T. J., &amp; </w:t>
      </w:r>
      <w:proofErr w:type="spellStart"/>
      <w:r w:rsidRPr="00BE5613">
        <w:rPr>
          <w:sz w:val="22"/>
          <w:szCs w:val="22"/>
        </w:rPr>
        <w:t>Tibshirani</w:t>
      </w:r>
      <w:proofErr w:type="spellEnd"/>
      <w:r w:rsidRPr="00BE5613">
        <w:rPr>
          <w:sz w:val="22"/>
          <w:szCs w:val="22"/>
        </w:rPr>
        <w:t>, R. J. (1990). Generalized additive models. Chapman &amp; Hall, London.</w:t>
      </w:r>
    </w:p>
    <w:p w14:paraId="7DB3EF72" w14:textId="77777777" w:rsidR="0088061E" w:rsidRPr="00BE5613" w:rsidRDefault="0088061E" w:rsidP="00AA45FA">
      <w:pPr>
        <w:spacing w:line="480" w:lineRule="auto"/>
        <w:ind w:left="284" w:hanging="284"/>
        <w:jc w:val="both"/>
        <w:rPr>
          <w:sz w:val="22"/>
          <w:szCs w:val="22"/>
        </w:rPr>
      </w:pPr>
      <w:r w:rsidRPr="00BE5613">
        <w:rPr>
          <w:sz w:val="22"/>
          <w:szCs w:val="22"/>
        </w:rPr>
        <w:t xml:space="preserve">Hoff, A. (2007). Second stage DEA: Comparison of approaches for modelling the DEA score. Eur. J. </w:t>
      </w:r>
      <w:proofErr w:type="spellStart"/>
      <w:r w:rsidRPr="00BE5613">
        <w:rPr>
          <w:sz w:val="22"/>
          <w:szCs w:val="22"/>
        </w:rPr>
        <w:t>Oper</w:t>
      </w:r>
      <w:proofErr w:type="spellEnd"/>
      <w:r w:rsidRPr="00BE5613">
        <w:rPr>
          <w:sz w:val="22"/>
          <w:szCs w:val="22"/>
        </w:rPr>
        <w:t xml:space="preserve">. Res., 181(1), 425-435. https://doi.org/10.1016/j.ejor.2006.05.019. </w:t>
      </w:r>
    </w:p>
    <w:p w14:paraId="7AF5D8CE" w14:textId="77777777" w:rsidR="0088061E" w:rsidRPr="00BE5613" w:rsidRDefault="0088061E" w:rsidP="00AA45FA">
      <w:pPr>
        <w:spacing w:line="480" w:lineRule="auto"/>
        <w:ind w:left="284" w:hanging="284"/>
        <w:jc w:val="both"/>
        <w:rPr>
          <w:sz w:val="22"/>
          <w:szCs w:val="22"/>
          <w:lang w:val="pt-BR"/>
        </w:rPr>
      </w:pPr>
      <w:proofErr w:type="spellStart"/>
      <w:r w:rsidRPr="00BE5613">
        <w:rPr>
          <w:sz w:val="22"/>
          <w:szCs w:val="22"/>
        </w:rPr>
        <w:t>Hornik</w:t>
      </w:r>
      <w:proofErr w:type="spellEnd"/>
      <w:r w:rsidRPr="00BE5613">
        <w:rPr>
          <w:sz w:val="22"/>
          <w:szCs w:val="22"/>
        </w:rPr>
        <w:t xml:space="preserve">, J., Cherian, J., &amp; </w:t>
      </w:r>
      <w:proofErr w:type="spellStart"/>
      <w:r w:rsidRPr="00BE5613">
        <w:rPr>
          <w:sz w:val="22"/>
          <w:szCs w:val="22"/>
        </w:rPr>
        <w:t>Madansky</w:t>
      </w:r>
      <w:proofErr w:type="spellEnd"/>
      <w:r w:rsidRPr="00BE5613">
        <w:rPr>
          <w:sz w:val="22"/>
          <w:szCs w:val="22"/>
        </w:rPr>
        <w:t xml:space="preserve">, M. (1995). Determinants of recycling behavior: A synthesis of research results. </w:t>
      </w:r>
      <w:r w:rsidRPr="00BE5613">
        <w:rPr>
          <w:sz w:val="22"/>
          <w:szCs w:val="22"/>
          <w:lang w:val="pt-BR"/>
        </w:rPr>
        <w:t xml:space="preserve">J. Socio. Econ., 24(1), 105-127. https://doi.org/10.1016/1053-5357(95)90032-2. </w:t>
      </w:r>
    </w:p>
    <w:p w14:paraId="448B425C" w14:textId="77777777" w:rsidR="003A2D69" w:rsidRPr="00BE5613" w:rsidRDefault="003A2D69" w:rsidP="00AA45FA">
      <w:pPr>
        <w:spacing w:line="480" w:lineRule="auto"/>
        <w:ind w:left="284" w:hanging="284"/>
        <w:jc w:val="both"/>
        <w:rPr>
          <w:sz w:val="22"/>
          <w:szCs w:val="22"/>
        </w:rPr>
      </w:pPr>
      <w:r w:rsidRPr="00BE5613">
        <w:rPr>
          <w:sz w:val="22"/>
          <w:szCs w:val="22"/>
          <w:lang w:val="pt-BR"/>
        </w:rPr>
        <w:lastRenderedPageBreak/>
        <w:t xml:space="preserve">Johnson, A. L., &amp; Kuosmanen, T. (2012). </w:t>
      </w:r>
      <w:r w:rsidRPr="00BE5613">
        <w:rPr>
          <w:sz w:val="22"/>
          <w:szCs w:val="22"/>
        </w:rPr>
        <w:t xml:space="preserve">One-stage and two-stage DEA estimation of the effects of contextual variables. Eur. J. </w:t>
      </w:r>
      <w:proofErr w:type="spellStart"/>
      <w:r w:rsidRPr="00BE5613">
        <w:rPr>
          <w:sz w:val="22"/>
          <w:szCs w:val="22"/>
        </w:rPr>
        <w:t>Oper</w:t>
      </w:r>
      <w:proofErr w:type="spellEnd"/>
      <w:r w:rsidRPr="00BE5613">
        <w:rPr>
          <w:sz w:val="22"/>
          <w:szCs w:val="22"/>
        </w:rPr>
        <w:t xml:space="preserve">. Res., 220(2), 559-570. https://doi.org/10.1016/j.ejor.2012.01.023. </w:t>
      </w:r>
    </w:p>
    <w:p w14:paraId="2D7D9013" w14:textId="77777777" w:rsidR="003A2D69" w:rsidRPr="00BE5613" w:rsidRDefault="003A2D69" w:rsidP="00AA45FA">
      <w:pPr>
        <w:spacing w:line="480" w:lineRule="auto"/>
        <w:ind w:left="284" w:hanging="284"/>
        <w:jc w:val="both"/>
        <w:rPr>
          <w:sz w:val="22"/>
          <w:szCs w:val="22"/>
        </w:rPr>
      </w:pPr>
      <w:r w:rsidRPr="00BE5613">
        <w:rPr>
          <w:sz w:val="22"/>
          <w:szCs w:val="22"/>
        </w:rPr>
        <w:t xml:space="preserve">Kinnaman, T. C., &amp; Fullerton, D. (1999). The economics of residential solid waste management. NBER Working Paper 7326. https://doi.org/10.3386/w7326. </w:t>
      </w:r>
    </w:p>
    <w:p w14:paraId="450CFBC6" w14:textId="77777777" w:rsidR="003A2D69" w:rsidRPr="00BE5613" w:rsidRDefault="003A2D69" w:rsidP="00AA45FA">
      <w:pPr>
        <w:spacing w:line="480" w:lineRule="auto"/>
        <w:ind w:left="284" w:hanging="284"/>
        <w:jc w:val="both"/>
        <w:rPr>
          <w:sz w:val="22"/>
          <w:szCs w:val="22"/>
        </w:rPr>
      </w:pPr>
      <w:r w:rsidRPr="00BE5613">
        <w:rPr>
          <w:sz w:val="22"/>
          <w:szCs w:val="22"/>
        </w:rPr>
        <w:t xml:space="preserve">Lebersorger, S., &amp; Beigl, P. (2011). Municipal solid waste generation in municipalities: Quantifying impacts of household structure, commercial </w:t>
      </w:r>
      <w:proofErr w:type="gramStart"/>
      <w:r w:rsidRPr="00BE5613">
        <w:rPr>
          <w:sz w:val="22"/>
          <w:szCs w:val="22"/>
        </w:rPr>
        <w:t>waste</w:t>
      </w:r>
      <w:proofErr w:type="gramEnd"/>
      <w:r w:rsidRPr="00BE5613">
        <w:rPr>
          <w:sz w:val="22"/>
          <w:szCs w:val="22"/>
        </w:rPr>
        <w:t xml:space="preserve"> and domestic fuel. Waste </w:t>
      </w:r>
      <w:proofErr w:type="spellStart"/>
      <w:r w:rsidRPr="00BE5613">
        <w:rPr>
          <w:sz w:val="22"/>
          <w:szCs w:val="22"/>
        </w:rPr>
        <w:t>Manag</w:t>
      </w:r>
      <w:proofErr w:type="spellEnd"/>
      <w:r w:rsidRPr="00BE5613">
        <w:rPr>
          <w:sz w:val="22"/>
          <w:szCs w:val="22"/>
        </w:rPr>
        <w:t xml:space="preserve">., 31(9), 1907-1915. https://doi.org/10.1016/j.wasman.2011.05.016. </w:t>
      </w:r>
    </w:p>
    <w:p w14:paraId="1E23B0BA" w14:textId="77777777" w:rsidR="00E81256" w:rsidRPr="00BE5613" w:rsidRDefault="00E81256" w:rsidP="00AA45FA">
      <w:pPr>
        <w:spacing w:line="480" w:lineRule="auto"/>
        <w:ind w:left="284" w:hanging="284"/>
        <w:jc w:val="both"/>
        <w:rPr>
          <w:sz w:val="22"/>
          <w:szCs w:val="22"/>
        </w:rPr>
      </w:pPr>
      <w:r w:rsidRPr="00BE5613">
        <w:rPr>
          <w:sz w:val="22"/>
          <w:szCs w:val="22"/>
        </w:rPr>
        <w:t xml:space="preserve">Li, Q., &amp; Racine, J. S. (2003). Nonparametric estimation of distributions with categorical and continuous Data. </w:t>
      </w:r>
      <w:r w:rsidR="006E0173" w:rsidRPr="00BE5613">
        <w:rPr>
          <w:sz w:val="22"/>
          <w:szCs w:val="22"/>
        </w:rPr>
        <w:t xml:space="preserve">J. </w:t>
      </w:r>
      <w:proofErr w:type="spellStart"/>
      <w:r w:rsidR="006E0173" w:rsidRPr="00BE5613">
        <w:rPr>
          <w:sz w:val="22"/>
          <w:szCs w:val="22"/>
        </w:rPr>
        <w:t>Multivar</w:t>
      </w:r>
      <w:proofErr w:type="spellEnd"/>
      <w:r w:rsidR="006E0173" w:rsidRPr="00BE5613">
        <w:rPr>
          <w:sz w:val="22"/>
          <w:szCs w:val="22"/>
        </w:rPr>
        <w:t>. Anal.</w:t>
      </w:r>
      <w:r w:rsidRPr="00BE5613">
        <w:rPr>
          <w:sz w:val="22"/>
          <w:szCs w:val="22"/>
        </w:rPr>
        <w:t>, 86(2), 266-292. https://doi.org/10.1016/S0047-259X(02)00025-8</w:t>
      </w:r>
    </w:p>
    <w:p w14:paraId="5A3F8238" w14:textId="77777777" w:rsidR="00E81256" w:rsidRPr="00BE5613" w:rsidRDefault="00E81256" w:rsidP="00AA45FA">
      <w:pPr>
        <w:spacing w:line="480" w:lineRule="auto"/>
        <w:ind w:left="284" w:hanging="284"/>
        <w:jc w:val="both"/>
        <w:rPr>
          <w:sz w:val="22"/>
          <w:szCs w:val="22"/>
        </w:rPr>
      </w:pPr>
      <w:r w:rsidRPr="00BE5613">
        <w:rPr>
          <w:sz w:val="22"/>
          <w:szCs w:val="22"/>
        </w:rPr>
        <w:t xml:space="preserve">Li, Q., &amp; Racine, J. S. (2008). Nonparametric estimation of conditional </w:t>
      </w:r>
      <w:proofErr w:type="spellStart"/>
      <w:r w:rsidRPr="00BE5613">
        <w:rPr>
          <w:sz w:val="22"/>
          <w:szCs w:val="22"/>
        </w:rPr>
        <w:t>cdf</w:t>
      </w:r>
      <w:proofErr w:type="spellEnd"/>
      <w:r w:rsidRPr="00BE5613">
        <w:rPr>
          <w:sz w:val="22"/>
          <w:szCs w:val="22"/>
        </w:rPr>
        <w:t xml:space="preserve"> and quantile functions with mixed categorical and continuous Data. </w:t>
      </w:r>
      <w:r w:rsidR="006E0173" w:rsidRPr="00BE5613">
        <w:rPr>
          <w:sz w:val="22"/>
          <w:szCs w:val="22"/>
        </w:rPr>
        <w:t>J. Bus. Econ. Stat.</w:t>
      </w:r>
      <w:r w:rsidRPr="00BE5613">
        <w:rPr>
          <w:sz w:val="22"/>
          <w:szCs w:val="22"/>
        </w:rPr>
        <w:t>, 26(4), 423-434. https://doi.org/10.1198/</w:t>
      </w:r>
      <w:r w:rsidR="006E0173" w:rsidRPr="00BE5613">
        <w:rPr>
          <w:sz w:val="22"/>
          <w:szCs w:val="22"/>
        </w:rPr>
        <w:t xml:space="preserve"> </w:t>
      </w:r>
      <w:r w:rsidRPr="00BE5613">
        <w:rPr>
          <w:sz w:val="22"/>
          <w:szCs w:val="22"/>
        </w:rPr>
        <w:t>073500107000000250.</w:t>
      </w:r>
    </w:p>
    <w:p w14:paraId="51739674" w14:textId="77777777" w:rsidR="006E0173" w:rsidRPr="00BE5613" w:rsidRDefault="006E0173" w:rsidP="00AA45FA">
      <w:pPr>
        <w:spacing w:line="480" w:lineRule="auto"/>
        <w:ind w:left="284" w:hanging="284"/>
        <w:jc w:val="both"/>
        <w:rPr>
          <w:sz w:val="22"/>
          <w:szCs w:val="22"/>
        </w:rPr>
      </w:pPr>
      <w:r w:rsidRPr="00BE5613">
        <w:rPr>
          <w:sz w:val="22"/>
          <w:szCs w:val="22"/>
        </w:rPr>
        <w:t>Li, Q., Lin, J., &amp; Racine, J. S. (2013)</w:t>
      </w:r>
      <w:r w:rsidR="005D41F0" w:rsidRPr="00BE5613">
        <w:rPr>
          <w:sz w:val="22"/>
          <w:szCs w:val="22"/>
        </w:rPr>
        <w:t>.</w:t>
      </w:r>
      <w:r w:rsidRPr="00BE5613">
        <w:rPr>
          <w:sz w:val="22"/>
          <w:szCs w:val="22"/>
        </w:rPr>
        <w:t xml:space="preserve"> Optimal bandwidth selection for nonparametric conditional distribution and quantile functions J. Bus. Econ. Stat., 31(1), 57-65. https://doi.org/10.1080/ 07350015.2012.738955.</w:t>
      </w:r>
    </w:p>
    <w:p w14:paraId="5A5FC07F" w14:textId="77777777" w:rsidR="00E81256" w:rsidRPr="00BE5613" w:rsidRDefault="00E81256" w:rsidP="00AA45FA">
      <w:pPr>
        <w:spacing w:line="480" w:lineRule="auto"/>
        <w:ind w:left="284" w:hanging="284"/>
        <w:jc w:val="both"/>
        <w:rPr>
          <w:sz w:val="22"/>
          <w:szCs w:val="22"/>
          <w:lang w:val="pt-BR"/>
        </w:rPr>
      </w:pPr>
      <w:r w:rsidRPr="00BE5613">
        <w:rPr>
          <w:sz w:val="22"/>
          <w:szCs w:val="22"/>
        </w:rPr>
        <w:t xml:space="preserve">Liu, J. S., Lu, L. Y. Y., &amp; Lu, W.-M. (2016). Research fronts in data envelopment analysis. </w:t>
      </w:r>
      <w:r w:rsidRPr="00BE5613">
        <w:rPr>
          <w:sz w:val="22"/>
          <w:szCs w:val="22"/>
          <w:lang w:val="pt-BR"/>
        </w:rPr>
        <w:t>Omega, 58, 33-45. https://doi.org/10.1016/j.omega.2015.04.004.</w:t>
      </w:r>
    </w:p>
    <w:p w14:paraId="2668B89B"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Llanquileo-Melgarejo, P., &amp; Molinos-Senante, M. (2021). </w:t>
      </w:r>
      <w:r w:rsidRPr="00BE5613">
        <w:rPr>
          <w:sz w:val="22"/>
          <w:szCs w:val="22"/>
        </w:rPr>
        <w:t xml:space="preserve">Evaluation of economies of scale in eco-efficiency of municipal waste management: an empirical approach for Chile. </w:t>
      </w:r>
      <w:r w:rsidRPr="00BE5613">
        <w:rPr>
          <w:sz w:val="22"/>
          <w:szCs w:val="22"/>
          <w:lang w:val="pt-BR"/>
        </w:rPr>
        <w:t xml:space="preserve">Environ. Sci. Pollut. Res., 1-12. https://doi.org/10.1007/s11356-021-12529-1. </w:t>
      </w:r>
    </w:p>
    <w:p w14:paraId="1A7EDE70"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Llanquileo-Melgarejo, P., Molinos-Senante, M., Romano, G., &amp; Carosi, L. (2021). </w:t>
      </w:r>
      <w:r w:rsidRPr="00BE5613">
        <w:rPr>
          <w:sz w:val="22"/>
          <w:szCs w:val="22"/>
        </w:rPr>
        <w:t xml:space="preserve">Evaluation of the Impact of Separative Collection and Recycling of Municipal Solid Waste on Performance: An Empirical Application for Chile. Sustainability, 13(4), 2022. https://doi.org/10.3390/su13042022. </w:t>
      </w:r>
    </w:p>
    <w:p w14:paraId="10283725" w14:textId="77777777" w:rsidR="003A2D69" w:rsidRPr="00BE5613" w:rsidRDefault="003A2D69" w:rsidP="00AA45FA">
      <w:pPr>
        <w:spacing w:line="480" w:lineRule="auto"/>
        <w:ind w:left="284" w:hanging="284"/>
        <w:jc w:val="both"/>
        <w:rPr>
          <w:sz w:val="22"/>
          <w:szCs w:val="22"/>
          <w:lang w:val="pt-BR"/>
        </w:rPr>
      </w:pPr>
      <w:r w:rsidRPr="00BE5613">
        <w:rPr>
          <w:sz w:val="22"/>
          <w:szCs w:val="22"/>
        </w:rPr>
        <w:t xml:space="preserve">Madsen, H., &amp; </w:t>
      </w:r>
      <w:proofErr w:type="spellStart"/>
      <w:r w:rsidRPr="00BE5613">
        <w:rPr>
          <w:sz w:val="22"/>
          <w:szCs w:val="22"/>
        </w:rPr>
        <w:t>Thyregod</w:t>
      </w:r>
      <w:proofErr w:type="spellEnd"/>
      <w:r w:rsidRPr="00BE5613">
        <w:rPr>
          <w:sz w:val="22"/>
          <w:szCs w:val="22"/>
        </w:rPr>
        <w:t xml:space="preserve">, P. (2011). Introduction to general and generalized linear models. </w:t>
      </w:r>
      <w:r w:rsidRPr="00BE5613">
        <w:rPr>
          <w:sz w:val="22"/>
          <w:szCs w:val="22"/>
          <w:lang w:val="pt-BR"/>
        </w:rPr>
        <w:t>CRC Press, Boca Raton.</w:t>
      </w:r>
    </w:p>
    <w:p w14:paraId="71D852B7" w14:textId="77777777" w:rsidR="003A2D69" w:rsidRPr="00BE5613" w:rsidRDefault="003A2D69" w:rsidP="00AA45FA">
      <w:pPr>
        <w:spacing w:line="480" w:lineRule="auto"/>
        <w:ind w:left="284" w:hanging="284"/>
        <w:jc w:val="both"/>
        <w:rPr>
          <w:sz w:val="22"/>
          <w:szCs w:val="22"/>
        </w:rPr>
      </w:pPr>
      <w:r w:rsidRPr="00BE5613">
        <w:rPr>
          <w:sz w:val="22"/>
          <w:szCs w:val="22"/>
          <w:lang w:val="pt-BR"/>
        </w:rPr>
        <w:lastRenderedPageBreak/>
        <w:t xml:space="preserve">Marques, R. C., Ferreira da Cruz, N., Carvalho, P. (2012). </w:t>
      </w:r>
      <w:r w:rsidRPr="00BE5613">
        <w:rPr>
          <w:sz w:val="22"/>
          <w:szCs w:val="22"/>
        </w:rPr>
        <w:t xml:space="preserve">Assessing and exploring (in)efficiency in </w:t>
      </w:r>
      <w:proofErr w:type="spellStart"/>
      <w:r w:rsidRPr="00BE5613">
        <w:rPr>
          <w:sz w:val="22"/>
          <w:szCs w:val="22"/>
        </w:rPr>
        <w:t>Portugues</w:t>
      </w:r>
      <w:proofErr w:type="spellEnd"/>
      <w:r w:rsidRPr="00BE5613">
        <w:rPr>
          <w:sz w:val="22"/>
          <w:szCs w:val="22"/>
        </w:rPr>
        <w:t xml:space="preserve"> recycling systems using non-parametric methods.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67, 34-43. https://doi.org/10.1016/j.resconrec.2012.07.005.</w:t>
      </w:r>
    </w:p>
    <w:p w14:paraId="12EA333D" w14:textId="77777777" w:rsidR="003A2D69" w:rsidRPr="00BE5613" w:rsidRDefault="003A2D69" w:rsidP="00AA45FA">
      <w:pPr>
        <w:spacing w:line="480" w:lineRule="auto"/>
        <w:ind w:left="284" w:hanging="284"/>
        <w:jc w:val="both"/>
        <w:rPr>
          <w:sz w:val="22"/>
          <w:szCs w:val="22"/>
          <w:lang w:val="pt-BR"/>
        </w:rPr>
      </w:pPr>
      <w:r w:rsidRPr="00BE5613">
        <w:rPr>
          <w:sz w:val="22"/>
          <w:szCs w:val="22"/>
        </w:rPr>
        <w:t xml:space="preserve">Marques, R. C., &amp; Simões, P. (2009). Incentive regulation and performance measurement of the Portuguese solid waste management services. </w:t>
      </w:r>
      <w:r w:rsidRPr="00BE5613">
        <w:rPr>
          <w:sz w:val="22"/>
          <w:szCs w:val="22"/>
          <w:lang w:val="pt-BR"/>
        </w:rPr>
        <w:t xml:space="preserve">Waste Manag. Res., 27(2), 188-196. https://doi.org/10.1177/0734242X08095025. </w:t>
      </w:r>
    </w:p>
    <w:p w14:paraId="3DBC6F45"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Marti, L., &amp; Puertas, R. (2021). </w:t>
      </w:r>
      <w:r w:rsidRPr="00BE5613">
        <w:rPr>
          <w:sz w:val="22"/>
          <w:szCs w:val="22"/>
        </w:rPr>
        <w:t>Influence of environmental policies on waste treatment. Waste Manage., 126, 191-200. https://doi.org/10.1016/j.wasman.2021.03.009.</w:t>
      </w:r>
    </w:p>
    <w:p w14:paraId="0105882E" w14:textId="77777777" w:rsidR="003A2D69" w:rsidRPr="00BE5613" w:rsidRDefault="003A2D69" w:rsidP="00AA45FA">
      <w:pPr>
        <w:spacing w:line="480" w:lineRule="auto"/>
        <w:ind w:left="284" w:hanging="284"/>
        <w:jc w:val="both"/>
        <w:rPr>
          <w:sz w:val="22"/>
          <w:szCs w:val="22"/>
        </w:rPr>
      </w:pPr>
      <w:proofErr w:type="spellStart"/>
      <w:r w:rsidRPr="00BE5613">
        <w:rPr>
          <w:sz w:val="22"/>
          <w:szCs w:val="22"/>
        </w:rPr>
        <w:t>Mazzanti</w:t>
      </w:r>
      <w:proofErr w:type="spellEnd"/>
      <w:r w:rsidRPr="00BE5613">
        <w:rPr>
          <w:sz w:val="22"/>
          <w:szCs w:val="22"/>
        </w:rPr>
        <w:t xml:space="preserve">, M., &amp; </w:t>
      </w:r>
      <w:proofErr w:type="spellStart"/>
      <w:r w:rsidRPr="00BE5613">
        <w:rPr>
          <w:sz w:val="22"/>
          <w:szCs w:val="22"/>
        </w:rPr>
        <w:t>Zoboli</w:t>
      </w:r>
      <w:proofErr w:type="spellEnd"/>
      <w:r w:rsidRPr="00BE5613">
        <w:rPr>
          <w:sz w:val="22"/>
          <w:szCs w:val="22"/>
        </w:rPr>
        <w:t xml:space="preserve">, R. (2008). Waste generation, waste disposal and policy effectiveness: Evidence on decoupling from the European Union.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xml:space="preserve">., 52(10), 1221-1234. https://doi.org/10.1016/j.resconrec.2008.07.003. </w:t>
      </w:r>
    </w:p>
    <w:p w14:paraId="4C460595" w14:textId="77777777" w:rsidR="003A2D69" w:rsidRPr="00BE5613" w:rsidRDefault="003A2D69" w:rsidP="00AA45FA">
      <w:pPr>
        <w:spacing w:line="480" w:lineRule="auto"/>
        <w:ind w:left="284" w:hanging="284"/>
        <w:jc w:val="both"/>
        <w:rPr>
          <w:sz w:val="22"/>
          <w:szCs w:val="22"/>
          <w:lang w:val="pt-BR"/>
        </w:rPr>
      </w:pPr>
      <w:r w:rsidRPr="00BE5613">
        <w:rPr>
          <w:sz w:val="22"/>
          <w:szCs w:val="22"/>
        </w:rPr>
        <w:t xml:space="preserve">McDonald, J. (2009). Using least squares and </w:t>
      </w:r>
      <w:proofErr w:type="spellStart"/>
      <w:r w:rsidRPr="00BE5613">
        <w:rPr>
          <w:sz w:val="22"/>
          <w:szCs w:val="22"/>
        </w:rPr>
        <w:t>tobit</w:t>
      </w:r>
      <w:proofErr w:type="spellEnd"/>
      <w:r w:rsidRPr="00BE5613">
        <w:rPr>
          <w:sz w:val="22"/>
          <w:szCs w:val="22"/>
        </w:rPr>
        <w:t xml:space="preserve"> in second stage DEA efficiency analyses. </w:t>
      </w:r>
      <w:r w:rsidRPr="00BE5613">
        <w:rPr>
          <w:sz w:val="22"/>
          <w:szCs w:val="22"/>
          <w:lang w:val="pt-BR"/>
        </w:rPr>
        <w:t xml:space="preserve">Eur. J. Oper. Res., 197(2), 792-798. https://doi.org/10.1016/j.ejor.2008.07.039. </w:t>
      </w:r>
    </w:p>
    <w:p w14:paraId="3550F9CD"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Pérez-López, G., Prior, D., &amp; Zafra-Gómez, J. L. (2015). </w:t>
      </w:r>
      <w:r w:rsidRPr="00BE5613">
        <w:rPr>
          <w:sz w:val="22"/>
          <w:szCs w:val="22"/>
        </w:rPr>
        <w:t xml:space="preserve">Rethinking new public management delivery forms and efficiency: Long-term effects in Spanish local government. J. Publ. Adm. Res. </w:t>
      </w:r>
      <w:proofErr w:type="spellStart"/>
      <w:r w:rsidRPr="00BE5613">
        <w:rPr>
          <w:sz w:val="22"/>
          <w:szCs w:val="22"/>
        </w:rPr>
        <w:t>Theor</w:t>
      </w:r>
      <w:proofErr w:type="spellEnd"/>
      <w:r w:rsidRPr="00BE5613">
        <w:rPr>
          <w:sz w:val="22"/>
          <w:szCs w:val="22"/>
        </w:rPr>
        <w:t xml:space="preserve">., 25(4), 1157-1183. https://doi.org/10.1093/jopart/muu088. </w:t>
      </w:r>
    </w:p>
    <w:p w14:paraId="7E8BF626"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Pérez-López, G., Prior, D., &amp; Zafra-Gómez, J. L. (2018). </w:t>
      </w:r>
      <w:r w:rsidRPr="00BE5613">
        <w:rPr>
          <w:sz w:val="22"/>
          <w:szCs w:val="22"/>
        </w:rPr>
        <w:t xml:space="preserve">Temporal scale efficiency in DEA panel data estimations. An application to the solid waste disposal service in Spain. </w:t>
      </w:r>
      <w:r w:rsidRPr="00BE5613">
        <w:rPr>
          <w:sz w:val="22"/>
          <w:szCs w:val="22"/>
          <w:lang w:val="pt-BR"/>
        </w:rPr>
        <w:t xml:space="preserve">Omega, 76, 18-27. https://doi.org/10.1016/j.omega.2017.03.005. </w:t>
      </w:r>
    </w:p>
    <w:p w14:paraId="5A6F1759"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Pérez-López, G., Prior, D., &amp; Zafra-Gómez, J. L. (2021). </w:t>
      </w:r>
      <w:r w:rsidRPr="00BE5613">
        <w:rPr>
          <w:sz w:val="22"/>
          <w:szCs w:val="22"/>
        </w:rPr>
        <w:t xml:space="preserve">Modelling environmental constraints on the efficiency of management forms for public service delivery. </w:t>
      </w:r>
      <w:r w:rsidRPr="00BE5613">
        <w:rPr>
          <w:sz w:val="22"/>
          <w:szCs w:val="22"/>
          <w:lang w:val="pt-BR"/>
        </w:rPr>
        <w:t xml:space="preserve">Waste Manag., 126, 443-453. https://doi.org/10.1016/j.wasman.2021.03.007. </w:t>
      </w:r>
    </w:p>
    <w:p w14:paraId="72DFA1CC"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Pérez-López, G., Prior, D., Zafra-Gómez, J. L., &amp; Plata-Díaz, A. M. (2016). </w:t>
      </w:r>
      <w:r w:rsidRPr="00BE5613">
        <w:rPr>
          <w:sz w:val="22"/>
          <w:szCs w:val="22"/>
        </w:rPr>
        <w:t xml:space="preserve">Cost efficiency in municipal solid waste service delivery. Alternative management forms in relation to local population size. </w:t>
      </w:r>
      <w:r w:rsidRPr="00BE5613">
        <w:rPr>
          <w:sz w:val="22"/>
          <w:szCs w:val="22"/>
          <w:lang w:val="pt-BR"/>
        </w:rPr>
        <w:t xml:space="preserve">Eur. J. Oper. Res., 255(2), 583-592. https://doi.org/10.1016/j.ejor.2016.05.034. </w:t>
      </w:r>
    </w:p>
    <w:p w14:paraId="084F019B"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Pires, A., Martinho, G., &amp; Chang, N. B. (2011). </w:t>
      </w:r>
      <w:r w:rsidRPr="00BE5613">
        <w:rPr>
          <w:sz w:val="22"/>
          <w:szCs w:val="22"/>
        </w:rPr>
        <w:t xml:space="preserve">Solid waste management in European countries: A review of systems analysis techniques. J. Environ. </w:t>
      </w:r>
      <w:proofErr w:type="spellStart"/>
      <w:r w:rsidRPr="00BE5613">
        <w:rPr>
          <w:sz w:val="22"/>
          <w:szCs w:val="22"/>
        </w:rPr>
        <w:t>Manag</w:t>
      </w:r>
      <w:proofErr w:type="spellEnd"/>
      <w:r w:rsidRPr="00BE5613">
        <w:rPr>
          <w:sz w:val="22"/>
          <w:szCs w:val="22"/>
        </w:rPr>
        <w:t xml:space="preserve">., 92(4), 1033-1050. https://doi.org/10.1016/j.jenvman.2010.11.024. </w:t>
      </w:r>
    </w:p>
    <w:p w14:paraId="59FD3966" w14:textId="77777777" w:rsidR="00E81256" w:rsidRPr="00BE5613" w:rsidRDefault="00E81256" w:rsidP="00AA45FA">
      <w:pPr>
        <w:spacing w:line="480" w:lineRule="auto"/>
        <w:ind w:left="284" w:hanging="284"/>
        <w:jc w:val="both"/>
        <w:rPr>
          <w:sz w:val="22"/>
          <w:szCs w:val="22"/>
        </w:rPr>
      </w:pPr>
      <w:proofErr w:type="spellStart"/>
      <w:r w:rsidRPr="00BE5613">
        <w:rPr>
          <w:sz w:val="22"/>
          <w:szCs w:val="22"/>
        </w:rPr>
        <w:lastRenderedPageBreak/>
        <w:t>Podinovski</w:t>
      </w:r>
      <w:proofErr w:type="spellEnd"/>
      <w:r w:rsidRPr="00BE5613">
        <w:rPr>
          <w:sz w:val="22"/>
          <w:szCs w:val="22"/>
        </w:rPr>
        <w:t xml:space="preserve">, V. V., &amp; </w:t>
      </w:r>
      <w:proofErr w:type="spellStart"/>
      <w:r w:rsidRPr="00BE5613">
        <w:rPr>
          <w:sz w:val="22"/>
          <w:szCs w:val="22"/>
        </w:rPr>
        <w:t>Thanassoulis</w:t>
      </w:r>
      <w:proofErr w:type="spellEnd"/>
      <w:r w:rsidRPr="00BE5613">
        <w:rPr>
          <w:sz w:val="22"/>
          <w:szCs w:val="22"/>
        </w:rPr>
        <w:t xml:space="preserve">, E. (2007) Improving discrimination in data envelopment analysis: Some practical suggestions. J. Prod. Anal. 28(1/2), 117–126. https://doi.org/10.1007/s11123-007-0042-x. </w:t>
      </w:r>
    </w:p>
    <w:p w14:paraId="628FF0B1" w14:textId="77777777" w:rsidR="003A2D69" w:rsidRPr="00BE5613" w:rsidRDefault="003A2D69" w:rsidP="00AA45FA">
      <w:pPr>
        <w:spacing w:line="480" w:lineRule="auto"/>
        <w:ind w:left="284" w:hanging="284"/>
        <w:jc w:val="both"/>
        <w:rPr>
          <w:sz w:val="22"/>
          <w:szCs w:val="22"/>
        </w:rPr>
      </w:pPr>
      <w:r w:rsidRPr="00BE5613">
        <w:rPr>
          <w:sz w:val="22"/>
          <w:szCs w:val="22"/>
        </w:rPr>
        <w:t>R Core Team (2020). R: a language and environment for statistical computing, version 4.0.1 R Foundation for Statistical Computing, Vienna. http://www.r-project.org.</w:t>
      </w:r>
    </w:p>
    <w:p w14:paraId="4711B30E" w14:textId="77777777" w:rsidR="00E81256" w:rsidRPr="00BE5613" w:rsidRDefault="00E81256" w:rsidP="00AA45FA">
      <w:pPr>
        <w:spacing w:line="480" w:lineRule="auto"/>
        <w:ind w:left="284" w:hanging="284"/>
        <w:jc w:val="both"/>
        <w:rPr>
          <w:sz w:val="22"/>
          <w:szCs w:val="22"/>
        </w:rPr>
      </w:pPr>
      <w:r w:rsidRPr="00BE5613">
        <w:rPr>
          <w:sz w:val="22"/>
          <w:szCs w:val="22"/>
        </w:rPr>
        <w:t>Racine, J.-S. (2020). np: Nonparametric kernel smoothing methods for mixed data types. R package, version 0.60-11. https://cran.r-project.org/package=np.</w:t>
      </w:r>
    </w:p>
    <w:p w14:paraId="0D0F0A7D" w14:textId="77777777" w:rsidR="003A2D69" w:rsidRPr="00BE5613" w:rsidRDefault="003A2D69" w:rsidP="00AA45FA">
      <w:pPr>
        <w:spacing w:line="480" w:lineRule="auto"/>
        <w:ind w:left="284" w:hanging="284"/>
        <w:jc w:val="both"/>
        <w:rPr>
          <w:sz w:val="22"/>
          <w:szCs w:val="22"/>
        </w:rPr>
      </w:pPr>
      <w:r w:rsidRPr="00BE5613">
        <w:rPr>
          <w:sz w:val="22"/>
          <w:szCs w:val="22"/>
        </w:rPr>
        <w:t xml:space="preserve">Ray, S. C. (1988). Data envelopment analysis, nondiscretionary </w:t>
      </w:r>
      <w:proofErr w:type="gramStart"/>
      <w:r w:rsidRPr="00BE5613">
        <w:rPr>
          <w:sz w:val="22"/>
          <w:szCs w:val="22"/>
        </w:rPr>
        <w:t>inputs</w:t>
      </w:r>
      <w:proofErr w:type="gramEnd"/>
      <w:r w:rsidRPr="00BE5613">
        <w:rPr>
          <w:sz w:val="22"/>
          <w:szCs w:val="22"/>
        </w:rPr>
        <w:t xml:space="preserve"> and efficiency: an alternative interpretation. Socio. Econ. Plan. Sci., 22(4), 167-176. https://doi.org/10.1016/0038-0121(88)90003-1. </w:t>
      </w:r>
    </w:p>
    <w:p w14:paraId="15120E31" w14:textId="77777777" w:rsidR="003A2D69" w:rsidRPr="00BE5613" w:rsidRDefault="003A2D69" w:rsidP="00AA45FA">
      <w:pPr>
        <w:spacing w:line="480" w:lineRule="auto"/>
        <w:ind w:left="284" w:hanging="284"/>
        <w:jc w:val="both"/>
        <w:rPr>
          <w:sz w:val="22"/>
          <w:szCs w:val="22"/>
          <w:lang w:val="pt-BR"/>
        </w:rPr>
      </w:pPr>
      <w:r w:rsidRPr="00BE5613">
        <w:rPr>
          <w:sz w:val="22"/>
          <w:szCs w:val="22"/>
        </w:rPr>
        <w:t xml:space="preserve">Ríos, A. M., &amp; </w:t>
      </w:r>
      <w:proofErr w:type="spellStart"/>
      <w:r w:rsidRPr="00BE5613">
        <w:rPr>
          <w:sz w:val="22"/>
          <w:szCs w:val="22"/>
        </w:rPr>
        <w:t>Picazo-Tadeo</w:t>
      </w:r>
      <w:proofErr w:type="spellEnd"/>
      <w:r w:rsidRPr="00BE5613">
        <w:rPr>
          <w:sz w:val="22"/>
          <w:szCs w:val="22"/>
        </w:rPr>
        <w:t xml:space="preserve">, A. J. (2021). Measuring environmental performance in the treatment of municipal solid waste: The case of the European Union-28. </w:t>
      </w:r>
      <w:r w:rsidRPr="00BE5613">
        <w:rPr>
          <w:sz w:val="22"/>
          <w:szCs w:val="22"/>
          <w:lang w:val="pt-BR"/>
        </w:rPr>
        <w:t>Ecol. Indic., 123, 107328. https://doi.org/10.1016/j.ecolind.2020.107328.</w:t>
      </w:r>
    </w:p>
    <w:p w14:paraId="70B72ACA"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Rogge, N., &amp; De Jaeger, S. (2012). </w:t>
      </w:r>
      <w:r w:rsidRPr="00BE5613">
        <w:rPr>
          <w:sz w:val="22"/>
          <w:szCs w:val="22"/>
        </w:rPr>
        <w:t xml:space="preserve">Evaluating the efficiency of municipalities in collecting and processing municipal solid waste: A shared input DEA-model. </w:t>
      </w:r>
      <w:r w:rsidRPr="00BE5613">
        <w:rPr>
          <w:sz w:val="22"/>
          <w:szCs w:val="22"/>
          <w:lang w:val="pt-BR"/>
        </w:rPr>
        <w:t xml:space="preserve">Waste Manag., 32(10), 1968-1978. https://doi.org/10.1016/j.wasman.2012.05.021. </w:t>
      </w:r>
    </w:p>
    <w:p w14:paraId="3DF1820A" w14:textId="77777777" w:rsidR="003A2D69" w:rsidRPr="00BE5613" w:rsidRDefault="003A2D69" w:rsidP="00AA45FA">
      <w:pPr>
        <w:spacing w:line="480" w:lineRule="auto"/>
        <w:ind w:left="284" w:hanging="284"/>
        <w:jc w:val="both"/>
        <w:rPr>
          <w:sz w:val="22"/>
          <w:szCs w:val="22"/>
          <w:lang w:val="pt-BR"/>
        </w:rPr>
      </w:pPr>
      <w:r w:rsidRPr="00BE5613">
        <w:rPr>
          <w:sz w:val="22"/>
          <w:szCs w:val="22"/>
          <w:lang w:val="pt-BR"/>
        </w:rPr>
        <w:t xml:space="preserve">Rogge, N., &amp; De Jaeger, S. (2013). </w:t>
      </w:r>
      <w:r w:rsidRPr="00BE5613">
        <w:rPr>
          <w:sz w:val="22"/>
          <w:szCs w:val="22"/>
        </w:rPr>
        <w:t xml:space="preserve">Measuring and explaining the cost efficiency of municipal solid waste collection and processing services. </w:t>
      </w:r>
      <w:r w:rsidRPr="00BE5613">
        <w:rPr>
          <w:sz w:val="22"/>
          <w:szCs w:val="22"/>
          <w:lang w:val="pt-BR"/>
        </w:rPr>
        <w:t xml:space="preserve">Omega, 41(4), 653-664. https://doi.org/10.1016/j.omega.2012.09.006. </w:t>
      </w:r>
    </w:p>
    <w:p w14:paraId="7516A0CE"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Romano, G., Ferreira, D. C., Marques, R. C., &amp; Carosi, L. (2020). </w:t>
      </w:r>
      <w:r w:rsidRPr="00BE5613">
        <w:rPr>
          <w:sz w:val="22"/>
          <w:szCs w:val="22"/>
        </w:rPr>
        <w:t xml:space="preserve">Waste services' performance assessment: The case of Tuscany, Italy. Waste </w:t>
      </w:r>
      <w:proofErr w:type="spellStart"/>
      <w:r w:rsidRPr="00BE5613">
        <w:rPr>
          <w:sz w:val="22"/>
          <w:szCs w:val="22"/>
        </w:rPr>
        <w:t>Manag</w:t>
      </w:r>
      <w:proofErr w:type="spellEnd"/>
      <w:r w:rsidRPr="00BE5613">
        <w:rPr>
          <w:sz w:val="22"/>
          <w:szCs w:val="22"/>
        </w:rPr>
        <w:t xml:space="preserve">., 118, 573-584. https://doi.org/10.1016/j.wasman.2020.08.057. </w:t>
      </w:r>
    </w:p>
    <w:p w14:paraId="0024039D"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Romano, G., &amp; Molinos-Senante, M. (2020). </w:t>
      </w:r>
      <w:r w:rsidRPr="00BE5613">
        <w:rPr>
          <w:sz w:val="22"/>
          <w:szCs w:val="22"/>
        </w:rPr>
        <w:t xml:space="preserve">Factors affecting eco-efficiency of municipal waste services in Tuscan municipalities: An empirical investigation of different management models. Waste </w:t>
      </w:r>
      <w:proofErr w:type="spellStart"/>
      <w:r w:rsidRPr="00BE5613">
        <w:rPr>
          <w:sz w:val="22"/>
          <w:szCs w:val="22"/>
        </w:rPr>
        <w:t>Manag</w:t>
      </w:r>
      <w:proofErr w:type="spellEnd"/>
      <w:r w:rsidRPr="00BE5613">
        <w:rPr>
          <w:sz w:val="22"/>
          <w:szCs w:val="22"/>
        </w:rPr>
        <w:t xml:space="preserve">., 105, 384-394. https://doi.org/10.1016/j.wasman.2020.02.028. </w:t>
      </w:r>
    </w:p>
    <w:p w14:paraId="00AB4C6C" w14:textId="77777777" w:rsidR="003A2D69" w:rsidRPr="00BE5613" w:rsidRDefault="003A2D69" w:rsidP="00AA45FA">
      <w:pPr>
        <w:spacing w:line="480" w:lineRule="auto"/>
        <w:ind w:left="284" w:hanging="284"/>
        <w:jc w:val="both"/>
        <w:rPr>
          <w:sz w:val="22"/>
          <w:szCs w:val="22"/>
        </w:rPr>
      </w:pPr>
      <w:proofErr w:type="spellStart"/>
      <w:r w:rsidRPr="00BE5613">
        <w:rPr>
          <w:sz w:val="22"/>
          <w:szCs w:val="22"/>
        </w:rPr>
        <w:t>Rosecký</w:t>
      </w:r>
      <w:proofErr w:type="spellEnd"/>
      <w:r w:rsidRPr="00BE5613">
        <w:rPr>
          <w:sz w:val="22"/>
          <w:szCs w:val="22"/>
        </w:rPr>
        <w:t xml:space="preserve">, M., </w:t>
      </w:r>
      <w:proofErr w:type="spellStart"/>
      <w:r w:rsidRPr="00BE5613">
        <w:rPr>
          <w:sz w:val="22"/>
          <w:szCs w:val="22"/>
        </w:rPr>
        <w:t>Šomplák</w:t>
      </w:r>
      <w:proofErr w:type="spellEnd"/>
      <w:r w:rsidRPr="00BE5613">
        <w:rPr>
          <w:sz w:val="22"/>
          <w:szCs w:val="22"/>
        </w:rPr>
        <w:t xml:space="preserve">, R., </w:t>
      </w:r>
      <w:proofErr w:type="spellStart"/>
      <w:r w:rsidRPr="00BE5613">
        <w:rPr>
          <w:sz w:val="22"/>
          <w:szCs w:val="22"/>
        </w:rPr>
        <w:t>Slavík</w:t>
      </w:r>
      <w:proofErr w:type="spellEnd"/>
      <w:r w:rsidRPr="00BE5613">
        <w:rPr>
          <w:sz w:val="22"/>
          <w:szCs w:val="22"/>
        </w:rPr>
        <w:t xml:space="preserve">, J., </w:t>
      </w:r>
      <w:proofErr w:type="spellStart"/>
      <w:r w:rsidRPr="00BE5613">
        <w:rPr>
          <w:sz w:val="22"/>
          <w:szCs w:val="22"/>
        </w:rPr>
        <w:t>Kalina</w:t>
      </w:r>
      <w:proofErr w:type="spellEnd"/>
      <w:r w:rsidRPr="00BE5613">
        <w:rPr>
          <w:sz w:val="22"/>
          <w:szCs w:val="22"/>
        </w:rPr>
        <w:t xml:space="preserve">, J., </w:t>
      </w:r>
      <w:proofErr w:type="spellStart"/>
      <w:r w:rsidRPr="00BE5613">
        <w:rPr>
          <w:sz w:val="22"/>
          <w:szCs w:val="22"/>
        </w:rPr>
        <w:t>Bulková</w:t>
      </w:r>
      <w:proofErr w:type="spellEnd"/>
      <w:r w:rsidRPr="00BE5613">
        <w:rPr>
          <w:sz w:val="22"/>
          <w:szCs w:val="22"/>
        </w:rPr>
        <w:t xml:space="preserve">, G., &amp; </w:t>
      </w:r>
      <w:proofErr w:type="spellStart"/>
      <w:r w:rsidRPr="00BE5613">
        <w:rPr>
          <w:sz w:val="22"/>
          <w:szCs w:val="22"/>
        </w:rPr>
        <w:t>Bednář</w:t>
      </w:r>
      <w:proofErr w:type="spellEnd"/>
      <w:r w:rsidRPr="00BE5613">
        <w:rPr>
          <w:sz w:val="22"/>
          <w:szCs w:val="22"/>
        </w:rPr>
        <w:t xml:space="preserve">, J. (2021). Predictive modelling as a tool for effective municipal waste management policy at different territorial levels. J. Environ. </w:t>
      </w:r>
      <w:proofErr w:type="spellStart"/>
      <w:r w:rsidRPr="00BE5613">
        <w:rPr>
          <w:sz w:val="22"/>
          <w:szCs w:val="22"/>
        </w:rPr>
        <w:t>Manag</w:t>
      </w:r>
      <w:proofErr w:type="spellEnd"/>
      <w:r w:rsidRPr="00BE5613">
        <w:rPr>
          <w:sz w:val="22"/>
          <w:szCs w:val="22"/>
        </w:rPr>
        <w:t xml:space="preserve">., 291, 112584. https://doi.org/10.1016/j.jenvman.2021.112584. </w:t>
      </w:r>
    </w:p>
    <w:p w14:paraId="469F690F" w14:textId="77777777" w:rsidR="00E13DB6" w:rsidRPr="00BE5613" w:rsidRDefault="00E13DB6" w:rsidP="00AA45FA">
      <w:pPr>
        <w:spacing w:line="480" w:lineRule="auto"/>
        <w:ind w:left="284" w:hanging="284"/>
        <w:jc w:val="both"/>
        <w:rPr>
          <w:sz w:val="22"/>
          <w:szCs w:val="22"/>
        </w:rPr>
      </w:pPr>
      <w:proofErr w:type="spellStart"/>
      <w:r w:rsidRPr="00BE5613">
        <w:rPr>
          <w:sz w:val="22"/>
          <w:szCs w:val="22"/>
        </w:rPr>
        <w:lastRenderedPageBreak/>
        <w:t>Šauer</w:t>
      </w:r>
      <w:proofErr w:type="spellEnd"/>
      <w:r w:rsidRPr="00BE5613">
        <w:rPr>
          <w:sz w:val="22"/>
          <w:szCs w:val="22"/>
        </w:rPr>
        <w:t xml:space="preserve">, P., </w:t>
      </w:r>
      <w:proofErr w:type="spellStart"/>
      <w:r w:rsidRPr="00BE5613">
        <w:rPr>
          <w:sz w:val="22"/>
          <w:szCs w:val="22"/>
        </w:rPr>
        <w:t>Pařízková</w:t>
      </w:r>
      <w:proofErr w:type="spellEnd"/>
      <w:r w:rsidRPr="00BE5613">
        <w:rPr>
          <w:sz w:val="22"/>
          <w:szCs w:val="22"/>
        </w:rPr>
        <w:t xml:space="preserve">, L., &amp; </w:t>
      </w:r>
      <w:proofErr w:type="spellStart"/>
      <w:r w:rsidRPr="00BE5613">
        <w:rPr>
          <w:sz w:val="22"/>
          <w:szCs w:val="22"/>
        </w:rPr>
        <w:t>Hadrabová</w:t>
      </w:r>
      <w:proofErr w:type="spellEnd"/>
      <w:r w:rsidRPr="00BE5613">
        <w:rPr>
          <w:sz w:val="22"/>
          <w:szCs w:val="22"/>
        </w:rPr>
        <w:t>, A. (2008)</w:t>
      </w:r>
      <w:r w:rsidR="005D41F0" w:rsidRPr="00BE5613">
        <w:rPr>
          <w:sz w:val="22"/>
          <w:szCs w:val="22"/>
        </w:rPr>
        <w:t>.</w:t>
      </w:r>
      <w:r w:rsidRPr="00BE5613">
        <w:rPr>
          <w:sz w:val="22"/>
          <w:szCs w:val="22"/>
        </w:rPr>
        <w:t xml:space="preserve"> Charging systems for municipal solid waste: experience from the Czech Republic. Waste Manage., 28(12), 2772-2777. https://doi.org/10.1016/</w:t>
      </w:r>
      <w:r w:rsidR="008F2607" w:rsidRPr="00BE5613">
        <w:rPr>
          <w:sz w:val="22"/>
          <w:szCs w:val="22"/>
        </w:rPr>
        <w:t xml:space="preserve"> </w:t>
      </w:r>
      <w:proofErr w:type="gramStart"/>
      <w:r w:rsidRPr="00BE5613">
        <w:rPr>
          <w:sz w:val="22"/>
          <w:szCs w:val="22"/>
        </w:rPr>
        <w:t>j.wasman</w:t>
      </w:r>
      <w:proofErr w:type="gramEnd"/>
      <w:r w:rsidRPr="00BE5613">
        <w:rPr>
          <w:sz w:val="22"/>
          <w:szCs w:val="22"/>
        </w:rPr>
        <w:t>.2008.03.030.</w:t>
      </w:r>
    </w:p>
    <w:p w14:paraId="6C8E3189" w14:textId="77777777" w:rsidR="00E81256" w:rsidRPr="00BE5613" w:rsidRDefault="00E81256" w:rsidP="00AA45FA">
      <w:pPr>
        <w:spacing w:line="480" w:lineRule="auto"/>
        <w:ind w:left="284" w:hanging="284"/>
        <w:jc w:val="both"/>
        <w:rPr>
          <w:sz w:val="22"/>
          <w:szCs w:val="22"/>
        </w:rPr>
      </w:pPr>
      <w:r w:rsidRPr="00BE5613">
        <w:rPr>
          <w:sz w:val="22"/>
          <w:szCs w:val="22"/>
        </w:rPr>
        <w:t xml:space="preserve">Salazar-Adams, A. (2021). The efficiency of municipal </w:t>
      </w:r>
      <w:proofErr w:type="spellStart"/>
      <w:r w:rsidRPr="00BE5613">
        <w:rPr>
          <w:sz w:val="22"/>
          <w:szCs w:val="22"/>
        </w:rPr>
        <w:t>solit</w:t>
      </w:r>
      <w:proofErr w:type="spellEnd"/>
      <w:r w:rsidRPr="00BE5613">
        <w:rPr>
          <w:sz w:val="22"/>
          <w:szCs w:val="22"/>
        </w:rPr>
        <w:t xml:space="preserve"> waste collection in Mexico. Waste Manag</w:t>
      </w:r>
      <w:r w:rsidR="006E0173" w:rsidRPr="00BE5613">
        <w:rPr>
          <w:sz w:val="22"/>
          <w:szCs w:val="22"/>
        </w:rPr>
        <w:t>e</w:t>
      </w:r>
      <w:r w:rsidRPr="00BE5613">
        <w:rPr>
          <w:sz w:val="22"/>
          <w:szCs w:val="22"/>
        </w:rPr>
        <w:t xml:space="preserve">., 133, 71-79. https://doi.org/10.1016/j.wasman.2021.07.008. </w:t>
      </w:r>
    </w:p>
    <w:p w14:paraId="260F4610" w14:textId="77777777" w:rsidR="003A2D69" w:rsidRPr="00BE5613" w:rsidRDefault="003A2D69" w:rsidP="00AA45FA">
      <w:pPr>
        <w:spacing w:line="480" w:lineRule="auto"/>
        <w:ind w:left="284" w:hanging="284"/>
        <w:jc w:val="both"/>
        <w:rPr>
          <w:sz w:val="22"/>
          <w:szCs w:val="22"/>
        </w:rPr>
      </w:pPr>
      <w:proofErr w:type="spellStart"/>
      <w:r w:rsidRPr="00BE5613">
        <w:rPr>
          <w:sz w:val="22"/>
          <w:szCs w:val="22"/>
        </w:rPr>
        <w:t>Sarra</w:t>
      </w:r>
      <w:proofErr w:type="spellEnd"/>
      <w:r w:rsidRPr="00BE5613">
        <w:rPr>
          <w:sz w:val="22"/>
          <w:szCs w:val="22"/>
        </w:rPr>
        <w:t xml:space="preserve">, A., </w:t>
      </w:r>
      <w:proofErr w:type="spellStart"/>
      <w:r w:rsidRPr="00BE5613">
        <w:rPr>
          <w:sz w:val="22"/>
          <w:szCs w:val="22"/>
        </w:rPr>
        <w:t>Mazzocchitti</w:t>
      </w:r>
      <w:proofErr w:type="spellEnd"/>
      <w:r w:rsidRPr="00BE5613">
        <w:rPr>
          <w:sz w:val="22"/>
          <w:szCs w:val="22"/>
        </w:rPr>
        <w:t xml:space="preserve">, M., </w:t>
      </w:r>
      <w:proofErr w:type="spellStart"/>
      <w:r w:rsidRPr="00BE5613">
        <w:rPr>
          <w:sz w:val="22"/>
          <w:szCs w:val="22"/>
        </w:rPr>
        <w:t>Nissi</w:t>
      </w:r>
      <w:proofErr w:type="spellEnd"/>
      <w:r w:rsidRPr="00BE5613">
        <w:rPr>
          <w:sz w:val="22"/>
          <w:szCs w:val="22"/>
        </w:rPr>
        <w:t xml:space="preserve">, E., &amp; </w:t>
      </w:r>
      <w:proofErr w:type="spellStart"/>
      <w:r w:rsidRPr="00BE5613">
        <w:rPr>
          <w:sz w:val="22"/>
          <w:szCs w:val="22"/>
        </w:rPr>
        <w:t>Quaglione</w:t>
      </w:r>
      <w:proofErr w:type="spellEnd"/>
      <w:r w:rsidRPr="00BE5613">
        <w:rPr>
          <w:sz w:val="22"/>
          <w:szCs w:val="22"/>
        </w:rPr>
        <w:t xml:space="preserve">, D. (2019). Considering spatial effects in the evaluation of joint environmental and cost performance of municipal waste management systems. Ecol. Indic., 106, 105483. https://doi.org/10.1016/j.ecolind.2019.105483. </w:t>
      </w:r>
    </w:p>
    <w:p w14:paraId="32FF9FDE" w14:textId="77777777" w:rsidR="003A2D69" w:rsidRPr="00BE5613" w:rsidRDefault="003A2D69" w:rsidP="00AA45FA">
      <w:pPr>
        <w:spacing w:line="480" w:lineRule="auto"/>
        <w:ind w:left="284" w:hanging="284"/>
        <w:jc w:val="both"/>
        <w:rPr>
          <w:sz w:val="22"/>
          <w:szCs w:val="22"/>
        </w:rPr>
      </w:pPr>
      <w:proofErr w:type="spellStart"/>
      <w:r w:rsidRPr="00BE5613">
        <w:rPr>
          <w:sz w:val="22"/>
          <w:szCs w:val="22"/>
        </w:rPr>
        <w:t>Sarra</w:t>
      </w:r>
      <w:proofErr w:type="spellEnd"/>
      <w:r w:rsidRPr="00BE5613">
        <w:rPr>
          <w:sz w:val="22"/>
          <w:szCs w:val="22"/>
        </w:rPr>
        <w:t xml:space="preserve">, A., </w:t>
      </w:r>
      <w:proofErr w:type="spellStart"/>
      <w:r w:rsidRPr="00BE5613">
        <w:rPr>
          <w:sz w:val="22"/>
          <w:szCs w:val="22"/>
        </w:rPr>
        <w:t>Mazzocchitti</w:t>
      </w:r>
      <w:proofErr w:type="spellEnd"/>
      <w:r w:rsidRPr="00BE5613">
        <w:rPr>
          <w:sz w:val="22"/>
          <w:szCs w:val="22"/>
        </w:rPr>
        <w:t xml:space="preserve">, M., &amp; </w:t>
      </w:r>
      <w:proofErr w:type="spellStart"/>
      <w:r w:rsidRPr="00BE5613">
        <w:rPr>
          <w:sz w:val="22"/>
          <w:szCs w:val="22"/>
        </w:rPr>
        <w:t>Rapposelli</w:t>
      </w:r>
      <w:proofErr w:type="spellEnd"/>
      <w:r w:rsidRPr="00BE5613">
        <w:rPr>
          <w:sz w:val="22"/>
          <w:szCs w:val="22"/>
        </w:rPr>
        <w:t xml:space="preserve">, A. (2017). Evaluating joint environmental and cost performance in municipal waste management systems through data envelopment analysis: Scale effects and policy implications. Ecol. Indic., 73, 756-771. https://doi.org/10.1016/j.ecolind.2016.10.035. </w:t>
      </w:r>
    </w:p>
    <w:p w14:paraId="13A4C924" w14:textId="77777777" w:rsidR="003A2D69" w:rsidRPr="00BE5613" w:rsidRDefault="003A2D69" w:rsidP="00AA45FA">
      <w:pPr>
        <w:spacing w:line="480" w:lineRule="auto"/>
        <w:ind w:left="284" w:hanging="284"/>
        <w:jc w:val="both"/>
        <w:rPr>
          <w:sz w:val="22"/>
          <w:szCs w:val="22"/>
        </w:rPr>
      </w:pPr>
      <w:r w:rsidRPr="00BE5613">
        <w:rPr>
          <w:sz w:val="22"/>
          <w:szCs w:val="22"/>
        </w:rPr>
        <w:t xml:space="preserve">Schultz, P. W., </w:t>
      </w:r>
      <w:proofErr w:type="spellStart"/>
      <w:r w:rsidRPr="00BE5613">
        <w:rPr>
          <w:sz w:val="22"/>
          <w:szCs w:val="22"/>
        </w:rPr>
        <w:t>Oskamp</w:t>
      </w:r>
      <w:proofErr w:type="spellEnd"/>
      <w:r w:rsidRPr="00BE5613">
        <w:rPr>
          <w:sz w:val="22"/>
          <w:szCs w:val="22"/>
        </w:rPr>
        <w:t xml:space="preserve">, S., &amp; </w:t>
      </w:r>
      <w:proofErr w:type="spellStart"/>
      <w:r w:rsidRPr="00BE5613">
        <w:rPr>
          <w:sz w:val="22"/>
          <w:szCs w:val="22"/>
        </w:rPr>
        <w:t>Mainieri</w:t>
      </w:r>
      <w:proofErr w:type="spellEnd"/>
      <w:r w:rsidRPr="00BE5613">
        <w:rPr>
          <w:sz w:val="22"/>
          <w:szCs w:val="22"/>
        </w:rPr>
        <w:t xml:space="preserve">, T. (1995). Who recycles and when? A review of personal and situational factors. J. Environ. Psychol., 15(2), 105-121. https://doi.org/10.1016/0272-4944(95)90019-5. </w:t>
      </w:r>
    </w:p>
    <w:p w14:paraId="33C5141D" w14:textId="77777777" w:rsidR="00E13DB6" w:rsidRPr="00BE5613" w:rsidRDefault="00E13DB6" w:rsidP="00AA45FA">
      <w:pPr>
        <w:spacing w:line="480" w:lineRule="auto"/>
        <w:ind w:left="284" w:hanging="284"/>
        <w:jc w:val="both"/>
        <w:rPr>
          <w:sz w:val="22"/>
          <w:szCs w:val="22"/>
        </w:rPr>
      </w:pPr>
      <w:proofErr w:type="spellStart"/>
      <w:r w:rsidRPr="00BE5613">
        <w:rPr>
          <w:sz w:val="22"/>
          <w:szCs w:val="22"/>
        </w:rPr>
        <w:t>Slavík</w:t>
      </w:r>
      <w:proofErr w:type="spellEnd"/>
      <w:r w:rsidRPr="00BE5613">
        <w:rPr>
          <w:sz w:val="22"/>
          <w:szCs w:val="22"/>
        </w:rPr>
        <w:t xml:space="preserve">, J., &amp; Pavel, J. (2013). Do the variable charges really increase the effectiveness and economy of waste management? A case study of the Czech Republic.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70, 68-77. https://doi.org/10.1016/j.resconrec.2012.09.013.</w:t>
      </w:r>
    </w:p>
    <w:p w14:paraId="2AA1728E" w14:textId="77777777" w:rsidR="003A2D69" w:rsidRPr="00BE5613" w:rsidRDefault="003A2D69" w:rsidP="00AA45FA">
      <w:pPr>
        <w:spacing w:line="480" w:lineRule="auto"/>
        <w:ind w:left="284" w:hanging="284"/>
        <w:jc w:val="both"/>
        <w:rPr>
          <w:sz w:val="22"/>
          <w:szCs w:val="22"/>
        </w:rPr>
      </w:pPr>
      <w:r w:rsidRPr="00BE5613">
        <w:rPr>
          <w:sz w:val="22"/>
          <w:szCs w:val="22"/>
          <w:lang w:val="pt-BR"/>
        </w:rPr>
        <w:t xml:space="preserve">Sidique, S. F., Joshi, S. V., &amp; Lupi, F. (2010). </w:t>
      </w:r>
      <w:r w:rsidRPr="00BE5613">
        <w:rPr>
          <w:sz w:val="22"/>
          <w:szCs w:val="22"/>
        </w:rPr>
        <w:t xml:space="preserve">Factors influencing the rate of recycling: An analysis of Minnesota counties.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xml:space="preserve">., 54(4), 242-249. https://doi.org/10.1016/j.resconrec.2009.08.006. </w:t>
      </w:r>
    </w:p>
    <w:p w14:paraId="0EB47925" w14:textId="77777777" w:rsidR="00E81256" w:rsidRPr="00BE5613" w:rsidRDefault="00E81256" w:rsidP="00AA45FA">
      <w:pPr>
        <w:spacing w:line="480" w:lineRule="auto"/>
        <w:ind w:left="284" w:hanging="284"/>
        <w:jc w:val="both"/>
        <w:rPr>
          <w:sz w:val="22"/>
          <w:szCs w:val="22"/>
        </w:rPr>
      </w:pPr>
      <w:r w:rsidRPr="00BE5613">
        <w:rPr>
          <w:sz w:val="22"/>
          <w:szCs w:val="22"/>
        </w:rPr>
        <w:t>Simar, L. (2003). Detecting outliers in frontier models. A simple approach. J. Prod. Anal., 20, 391–424. https://doi.org/10.1023/A:1027308001925.</w:t>
      </w:r>
    </w:p>
    <w:p w14:paraId="3C9845D3" w14:textId="77777777" w:rsidR="00E81256" w:rsidRPr="00BE5613" w:rsidRDefault="00E81256" w:rsidP="00AA45FA">
      <w:pPr>
        <w:spacing w:line="480" w:lineRule="auto"/>
        <w:ind w:left="284" w:hanging="284"/>
        <w:jc w:val="both"/>
        <w:rPr>
          <w:sz w:val="22"/>
          <w:szCs w:val="22"/>
        </w:rPr>
      </w:pPr>
      <w:r w:rsidRPr="00BE5613">
        <w:rPr>
          <w:sz w:val="22"/>
          <w:szCs w:val="22"/>
        </w:rPr>
        <w:t xml:space="preserve">Simar, L., &amp; Wilson, P. W. (2007). Estimation and inference in two-stage, semi-parametric models of production processes. J. </w:t>
      </w:r>
      <w:proofErr w:type="spellStart"/>
      <w:r w:rsidRPr="00BE5613">
        <w:rPr>
          <w:sz w:val="22"/>
          <w:szCs w:val="22"/>
        </w:rPr>
        <w:t>Econom</w:t>
      </w:r>
      <w:proofErr w:type="spellEnd"/>
      <w:r w:rsidRPr="00BE5613">
        <w:rPr>
          <w:sz w:val="22"/>
          <w:szCs w:val="22"/>
        </w:rPr>
        <w:t>., 136(1), 31-64. https://doi.org/10.1016/j.jeconom.2005.07.009.</w:t>
      </w:r>
    </w:p>
    <w:p w14:paraId="38BB9123" w14:textId="77777777" w:rsidR="00E520B8" w:rsidRPr="00BE5613" w:rsidRDefault="00E520B8" w:rsidP="00AA45FA">
      <w:pPr>
        <w:spacing w:line="480" w:lineRule="auto"/>
        <w:ind w:left="284" w:hanging="284"/>
        <w:jc w:val="both"/>
        <w:rPr>
          <w:sz w:val="22"/>
          <w:szCs w:val="22"/>
        </w:rPr>
      </w:pPr>
      <w:r w:rsidRPr="00BE5613">
        <w:rPr>
          <w:sz w:val="22"/>
          <w:szCs w:val="22"/>
        </w:rPr>
        <w:t xml:space="preserve">Simar, L., &amp; Wilson, P. W. (2011). Two-stage DEA: caveat emptor. J. Prod. Anal., 36(2), 205-218. https://doi.org/10.1007/s11123-011-0230-6. </w:t>
      </w:r>
    </w:p>
    <w:p w14:paraId="0EBBAB42" w14:textId="77777777" w:rsidR="00E81256" w:rsidRPr="00BE5613" w:rsidRDefault="00E81256" w:rsidP="00AA45FA">
      <w:pPr>
        <w:spacing w:line="480" w:lineRule="auto"/>
        <w:ind w:left="284" w:hanging="284"/>
        <w:jc w:val="both"/>
        <w:rPr>
          <w:sz w:val="22"/>
          <w:szCs w:val="22"/>
        </w:rPr>
      </w:pPr>
      <w:proofErr w:type="spellStart"/>
      <w:r w:rsidRPr="00BE5613">
        <w:rPr>
          <w:sz w:val="22"/>
          <w:szCs w:val="22"/>
        </w:rPr>
        <w:lastRenderedPageBreak/>
        <w:t>Simm</w:t>
      </w:r>
      <w:proofErr w:type="spellEnd"/>
      <w:r w:rsidRPr="00BE5613">
        <w:rPr>
          <w:sz w:val="22"/>
          <w:szCs w:val="22"/>
        </w:rPr>
        <w:t xml:space="preserve">, J., &amp; </w:t>
      </w:r>
      <w:proofErr w:type="spellStart"/>
      <w:r w:rsidRPr="00BE5613">
        <w:rPr>
          <w:sz w:val="22"/>
          <w:szCs w:val="22"/>
        </w:rPr>
        <w:t>Besstremyannaya</w:t>
      </w:r>
      <w:proofErr w:type="spellEnd"/>
      <w:r w:rsidRPr="00BE5613">
        <w:rPr>
          <w:sz w:val="22"/>
          <w:szCs w:val="22"/>
        </w:rPr>
        <w:t xml:space="preserve">, G. (2020). </w:t>
      </w:r>
      <w:proofErr w:type="spellStart"/>
      <w:r w:rsidRPr="00BE5613">
        <w:rPr>
          <w:sz w:val="22"/>
          <w:szCs w:val="22"/>
        </w:rPr>
        <w:t>rDEA</w:t>
      </w:r>
      <w:proofErr w:type="spellEnd"/>
      <w:r w:rsidRPr="00BE5613">
        <w:rPr>
          <w:sz w:val="22"/>
          <w:szCs w:val="22"/>
        </w:rPr>
        <w:t>: Robust data envelopment analysis (DEA) for R. R package, version 1.2-6. https://cran.R-project.org/package=rDEA</w:t>
      </w:r>
    </w:p>
    <w:p w14:paraId="50A5B7A7" w14:textId="77777777" w:rsidR="00E520B8" w:rsidRPr="00BE5613" w:rsidRDefault="00E520B8" w:rsidP="00AA45FA">
      <w:pPr>
        <w:spacing w:line="480" w:lineRule="auto"/>
        <w:ind w:left="284" w:hanging="284"/>
        <w:jc w:val="both"/>
        <w:rPr>
          <w:sz w:val="22"/>
          <w:szCs w:val="22"/>
          <w:lang w:val="pt-BR"/>
        </w:rPr>
      </w:pPr>
      <w:r w:rsidRPr="00BE5613">
        <w:rPr>
          <w:sz w:val="22"/>
          <w:szCs w:val="22"/>
          <w:lang w:val="pt-BR"/>
        </w:rPr>
        <w:t xml:space="preserve">Simões, P., Carvalho, P., &amp; Marques, R. C. (2012a). </w:t>
      </w:r>
      <w:r w:rsidRPr="00BE5613">
        <w:rPr>
          <w:sz w:val="22"/>
          <w:szCs w:val="22"/>
        </w:rPr>
        <w:t xml:space="preserve">Performance assessment of refuse collection services using robust efficiency measures. </w:t>
      </w:r>
      <w:r w:rsidRPr="00BE5613">
        <w:rPr>
          <w:sz w:val="22"/>
          <w:szCs w:val="22"/>
          <w:lang w:val="pt-BR"/>
        </w:rPr>
        <w:t xml:space="preserve">Resour. Conserv. Recycl., 67, 56-66. https://doi.org/10.1016/j.resconrec.2012.07.006. </w:t>
      </w:r>
    </w:p>
    <w:p w14:paraId="00834FBF" w14:textId="77777777" w:rsidR="00E520B8" w:rsidRPr="00BE5613" w:rsidRDefault="00E520B8" w:rsidP="00AA45FA">
      <w:pPr>
        <w:spacing w:line="480" w:lineRule="auto"/>
        <w:ind w:left="284" w:hanging="284"/>
        <w:jc w:val="both"/>
        <w:rPr>
          <w:sz w:val="22"/>
          <w:szCs w:val="22"/>
          <w:lang w:val="pt-BR"/>
        </w:rPr>
      </w:pPr>
      <w:r w:rsidRPr="00BE5613">
        <w:rPr>
          <w:sz w:val="22"/>
          <w:szCs w:val="22"/>
          <w:lang w:val="pt-BR"/>
        </w:rPr>
        <w:t xml:space="preserve">Simões, P., Carvalho, P., &amp; Marques, R. C. (2013). </w:t>
      </w:r>
      <w:r w:rsidRPr="00BE5613">
        <w:rPr>
          <w:sz w:val="22"/>
          <w:szCs w:val="22"/>
        </w:rPr>
        <w:t xml:space="preserve">The market structure of urban solid waste services: How different models lead to different results. </w:t>
      </w:r>
      <w:r w:rsidRPr="00BE5613">
        <w:rPr>
          <w:sz w:val="22"/>
          <w:szCs w:val="22"/>
          <w:lang w:val="pt-BR"/>
        </w:rPr>
        <w:t xml:space="preserve">Local Gov. Stud., 39(3), 396-413. https://doi.org/10.1080/03003930.2013.783477. </w:t>
      </w:r>
    </w:p>
    <w:p w14:paraId="48971034" w14:textId="77777777" w:rsidR="00E520B8" w:rsidRPr="00BE5613" w:rsidRDefault="00E520B8" w:rsidP="00AA45FA">
      <w:pPr>
        <w:spacing w:line="480" w:lineRule="auto"/>
        <w:ind w:left="284" w:hanging="284"/>
        <w:jc w:val="both"/>
        <w:rPr>
          <w:sz w:val="22"/>
          <w:szCs w:val="22"/>
        </w:rPr>
      </w:pPr>
      <w:r w:rsidRPr="00BE5613">
        <w:rPr>
          <w:sz w:val="22"/>
          <w:szCs w:val="22"/>
          <w:lang w:val="pt-BR"/>
        </w:rPr>
        <w:t xml:space="preserve">Simões, P., Cruz, N. F., &amp; Marques, R. C. (2012b). </w:t>
      </w:r>
      <w:r w:rsidRPr="00BE5613">
        <w:rPr>
          <w:sz w:val="22"/>
          <w:szCs w:val="22"/>
        </w:rPr>
        <w:t xml:space="preserve">The performance of private partners in the waste sector. J. Clean. Prod., 29, 214-221. https://doi.org/10.1016/j.jclepro.2012.01.027. </w:t>
      </w:r>
    </w:p>
    <w:p w14:paraId="66556F1C" w14:textId="77777777" w:rsidR="00E520B8" w:rsidRPr="00BE5613" w:rsidRDefault="00E520B8" w:rsidP="00AA45FA">
      <w:pPr>
        <w:spacing w:line="480" w:lineRule="auto"/>
        <w:ind w:left="284" w:hanging="284"/>
        <w:jc w:val="both"/>
        <w:rPr>
          <w:sz w:val="22"/>
          <w:szCs w:val="22"/>
          <w:lang w:val="pt-BR"/>
        </w:rPr>
      </w:pPr>
      <w:r w:rsidRPr="00BE5613">
        <w:rPr>
          <w:sz w:val="22"/>
          <w:szCs w:val="22"/>
        </w:rPr>
        <w:t xml:space="preserve">Simões, P., </w:t>
      </w:r>
      <w:r w:rsidR="00A959E7" w:rsidRPr="00BE5613">
        <w:rPr>
          <w:sz w:val="22"/>
          <w:szCs w:val="22"/>
        </w:rPr>
        <w:t>De Witte</w:t>
      </w:r>
      <w:r w:rsidRPr="00BE5613">
        <w:rPr>
          <w:sz w:val="22"/>
          <w:szCs w:val="22"/>
        </w:rPr>
        <w:t xml:space="preserve">, K., &amp; Marques, R. C. (2010). Regulatory structures and operational environment in the Portuguese waste sector. </w:t>
      </w:r>
      <w:r w:rsidRPr="00BE5613">
        <w:rPr>
          <w:sz w:val="22"/>
          <w:szCs w:val="22"/>
          <w:lang w:val="pt-BR"/>
        </w:rPr>
        <w:t xml:space="preserve">Waste Manag., 30(6), 1130-1137. https://doi.org/10.1016/j.wasman.2009.12.015. </w:t>
      </w:r>
    </w:p>
    <w:p w14:paraId="769470C4" w14:textId="77777777" w:rsidR="00E520B8" w:rsidRPr="00BE5613" w:rsidRDefault="00E520B8" w:rsidP="00AA45FA">
      <w:pPr>
        <w:spacing w:line="480" w:lineRule="auto"/>
        <w:ind w:left="284" w:hanging="284"/>
        <w:jc w:val="both"/>
        <w:rPr>
          <w:sz w:val="22"/>
          <w:szCs w:val="22"/>
        </w:rPr>
      </w:pPr>
      <w:r w:rsidRPr="00BE5613">
        <w:rPr>
          <w:sz w:val="22"/>
          <w:szCs w:val="22"/>
          <w:lang w:val="pt-BR"/>
        </w:rPr>
        <w:t xml:space="preserve">Simões, P., &amp; Marques, R. C. (2012). </w:t>
      </w:r>
      <w:r w:rsidRPr="00BE5613">
        <w:rPr>
          <w:sz w:val="22"/>
          <w:szCs w:val="22"/>
        </w:rPr>
        <w:t xml:space="preserve">On the economic performance of the waste sector. A literature </w:t>
      </w:r>
      <w:proofErr w:type="gramStart"/>
      <w:r w:rsidRPr="00BE5613">
        <w:rPr>
          <w:sz w:val="22"/>
          <w:szCs w:val="22"/>
        </w:rPr>
        <w:t>review</w:t>
      </w:r>
      <w:proofErr w:type="gramEnd"/>
      <w:r w:rsidRPr="00BE5613">
        <w:rPr>
          <w:sz w:val="22"/>
          <w:szCs w:val="22"/>
        </w:rPr>
        <w:t xml:space="preserve">. J. Environ. </w:t>
      </w:r>
      <w:proofErr w:type="spellStart"/>
      <w:r w:rsidRPr="00BE5613">
        <w:rPr>
          <w:sz w:val="22"/>
          <w:szCs w:val="22"/>
        </w:rPr>
        <w:t>Manag</w:t>
      </w:r>
      <w:proofErr w:type="spellEnd"/>
      <w:r w:rsidRPr="00BE5613">
        <w:rPr>
          <w:sz w:val="22"/>
          <w:szCs w:val="22"/>
        </w:rPr>
        <w:t xml:space="preserve">., 106, 40-47. https://doi.org/10.1016/j.jenvman.2012.04.005. </w:t>
      </w:r>
    </w:p>
    <w:p w14:paraId="37B7091D" w14:textId="77777777" w:rsidR="00EC4658" w:rsidRPr="00BE5613" w:rsidRDefault="00EC4658" w:rsidP="00AA45FA">
      <w:pPr>
        <w:spacing w:line="480" w:lineRule="auto"/>
        <w:ind w:left="284" w:hanging="284"/>
        <w:jc w:val="both"/>
        <w:rPr>
          <w:sz w:val="22"/>
          <w:szCs w:val="22"/>
        </w:rPr>
      </w:pPr>
      <w:r w:rsidRPr="00BE5613">
        <w:rPr>
          <w:sz w:val="22"/>
          <w:szCs w:val="22"/>
        </w:rPr>
        <w:t xml:space="preserve">Struk, M. (2017). Distance and incentives matter: The separation of recyclable municipal waste. </w:t>
      </w:r>
      <w:proofErr w:type="spellStart"/>
      <w:r w:rsidRPr="00BE5613">
        <w:rPr>
          <w:sz w:val="22"/>
          <w:szCs w:val="22"/>
        </w:rPr>
        <w:t>Resour</w:t>
      </w:r>
      <w:proofErr w:type="spellEnd"/>
      <w:r w:rsidRPr="00BE5613">
        <w:rPr>
          <w:sz w:val="22"/>
          <w:szCs w:val="22"/>
        </w:rPr>
        <w:t xml:space="preserve">. </w:t>
      </w:r>
      <w:proofErr w:type="spellStart"/>
      <w:r w:rsidRPr="00BE5613">
        <w:rPr>
          <w:sz w:val="22"/>
          <w:szCs w:val="22"/>
        </w:rPr>
        <w:t>Conserv</w:t>
      </w:r>
      <w:proofErr w:type="spellEnd"/>
      <w:r w:rsidRPr="00BE5613">
        <w:rPr>
          <w:sz w:val="22"/>
          <w:szCs w:val="22"/>
        </w:rPr>
        <w:t xml:space="preserve">. </w:t>
      </w:r>
      <w:proofErr w:type="spellStart"/>
      <w:r w:rsidRPr="00BE5613">
        <w:rPr>
          <w:sz w:val="22"/>
          <w:szCs w:val="22"/>
        </w:rPr>
        <w:t>Recycl</w:t>
      </w:r>
      <w:proofErr w:type="spellEnd"/>
      <w:r w:rsidRPr="00BE5613">
        <w:rPr>
          <w:sz w:val="22"/>
          <w:szCs w:val="22"/>
        </w:rPr>
        <w:t xml:space="preserve">., 122, 155-162. https://doi.org/10.1016/j.resconrec.2017.01.023. </w:t>
      </w:r>
    </w:p>
    <w:p w14:paraId="03E56565" w14:textId="77777777" w:rsidR="00EC4658" w:rsidRPr="00BE5613" w:rsidRDefault="00EC4658" w:rsidP="00AA45FA">
      <w:pPr>
        <w:spacing w:line="480" w:lineRule="auto"/>
        <w:ind w:left="284" w:hanging="284"/>
        <w:jc w:val="both"/>
        <w:rPr>
          <w:sz w:val="22"/>
          <w:szCs w:val="22"/>
        </w:rPr>
      </w:pPr>
      <w:r w:rsidRPr="00BE5613">
        <w:rPr>
          <w:sz w:val="22"/>
          <w:szCs w:val="22"/>
        </w:rPr>
        <w:t xml:space="preserve">Struk, M. (2018). Switch to Save? Comparing Municipal Solid Waste Expenditures Based on Waste Management Provider Ownership. Detritus, (3), 152. https://doi.org/10.31025/2611-4135/2018.13688. </w:t>
      </w:r>
    </w:p>
    <w:p w14:paraId="126F8E97" w14:textId="77777777" w:rsidR="00E520B8" w:rsidRPr="00BE5613" w:rsidRDefault="00E520B8" w:rsidP="00AA45FA">
      <w:pPr>
        <w:spacing w:line="480" w:lineRule="auto"/>
        <w:ind w:left="284" w:hanging="284"/>
        <w:jc w:val="both"/>
        <w:rPr>
          <w:sz w:val="22"/>
          <w:szCs w:val="22"/>
        </w:rPr>
      </w:pPr>
      <w:r w:rsidRPr="00BE5613">
        <w:rPr>
          <w:sz w:val="22"/>
          <w:szCs w:val="22"/>
        </w:rPr>
        <w:t xml:space="preserve">Struk, M., &amp; </w:t>
      </w:r>
      <w:proofErr w:type="spellStart"/>
      <w:r w:rsidRPr="00BE5613">
        <w:rPr>
          <w:sz w:val="22"/>
          <w:szCs w:val="22"/>
        </w:rPr>
        <w:t>Bakoš</w:t>
      </w:r>
      <w:proofErr w:type="spellEnd"/>
      <w:r w:rsidRPr="00BE5613">
        <w:rPr>
          <w:sz w:val="22"/>
          <w:szCs w:val="22"/>
        </w:rPr>
        <w:t>, E. (2021). Long-term benefits of intermunicipal cooperation for small municipalities in waste management provision. Int. J. Environ. Res. Public Health, 18(4), 1-16. https://doi.org/10.3390/ijerph18041449.</w:t>
      </w:r>
    </w:p>
    <w:p w14:paraId="5CBDE17D" w14:textId="77777777" w:rsidR="00EC4658" w:rsidRPr="00E520B8" w:rsidRDefault="00EC4658" w:rsidP="00AA45FA">
      <w:pPr>
        <w:spacing w:line="480" w:lineRule="auto"/>
        <w:ind w:left="284" w:hanging="284"/>
        <w:jc w:val="both"/>
        <w:rPr>
          <w:sz w:val="22"/>
          <w:szCs w:val="22"/>
        </w:rPr>
      </w:pPr>
      <w:r w:rsidRPr="00BE5613">
        <w:rPr>
          <w:sz w:val="22"/>
          <w:szCs w:val="22"/>
        </w:rPr>
        <w:t>Worthington, A. C., &amp; Dollery, B. E. (2001). Measuring efficiency in local government: An analysis of New South Wales municipalities' domestic waste management function. Policy Stud. J., 29(2), 232-249. https://doi.org/10.1111/j.1541-0072.2001.tb02088.x.</w:t>
      </w:r>
      <w:r w:rsidRPr="00E520B8">
        <w:rPr>
          <w:sz w:val="22"/>
          <w:szCs w:val="22"/>
        </w:rPr>
        <w:t xml:space="preserve"> </w:t>
      </w:r>
      <w:r w:rsidRPr="00E520B8">
        <w:rPr>
          <w:sz w:val="22"/>
          <w:szCs w:val="22"/>
        </w:rPr>
        <w:cr/>
      </w:r>
    </w:p>
    <w:sectPr w:rsidR="00EC4658" w:rsidRPr="00E520B8" w:rsidSect="00C6362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0358" w14:textId="77777777" w:rsidR="004A4D2D" w:rsidRDefault="004A4D2D">
      <w:r>
        <w:separator/>
      </w:r>
    </w:p>
  </w:endnote>
  <w:endnote w:type="continuationSeparator" w:id="0">
    <w:p w14:paraId="4C5BB941" w14:textId="77777777" w:rsidR="004A4D2D" w:rsidRDefault="004A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P4DF60E">
    <w:altName w:val="Times New Roman"/>
    <w:panose1 w:val="00000000000000000000"/>
    <w:charset w:val="00"/>
    <w:family w:val="roman"/>
    <w:notTrueType/>
    <w:pitch w:val="default"/>
  </w:font>
  <w:font w:name="AdvP4DF60F">
    <w:altName w:val="Times New Roman"/>
    <w:panose1 w:val="00000000000000000000"/>
    <w:charset w:val="00"/>
    <w:family w:val="roman"/>
    <w:notTrueType/>
    <w:pitch w:val="default"/>
  </w:font>
  <w:font w:name="AdvMacMthSyN">
    <w:altName w:val="Times New Roman"/>
    <w:panose1 w:val="00000000000000000000"/>
    <w:charset w:val="00"/>
    <w:family w:val="roman"/>
    <w:notTrueType/>
    <w:pitch w:val="default"/>
  </w:font>
  <w:font w:name="AdvEls-ent5">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B83C" w14:textId="77777777" w:rsidR="002A40C5" w:rsidRDefault="002A40C5" w:rsidP="0076352E">
    <w:pPr>
      <w:pStyle w:val="Footer"/>
      <w:jc w:val="right"/>
    </w:pPr>
    <w:r>
      <w:rPr>
        <w:rStyle w:val="PageNumber"/>
      </w:rPr>
      <w:fldChar w:fldCharType="begin"/>
    </w:r>
    <w:r>
      <w:rPr>
        <w:rStyle w:val="PageNumber"/>
      </w:rPr>
      <w:instrText xml:space="preserve"> PAGE </w:instrText>
    </w:r>
    <w:r>
      <w:rPr>
        <w:rStyle w:val="PageNumber"/>
      </w:rPr>
      <w:fldChar w:fldCharType="separate"/>
    </w:r>
    <w:r w:rsidR="00AA45FA">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955D" w14:textId="77777777" w:rsidR="004A4D2D" w:rsidRDefault="004A4D2D">
      <w:r>
        <w:separator/>
      </w:r>
    </w:p>
  </w:footnote>
  <w:footnote w:type="continuationSeparator" w:id="0">
    <w:p w14:paraId="548ED012" w14:textId="77777777" w:rsidR="004A4D2D" w:rsidRDefault="004A4D2D">
      <w:r>
        <w:continuationSeparator/>
      </w:r>
    </w:p>
  </w:footnote>
  <w:footnote w:id="1">
    <w:p w14:paraId="57010180" w14:textId="77777777" w:rsidR="003039A8" w:rsidRPr="003039A8" w:rsidRDefault="003039A8" w:rsidP="00833D5D">
      <w:pPr>
        <w:pStyle w:val="FootnoteText"/>
        <w:jc w:val="both"/>
      </w:pPr>
      <w:r>
        <w:rPr>
          <w:rStyle w:val="FootnoteReference"/>
        </w:rPr>
        <w:footnoteRef/>
      </w:r>
      <w:r>
        <w:t xml:space="preserve"> </w:t>
      </w:r>
      <w:r w:rsidRPr="003039A8">
        <w:t xml:space="preserve">A housing unit is understood here as a self-contained and separate place of abode </w:t>
      </w:r>
      <w:r w:rsidR="00833D5D">
        <w:t>intended</w:t>
      </w:r>
      <w:r w:rsidRPr="003039A8">
        <w:t xml:space="preserve"> for habitation by one person or more people who maintain a common </w:t>
      </w:r>
      <w:r w:rsidR="00833D5D" w:rsidRPr="003039A8">
        <w:t>household</w:t>
      </w:r>
      <w:r w:rsidRPr="003039A8">
        <w:t xml:space="preserve">. One house can </w:t>
      </w:r>
      <w:r w:rsidR="00833D5D">
        <w:t>agree with</w:t>
      </w:r>
      <w:r w:rsidRPr="003039A8">
        <w:t xml:space="preserve"> one housing unit (e.g., a single-family house) or can encompass several housing units (e.g., a condominium).</w:t>
      </w:r>
    </w:p>
  </w:footnote>
  <w:footnote w:id="2">
    <w:p w14:paraId="5CA375AC" w14:textId="77777777" w:rsidR="002A40C5" w:rsidRDefault="002A40C5" w:rsidP="00310F5B">
      <w:pPr>
        <w:pStyle w:val="FootnoteText"/>
        <w:jc w:val="both"/>
      </w:pPr>
      <w:r>
        <w:rPr>
          <w:rStyle w:val="FootnoteReference"/>
        </w:rPr>
        <w:footnoteRef/>
      </w:r>
      <w:r>
        <w:t xml:space="preserve"> Surely, this is not to say that residual waste should, or rather, could be eliminated. In fact, </w:t>
      </w:r>
      <w:r w:rsidRPr="00310F5B">
        <w:t xml:space="preserve">certain </w:t>
      </w:r>
      <w:r>
        <w:t>levels</w:t>
      </w:r>
      <w:r w:rsidRPr="00310F5B">
        <w:t xml:space="preserve"> of residual waste are practically unavoidable, plus there are likely too many factors that influence this level in municipalities. </w:t>
      </w:r>
      <w:r>
        <w:t>U</w:t>
      </w:r>
      <w:r w:rsidRPr="00310F5B">
        <w:t xml:space="preserve">sing residual waste as an </w:t>
      </w:r>
      <w:r>
        <w:t>undesirable</w:t>
      </w:r>
      <w:r w:rsidRPr="00310F5B">
        <w:t xml:space="preserve"> output requires too strong an assumption regarding comparability </w:t>
      </w:r>
      <w:r>
        <w:t>in</w:t>
      </w:r>
      <w:r w:rsidRPr="00310F5B">
        <w:t xml:space="preserve"> the environment of individual</w:t>
      </w:r>
      <w:r>
        <w:t xml:space="preserve"> municipalities</w:t>
      </w:r>
      <w:r w:rsidRPr="00310F5B">
        <w:t>.</w:t>
      </w:r>
    </w:p>
  </w:footnote>
  <w:footnote w:id="3">
    <w:p w14:paraId="05E63017" w14:textId="77777777" w:rsidR="002A40C5" w:rsidRDefault="002A40C5" w:rsidP="00E51DA2">
      <w:pPr>
        <w:pStyle w:val="FootnoteText"/>
        <w:jc w:val="both"/>
      </w:pPr>
      <w:r>
        <w:rPr>
          <w:rStyle w:val="FootnoteReference"/>
        </w:rPr>
        <w:footnoteRef/>
      </w:r>
      <w:r>
        <w:t xml:space="preserve"> The attribute “difference” relates to the fact that non-separated (residual) waste arises residually as the difference between total waste and separated waste. In Model II placing total and separated waste generation on the output side implies implicitly minimization of residual waste generation, and in Models III and IV maximization of separated waste generation as an output conditional on total waste generation as an input is of an identical effect.</w:t>
      </w:r>
    </w:p>
  </w:footnote>
  <w:footnote w:id="4">
    <w:p w14:paraId="6ACF8558" w14:textId="77777777" w:rsidR="002A40C5" w:rsidRDefault="002A40C5" w:rsidP="00DC5F40">
      <w:pPr>
        <w:pStyle w:val="FootnoteText"/>
        <w:jc w:val="both"/>
      </w:pPr>
      <w:r w:rsidRPr="00074060">
        <w:rPr>
          <w:rStyle w:val="FootnoteReference"/>
        </w:rPr>
        <w:footnoteRef/>
      </w:r>
      <w:r w:rsidRPr="00074060">
        <w:t xml:space="preserve"> An HWRC is a designated facility with qualified staff where people can leave their separately collected waste in addition to drop-off sites or curbside collection, typically with a wider range of accepted waste fractions. An HWRC is operated commonly either by t</w:t>
      </w:r>
      <w:r>
        <w:t xml:space="preserve">he municipality or a WM company. </w:t>
      </w:r>
    </w:p>
  </w:footnote>
  <w:footnote w:id="5">
    <w:p w14:paraId="363B7A81" w14:textId="77777777" w:rsidR="002A40C5" w:rsidRPr="007D7F1B" w:rsidRDefault="002A40C5" w:rsidP="00074060">
      <w:pPr>
        <w:pStyle w:val="FootnoteText"/>
        <w:jc w:val="both"/>
      </w:pPr>
      <w:r w:rsidRPr="007D7F1B">
        <w:rPr>
          <w:rStyle w:val="FootnoteReference"/>
        </w:rPr>
        <w:footnoteRef/>
      </w:r>
      <w:r w:rsidRPr="007D7F1B">
        <w:t xml:space="preserve"> This variable also includes a free-of-charge HWRC available in a neighboring municipality if there is such an agreement between the municipalities, not only the municipality in question itself.</w:t>
      </w:r>
    </w:p>
  </w:footnote>
  <w:footnote w:id="6">
    <w:p w14:paraId="22D77251" w14:textId="77777777" w:rsidR="002A40C5" w:rsidRPr="00AB0FAC" w:rsidRDefault="002A40C5" w:rsidP="00E14A58">
      <w:pPr>
        <w:pStyle w:val="FootnoteText"/>
        <w:spacing w:line="240" w:lineRule="exact"/>
        <w:jc w:val="both"/>
      </w:pPr>
      <w:r w:rsidRPr="00AB0FAC">
        <w:rPr>
          <w:rStyle w:val="FootnoteReference"/>
        </w:rPr>
        <w:footnoteRef/>
      </w:r>
      <w:r w:rsidRPr="00AB0FAC">
        <w:t xml:space="preserve"> A comprehensive treatment for multivariate </w:t>
      </w:r>
      <w:r w:rsidRPr="00AB0FAC">
        <w:rPr>
          <w:position w:val="-8"/>
        </w:rPr>
        <w:object w:dxaOrig="240" w:dyaOrig="279" w14:anchorId="2A9426D8">
          <v:shape id="_x0000_i1112" type="#_x0000_t75" style="width:12pt;height:14.25pt" o:ole="">
            <v:imagedata r:id="rId1" o:title=""/>
          </v:shape>
          <o:OLEObject Type="Embed" ProgID="Equation.DSMT4" ShapeID="_x0000_i1112" DrawAspect="Content" ObjectID="_1692465150" r:id="rId2"/>
        </w:object>
      </w:r>
      <w:r w:rsidRPr="00AB0FAC">
        <w:t>with mixed data is provided by Li and Racine (2003, 2008) who construct a generalized product kernel consisting of marginal kernels specified individually for different categories of data and estimate bandwidths by cross-validation of the integrated squared error. Aitchison-Aitken kernels are used as marginals for categorical variables (including the “yes/no” type) and for discrete numeric variables, for numeric data there is a preference for the second-order Epanechnikov kernel (</w:t>
      </w:r>
      <w:r w:rsidR="00A959E7">
        <w:t>De Witte</w:t>
      </w:r>
      <w:r w:rsidRPr="00AB0FAC">
        <w:t xml:space="preserve"> and Kortelainen, 2013; Cordero et al., 2015). The Gaussian kernel is unsuitable due to unbounded support.</w:t>
      </w:r>
    </w:p>
  </w:footnote>
  <w:footnote w:id="7">
    <w:p w14:paraId="3E4963E5" w14:textId="77777777" w:rsidR="002A40C5" w:rsidRDefault="002A40C5" w:rsidP="00952AB3">
      <w:pPr>
        <w:pStyle w:val="FootnoteText"/>
        <w:jc w:val="both"/>
      </w:pPr>
      <w:bookmarkStart w:id="6" w:name="footnote_orderm"/>
      <w:r>
        <w:rPr>
          <w:rStyle w:val="FootnoteReference"/>
        </w:rPr>
        <w:footnoteRef/>
      </w:r>
      <w:bookmarkEnd w:id="6"/>
      <w:r>
        <w:t xml:space="preserve"> The order </w:t>
      </w:r>
      <w:r>
        <w:rPr>
          <w:i/>
        </w:rPr>
        <w:t>m</w:t>
      </w:r>
      <w:r>
        <w:t xml:space="preserve"> is an additional judgmental input with a history of its own. Whereas </w:t>
      </w:r>
      <w:r>
        <w:t xml:space="preserve">Cazals et al. (2002, p. 7) accentuate an economic point of view and interpretation, Daraio and Simar (2007, p. 114) try several values of </w:t>
      </w:r>
      <w:r>
        <w:rPr>
          <w:i/>
        </w:rPr>
        <w:t>m</w:t>
      </w:r>
      <w:r>
        <w:t xml:space="preserve"> as a sensitivity exercise and choose a suitable small value for which the results stabilize. A more robust and perhaps presently agreed-upon avenue is the approach of Simar (2003) who proposed computing unconditional partial frontier efficiency measures for a grid of values of </w:t>
      </w:r>
      <w:r>
        <w:rPr>
          <w:i/>
        </w:rPr>
        <w:t>m</w:t>
      </w:r>
      <w:r>
        <w:t xml:space="preserve"> and then choose the threshold at which the decline in the percentage of super-efficient firms levels off. The procedure is comparable to that for constructing a scree plot in principal component analysis or an elbow plot in cluster analysis.</w:t>
      </w:r>
    </w:p>
  </w:footnote>
  <w:footnote w:id="8">
    <w:p w14:paraId="208A1332" w14:textId="77777777" w:rsidR="002A40C5" w:rsidRDefault="002A40C5" w:rsidP="00954E56">
      <w:pPr>
        <w:pStyle w:val="FootnoteText"/>
        <w:spacing w:line="240" w:lineRule="exact"/>
        <w:jc w:val="both"/>
      </w:pPr>
      <w:r>
        <w:rPr>
          <w:rStyle w:val="FootnoteReference"/>
        </w:rPr>
        <w:footnoteRef/>
      </w:r>
      <w:r>
        <w:t xml:space="preserve"> Formally, if the unconditional production possibility set is </w:t>
      </w:r>
      <w:r w:rsidRPr="00CE5C04">
        <w:rPr>
          <w:position w:val="-10"/>
          <w:lang w:val="en-GB"/>
        </w:rPr>
        <w:object w:dxaOrig="3400" w:dyaOrig="320" w14:anchorId="0DD10F30">
          <v:shape id="_x0000_i1114" type="#_x0000_t75" style="width:170.25pt;height:15.75pt" o:ole="">
            <v:imagedata r:id="rId3" o:title=""/>
          </v:shape>
          <o:OLEObject Type="Embed" ProgID="Equation.DSMT4" ShapeID="_x0000_i1114" DrawAspect="Content" ObjectID="_1692465151" r:id="rId4"/>
        </w:object>
      </w:r>
      <w:r>
        <w:rPr>
          <w:lang w:val="en-GB"/>
        </w:rPr>
        <w:t xml:space="preserve"> and the production possibility set conditioned on a value </w:t>
      </w:r>
      <w:r w:rsidRPr="00F92A6D">
        <w:rPr>
          <w:position w:val="-8"/>
          <w:lang w:val="en-GB"/>
        </w:rPr>
        <w:object w:dxaOrig="660" w:dyaOrig="300" w14:anchorId="10EAA674">
          <v:shape id="_x0000_i1116" type="#_x0000_t75" style="width:33pt;height:15pt" o:ole="">
            <v:imagedata r:id="rId5" o:title=""/>
          </v:shape>
          <o:OLEObject Type="Embed" ProgID="Equation.DSMT4" ShapeID="_x0000_i1116" DrawAspect="Content" ObjectID="_1692465152" r:id="rId6"/>
        </w:object>
      </w:r>
      <w:r>
        <w:rPr>
          <w:lang w:val="en-GB"/>
        </w:rPr>
        <w:t xml:space="preserve"> is </w:t>
      </w:r>
      <w:r w:rsidRPr="00CE5C04">
        <w:rPr>
          <w:position w:val="-10"/>
          <w:lang w:val="en-GB"/>
        </w:rPr>
        <w:object w:dxaOrig="4120" w:dyaOrig="320" w14:anchorId="15005815">
          <v:shape id="_x0000_i1118" type="#_x0000_t75" style="width:206.25pt;height:15.75pt" o:ole="">
            <v:imagedata r:id="rId7" o:title=""/>
          </v:shape>
          <o:OLEObject Type="Embed" ProgID="Equation.DSMT4" ShapeID="_x0000_i1118" DrawAspect="Content" ObjectID="_1692465153" r:id="rId8"/>
        </w:object>
      </w:r>
      <w:r>
        <w:rPr>
          <w:lang w:val="en-GB"/>
        </w:rPr>
        <w:t xml:space="preserve">, then separability entails </w:t>
      </w:r>
      <w:r w:rsidRPr="00CE5C04">
        <w:rPr>
          <w:position w:val="-10"/>
          <w:lang w:val="en-GB"/>
        </w:rPr>
        <w:object w:dxaOrig="639" w:dyaOrig="300" w14:anchorId="493FD57D">
          <v:shape id="_x0000_i1120" type="#_x0000_t75" style="width:32.25pt;height:15pt" o:ole="">
            <v:imagedata r:id="rId9" o:title=""/>
          </v:shape>
          <o:OLEObject Type="Embed" ProgID="Equation.DSMT4" ShapeID="_x0000_i1120" DrawAspect="Content" ObjectID="_1692465154" r:id="rId10"/>
        </w:object>
      </w:r>
      <w:r>
        <w:rPr>
          <w:lang w:val="en-GB"/>
        </w:rPr>
        <w:t xml:space="preserve"> for all possible values of </w:t>
      </w:r>
      <w:r w:rsidRPr="00954E56">
        <w:rPr>
          <w:position w:val="-4"/>
          <w:lang w:val="en-GB"/>
        </w:rPr>
        <w:object w:dxaOrig="180" w:dyaOrig="180" w14:anchorId="2140D089">
          <v:shape id="_x0000_i1122" type="#_x0000_t75" style="width:9pt;height:9pt" o:ole="">
            <v:imagedata r:id="rId11" o:title=""/>
          </v:shape>
          <o:OLEObject Type="Embed" ProgID="Equation.DSMT4" ShapeID="_x0000_i1122" DrawAspect="Content" ObjectID="_1692465155" r:id="rId12"/>
        </w:object>
      </w:r>
      <w:r>
        <w:rPr>
          <w:lang w:val="en-GB"/>
        </w:rPr>
        <w:t>.</w:t>
      </w:r>
    </w:p>
  </w:footnote>
  <w:footnote w:id="9">
    <w:p w14:paraId="6C0F382F" w14:textId="77777777" w:rsidR="002A40C5" w:rsidRDefault="002A40C5" w:rsidP="00EE18DA">
      <w:pPr>
        <w:pStyle w:val="FootnoteText"/>
        <w:jc w:val="both"/>
      </w:pPr>
      <w:r>
        <w:rPr>
          <w:rStyle w:val="FootnoteReference"/>
        </w:rPr>
        <w:footnoteRef/>
      </w:r>
      <w:r>
        <w:t xml:space="preserve"> Hazardous waste and other remaining waste categories generated in municipalities were excluded as they were not regularly collected by all municipalities or in all HWRCs in the reference year 2012. In no manner is this harmful or distortive to the analysis as these waste categories did attribute only for a very small fraction of total municipal waste.</w:t>
      </w:r>
    </w:p>
  </w:footnote>
  <w:footnote w:id="10">
    <w:p w14:paraId="1EEB46CE" w14:textId="77777777" w:rsidR="002A40C5" w:rsidRPr="002D71E9" w:rsidRDefault="002A40C5">
      <w:pPr>
        <w:pStyle w:val="FootnoteText"/>
      </w:pPr>
      <w:r>
        <w:rPr>
          <w:rStyle w:val="FootnoteReference"/>
        </w:rPr>
        <w:footnoteRef/>
      </w:r>
      <w:r>
        <w:t xml:space="preserve"> For instance, </w:t>
      </w:r>
      <w:r>
        <w:t xml:space="preserve">Daraio et al. (2020) identified for a sample of 303 banks the same reasonable value </w:t>
      </w:r>
      <w:r w:rsidRPr="002D71E9">
        <w:rPr>
          <w:position w:val="-6"/>
        </w:rPr>
        <w:object w:dxaOrig="700" w:dyaOrig="240" w14:anchorId="64A0D00A">
          <v:shape id="_x0000_i1124" type="#_x0000_t75" style="width:36pt;height:12pt" o:ole="">
            <v:imagedata r:id="rId13" o:title=""/>
          </v:shape>
          <o:OLEObject Type="Embed" ProgID="Equation.DSMT4" ShapeID="_x0000_i1124" DrawAspect="Content" ObjectID="_1692465156" r:id="rId14"/>
        </w:objec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A70"/>
    <w:multiLevelType w:val="hybridMultilevel"/>
    <w:tmpl w:val="A8B848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9A1421"/>
    <w:multiLevelType w:val="hybridMultilevel"/>
    <w:tmpl w:val="E0641716"/>
    <w:lvl w:ilvl="0" w:tplc="6E02B7DE">
      <w:start w:val="1"/>
      <w:numFmt w:val="decimal"/>
      <w:pStyle w:val="BibItem"/>
      <w:lvlText w:val="[%1]"/>
      <w:lvlJc w:val="left"/>
      <w:pPr>
        <w:tabs>
          <w:tab w:val="num" w:pos="122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 w15:restartNumberingAfterBreak="0">
    <w:nsid w:val="24CF4E0E"/>
    <w:multiLevelType w:val="hybridMultilevel"/>
    <w:tmpl w:val="62804F62"/>
    <w:lvl w:ilvl="0" w:tplc="721AED38">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2B763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725390"/>
    <w:multiLevelType w:val="hybridMultilevel"/>
    <w:tmpl w:val="1D4EBC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0330C5"/>
    <w:multiLevelType w:val="multilevel"/>
    <w:tmpl w:val="A8B84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5457040"/>
    <w:multiLevelType w:val="hybridMultilevel"/>
    <w:tmpl w:val="25B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963498"/>
    <w:multiLevelType w:val="hybridMultilevel"/>
    <w:tmpl w:val="CB529A04"/>
    <w:lvl w:ilvl="0" w:tplc="721AED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BF452E"/>
    <w:multiLevelType w:val="hybridMultilevel"/>
    <w:tmpl w:val="2E5A8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992DB4"/>
    <w:multiLevelType w:val="hybridMultilevel"/>
    <w:tmpl w:val="7A385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3B93EED"/>
    <w:multiLevelType w:val="multilevel"/>
    <w:tmpl w:val="62804F6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2"/>
  </w:num>
  <w:num w:numId="5">
    <w:abstractNumId w:val="10"/>
  </w:num>
  <w:num w:numId="6">
    <w:abstractNumId w:val="6"/>
  </w:num>
  <w:num w:numId="7">
    <w:abstractNumId w:val="0"/>
  </w:num>
  <w:num w:numId="8">
    <w:abstractNumId w:val="5"/>
  </w:num>
  <w:num w:numId="9">
    <w:abstractNumId w:val="4"/>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626"/>
    <w:rsid w:val="00004F57"/>
    <w:rsid w:val="000113E9"/>
    <w:rsid w:val="00011FC6"/>
    <w:rsid w:val="00021651"/>
    <w:rsid w:val="000241C4"/>
    <w:rsid w:val="00027D6F"/>
    <w:rsid w:val="00034EEE"/>
    <w:rsid w:val="00037128"/>
    <w:rsid w:val="00043D1A"/>
    <w:rsid w:val="00051269"/>
    <w:rsid w:val="00055E44"/>
    <w:rsid w:val="00070CAF"/>
    <w:rsid w:val="00072894"/>
    <w:rsid w:val="00074060"/>
    <w:rsid w:val="000907EF"/>
    <w:rsid w:val="000A0E9C"/>
    <w:rsid w:val="000D1BFA"/>
    <w:rsid w:val="000D4750"/>
    <w:rsid w:val="000E1B1C"/>
    <w:rsid w:val="000E1C2B"/>
    <w:rsid w:val="000F532B"/>
    <w:rsid w:val="000F7A70"/>
    <w:rsid w:val="00101093"/>
    <w:rsid w:val="00110837"/>
    <w:rsid w:val="00136D8F"/>
    <w:rsid w:val="00140E72"/>
    <w:rsid w:val="001460BA"/>
    <w:rsid w:val="00156716"/>
    <w:rsid w:val="00170B4C"/>
    <w:rsid w:val="00173DA4"/>
    <w:rsid w:val="0017467D"/>
    <w:rsid w:val="00180449"/>
    <w:rsid w:val="00187803"/>
    <w:rsid w:val="00195F03"/>
    <w:rsid w:val="001965E6"/>
    <w:rsid w:val="001A0D85"/>
    <w:rsid w:val="001B3B94"/>
    <w:rsid w:val="001C4EDA"/>
    <w:rsid w:val="001D68F8"/>
    <w:rsid w:val="001E5070"/>
    <w:rsid w:val="001E7AE5"/>
    <w:rsid w:val="001E7D0B"/>
    <w:rsid w:val="00201F15"/>
    <w:rsid w:val="002133AE"/>
    <w:rsid w:val="00214F3A"/>
    <w:rsid w:val="002167B6"/>
    <w:rsid w:val="00232F89"/>
    <w:rsid w:val="0024068A"/>
    <w:rsid w:val="00252183"/>
    <w:rsid w:val="00261887"/>
    <w:rsid w:val="002755D7"/>
    <w:rsid w:val="00284A08"/>
    <w:rsid w:val="00287CC2"/>
    <w:rsid w:val="002920DF"/>
    <w:rsid w:val="002A40C5"/>
    <w:rsid w:val="002B594A"/>
    <w:rsid w:val="002B7AEA"/>
    <w:rsid w:val="002C0FF3"/>
    <w:rsid w:val="002D71E9"/>
    <w:rsid w:val="002E0328"/>
    <w:rsid w:val="002E70D2"/>
    <w:rsid w:val="002E7339"/>
    <w:rsid w:val="002F3D87"/>
    <w:rsid w:val="002F69A1"/>
    <w:rsid w:val="00302CB4"/>
    <w:rsid w:val="003039A8"/>
    <w:rsid w:val="00304AA8"/>
    <w:rsid w:val="00310F5B"/>
    <w:rsid w:val="00311B05"/>
    <w:rsid w:val="00312DFB"/>
    <w:rsid w:val="00314F5C"/>
    <w:rsid w:val="00327312"/>
    <w:rsid w:val="0033147F"/>
    <w:rsid w:val="00341F0B"/>
    <w:rsid w:val="0035443E"/>
    <w:rsid w:val="00356A85"/>
    <w:rsid w:val="0036109B"/>
    <w:rsid w:val="00367052"/>
    <w:rsid w:val="00375882"/>
    <w:rsid w:val="003864DA"/>
    <w:rsid w:val="0039205C"/>
    <w:rsid w:val="0039321E"/>
    <w:rsid w:val="003A2D69"/>
    <w:rsid w:val="003A3947"/>
    <w:rsid w:val="003A7B6F"/>
    <w:rsid w:val="003B672B"/>
    <w:rsid w:val="003D4C06"/>
    <w:rsid w:val="003D7355"/>
    <w:rsid w:val="003E0C88"/>
    <w:rsid w:val="003E3C25"/>
    <w:rsid w:val="003E4A56"/>
    <w:rsid w:val="003F0680"/>
    <w:rsid w:val="003F3EBD"/>
    <w:rsid w:val="003F46BD"/>
    <w:rsid w:val="003F7737"/>
    <w:rsid w:val="00404C35"/>
    <w:rsid w:val="00432444"/>
    <w:rsid w:val="00444A40"/>
    <w:rsid w:val="004457CC"/>
    <w:rsid w:val="0044623F"/>
    <w:rsid w:val="00464769"/>
    <w:rsid w:val="00466F74"/>
    <w:rsid w:val="004771D9"/>
    <w:rsid w:val="004860AE"/>
    <w:rsid w:val="004A4D2D"/>
    <w:rsid w:val="004C0F93"/>
    <w:rsid w:val="004C1A39"/>
    <w:rsid w:val="004C2CD6"/>
    <w:rsid w:val="004E71E4"/>
    <w:rsid w:val="004F2BCE"/>
    <w:rsid w:val="004F4875"/>
    <w:rsid w:val="004F73F0"/>
    <w:rsid w:val="005057F4"/>
    <w:rsid w:val="005115F4"/>
    <w:rsid w:val="0051625F"/>
    <w:rsid w:val="00523E87"/>
    <w:rsid w:val="00527938"/>
    <w:rsid w:val="005352F5"/>
    <w:rsid w:val="00542CFF"/>
    <w:rsid w:val="005758B2"/>
    <w:rsid w:val="00580684"/>
    <w:rsid w:val="00583AD1"/>
    <w:rsid w:val="005957B1"/>
    <w:rsid w:val="005A0805"/>
    <w:rsid w:val="005A0EBF"/>
    <w:rsid w:val="005A11C1"/>
    <w:rsid w:val="005B74BC"/>
    <w:rsid w:val="005C0865"/>
    <w:rsid w:val="005C4684"/>
    <w:rsid w:val="005D41F0"/>
    <w:rsid w:val="005E242E"/>
    <w:rsid w:val="005F0579"/>
    <w:rsid w:val="005F5BA1"/>
    <w:rsid w:val="006004A2"/>
    <w:rsid w:val="00614DAF"/>
    <w:rsid w:val="006307F6"/>
    <w:rsid w:val="00634C80"/>
    <w:rsid w:val="006406DC"/>
    <w:rsid w:val="00644F84"/>
    <w:rsid w:val="00645FB2"/>
    <w:rsid w:val="00647411"/>
    <w:rsid w:val="00651EE5"/>
    <w:rsid w:val="0067310D"/>
    <w:rsid w:val="00693667"/>
    <w:rsid w:val="0069743E"/>
    <w:rsid w:val="006B4A54"/>
    <w:rsid w:val="006C01E5"/>
    <w:rsid w:val="006C7ABB"/>
    <w:rsid w:val="006C7FCF"/>
    <w:rsid w:val="006D3393"/>
    <w:rsid w:val="006D459C"/>
    <w:rsid w:val="006D487E"/>
    <w:rsid w:val="006D4B1E"/>
    <w:rsid w:val="006E0173"/>
    <w:rsid w:val="006E3D56"/>
    <w:rsid w:val="006F71A4"/>
    <w:rsid w:val="006F79CE"/>
    <w:rsid w:val="00707B16"/>
    <w:rsid w:val="00727BBE"/>
    <w:rsid w:val="007312D0"/>
    <w:rsid w:val="007331EA"/>
    <w:rsid w:val="007335D5"/>
    <w:rsid w:val="0074675E"/>
    <w:rsid w:val="007504AC"/>
    <w:rsid w:val="007513DC"/>
    <w:rsid w:val="0075421D"/>
    <w:rsid w:val="0076352E"/>
    <w:rsid w:val="00763F0B"/>
    <w:rsid w:val="00766BE3"/>
    <w:rsid w:val="00783FEF"/>
    <w:rsid w:val="007A1F56"/>
    <w:rsid w:val="007C2213"/>
    <w:rsid w:val="007C3262"/>
    <w:rsid w:val="007D747E"/>
    <w:rsid w:val="007D7F1B"/>
    <w:rsid w:val="007E5638"/>
    <w:rsid w:val="008050DF"/>
    <w:rsid w:val="00805FED"/>
    <w:rsid w:val="008075D5"/>
    <w:rsid w:val="00810022"/>
    <w:rsid w:val="00813378"/>
    <w:rsid w:val="008255E2"/>
    <w:rsid w:val="00826A0C"/>
    <w:rsid w:val="008319BF"/>
    <w:rsid w:val="00833D5D"/>
    <w:rsid w:val="00842ED1"/>
    <w:rsid w:val="00851A8B"/>
    <w:rsid w:val="008538EC"/>
    <w:rsid w:val="0087008E"/>
    <w:rsid w:val="00870654"/>
    <w:rsid w:val="0088061E"/>
    <w:rsid w:val="00893E0F"/>
    <w:rsid w:val="008B021E"/>
    <w:rsid w:val="008B041C"/>
    <w:rsid w:val="008B0E45"/>
    <w:rsid w:val="008B32B1"/>
    <w:rsid w:val="008C4617"/>
    <w:rsid w:val="008F2607"/>
    <w:rsid w:val="008F693B"/>
    <w:rsid w:val="00900D84"/>
    <w:rsid w:val="009067A1"/>
    <w:rsid w:val="00911522"/>
    <w:rsid w:val="00913A0D"/>
    <w:rsid w:val="009141ED"/>
    <w:rsid w:val="00920B61"/>
    <w:rsid w:val="00921EC7"/>
    <w:rsid w:val="00925111"/>
    <w:rsid w:val="00926961"/>
    <w:rsid w:val="00952AB3"/>
    <w:rsid w:val="00952D74"/>
    <w:rsid w:val="009546D6"/>
    <w:rsid w:val="00954E56"/>
    <w:rsid w:val="0096103D"/>
    <w:rsid w:val="00961324"/>
    <w:rsid w:val="00967668"/>
    <w:rsid w:val="0097649B"/>
    <w:rsid w:val="00980B70"/>
    <w:rsid w:val="00982B41"/>
    <w:rsid w:val="00995A78"/>
    <w:rsid w:val="009A4178"/>
    <w:rsid w:val="009B6D59"/>
    <w:rsid w:val="009D313C"/>
    <w:rsid w:val="009E2E5F"/>
    <w:rsid w:val="009E4C95"/>
    <w:rsid w:val="009E5E01"/>
    <w:rsid w:val="009E77D6"/>
    <w:rsid w:val="009F7B7F"/>
    <w:rsid w:val="00A10A7D"/>
    <w:rsid w:val="00A15A64"/>
    <w:rsid w:val="00A31784"/>
    <w:rsid w:val="00A34C2A"/>
    <w:rsid w:val="00A35550"/>
    <w:rsid w:val="00A43187"/>
    <w:rsid w:val="00A50130"/>
    <w:rsid w:val="00A6721A"/>
    <w:rsid w:val="00A67730"/>
    <w:rsid w:val="00A74AC2"/>
    <w:rsid w:val="00A94637"/>
    <w:rsid w:val="00A959E7"/>
    <w:rsid w:val="00AA02E7"/>
    <w:rsid w:val="00AA3BF9"/>
    <w:rsid w:val="00AA45FA"/>
    <w:rsid w:val="00AB0FAC"/>
    <w:rsid w:val="00AB5345"/>
    <w:rsid w:val="00AC1F2B"/>
    <w:rsid w:val="00AC794D"/>
    <w:rsid w:val="00AD00FB"/>
    <w:rsid w:val="00AE0411"/>
    <w:rsid w:val="00AF5E38"/>
    <w:rsid w:val="00B1472E"/>
    <w:rsid w:val="00B17F41"/>
    <w:rsid w:val="00B2166D"/>
    <w:rsid w:val="00B278C4"/>
    <w:rsid w:val="00B32E4A"/>
    <w:rsid w:val="00B33FD1"/>
    <w:rsid w:val="00B4189F"/>
    <w:rsid w:val="00B52054"/>
    <w:rsid w:val="00B5209E"/>
    <w:rsid w:val="00B819A9"/>
    <w:rsid w:val="00B83ED5"/>
    <w:rsid w:val="00B928F5"/>
    <w:rsid w:val="00B93C7F"/>
    <w:rsid w:val="00B97F4A"/>
    <w:rsid w:val="00BA15AB"/>
    <w:rsid w:val="00BA2AB3"/>
    <w:rsid w:val="00BA7539"/>
    <w:rsid w:val="00BC57C6"/>
    <w:rsid w:val="00BD044D"/>
    <w:rsid w:val="00BD0BBB"/>
    <w:rsid w:val="00BD5956"/>
    <w:rsid w:val="00BD64B1"/>
    <w:rsid w:val="00BE5613"/>
    <w:rsid w:val="00BE5D2E"/>
    <w:rsid w:val="00BF2F55"/>
    <w:rsid w:val="00C071F0"/>
    <w:rsid w:val="00C11631"/>
    <w:rsid w:val="00C2441C"/>
    <w:rsid w:val="00C3688C"/>
    <w:rsid w:val="00C43D8D"/>
    <w:rsid w:val="00C4696C"/>
    <w:rsid w:val="00C51448"/>
    <w:rsid w:val="00C522F1"/>
    <w:rsid w:val="00C52590"/>
    <w:rsid w:val="00C62FD1"/>
    <w:rsid w:val="00C63626"/>
    <w:rsid w:val="00C72052"/>
    <w:rsid w:val="00C755F0"/>
    <w:rsid w:val="00C779A4"/>
    <w:rsid w:val="00C90BBF"/>
    <w:rsid w:val="00C94713"/>
    <w:rsid w:val="00CA2553"/>
    <w:rsid w:val="00CA2964"/>
    <w:rsid w:val="00CA76AA"/>
    <w:rsid w:val="00CB7189"/>
    <w:rsid w:val="00CC3F19"/>
    <w:rsid w:val="00CE0109"/>
    <w:rsid w:val="00CE209F"/>
    <w:rsid w:val="00CE5C04"/>
    <w:rsid w:val="00CF0F4B"/>
    <w:rsid w:val="00CF64FA"/>
    <w:rsid w:val="00D17899"/>
    <w:rsid w:val="00D17E78"/>
    <w:rsid w:val="00D22B36"/>
    <w:rsid w:val="00D22E79"/>
    <w:rsid w:val="00D251CC"/>
    <w:rsid w:val="00D3500E"/>
    <w:rsid w:val="00D4459B"/>
    <w:rsid w:val="00D44C7E"/>
    <w:rsid w:val="00D473F5"/>
    <w:rsid w:val="00D561BE"/>
    <w:rsid w:val="00D614B0"/>
    <w:rsid w:val="00D728A3"/>
    <w:rsid w:val="00D84041"/>
    <w:rsid w:val="00D879B2"/>
    <w:rsid w:val="00DA3DA0"/>
    <w:rsid w:val="00DA6844"/>
    <w:rsid w:val="00DA7899"/>
    <w:rsid w:val="00DB1E66"/>
    <w:rsid w:val="00DB3CAE"/>
    <w:rsid w:val="00DC37F3"/>
    <w:rsid w:val="00DC5F40"/>
    <w:rsid w:val="00DD0B8B"/>
    <w:rsid w:val="00DD5924"/>
    <w:rsid w:val="00DF7A78"/>
    <w:rsid w:val="00E041CF"/>
    <w:rsid w:val="00E10EBC"/>
    <w:rsid w:val="00E12936"/>
    <w:rsid w:val="00E13DB6"/>
    <w:rsid w:val="00E14960"/>
    <w:rsid w:val="00E14A58"/>
    <w:rsid w:val="00E164DE"/>
    <w:rsid w:val="00E16C84"/>
    <w:rsid w:val="00E33672"/>
    <w:rsid w:val="00E50EC7"/>
    <w:rsid w:val="00E51DA2"/>
    <w:rsid w:val="00E520B8"/>
    <w:rsid w:val="00E64931"/>
    <w:rsid w:val="00E67D0B"/>
    <w:rsid w:val="00E7482E"/>
    <w:rsid w:val="00E81256"/>
    <w:rsid w:val="00E81BF8"/>
    <w:rsid w:val="00E85AA9"/>
    <w:rsid w:val="00E86BA6"/>
    <w:rsid w:val="00E87109"/>
    <w:rsid w:val="00E872CF"/>
    <w:rsid w:val="00EC2937"/>
    <w:rsid w:val="00EC4658"/>
    <w:rsid w:val="00EC4C58"/>
    <w:rsid w:val="00EC576E"/>
    <w:rsid w:val="00EE18DA"/>
    <w:rsid w:val="00EF050F"/>
    <w:rsid w:val="00EF4CB7"/>
    <w:rsid w:val="00EF67FD"/>
    <w:rsid w:val="00F00769"/>
    <w:rsid w:val="00F20133"/>
    <w:rsid w:val="00F213DF"/>
    <w:rsid w:val="00F25F45"/>
    <w:rsid w:val="00F26E03"/>
    <w:rsid w:val="00F35ECD"/>
    <w:rsid w:val="00F3755E"/>
    <w:rsid w:val="00F43969"/>
    <w:rsid w:val="00F703AC"/>
    <w:rsid w:val="00F70860"/>
    <w:rsid w:val="00F754BA"/>
    <w:rsid w:val="00F82069"/>
    <w:rsid w:val="00F92A6D"/>
    <w:rsid w:val="00FA0064"/>
    <w:rsid w:val="00FA466F"/>
    <w:rsid w:val="00FA7E85"/>
    <w:rsid w:val="00FB1294"/>
    <w:rsid w:val="00FB2F0D"/>
    <w:rsid w:val="00FC1B9E"/>
    <w:rsid w:val="00FC2BC1"/>
    <w:rsid w:val="00FC729D"/>
    <w:rsid w:val="00FD7EFF"/>
    <w:rsid w:val="00FE1075"/>
    <w:rsid w:val="00FF1509"/>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A00D5"/>
  <w15:chartTrackingRefBased/>
  <w15:docId w15:val="{1F483A13-8B7F-4F78-811C-F95E864B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C63626"/>
    <w:rPr>
      <w:lang w:val="en-US" w:bidi="ar-SA"/>
    </w:rPr>
  </w:style>
  <w:style w:type="paragraph" w:styleId="FootnoteText">
    <w:name w:val="footnote text"/>
    <w:basedOn w:val="Normal"/>
    <w:link w:val="FootnoteTextChar"/>
    <w:semiHidden/>
    <w:rsid w:val="00C63626"/>
    <w:pPr>
      <w:suppressAutoHyphens/>
    </w:pPr>
    <w:rPr>
      <w:sz w:val="20"/>
      <w:szCs w:val="20"/>
    </w:rPr>
  </w:style>
  <w:style w:type="paragraph" w:customStyle="1" w:styleId="msolistparagraph0">
    <w:name w:val="msolistparagraph"/>
    <w:basedOn w:val="Normal"/>
    <w:rsid w:val="00C63626"/>
    <w:pPr>
      <w:suppressAutoHyphens/>
      <w:spacing w:after="200" w:line="276" w:lineRule="auto"/>
      <w:ind w:left="720"/>
      <w:contextualSpacing/>
    </w:pPr>
    <w:rPr>
      <w:rFonts w:ascii="Calibri" w:eastAsia="Droid Sans Fallback" w:hAnsi="Calibri"/>
      <w:sz w:val="22"/>
      <w:szCs w:val="22"/>
    </w:rPr>
  </w:style>
  <w:style w:type="paragraph" w:customStyle="1" w:styleId="Tablelegend">
    <w:name w:val="Table legend"/>
    <w:basedOn w:val="Normal"/>
    <w:next w:val="Normal"/>
    <w:rsid w:val="00C63626"/>
    <w:pPr>
      <w:widowControl w:val="0"/>
      <w:tabs>
        <w:tab w:val="left" w:pos="9498"/>
      </w:tabs>
      <w:spacing w:before="480" w:after="60" w:line="280" w:lineRule="atLeast"/>
      <w:ind w:left="1134" w:hanging="1134"/>
      <w:jc w:val="both"/>
    </w:pPr>
    <w:rPr>
      <w:rFonts w:ascii="Times" w:hAnsi="Times"/>
      <w:szCs w:val="20"/>
      <w:lang w:val="en-GB" w:eastAsia="it-IT"/>
    </w:rPr>
  </w:style>
  <w:style w:type="character" w:styleId="FootnoteReference">
    <w:name w:val="footnote reference"/>
    <w:semiHidden/>
    <w:rsid w:val="00C63626"/>
    <w:rPr>
      <w:vertAlign w:val="superscript"/>
    </w:rPr>
  </w:style>
  <w:style w:type="table" w:customStyle="1" w:styleId="TableGrid1">
    <w:name w:val="Table Grid1"/>
    <w:basedOn w:val="TableNormal"/>
    <w:rsid w:val="00C63626"/>
    <w:rPr>
      <w:rFonts w:ascii="Calibri" w:hAnsi="Calibri"/>
      <w:sz w:val="22"/>
      <w:szCs w:val="22"/>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5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F7B7F"/>
    <w:rPr>
      <w:sz w:val="16"/>
      <w:szCs w:val="16"/>
    </w:rPr>
  </w:style>
  <w:style w:type="paragraph" w:styleId="CommentText">
    <w:name w:val="annotation text"/>
    <w:basedOn w:val="Normal"/>
    <w:link w:val="CommentTextChar2"/>
    <w:semiHidden/>
    <w:rsid w:val="009F7B7F"/>
    <w:rPr>
      <w:sz w:val="20"/>
      <w:szCs w:val="20"/>
    </w:rPr>
  </w:style>
  <w:style w:type="paragraph" w:styleId="CommentSubject">
    <w:name w:val="annotation subject"/>
    <w:basedOn w:val="CommentText"/>
    <w:next w:val="CommentText"/>
    <w:semiHidden/>
    <w:rsid w:val="009F7B7F"/>
    <w:rPr>
      <w:b/>
      <w:bCs/>
    </w:rPr>
  </w:style>
  <w:style w:type="paragraph" w:styleId="BalloonText">
    <w:name w:val="Balloon Text"/>
    <w:basedOn w:val="Normal"/>
    <w:semiHidden/>
    <w:rsid w:val="009F7B7F"/>
    <w:rPr>
      <w:rFonts w:ascii="Tahoma" w:hAnsi="Tahoma" w:cs="Tahoma"/>
      <w:sz w:val="16"/>
      <w:szCs w:val="16"/>
    </w:rPr>
  </w:style>
  <w:style w:type="paragraph" w:styleId="Header">
    <w:name w:val="header"/>
    <w:basedOn w:val="Normal"/>
    <w:rsid w:val="0076352E"/>
    <w:pPr>
      <w:tabs>
        <w:tab w:val="center" w:pos="4320"/>
        <w:tab w:val="right" w:pos="8640"/>
      </w:tabs>
    </w:pPr>
  </w:style>
  <w:style w:type="paragraph" w:styleId="Footer">
    <w:name w:val="footer"/>
    <w:basedOn w:val="Normal"/>
    <w:rsid w:val="0076352E"/>
    <w:pPr>
      <w:tabs>
        <w:tab w:val="center" w:pos="4320"/>
        <w:tab w:val="right" w:pos="8640"/>
      </w:tabs>
    </w:pPr>
  </w:style>
  <w:style w:type="character" w:styleId="PageNumber">
    <w:name w:val="page number"/>
    <w:basedOn w:val="DefaultParagraphFont"/>
    <w:rsid w:val="0076352E"/>
  </w:style>
  <w:style w:type="character" w:styleId="Hyperlink">
    <w:name w:val="Hyperlink"/>
    <w:rsid w:val="00F70860"/>
    <w:rPr>
      <w:color w:val="0000FF"/>
      <w:u w:val="single"/>
    </w:rPr>
  </w:style>
  <w:style w:type="paragraph" w:customStyle="1" w:styleId="equation">
    <w:name w:val="equation"/>
    <w:basedOn w:val="Normal"/>
    <w:rsid w:val="000D4750"/>
    <w:pPr>
      <w:tabs>
        <w:tab w:val="center" w:pos="2520"/>
        <w:tab w:val="right" w:pos="5040"/>
      </w:tabs>
      <w:spacing w:before="240" w:after="240" w:line="216" w:lineRule="auto"/>
      <w:jc w:val="center"/>
    </w:pPr>
    <w:rPr>
      <w:rFonts w:ascii="Symbol" w:eastAsia="SimSun" w:hAnsi="Symbol" w:cs="Symbol"/>
      <w:sz w:val="20"/>
      <w:szCs w:val="20"/>
    </w:rPr>
  </w:style>
  <w:style w:type="character" w:customStyle="1" w:styleId="fontstyle01">
    <w:name w:val="fontstyle01"/>
    <w:rsid w:val="007D747E"/>
    <w:rPr>
      <w:rFonts w:ascii="AdvP4DF60E" w:hAnsi="AdvP4DF60E" w:hint="default"/>
      <w:b w:val="0"/>
      <w:bCs w:val="0"/>
      <w:i w:val="0"/>
      <w:iCs w:val="0"/>
      <w:color w:val="000000"/>
      <w:sz w:val="14"/>
      <w:szCs w:val="14"/>
    </w:rPr>
  </w:style>
  <w:style w:type="character" w:customStyle="1" w:styleId="fontstyle21">
    <w:name w:val="fontstyle21"/>
    <w:rsid w:val="007D747E"/>
    <w:rPr>
      <w:rFonts w:ascii="AdvP4DF60F" w:hAnsi="AdvP4DF60F" w:hint="default"/>
      <w:b w:val="0"/>
      <w:bCs w:val="0"/>
      <w:i w:val="0"/>
      <w:iCs w:val="0"/>
      <w:color w:val="000000"/>
      <w:sz w:val="14"/>
      <w:szCs w:val="14"/>
    </w:rPr>
  </w:style>
  <w:style w:type="character" w:customStyle="1" w:styleId="fontstyle31">
    <w:name w:val="fontstyle31"/>
    <w:rsid w:val="007D747E"/>
    <w:rPr>
      <w:rFonts w:ascii="AdvMacMthSyN" w:hAnsi="AdvMacMthSyN" w:hint="default"/>
      <w:b w:val="0"/>
      <w:bCs w:val="0"/>
      <w:i w:val="0"/>
      <w:iCs w:val="0"/>
      <w:color w:val="000000"/>
      <w:sz w:val="14"/>
      <w:szCs w:val="14"/>
    </w:rPr>
  </w:style>
  <w:style w:type="character" w:customStyle="1" w:styleId="fontstyle41">
    <w:name w:val="fontstyle41"/>
    <w:rsid w:val="007D747E"/>
    <w:rPr>
      <w:rFonts w:ascii="AdvEls-ent5" w:hAnsi="AdvEls-ent5" w:hint="default"/>
      <w:b w:val="0"/>
      <w:bCs w:val="0"/>
      <w:i w:val="0"/>
      <w:iCs w:val="0"/>
      <w:color w:val="000000"/>
      <w:sz w:val="14"/>
      <w:szCs w:val="14"/>
    </w:rPr>
  </w:style>
  <w:style w:type="paragraph" w:customStyle="1" w:styleId="BibItem">
    <w:name w:val="BibItem"/>
    <w:basedOn w:val="BodyText"/>
    <w:rsid w:val="00E87109"/>
    <w:pPr>
      <w:keepLines/>
      <w:numPr>
        <w:numId w:val="10"/>
      </w:numPr>
      <w:autoSpaceDE w:val="0"/>
      <w:autoSpaceDN w:val="0"/>
      <w:spacing w:before="120" w:after="0"/>
      <w:jc w:val="both"/>
    </w:pPr>
    <w:rPr>
      <w:lang w:eastAsia="cs-CZ"/>
    </w:rPr>
  </w:style>
  <w:style w:type="paragraph" w:styleId="BodyText">
    <w:name w:val="Body Text"/>
    <w:basedOn w:val="Normal"/>
    <w:rsid w:val="00E87109"/>
    <w:pPr>
      <w:spacing w:after="120"/>
    </w:pPr>
  </w:style>
  <w:style w:type="character" w:styleId="HTMLCode">
    <w:name w:val="HTML Code"/>
    <w:rsid w:val="0097649B"/>
    <w:rPr>
      <w:rFonts w:ascii="Courier New" w:eastAsia="Times New Roman" w:hAnsi="Courier New" w:cs="Courier New"/>
      <w:sz w:val="20"/>
      <w:szCs w:val="20"/>
    </w:rPr>
  </w:style>
  <w:style w:type="character" w:styleId="Emphasis">
    <w:name w:val="Emphasis"/>
    <w:qFormat/>
    <w:rsid w:val="00763F0B"/>
    <w:rPr>
      <w:i/>
      <w:iCs/>
    </w:rPr>
  </w:style>
  <w:style w:type="paragraph" w:customStyle="1" w:styleId="TEXT">
    <w:name w:val="TEXT"/>
    <w:basedOn w:val="Normal"/>
    <w:rsid w:val="00287CC2"/>
    <w:pPr>
      <w:widowControl w:val="0"/>
      <w:tabs>
        <w:tab w:val="left" w:pos="9498"/>
      </w:tabs>
      <w:spacing w:line="280" w:lineRule="atLeast"/>
      <w:ind w:firstLine="284"/>
      <w:jc w:val="both"/>
    </w:pPr>
    <w:rPr>
      <w:rFonts w:ascii="Times" w:hAnsi="Times"/>
      <w:lang w:val="it-IT" w:eastAsia="it-IT"/>
    </w:rPr>
  </w:style>
  <w:style w:type="paragraph" w:styleId="NormalWeb">
    <w:name w:val="Normal (Web)"/>
    <w:basedOn w:val="Normal"/>
    <w:rsid w:val="00E14A58"/>
    <w:pPr>
      <w:spacing w:before="100" w:beforeAutospacing="1" w:after="100" w:afterAutospacing="1"/>
    </w:pPr>
  </w:style>
  <w:style w:type="character" w:customStyle="1" w:styleId="CommentTextChar2">
    <w:name w:val="Comment Text Char2"/>
    <w:link w:val="CommentText"/>
    <w:semiHidden/>
    <w:locked/>
    <w:rsid w:val="00432444"/>
    <w:rPr>
      <w:lang w:val="en-US" w:eastAsia="en-US" w:bidi="ar-SA"/>
    </w:rPr>
  </w:style>
  <w:style w:type="character" w:customStyle="1" w:styleId="CommentTextChar">
    <w:name w:val="Comment Text Char"/>
    <w:semiHidden/>
    <w:locked/>
    <w:rsid w:val="00F703AC"/>
    <w:rPr>
      <w:lang w:val="en-US" w:eastAsia="en-US"/>
    </w:rPr>
  </w:style>
  <w:style w:type="character" w:customStyle="1" w:styleId="CharChar2">
    <w:name w:val="Char Char2"/>
    <w:semiHidden/>
    <w:rsid w:val="00E13DB6"/>
    <w:rPr>
      <w:rFonts w:eastAsia="Droid Sans Fallback"/>
      <w:lang w:val="en-US" w:eastAsia="en-US"/>
    </w:rPr>
  </w:style>
  <w:style w:type="character" w:customStyle="1" w:styleId="CommentTextChar1">
    <w:name w:val="Comment Text Char1"/>
    <w:semiHidden/>
    <w:locked/>
    <w:rsid w:val="00EC4C58"/>
  </w:style>
  <w:style w:type="character" w:styleId="LineNumber">
    <w:name w:val="line number"/>
    <w:basedOn w:val="DefaultParagraphFont"/>
    <w:rsid w:val="00AA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452">
      <w:bodyDiv w:val="1"/>
      <w:marLeft w:val="0"/>
      <w:marRight w:val="0"/>
      <w:marTop w:val="0"/>
      <w:marBottom w:val="0"/>
      <w:divBdr>
        <w:top w:val="none" w:sz="0" w:space="0" w:color="auto"/>
        <w:left w:val="none" w:sz="0" w:space="0" w:color="auto"/>
        <w:bottom w:val="none" w:sz="0" w:space="0" w:color="auto"/>
        <w:right w:val="none" w:sz="0" w:space="0" w:color="auto"/>
      </w:divBdr>
    </w:div>
    <w:div w:id="137916242">
      <w:bodyDiv w:val="1"/>
      <w:marLeft w:val="0"/>
      <w:marRight w:val="0"/>
      <w:marTop w:val="0"/>
      <w:marBottom w:val="0"/>
      <w:divBdr>
        <w:top w:val="none" w:sz="0" w:space="0" w:color="auto"/>
        <w:left w:val="none" w:sz="0" w:space="0" w:color="auto"/>
        <w:bottom w:val="none" w:sz="0" w:space="0" w:color="auto"/>
        <w:right w:val="none" w:sz="0" w:space="0" w:color="auto"/>
      </w:divBdr>
    </w:div>
    <w:div w:id="436753410">
      <w:bodyDiv w:val="1"/>
      <w:marLeft w:val="0"/>
      <w:marRight w:val="0"/>
      <w:marTop w:val="0"/>
      <w:marBottom w:val="0"/>
      <w:divBdr>
        <w:top w:val="none" w:sz="0" w:space="0" w:color="auto"/>
        <w:left w:val="none" w:sz="0" w:space="0" w:color="auto"/>
        <w:bottom w:val="none" w:sz="0" w:space="0" w:color="auto"/>
        <w:right w:val="none" w:sz="0" w:space="0" w:color="auto"/>
      </w:divBdr>
    </w:div>
    <w:div w:id="654913395">
      <w:bodyDiv w:val="1"/>
      <w:marLeft w:val="0"/>
      <w:marRight w:val="0"/>
      <w:marTop w:val="0"/>
      <w:marBottom w:val="0"/>
      <w:divBdr>
        <w:top w:val="none" w:sz="0" w:space="0" w:color="auto"/>
        <w:left w:val="none" w:sz="0" w:space="0" w:color="auto"/>
        <w:bottom w:val="none" w:sz="0" w:space="0" w:color="auto"/>
        <w:right w:val="none" w:sz="0" w:space="0" w:color="auto"/>
      </w:divBdr>
    </w:div>
    <w:div w:id="712927760">
      <w:bodyDiv w:val="1"/>
      <w:marLeft w:val="0"/>
      <w:marRight w:val="0"/>
      <w:marTop w:val="0"/>
      <w:marBottom w:val="0"/>
      <w:divBdr>
        <w:top w:val="none" w:sz="0" w:space="0" w:color="auto"/>
        <w:left w:val="none" w:sz="0" w:space="0" w:color="auto"/>
        <w:bottom w:val="none" w:sz="0" w:space="0" w:color="auto"/>
        <w:right w:val="none" w:sz="0" w:space="0" w:color="auto"/>
      </w:divBdr>
    </w:div>
    <w:div w:id="866216931">
      <w:bodyDiv w:val="1"/>
      <w:marLeft w:val="0"/>
      <w:marRight w:val="0"/>
      <w:marTop w:val="0"/>
      <w:marBottom w:val="0"/>
      <w:divBdr>
        <w:top w:val="none" w:sz="0" w:space="0" w:color="auto"/>
        <w:left w:val="none" w:sz="0" w:space="0" w:color="auto"/>
        <w:bottom w:val="none" w:sz="0" w:space="0" w:color="auto"/>
        <w:right w:val="none" w:sz="0" w:space="0" w:color="auto"/>
      </w:divBdr>
    </w:div>
    <w:div w:id="1147555063">
      <w:bodyDiv w:val="1"/>
      <w:marLeft w:val="0"/>
      <w:marRight w:val="0"/>
      <w:marTop w:val="0"/>
      <w:marBottom w:val="0"/>
      <w:divBdr>
        <w:top w:val="none" w:sz="0" w:space="0" w:color="auto"/>
        <w:left w:val="none" w:sz="0" w:space="0" w:color="auto"/>
        <w:bottom w:val="none" w:sz="0" w:space="0" w:color="auto"/>
        <w:right w:val="none" w:sz="0" w:space="0" w:color="auto"/>
      </w:divBdr>
    </w:div>
    <w:div w:id="1492983209">
      <w:bodyDiv w:val="1"/>
      <w:marLeft w:val="0"/>
      <w:marRight w:val="0"/>
      <w:marTop w:val="0"/>
      <w:marBottom w:val="0"/>
      <w:divBdr>
        <w:top w:val="none" w:sz="0" w:space="0" w:color="auto"/>
        <w:left w:val="none" w:sz="0" w:space="0" w:color="auto"/>
        <w:bottom w:val="none" w:sz="0" w:space="0" w:color="auto"/>
        <w:right w:val="none" w:sz="0" w:space="0" w:color="auto"/>
      </w:divBdr>
    </w:div>
    <w:div w:id="1530533956">
      <w:bodyDiv w:val="1"/>
      <w:marLeft w:val="0"/>
      <w:marRight w:val="0"/>
      <w:marTop w:val="0"/>
      <w:marBottom w:val="0"/>
      <w:divBdr>
        <w:top w:val="none" w:sz="0" w:space="0" w:color="auto"/>
        <w:left w:val="none" w:sz="0" w:space="0" w:color="auto"/>
        <w:bottom w:val="none" w:sz="0" w:space="0" w:color="auto"/>
        <w:right w:val="none" w:sz="0" w:space="0" w:color="auto"/>
      </w:divBdr>
    </w:div>
    <w:div w:id="1544556198">
      <w:bodyDiv w:val="1"/>
      <w:marLeft w:val="0"/>
      <w:marRight w:val="0"/>
      <w:marTop w:val="0"/>
      <w:marBottom w:val="0"/>
      <w:divBdr>
        <w:top w:val="none" w:sz="0" w:space="0" w:color="auto"/>
        <w:left w:val="none" w:sz="0" w:space="0" w:color="auto"/>
        <w:bottom w:val="none" w:sz="0" w:space="0" w:color="auto"/>
        <w:right w:val="none" w:sz="0" w:space="0" w:color="auto"/>
      </w:divBdr>
    </w:div>
    <w:div w:id="1628319121">
      <w:bodyDiv w:val="1"/>
      <w:marLeft w:val="0"/>
      <w:marRight w:val="0"/>
      <w:marTop w:val="0"/>
      <w:marBottom w:val="0"/>
      <w:divBdr>
        <w:top w:val="none" w:sz="0" w:space="0" w:color="auto"/>
        <w:left w:val="none" w:sz="0" w:space="0" w:color="auto"/>
        <w:bottom w:val="none" w:sz="0" w:space="0" w:color="auto"/>
        <w:right w:val="none" w:sz="0" w:space="0" w:color="auto"/>
      </w:divBdr>
    </w:div>
    <w:div w:id="1798839979">
      <w:bodyDiv w:val="1"/>
      <w:marLeft w:val="0"/>
      <w:marRight w:val="0"/>
      <w:marTop w:val="0"/>
      <w:marBottom w:val="0"/>
      <w:divBdr>
        <w:top w:val="none" w:sz="0" w:space="0" w:color="auto"/>
        <w:left w:val="none" w:sz="0" w:space="0" w:color="auto"/>
        <w:bottom w:val="none" w:sz="0" w:space="0" w:color="auto"/>
        <w:right w:val="none" w:sz="0" w:space="0" w:color="auto"/>
      </w:divBdr>
    </w:div>
    <w:div w:id="1896235406">
      <w:bodyDiv w:val="1"/>
      <w:marLeft w:val="0"/>
      <w:marRight w:val="0"/>
      <w:marTop w:val="0"/>
      <w:marBottom w:val="0"/>
      <w:divBdr>
        <w:top w:val="none" w:sz="0" w:space="0" w:color="auto"/>
        <w:left w:val="none" w:sz="0" w:space="0" w:color="auto"/>
        <w:bottom w:val="none" w:sz="0" w:space="0" w:color="auto"/>
        <w:right w:val="none" w:sz="0" w:space="0" w:color="auto"/>
      </w:divBdr>
    </w:div>
    <w:div w:id="20339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2.bin"/><Relationship Id="rId84" Type="http://schemas.openxmlformats.org/officeDocument/2006/relationships/image" Target="media/image34.wmf"/><Relationship Id="rId138" Type="http://schemas.openxmlformats.org/officeDocument/2006/relationships/image" Target="media/image64.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oleObject" Target="embeddings/oleObject38.bin"/><Relationship Id="rId128" Type="http://schemas.openxmlformats.org/officeDocument/2006/relationships/oleObject" Target="embeddings/oleObject73.bin"/><Relationship Id="rId149" Type="http://schemas.openxmlformats.org/officeDocument/2006/relationships/image" Target="media/image69.png"/><Relationship Id="rId5" Type="http://schemas.openxmlformats.org/officeDocument/2006/relationships/footnotes" Target="footnotes.xml"/><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image" Target="media/image53.wmf"/><Relationship Id="rId118" Type="http://schemas.openxmlformats.org/officeDocument/2006/relationships/oleObject" Target="embeddings/oleObject67.bin"/><Relationship Id="rId134" Type="http://schemas.openxmlformats.org/officeDocument/2006/relationships/oleObject" Target="embeddings/oleObject76.bin"/><Relationship Id="rId139" Type="http://schemas.openxmlformats.org/officeDocument/2006/relationships/oleObject" Target="embeddings/oleObject79.bin"/><Relationship Id="rId80" Type="http://schemas.openxmlformats.org/officeDocument/2006/relationships/oleObject" Target="embeddings/oleObject41.bin"/><Relationship Id="rId85" Type="http://schemas.openxmlformats.org/officeDocument/2006/relationships/oleObject" Target="embeddings/oleObject45.bin"/><Relationship Id="rId150" Type="http://schemas.openxmlformats.org/officeDocument/2006/relationships/image" Target="media/image70.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62.bin"/><Relationship Id="rId124" Type="http://schemas.openxmlformats.org/officeDocument/2006/relationships/oleObject" Target="embeddings/oleObject71.bin"/><Relationship Id="rId129" Type="http://schemas.openxmlformats.org/officeDocument/2006/relationships/image" Target="media/image60.wmf"/><Relationship Id="rId54" Type="http://schemas.openxmlformats.org/officeDocument/2006/relationships/image" Target="media/image21.wmf"/><Relationship Id="rId70" Type="http://schemas.openxmlformats.org/officeDocument/2006/relationships/oleObject" Target="embeddings/oleObject36.bin"/><Relationship Id="rId75" Type="http://schemas.openxmlformats.org/officeDocument/2006/relationships/image" Target="media/image31.wmf"/><Relationship Id="rId91" Type="http://schemas.openxmlformats.org/officeDocument/2006/relationships/image" Target="media/image37.wmf"/><Relationship Id="rId96" Type="http://schemas.openxmlformats.org/officeDocument/2006/relationships/oleObject" Target="embeddings/oleObject56.bin"/><Relationship Id="rId140" Type="http://schemas.openxmlformats.org/officeDocument/2006/relationships/oleObject" Target="embeddings/oleObject80.bin"/><Relationship Id="rId145"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oleObject" Target="embeddings/oleObject65.bin"/><Relationship Id="rId119" Type="http://schemas.openxmlformats.org/officeDocument/2006/relationships/image" Target="media/image56.wmf"/><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oleObject" Target="embeddings/oleObject74.bin"/><Relationship Id="rId135" Type="http://schemas.openxmlformats.org/officeDocument/2006/relationships/image" Target="media/image63.wmf"/><Relationship Id="rId151" Type="http://schemas.openxmlformats.org/officeDocument/2006/relationships/image" Target="media/image71.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5.wmf"/><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58.wmf"/><Relationship Id="rId141" Type="http://schemas.openxmlformats.org/officeDocument/2006/relationships/image" Target="media/image65.wmf"/><Relationship Id="rId146" Type="http://schemas.openxmlformats.org/officeDocument/2006/relationships/oleObject" Target="embeddings/oleObject84.bin"/><Relationship Id="rId7" Type="http://schemas.openxmlformats.org/officeDocument/2006/relationships/hyperlink" Target="mailto:struk@mail.muni.cz" TargetMode="External"/><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image" Target="media/image35.wmf"/><Relationship Id="rId110" Type="http://schemas.openxmlformats.org/officeDocument/2006/relationships/oleObject" Target="embeddings/oleObject63.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77.bin"/><Relationship Id="rId61" Type="http://schemas.openxmlformats.org/officeDocument/2006/relationships/oleObject" Target="embeddings/oleObject31.bin"/><Relationship Id="rId82" Type="http://schemas.openxmlformats.org/officeDocument/2006/relationships/oleObject" Target="embeddings/oleObject43.bin"/><Relationship Id="rId152" Type="http://schemas.openxmlformats.org/officeDocument/2006/relationships/image" Target="media/image72.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oleObject" Target="embeddings/oleObject58.bin"/><Relationship Id="rId105" Type="http://schemas.openxmlformats.org/officeDocument/2006/relationships/image" Target="media/image49.wmf"/><Relationship Id="rId126" Type="http://schemas.openxmlformats.org/officeDocument/2006/relationships/oleObject" Target="embeddings/oleObject72.bin"/><Relationship Id="rId14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38.wmf"/><Relationship Id="rId98" Type="http://schemas.openxmlformats.org/officeDocument/2006/relationships/oleObject" Target="embeddings/oleObject57.bin"/><Relationship Id="rId121" Type="http://schemas.openxmlformats.org/officeDocument/2006/relationships/oleObject" Target="embeddings/oleObject69.bin"/><Relationship Id="rId142"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4.bin"/><Relationship Id="rId116" Type="http://schemas.openxmlformats.org/officeDocument/2006/relationships/oleObject" Target="embeddings/oleObject66.bin"/><Relationship Id="rId137"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oleObject" Target="embeddings/oleObject75.bin"/><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6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70.bin"/><Relationship Id="rId143" Type="http://schemas.openxmlformats.org/officeDocument/2006/relationships/oleObject" Target="embeddings/oleObject82.bin"/><Relationship Id="rId148" Type="http://schemas.openxmlformats.org/officeDocument/2006/relationships/image" Target="media/image68.png"/><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image" Target="media/image36.wmf"/><Relationship Id="rId112" Type="http://schemas.openxmlformats.org/officeDocument/2006/relationships/oleObject" Target="embeddings/oleObject64.bin"/><Relationship Id="rId133" Type="http://schemas.openxmlformats.org/officeDocument/2006/relationships/image" Target="media/image62.wmf"/><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8.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53.bin"/><Relationship Id="rId13" Type="http://schemas.openxmlformats.org/officeDocument/2006/relationships/image" Target="media/image67.wmf"/><Relationship Id="rId3" Type="http://schemas.openxmlformats.org/officeDocument/2006/relationships/image" Target="media/image39.wmf"/><Relationship Id="rId7" Type="http://schemas.openxmlformats.org/officeDocument/2006/relationships/image" Target="media/image41.wmf"/><Relationship Id="rId12" Type="http://schemas.openxmlformats.org/officeDocument/2006/relationships/oleObject" Target="embeddings/oleObject55.bin"/><Relationship Id="rId2" Type="http://schemas.openxmlformats.org/officeDocument/2006/relationships/oleObject" Target="embeddings/oleObject17.bin"/><Relationship Id="rId1" Type="http://schemas.openxmlformats.org/officeDocument/2006/relationships/image" Target="media/image8.wmf"/><Relationship Id="rId6" Type="http://schemas.openxmlformats.org/officeDocument/2006/relationships/oleObject" Target="embeddings/oleObject52.bin"/><Relationship Id="rId11" Type="http://schemas.openxmlformats.org/officeDocument/2006/relationships/image" Target="media/image43.wmf"/><Relationship Id="rId5" Type="http://schemas.openxmlformats.org/officeDocument/2006/relationships/image" Target="media/image40.wmf"/><Relationship Id="rId10" Type="http://schemas.openxmlformats.org/officeDocument/2006/relationships/oleObject" Target="embeddings/oleObject54.bin"/><Relationship Id="rId4" Type="http://schemas.openxmlformats.org/officeDocument/2006/relationships/oleObject" Target="embeddings/oleObject51.bin"/><Relationship Id="rId9" Type="http://schemas.openxmlformats.org/officeDocument/2006/relationships/image" Target="media/image42.wmf"/><Relationship Id="rId14"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20974</Words>
  <Characters>119557</Characters>
  <Application>Microsoft Office Word</Application>
  <DocSecurity>0</DocSecurity>
  <Lines>996</Lines>
  <Paragraphs>280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3</vt:lpstr>
      <vt:lpstr>3</vt:lpstr>
    </vt:vector>
  </TitlesOfParts>
  <Company/>
  <LinksUpToDate>false</LinksUpToDate>
  <CharactersWithSpaces>140251</CharactersWithSpaces>
  <SharedDoc>false</SharedDoc>
  <HLinks>
    <vt:vector size="6" baseType="variant">
      <vt:variant>
        <vt:i4>6094891</vt:i4>
      </vt:variant>
      <vt:variant>
        <vt:i4>0</vt:i4>
      </vt:variant>
      <vt:variant>
        <vt:i4>0</vt:i4>
      </vt:variant>
      <vt:variant>
        <vt:i4>5</vt:i4>
      </vt:variant>
      <vt:variant>
        <vt:lpwstr>mailto:struk@mail.muni.cz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Comazene_MB</dc:creator>
  <cp:keywords/>
  <dc:description/>
  <cp:lastModifiedBy>Michal Struk</cp:lastModifiedBy>
  <cp:revision>2</cp:revision>
  <dcterms:created xsi:type="dcterms:W3CDTF">2021-09-06T18:23:00Z</dcterms:created>
  <dcterms:modified xsi:type="dcterms:W3CDTF">2021-09-06T18:23:00Z</dcterms:modified>
</cp:coreProperties>
</file>