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F8998" w14:textId="77777777" w:rsidR="008A3EE7" w:rsidRPr="00355D51" w:rsidRDefault="008A3EE7" w:rsidP="008A3EE7">
      <w:pPr>
        <w:spacing w:after="120" w:line="360" w:lineRule="auto"/>
        <w:rPr>
          <w:rFonts w:ascii="Times New Roman" w:eastAsia="Times New Roman" w:hAnsi="Times New Roman" w:cs="Times New Roman"/>
          <w:b/>
          <w:sz w:val="28"/>
          <w:szCs w:val="28"/>
        </w:rPr>
      </w:pPr>
      <w:r w:rsidRPr="00355D51">
        <w:rPr>
          <w:rFonts w:ascii="Times New Roman" w:eastAsia="Times New Roman" w:hAnsi="Times New Roman" w:cs="Times New Roman"/>
          <w:b/>
          <w:sz w:val="28"/>
          <w:szCs w:val="28"/>
        </w:rPr>
        <w:t>Nexus Between Monetary Policy and Commercial Lending Rates: Comprehensive Evidence from Czechia During Different Policy Stances</w:t>
      </w:r>
    </w:p>
    <w:p w14:paraId="5BCE7C76" w14:textId="77777777" w:rsidR="008A3EE7" w:rsidRDefault="008A3EE7" w:rsidP="008A3EE7">
      <w:pPr>
        <w:pBdr>
          <w:top w:val="nil"/>
          <w:left w:val="nil"/>
          <w:bottom w:val="nil"/>
          <w:right w:val="nil"/>
          <w:between w:val="nil"/>
        </w:pBdr>
        <w:spacing w:before="240" w:after="0" w:line="360" w:lineRule="auto"/>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 xml:space="preserve">Veronika </w:t>
      </w:r>
      <w:proofErr w:type="spellStart"/>
      <w:r>
        <w:rPr>
          <w:rFonts w:ascii="Times New Roman" w:eastAsia="Times New Roman" w:hAnsi="Times New Roman" w:cs="Times New Roman"/>
          <w:color w:val="000000"/>
          <w:sz w:val="28"/>
          <w:szCs w:val="28"/>
        </w:rPr>
        <w:t>Kajurová</w:t>
      </w:r>
      <w:r>
        <w:rPr>
          <w:rFonts w:ascii="Times New Roman" w:eastAsia="Times New Roman" w:hAnsi="Times New Roman" w:cs="Times New Roman"/>
          <w:color w:val="000000"/>
          <w:sz w:val="28"/>
          <w:szCs w:val="28"/>
          <w:vertAlign w:val="superscript"/>
        </w:rPr>
        <w:t>a</w:t>
      </w:r>
      <w:proofErr w:type="spellEnd"/>
      <w:r>
        <w:rPr>
          <w:rFonts w:ascii="Times New Roman" w:eastAsia="Times New Roman" w:hAnsi="Times New Roman" w:cs="Times New Roman"/>
          <w:color w:val="000000"/>
          <w:sz w:val="28"/>
          <w:szCs w:val="28"/>
        </w:rPr>
        <w:t xml:space="preserve">* and Dagmar Vágnerová </w:t>
      </w:r>
      <w:proofErr w:type="spellStart"/>
      <w:r>
        <w:rPr>
          <w:rFonts w:ascii="Times New Roman" w:eastAsia="Times New Roman" w:hAnsi="Times New Roman" w:cs="Times New Roman"/>
          <w:color w:val="000000"/>
          <w:sz w:val="28"/>
          <w:szCs w:val="28"/>
        </w:rPr>
        <w:t>Linnertová</w:t>
      </w:r>
      <w:r>
        <w:rPr>
          <w:rFonts w:ascii="Times New Roman" w:eastAsia="Times New Roman" w:hAnsi="Times New Roman" w:cs="Times New Roman"/>
          <w:color w:val="000000"/>
          <w:sz w:val="28"/>
          <w:szCs w:val="28"/>
          <w:vertAlign w:val="superscript"/>
        </w:rPr>
        <w:t>b</w:t>
      </w:r>
      <w:proofErr w:type="spellEnd"/>
    </w:p>
    <w:p w14:paraId="1B89989B" w14:textId="77777777" w:rsidR="008A3EE7" w:rsidRDefault="008A3EE7" w:rsidP="008A3EE7">
      <w:pPr>
        <w:pBdr>
          <w:top w:val="nil"/>
          <w:left w:val="nil"/>
          <w:bottom w:val="nil"/>
          <w:right w:val="nil"/>
          <w:between w:val="nil"/>
        </w:pBdr>
        <w:spacing w:before="240" w:after="0" w:line="360" w:lineRule="auto"/>
        <w:rPr>
          <w:rFonts w:ascii="Times New Roman" w:eastAsia="Times New Roman" w:hAnsi="Times New Roman" w:cs="Times New Roman"/>
          <w:i/>
          <w:color w:val="000000"/>
          <w:sz w:val="24"/>
          <w:szCs w:val="24"/>
        </w:rPr>
      </w:pPr>
      <w:proofErr w:type="spellStart"/>
      <w:r>
        <w:rPr>
          <w:rFonts w:ascii="Times New Roman" w:eastAsia="Times New Roman" w:hAnsi="Times New Roman" w:cs="Times New Roman"/>
          <w:i/>
          <w:color w:val="000000"/>
          <w:sz w:val="24"/>
          <w:szCs w:val="24"/>
          <w:vertAlign w:val="superscript"/>
        </w:rPr>
        <w:t>a</w:t>
      </w:r>
      <w:r>
        <w:rPr>
          <w:rFonts w:ascii="Times New Roman" w:eastAsia="Times New Roman" w:hAnsi="Times New Roman" w:cs="Times New Roman"/>
          <w:i/>
          <w:color w:val="000000"/>
          <w:sz w:val="24"/>
          <w:szCs w:val="24"/>
        </w:rPr>
        <w:t>Department</w:t>
      </w:r>
      <w:proofErr w:type="spellEnd"/>
      <w:r>
        <w:rPr>
          <w:rFonts w:ascii="Times New Roman" w:eastAsia="Times New Roman" w:hAnsi="Times New Roman" w:cs="Times New Roman"/>
          <w:i/>
          <w:color w:val="000000"/>
          <w:sz w:val="24"/>
          <w:szCs w:val="24"/>
        </w:rPr>
        <w:t xml:space="preserve"> of Economics, Faculty of Business and Economics, Mendel University in Brno, Brno, Czechia; </w:t>
      </w:r>
      <w:proofErr w:type="spellStart"/>
      <w:r>
        <w:rPr>
          <w:rFonts w:ascii="Times New Roman" w:eastAsia="Times New Roman" w:hAnsi="Times New Roman" w:cs="Times New Roman"/>
          <w:i/>
          <w:color w:val="000000"/>
          <w:sz w:val="24"/>
          <w:szCs w:val="24"/>
          <w:vertAlign w:val="superscript"/>
        </w:rPr>
        <w:t>b</w:t>
      </w:r>
      <w:r>
        <w:rPr>
          <w:rFonts w:ascii="Times New Roman" w:eastAsia="Times New Roman" w:hAnsi="Times New Roman" w:cs="Times New Roman"/>
          <w:i/>
          <w:color w:val="000000"/>
          <w:sz w:val="24"/>
          <w:szCs w:val="24"/>
        </w:rPr>
        <w:t>Department</w:t>
      </w:r>
      <w:proofErr w:type="spellEnd"/>
      <w:r>
        <w:rPr>
          <w:rFonts w:ascii="Times New Roman" w:eastAsia="Times New Roman" w:hAnsi="Times New Roman" w:cs="Times New Roman"/>
          <w:i/>
          <w:color w:val="000000"/>
          <w:sz w:val="24"/>
          <w:szCs w:val="24"/>
        </w:rPr>
        <w:t xml:space="preserve"> of Finance, Faculty of Economics and Administration, Masaryk University, Brno, Czechia</w:t>
      </w:r>
    </w:p>
    <w:p w14:paraId="08B02EB4" w14:textId="77777777" w:rsidR="008A3EE7" w:rsidRDefault="008A3EE7" w:rsidP="008A3EE7">
      <w:pPr>
        <w:pBdr>
          <w:top w:val="nil"/>
          <w:left w:val="nil"/>
          <w:bottom w:val="nil"/>
          <w:right w:val="nil"/>
          <w:between w:val="nil"/>
        </w:pBdr>
        <w:spacing w:before="240"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Zemedelska</w:t>
      </w:r>
      <w:proofErr w:type="spellEnd"/>
      <w:r>
        <w:rPr>
          <w:rFonts w:ascii="Times New Roman" w:eastAsia="Times New Roman" w:hAnsi="Times New Roman" w:cs="Times New Roman"/>
          <w:color w:val="000000"/>
          <w:sz w:val="24"/>
          <w:szCs w:val="24"/>
        </w:rPr>
        <w:t xml:space="preserve"> 1, 613 00 Brno, Czechia, e-mail: veronika.kajurova@mendelu.cz</w:t>
      </w:r>
    </w:p>
    <w:p w14:paraId="69FC724D" w14:textId="77777777" w:rsidR="008A3EE7" w:rsidRDefault="008A3EE7" w:rsidP="008A3EE7">
      <w:pPr>
        <w:pBdr>
          <w:top w:val="nil"/>
          <w:left w:val="nil"/>
          <w:bottom w:val="nil"/>
          <w:right w:val="nil"/>
          <w:between w:val="nil"/>
        </w:pBdr>
        <w:spacing w:before="240"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Veronika </w:t>
      </w:r>
      <w:proofErr w:type="spellStart"/>
      <w:r>
        <w:rPr>
          <w:rFonts w:ascii="Times New Roman" w:eastAsia="Times New Roman" w:hAnsi="Times New Roman" w:cs="Times New Roman"/>
          <w:color w:val="000000"/>
        </w:rPr>
        <w:t>Kajurová</w:t>
      </w:r>
      <w:proofErr w:type="spellEnd"/>
      <w:r>
        <w:rPr>
          <w:rFonts w:ascii="Times New Roman" w:eastAsia="Times New Roman" w:hAnsi="Times New Roman" w:cs="Times New Roman"/>
          <w:color w:val="000000"/>
        </w:rPr>
        <w:t xml:space="preserve"> is an assistant professor at Mendel University in Brno, Czechia. She teaches basic and advanced microeconomic and macroeconomic courses. Her current research work is focused primarily on monetary policy, firm competitiveness, and corporate finance. </w:t>
      </w:r>
    </w:p>
    <w:p w14:paraId="14B9D5AF" w14:textId="77777777" w:rsidR="008A3EE7" w:rsidRDefault="008A3EE7" w:rsidP="008A3EE7">
      <w:pPr>
        <w:pBdr>
          <w:top w:val="nil"/>
          <w:left w:val="nil"/>
          <w:bottom w:val="nil"/>
          <w:right w:val="nil"/>
          <w:between w:val="nil"/>
        </w:pBdr>
        <w:spacing w:before="240"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Dagmar Vágnerová Linnertová is an assistant professor at Masaryk University in Brno, Czechia. She teaches basic and advanced courses on financial markets, corporate </w:t>
      </w:r>
      <w:proofErr w:type="gramStart"/>
      <w:r>
        <w:rPr>
          <w:rFonts w:ascii="Times New Roman" w:eastAsia="Times New Roman" w:hAnsi="Times New Roman" w:cs="Times New Roman"/>
          <w:color w:val="000000"/>
        </w:rPr>
        <w:t>finance</w:t>
      </w:r>
      <w:proofErr w:type="gramEnd"/>
      <w:r>
        <w:rPr>
          <w:rFonts w:ascii="Times New Roman" w:eastAsia="Times New Roman" w:hAnsi="Times New Roman" w:cs="Times New Roman"/>
          <w:color w:val="000000"/>
        </w:rPr>
        <w:t xml:space="preserve"> and asset pricing. Her research activities are oriented on financial markets and monetary policy effects. </w:t>
      </w:r>
    </w:p>
    <w:p w14:paraId="384748A8" w14:textId="77777777" w:rsidR="008A3EE7" w:rsidRDefault="008A3EE7" w:rsidP="008A3EE7">
      <w:pPr>
        <w:spacing w:after="120" w:line="360" w:lineRule="auto"/>
        <w:rPr>
          <w:rFonts w:ascii="Times New Roman" w:eastAsia="Times New Roman" w:hAnsi="Times New Roman" w:cs="Times New Roman"/>
          <w:b/>
          <w:sz w:val="28"/>
          <w:szCs w:val="28"/>
        </w:rPr>
      </w:pPr>
    </w:p>
    <w:p w14:paraId="21BB23B5" w14:textId="77777777" w:rsidR="008A3EE7" w:rsidRDefault="008A3EE7" w:rsidP="008A3EE7">
      <w:pPr>
        <w:spacing w:after="120" w:line="360" w:lineRule="auto"/>
        <w:rPr>
          <w:rFonts w:ascii="Times New Roman" w:eastAsia="Times New Roman" w:hAnsi="Times New Roman" w:cs="Times New Roman"/>
          <w:b/>
          <w:sz w:val="28"/>
          <w:szCs w:val="28"/>
        </w:rPr>
      </w:pPr>
    </w:p>
    <w:p w14:paraId="2355A5F5" w14:textId="77777777" w:rsidR="008A3EE7" w:rsidRDefault="008A3EE7" w:rsidP="008A3EE7">
      <w:pPr>
        <w:spacing w:after="120" w:line="360" w:lineRule="auto"/>
        <w:rPr>
          <w:rFonts w:ascii="Times New Roman" w:eastAsia="Times New Roman" w:hAnsi="Times New Roman" w:cs="Times New Roman"/>
          <w:b/>
          <w:sz w:val="28"/>
          <w:szCs w:val="28"/>
        </w:rPr>
      </w:pPr>
    </w:p>
    <w:p w14:paraId="5402AA67" w14:textId="77777777" w:rsidR="008A3EE7" w:rsidRDefault="008A3EE7" w:rsidP="00043501">
      <w:pPr>
        <w:spacing w:after="120" w:line="360" w:lineRule="auto"/>
        <w:rPr>
          <w:rFonts w:ascii="Times New Roman" w:eastAsia="Times New Roman" w:hAnsi="Times New Roman" w:cs="Times New Roman"/>
          <w:b/>
          <w:sz w:val="28"/>
          <w:szCs w:val="28"/>
        </w:rPr>
      </w:pPr>
    </w:p>
    <w:p w14:paraId="6AE3B39D" w14:textId="77777777" w:rsidR="008A3EE7" w:rsidRDefault="008A3EE7" w:rsidP="00043501">
      <w:pPr>
        <w:spacing w:after="120" w:line="360" w:lineRule="auto"/>
        <w:rPr>
          <w:rFonts w:ascii="Times New Roman" w:eastAsia="Times New Roman" w:hAnsi="Times New Roman" w:cs="Times New Roman"/>
          <w:b/>
          <w:sz w:val="28"/>
          <w:szCs w:val="28"/>
        </w:rPr>
      </w:pPr>
    </w:p>
    <w:p w14:paraId="73518595" w14:textId="77777777" w:rsidR="008A3EE7" w:rsidRDefault="008A3EE7" w:rsidP="00043501">
      <w:pPr>
        <w:spacing w:after="120" w:line="360" w:lineRule="auto"/>
        <w:rPr>
          <w:rFonts w:ascii="Times New Roman" w:eastAsia="Times New Roman" w:hAnsi="Times New Roman" w:cs="Times New Roman"/>
          <w:b/>
          <w:sz w:val="28"/>
          <w:szCs w:val="28"/>
        </w:rPr>
      </w:pPr>
    </w:p>
    <w:p w14:paraId="2B0F5A40" w14:textId="77777777" w:rsidR="008A3EE7" w:rsidRDefault="008A3EE7" w:rsidP="00043501">
      <w:pPr>
        <w:spacing w:after="120" w:line="360" w:lineRule="auto"/>
        <w:rPr>
          <w:rFonts w:ascii="Times New Roman" w:eastAsia="Times New Roman" w:hAnsi="Times New Roman" w:cs="Times New Roman"/>
          <w:b/>
          <w:sz w:val="28"/>
          <w:szCs w:val="28"/>
        </w:rPr>
      </w:pPr>
    </w:p>
    <w:p w14:paraId="0F18B694" w14:textId="77777777" w:rsidR="008A3EE7" w:rsidRDefault="008A3EE7" w:rsidP="00043501">
      <w:pPr>
        <w:spacing w:after="120" w:line="360" w:lineRule="auto"/>
        <w:rPr>
          <w:rFonts w:ascii="Times New Roman" w:eastAsia="Times New Roman" w:hAnsi="Times New Roman" w:cs="Times New Roman"/>
          <w:b/>
          <w:sz w:val="28"/>
          <w:szCs w:val="28"/>
        </w:rPr>
      </w:pPr>
    </w:p>
    <w:p w14:paraId="062C27DD" w14:textId="77777777" w:rsidR="008A3EE7" w:rsidRDefault="008A3EE7" w:rsidP="00043501">
      <w:pPr>
        <w:spacing w:after="120" w:line="360" w:lineRule="auto"/>
        <w:rPr>
          <w:rFonts w:ascii="Times New Roman" w:eastAsia="Times New Roman" w:hAnsi="Times New Roman" w:cs="Times New Roman"/>
          <w:b/>
          <w:sz w:val="28"/>
          <w:szCs w:val="28"/>
        </w:rPr>
      </w:pPr>
    </w:p>
    <w:p w14:paraId="535BAA3A" w14:textId="77777777" w:rsidR="008A3EE7" w:rsidRDefault="008A3EE7" w:rsidP="00043501">
      <w:pPr>
        <w:spacing w:after="120" w:line="360" w:lineRule="auto"/>
        <w:rPr>
          <w:rFonts w:ascii="Times New Roman" w:eastAsia="Times New Roman" w:hAnsi="Times New Roman" w:cs="Times New Roman"/>
          <w:b/>
          <w:sz w:val="28"/>
          <w:szCs w:val="28"/>
        </w:rPr>
      </w:pPr>
    </w:p>
    <w:p w14:paraId="18BA46AD" w14:textId="77777777" w:rsidR="008A3EE7" w:rsidRDefault="008A3EE7" w:rsidP="00043501">
      <w:pPr>
        <w:spacing w:after="120" w:line="360" w:lineRule="auto"/>
        <w:rPr>
          <w:rFonts w:ascii="Times New Roman" w:eastAsia="Times New Roman" w:hAnsi="Times New Roman" w:cs="Times New Roman"/>
          <w:b/>
          <w:sz w:val="28"/>
          <w:szCs w:val="28"/>
        </w:rPr>
      </w:pPr>
    </w:p>
    <w:p w14:paraId="093835B9" w14:textId="47F8AFC8" w:rsidR="00043501" w:rsidRPr="00BB2872" w:rsidRDefault="00043501" w:rsidP="00043501">
      <w:pPr>
        <w:spacing w:after="120" w:line="360" w:lineRule="auto"/>
        <w:rPr>
          <w:rFonts w:ascii="Times New Roman" w:eastAsia="Times New Roman" w:hAnsi="Times New Roman" w:cs="Times New Roman"/>
          <w:b/>
          <w:sz w:val="28"/>
          <w:szCs w:val="28"/>
        </w:rPr>
      </w:pPr>
      <w:r w:rsidRPr="00BB2872">
        <w:rPr>
          <w:rFonts w:ascii="Times New Roman" w:eastAsia="Times New Roman" w:hAnsi="Times New Roman" w:cs="Times New Roman"/>
          <w:b/>
          <w:sz w:val="28"/>
          <w:szCs w:val="28"/>
        </w:rPr>
        <w:lastRenderedPageBreak/>
        <w:t>Nexus Between Monetary Policy and Commercial Lending Rates: Comprehensive Evidence from Czechia During Different Policy Stances</w:t>
      </w:r>
    </w:p>
    <w:p w14:paraId="00000002" w14:textId="174BE102" w:rsidR="00345220" w:rsidRPr="00BB2872" w:rsidRDefault="00D45E73" w:rsidP="002434E3">
      <w:pPr>
        <w:spacing w:before="360" w:after="300" w:line="360" w:lineRule="auto"/>
        <w:ind w:left="720" w:right="567"/>
        <w:rPr>
          <w:rFonts w:ascii="Times New Roman" w:eastAsia="Times New Roman" w:hAnsi="Times New Roman" w:cs="Times New Roman"/>
        </w:rPr>
      </w:pPr>
      <w:r w:rsidRPr="00BB2872">
        <w:rPr>
          <w:rFonts w:ascii="Times New Roman" w:eastAsia="Times New Roman" w:hAnsi="Times New Roman" w:cs="Times New Roman"/>
        </w:rPr>
        <w:t>Th</w:t>
      </w:r>
      <w:r w:rsidR="003E0D28" w:rsidRPr="00BB2872">
        <w:rPr>
          <w:rFonts w:ascii="Times New Roman" w:eastAsia="Times New Roman" w:hAnsi="Times New Roman" w:cs="Times New Roman"/>
        </w:rPr>
        <w:t>is</w:t>
      </w:r>
      <w:r w:rsidRPr="00BB2872">
        <w:rPr>
          <w:rFonts w:ascii="Times New Roman" w:eastAsia="Times New Roman" w:hAnsi="Times New Roman" w:cs="Times New Roman"/>
        </w:rPr>
        <w:t xml:space="preserve"> paper investigates </w:t>
      </w:r>
      <w:r w:rsidR="003E0D28" w:rsidRPr="00BB2872">
        <w:rPr>
          <w:rFonts w:ascii="Times New Roman" w:eastAsia="Times New Roman" w:hAnsi="Times New Roman" w:cs="Times New Roman"/>
        </w:rPr>
        <w:t xml:space="preserve">the </w:t>
      </w:r>
      <w:r w:rsidRPr="00BB2872">
        <w:rPr>
          <w:rFonts w:ascii="Times New Roman" w:eastAsia="Times New Roman" w:hAnsi="Times New Roman" w:cs="Times New Roman"/>
        </w:rPr>
        <w:t>interest</w:t>
      </w:r>
      <w:r w:rsidR="003750E3" w:rsidRPr="00BB2872">
        <w:rPr>
          <w:rFonts w:ascii="Times New Roman" w:eastAsia="Times New Roman" w:hAnsi="Times New Roman" w:cs="Times New Roman"/>
        </w:rPr>
        <w:t xml:space="preserve"> </w:t>
      </w:r>
      <w:r w:rsidRPr="00BB2872">
        <w:rPr>
          <w:rFonts w:ascii="Times New Roman" w:eastAsia="Times New Roman" w:hAnsi="Times New Roman" w:cs="Times New Roman"/>
        </w:rPr>
        <w:t xml:space="preserve">rate pass-through in Czechia during different monetary policy stances from April 2005 to February 2020. The results suggest functioning pass-through </w:t>
      </w:r>
      <w:r w:rsidR="00B210BD" w:rsidRPr="00BB2872">
        <w:rPr>
          <w:rFonts w:ascii="Times New Roman" w:eastAsia="Times New Roman" w:hAnsi="Times New Roman" w:cs="Times New Roman"/>
        </w:rPr>
        <w:t>in</w:t>
      </w:r>
      <w:r w:rsidRPr="00BB2872">
        <w:rPr>
          <w:rFonts w:ascii="Times New Roman" w:eastAsia="Times New Roman" w:hAnsi="Times New Roman" w:cs="Times New Roman"/>
        </w:rPr>
        <w:t xml:space="preserve"> the initial stage of transmission, but responsiveness of </w:t>
      </w:r>
      <w:r w:rsidR="00B210BD" w:rsidRPr="00BB2872">
        <w:rPr>
          <w:rFonts w:ascii="Times New Roman" w:eastAsia="Times New Roman" w:hAnsi="Times New Roman" w:cs="Times New Roman"/>
        </w:rPr>
        <w:t xml:space="preserve">the </w:t>
      </w:r>
      <w:r w:rsidRPr="00BB2872">
        <w:rPr>
          <w:rFonts w:ascii="Times New Roman" w:eastAsia="Times New Roman" w:hAnsi="Times New Roman" w:cs="Times New Roman"/>
        </w:rPr>
        <w:t xml:space="preserve">money market rate to </w:t>
      </w:r>
      <w:r w:rsidR="00B210BD" w:rsidRPr="00BB2872">
        <w:rPr>
          <w:rFonts w:ascii="Times New Roman" w:eastAsia="Times New Roman" w:hAnsi="Times New Roman" w:cs="Times New Roman"/>
        </w:rPr>
        <w:t xml:space="preserve">the </w:t>
      </w:r>
      <w:r w:rsidRPr="00BB2872">
        <w:rPr>
          <w:rFonts w:ascii="Times New Roman" w:eastAsia="Times New Roman" w:hAnsi="Times New Roman" w:cs="Times New Roman"/>
        </w:rPr>
        <w:t>official rate differed during different monetary policy setting</w:t>
      </w:r>
      <w:r w:rsidR="00B210BD" w:rsidRPr="00BB2872">
        <w:rPr>
          <w:rFonts w:ascii="Times New Roman" w:eastAsia="Times New Roman" w:hAnsi="Times New Roman" w:cs="Times New Roman"/>
        </w:rPr>
        <w:t>s</w:t>
      </w:r>
      <w:r w:rsidRPr="00BB2872">
        <w:rPr>
          <w:rFonts w:ascii="Times New Roman" w:eastAsia="Times New Roman" w:hAnsi="Times New Roman" w:cs="Times New Roman"/>
        </w:rPr>
        <w:t xml:space="preserve">. </w:t>
      </w:r>
      <w:r w:rsidR="00B210BD" w:rsidRPr="00BB2872">
        <w:rPr>
          <w:rFonts w:ascii="Times New Roman" w:eastAsia="Times New Roman" w:hAnsi="Times New Roman" w:cs="Times New Roman"/>
        </w:rPr>
        <w:t>The s</w:t>
      </w:r>
      <w:r w:rsidRPr="00BB2872">
        <w:rPr>
          <w:rFonts w:ascii="Times New Roman" w:eastAsia="Times New Roman" w:hAnsi="Times New Roman" w:cs="Times New Roman"/>
        </w:rPr>
        <w:t xml:space="preserve">ignalling role of </w:t>
      </w:r>
      <w:r w:rsidR="00B210BD" w:rsidRPr="00BB2872">
        <w:rPr>
          <w:rFonts w:ascii="Times New Roman" w:eastAsia="Times New Roman" w:hAnsi="Times New Roman" w:cs="Times New Roman"/>
        </w:rPr>
        <w:t xml:space="preserve">the </w:t>
      </w:r>
      <w:r w:rsidRPr="00BB2872">
        <w:rPr>
          <w:rFonts w:ascii="Times New Roman" w:eastAsia="Times New Roman" w:hAnsi="Times New Roman" w:cs="Times New Roman"/>
        </w:rPr>
        <w:t xml:space="preserve">policy rate is important for loan pricing when policy </w:t>
      </w:r>
      <w:r w:rsidR="00B210BD" w:rsidRPr="00BB2872">
        <w:rPr>
          <w:rFonts w:ascii="Times New Roman" w:eastAsia="Times New Roman" w:hAnsi="Times New Roman" w:cs="Times New Roman"/>
        </w:rPr>
        <w:t xml:space="preserve">is </w:t>
      </w:r>
      <w:r w:rsidR="00375149" w:rsidRPr="00BB2872">
        <w:rPr>
          <w:rFonts w:ascii="Times New Roman" w:eastAsia="Times New Roman" w:hAnsi="Times New Roman" w:cs="Times New Roman"/>
        </w:rPr>
        <w:t>loosened,</w:t>
      </w:r>
      <w:r w:rsidRPr="00BB2872">
        <w:rPr>
          <w:rFonts w:ascii="Times New Roman" w:eastAsia="Times New Roman" w:hAnsi="Times New Roman" w:cs="Times New Roman"/>
        </w:rPr>
        <w:t xml:space="preserve"> </w:t>
      </w:r>
      <w:r w:rsidR="00B210BD" w:rsidRPr="00BB2872">
        <w:rPr>
          <w:rFonts w:ascii="Times New Roman" w:eastAsia="Times New Roman" w:hAnsi="Times New Roman" w:cs="Times New Roman"/>
        </w:rPr>
        <w:t xml:space="preserve">and the </w:t>
      </w:r>
      <w:r w:rsidRPr="00BB2872">
        <w:rPr>
          <w:rFonts w:ascii="Times New Roman" w:eastAsia="Times New Roman" w:hAnsi="Times New Roman" w:cs="Times New Roman"/>
        </w:rPr>
        <w:t xml:space="preserve">role of </w:t>
      </w:r>
      <w:r w:rsidR="00B210BD" w:rsidRPr="00BB2872">
        <w:rPr>
          <w:rFonts w:ascii="Times New Roman" w:eastAsia="Times New Roman" w:hAnsi="Times New Roman" w:cs="Times New Roman"/>
        </w:rPr>
        <w:t xml:space="preserve">the </w:t>
      </w:r>
      <w:r w:rsidRPr="00BB2872">
        <w:rPr>
          <w:rFonts w:ascii="Times New Roman" w:eastAsia="Times New Roman" w:hAnsi="Times New Roman" w:cs="Times New Roman"/>
        </w:rPr>
        <w:t xml:space="preserve">money market is suppressed. </w:t>
      </w:r>
      <w:r w:rsidR="00C81E99" w:rsidRPr="00BB2872">
        <w:rPr>
          <w:rFonts w:ascii="Times New Roman" w:eastAsia="Times New Roman" w:hAnsi="Times New Roman" w:cs="Times New Roman"/>
        </w:rPr>
        <w:t>R</w:t>
      </w:r>
      <w:r w:rsidRPr="00BB2872">
        <w:rPr>
          <w:rFonts w:ascii="Times New Roman" w:eastAsia="Times New Roman" w:hAnsi="Times New Roman" w:cs="Times New Roman"/>
        </w:rPr>
        <w:t xml:space="preserve">esults </w:t>
      </w:r>
      <w:r w:rsidR="003A4890" w:rsidRPr="00BB2872">
        <w:rPr>
          <w:rFonts w:ascii="Times New Roman" w:eastAsia="Times New Roman" w:hAnsi="Times New Roman" w:cs="Times New Roman"/>
        </w:rPr>
        <w:t xml:space="preserve">also </w:t>
      </w:r>
      <w:r w:rsidRPr="00BB2872">
        <w:rPr>
          <w:rFonts w:ascii="Times New Roman" w:eastAsia="Times New Roman" w:hAnsi="Times New Roman" w:cs="Times New Roman"/>
        </w:rPr>
        <w:t xml:space="preserve">indicate </w:t>
      </w:r>
      <w:r w:rsidR="00B210BD" w:rsidRPr="00BB2872">
        <w:rPr>
          <w:rFonts w:ascii="Times New Roman" w:eastAsia="Times New Roman" w:hAnsi="Times New Roman" w:cs="Times New Roman"/>
        </w:rPr>
        <w:t xml:space="preserve">a </w:t>
      </w:r>
      <w:r w:rsidRPr="00BB2872">
        <w:rPr>
          <w:rFonts w:ascii="Times New Roman" w:eastAsia="Times New Roman" w:hAnsi="Times New Roman" w:cs="Times New Roman"/>
        </w:rPr>
        <w:t xml:space="preserve">lowered responsiveness of </w:t>
      </w:r>
      <w:r w:rsidR="004069A7" w:rsidRPr="00BB2872">
        <w:rPr>
          <w:rFonts w:ascii="Times New Roman" w:eastAsia="Times New Roman" w:hAnsi="Times New Roman" w:cs="Times New Roman"/>
        </w:rPr>
        <w:t xml:space="preserve">PRIBOR </w:t>
      </w:r>
      <w:r w:rsidRPr="00BB2872">
        <w:rPr>
          <w:rFonts w:ascii="Times New Roman" w:eastAsia="Times New Roman" w:hAnsi="Times New Roman" w:cs="Times New Roman"/>
        </w:rPr>
        <w:t>to shocks in EURIBOR. When focusing on exchange</w:t>
      </w:r>
      <w:r w:rsidR="00B210BD" w:rsidRPr="00BB2872">
        <w:rPr>
          <w:rFonts w:ascii="Times New Roman" w:eastAsia="Times New Roman" w:hAnsi="Times New Roman" w:cs="Times New Roman"/>
        </w:rPr>
        <w:t>-</w:t>
      </w:r>
      <w:r w:rsidRPr="00BB2872">
        <w:rPr>
          <w:rFonts w:ascii="Times New Roman" w:eastAsia="Times New Roman" w:hAnsi="Times New Roman" w:cs="Times New Roman"/>
        </w:rPr>
        <w:t>rate interventions</w:t>
      </w:r>
      <w:r w:rsidR="003A4890" w:rsidRPr="00BB2872">
        <w:rPr>
          <w:rFonts w:ascii="Times New Roman" w:eastAsia="Times New Roman" w:hAnsi="Times New Roman" w:cs="Times New Roman"/>
        </w:rPr>
        <w:t xml:space="preserve"> effect</w:t>
      </w:r>
      <w:r w:rsidRPr="00BB2872">
        <w:rPr>
          <w:rFonts w:ascii="Times New Roman" w:eastAsia="Times New Roman" w:hAnsi="Times New Roman" w:cs="Times New Roman"/>
        </w:rPr>
        <w:t xml:space="preserve">, we cannot confirm any significant impact on loan pricing. </w:t>
      </w:r>
    </w:p>
    <w:p w14:paraId="3FC6B0C9" w14:textId="77777777" w:rsidR="00F743B6" w:rsidRPr="00BB2872" w:rsidRDefault="00F743B6" w:rsidP="00F743B6">
      <w:pPr>
        <w:spacing w:before="240" w:after="240" w:line="360" w:lineRule="auto"/>
        <w:ind w:left="720" w:right="567"/>
        <w:rPr>
          <w:rFonts w:ascii="Times New Roman" w:eastAsia="Times New Roman" w:hAnsi="Times New Roman" w:cs="Times New Roman"/>
        </w:rPr>
      </w:pPr>
      <w:r w:rsidRPr="00BB2872">
        <w:rPr>
          <w:rFonts w:ascii="Times New Roman" w:eastAsia="Times New Roman" w:hAnsi="Times New Roman" w:cs="Times New Roman"/>
        </w:rPr>
        <w:t xml:space="preserve">Keywords: commercial lending rates; exchange rate interventions; impulse response function; interest rate pass-through; money market rate; official policy rate; structural vector autoregressive model; variance decomposition </w:t>
      </w:r>
    </w:p>
    <w:p w14:paraId="4478F808" w14:textId="77777777" w:rsidR="00F743B6" w:rsidRPr="00BB2872" w:rsidRDefault="00F743B6" w:rsidP="00F743B6">
      <w:pPr>
        <w:spacing w:before="240" w:after="240" w:line="360" w:lineRule="auto"/>
        <w:ind w:left="720" w:right="567"/>
        <w:rPr>
          <w:rFonts w:ascii="Times New Roman" w:eastAsia="Times New Roman" w:hAnsi="Times New Roman" w:cs="Times New Roman"/>
          <w:lang w:val="fr-FR"/>
        </w:rPr>
      </w:pPr>
      <w:proofErr w:type="spellStart"/>
      <w:r w:rsidRPr="00BB2872">
        <w:rPr>
          <w:rFonts w:ascii="Times New Roman" w:eastAsia="Times New Roman" w:hAnsi="Times New Roman" w:cs="Times New Roman"/>
          <w:lang w:val="fr-FR"/>
        </w:rPr>
        <w:t>Subject</w:t>
      </w:r>
      <w:proofErr w:type="spellEnd"/>
      <w:r w:rsidRPr="00BB2872">
        <w:rPr>
          <w:rFonts w:ascii="Times New Roman" w:eastAsia="Times New Roman" w:hAnsi="Times New Roman" w:cs="Times New Roman"/>
          <w:lang w:val="fr-FR"/>
        </w:rPr>
        <w:t xml:space="preserve"> classification </w:t>
      </w:r>
      <w:proofErr w:type="gramStart"/>
      <w:r w:rsidRPr="00BB2872">
        <w:rPr>
          <w:rFonts w:ascii="Times New Roman" w:eastAsia="Times New Roman" w:hAnsi="Times New Roman" w:cs="Times New Roman"/>
          <w:lang w:val="fr-FR"/>
        </w:rPr>
        <w:t>codes:</w:t>
      </w:r>
      <w:proofErr w:type="gramEnd"/>
      <w:r w:rsidRPr="00BB2872">
        <w:rPr>
          <w:rFonts w:ascii="Times New Roman" w:eastAsia="Times New Roman" w:hAnsi="Times New Roman" w:cs="Times New Roman"/>
          <w:lang w:val="fr-FR"/>
        </w:rPr>
        <w:t xml:space="preserve"> E43, E52, E58</w:t>
      </w:r>
    </w:p>
    <w:p w14:paraId="00000003" w14:textId="77777777" w:rsidR="00345220" w:rsidRPr="00BB2872" w:rsidRDefault="00345220" w:rsidP="00C1547D">
      <w:pPr>
        <w:spacing w:before="240" w:after="240" w:line="360" w:lineRule="auto"/>
        <w:ind w:right="567"/>
        <w:rPr>
          <w:rFonts w:ascii="Times New Roman" w:eastAsia="Times New Roman" w:hAnsi="Times New Roman" w:cs="Times New Roman"/>
        </w:rPr>
      </w:pPr>
    </w:p>
    <w:p w14:paraId="00000004" w14:textId="77777777" w:rsidR="00345220" w:rsidRPr="00BB2872" w:rsidRDefault="00D45E73">
      <w:pPr>
        <w:pStyle w:val="Nadpis1"/>
      </w:pPr>
      <w:r w:rsidRPr="00BB2872">
        <w:t>1 Introduction</w:t>
      </w:r>
    </w:p>
    <w:p w14:paraId="00000006" w14:textId="0700EB83" w:rsidR="00345220" w:rsidRPr="00BB2872" w:rsidRDefault="00DF5EE9" w:rsidP="000355E9">
      <w:pPr>
        <w:widowControl w:val="0"/>
        <w:spacing w:before="240" w:after="0" w:line="480" w:lineRule="auto"/>
        <w:rPr>
          <w:rFonts w:ascii="Times New Roman" w:eastAsia="Times New Roman" w:hAnsi="Times New Roman" w:cs="Times New Roman"/>
          <w:sz w:val="24"/>
          <w:szCs w:val="24"/>
        </w:rPr>
      </w:pPr>
      <w:r w:rsidRPr="00BB2872">
        <w:rPr>
          <w:rFonts w:ascii="Times New Roman" w:eastAsia="Times New Roman" w:hAnsi="Times New Roman" w:cs="Times New Roman"/>
          <w:sz w:val="24"/>
          <w:szCs w:val="24"/>
        </w:rPr>
        <w:t>U</w:t>
      </w:r>
      <w:r w:rsidR="00D45E73" w:rsidRPr="00BB2872">
        <w:rPr>
          <w:rFonts w:ascii="Times New Roman" w:eastAsia="Times New Roman" w:hAnsi="Times New Roman" w:cs="Times New Roman"/>
          <w:sz w:val="24"/>
          <w:szCs w:val="24"/>
        </w:rPr>
        <w:t xml:space="preserve">nderstanding monetary transmission is a </w:t>
      </w:r>
      <w:r w:rsidRPr="00BB2872">
        <w:rPr>
          <w:rFonts w:ascii="Times New Roman" w:eastAsia="Times New Roman" w:hAnsi="Times New Roman" w:cs="Times New Roman"/>
          <w:sz w:val="24"/>
          <w:szCs w:val="24"/>
        </w:rPr>
        <w:t>primary consideration</w:t>
      </w:r>
      <w:r w:rsidR="00D45E73" w:rsidRPr="00BB2872">
        <w:rPr>
          <w:rFonts w:ascii="Times New Roman" w:eastAsia="Times New Roman" w:hAnsi="Times New Roman" w:cs="Times New Roman"/>
          <w:sz w:val="24"/>
          <w:szCs w:val="24"/>
        </w:rPr>
        <w:t xml:space="preserve"> </w:t>
      </w:r>
      <w:r w:rsidRPr="00BB2872">
        <w:rPr>
          <w:rFonts w:ascii="Times New Roman" w:eastAsia="Times New Roman" w:hAnsi="Times New Roman" w:cs="Times New Roman"/>
          <w:sz w:val="24"/>
          <w:szCs w:val="24"/>
        </w:rPr>
        <w:t>for</w:t>
      </w:r>
      <w:r w:rsidR="00D45E73" w:rsidRPr="00BB2872">
        <w:rPr>
          <w:rFonts w:ascii="Times New Roman" w:eastAsia="Times New Roman" w:hAnsi="Times New Roman" w:cs="Times New Roman"/>
          <w:sz w:val="24"/>
          <w:szCs w:val="24"/>
        </w:rPr>
        <w:t xml:space="preserve"> monetary authorities, </w:t>
      </w:r>
      <w:proofErr w:type="gramStart"/>
      <w:r w:rsidR="00D45E73" w:rsidRPr="00BB2872">
        <w:rPr>
          <w:rFonts w:ascii="Times New Roman" w:eastAsia="Times New Roman" w:hAnsi="Times New Roman" w:cs="Times New Roman"/>
          <w:sz w:val="24"/>
          <w:szCs w:val="24"/>
        </w:rPr>
        <w:t>analysts</w:t>
      </w:r>
      <w:proofErr w:type="gramEnd"/>
      <w:r w:rsidR="00D45E73" w:rsidRPr="00BB2872">
        <w:rPr>
          <w:rFonts w:ascii="Times New Roman" w:eastAsia="Times New Roman" w:hAnsi="Times New Roman" w:cs="Times New Roman"/>
          <w:sz w:val="24"/>
          <w:szCs w:val="24"/>
        </w:rPr>
        <w:t xml:space="preserve"> and academics </w:t>
      </w:r>
      <w:r w:rsidRPr="00BB2872">
        <w:rPr>
          <w:rFonts w:ascii="Times New Roman" w:eastAsia="Times New Roman" w:hAnsi="Times New Roman" w:cs="Times New Roman"/>
          <w:sz w:val="24"/>
          <w:szCs w:val="24"/>
        </w:rPr>
        <w:t xml:space="preserve">in </w:t>
      </w:r>
      <w:r w:rsidR="00D45E73" w:rsidRPr="00BB2872">
        <w:rPr>
          <w:rFonts w:ascii="Times New Roman" w:eastAsia="Times New Roman" w:hAnsi="Times New Roman" w:cs="Times New Roman"/>
          <w:sz w:val="24"/>
          <w:szCs w:val="24"/>
        </w:rPr>
        <w:t xml:space="preserve">evaluating the effects of applied policies, </w:t>
      </w:r>
      <w:r w:rsidRPr="00BB2872">
        <w:rPr>
          <w:rFonts w:ascii="Times New Roman" w:eastAsia="Times New Roman" w:hAnsi="Times New Roman" w:cs="Times New Roman"/>
          <w:sz w:val="24"/>
          <w:szCs w:val="24"/>
        </w:rPr>
        <w:t>with</w:t>
      </w:r>
      <w:r w:rsidR="00D45E73" w:rsidRPr="00BB2872">
        <w:rPr>
          <w:rFonts w:ascii="Times New Roman" w:eastAsia="Times New Roman" w:hAnsi="Times New Roman" w:cs="Times New Roman"/>
          <w:sz w:val="24"/>
          <w:szCs w:val="24"/>
        </w:rPr>
        <w:t xml:space="preserve"> interest</w:t>
      </w:r>
      <w:r w:rsidR="00996D28" w:rsidRPr="00BB2872">
        <w:rPr>
          <w:rFonts w:ascii="Times New Roman" w:eastAsia="Times New Roman" w:hAnsi="Times New Roman" w:cs="Times New Roman"/>
          <w:sz w:val="24"/>
          <w:szCs w:val="24"/>
        </w:rPr>
        <w:t xml:space="preserve"> </w:t>
      </w:r>
      <w:r w:rsidR="00D45E73" w:rsidRPr="00BB2872">
        <w:rPr>
          <w:rFonts w:ascii="Times New Roman" w:eastAsia="Times New Roman" w:hAnsi="Times New Roman" w:cs="Times New Roman"/>
          <w:sz w:val="24"/>
          <w:szCs w:val="24"/>
        </w:rPr>
        <w:t>rate pass-through functioning represent</w:t>
      </w:r>
      <w:r w:rsidRPr="00BB2872">
        <w:rPr>
          <w:rFonts w:ascii="Times New Roman" w:eastAsia="Times New Roman" w:hAnsi="Times New Roman" w:cs="Times New Roman"/>
          <w:sz w:val="24"/>
          <w:szCs w:val="24"/>
        </w:rPr>
        <w:t>ing</w:t>
      </w:r>
      <w:r w:rsidR="00D45E73" w:rsidRPr="00BB2872">
        <w:rPr>
          <w:rFonts w:ascii="Times New Roman" w:eastAsia="Times New Roman" w:hAnsi="Times New Roman" w:cs="Times New Roman"/>
          <w:sz w:val="24"/>
          <w:szCs w:val="24"/>
        </w:rPr>
        <w:t xml:space="preserve"> an important tool </w:t>
      </w:r>
      <w:r w:rsidRPr="00BB2872">
        <w:rPr>
          <w:rFonts w:ascii="Times New Roman" w:eastAsia="Times New Roman" w:hAnsi="Times New Roman" w:cs="Times New Roman"/>
          <w:sz w:val="24"/>
          <w:szCs w:val="24"/>
        </w:rPr>
        <w:t xml:space="preserve">used by </w:t>
      </w:r>
      <w:r w:rsidR="00D45E73" w:rsidRPr="00BB2872">
        <w:rPr>
          <w:rFonts w:ascii="Times New Roman" w:eastAsia="Times New Roman" w:hAnsi="Times New Roman" w:cs="Times New Roman"/>
          <w:sz w:val="24"/>
          <w:szCs w:val="24"/>
        </w:rPr>
        <w:t xml:space="preserve">central banks to achieve price stability. As </w:t>
      </w:r>
      <w:r w:rsidR="00684BC8" w:rsidRPr="00BB2872">
        <w:rPr>
          <w:rFonts w:ascii="Times New Roman" w:eastAsia="Times New Roman" w:hAnsi="Times New Roman" w:cs="Times New Roman"/>
          <w:sz w:val="24"/>
          <w:szCs w:val="24"/>
        </w:rPr>
        <w:t xml:space="preserve">De </w:t>
      </w:r>
      <w:proofErr w:type="spellStart"/>
      <w:r w:rsidR="00684BC8" w:rsidRPr="00BB2872">
        <w:rPr>
          <w:rFonts w:ascii="Times New Roman" w:eastAsia="Times New Roman" w:hAnsi="Times New Roman" w:cs="Times New Roman"/>
          <w:sz w:val="24"/>
          <w:szCs w:val="24"/>
        </w:rPr>
        <w:t>Bondt</w:t>
      </w:r>
      <w:proofErr w:type="spellEnd"/>
      <w:r w:rsidR="00D45E73" w:rsidRPr="00BB2872">
        <w:rPr>
          <w:rFonts w:ascii="Times New Roman" w:eastAsia="Times New Roman" w:hAnsi="Times New Roman" w:cs="Times New Roman"/>
          <w:sz w:val="24"/>
          <w:szCs w:val="24"/>
        </w:rPr>
        <w:t xml:space="preserve"> (2002) accurately stated, monetary transmission is more complete if a pass-through of official and market interest rates to retail bank rates is </w:t>
      </w:r>
      <w:r w:rsidRPr="00BB2872">
        <w:rPr>
          <w:rFonts w:ascii="Times New Roman" w:eastAsia="Times New Roman" w:hAnsi="Times New Roman" w:cs="Times New Roman"/>
          <w:sz w:val="24"/>
          <w:szCs w:val="24"/>
        </w:rPr>
        <w:t xml:space="preserve">rapid </w:t>
      </w:r>
      <w:r w:rsidR="00D45E73" w:rsidRPr="00BB2872">
        <w:rPr>
          <w:rFonts w:ascii="Times New Roman" w:eastAsia="Times New Roman" w:hAnsi="Times New Roman" w:cs="Times New Roman"/>
          <w:sz w:val="24"/>
          <w:szCs w:val="24"/>
        </w:rPr>
        <w:t>and</w:t>
      </w:r>
      <w:r w:rsidR="000355E9" w:rsidRPr="00BB2872">
        <w:rPr>
          <w:rFonts w:ascii="Times New Roman" w:eastAsia="Times New Roman" w:hAnsi="Times New Roman" w:cs="Times New Roman"/>
          <w:sz w:val="24"/>
          <w:szCs w:val="24"/>
        </w:rPr>
        <w:t xml:space="preserve"> </w:t>
      </w:r>
      <w:r w:rsidR="00236538" w:rsidRPr="00BB2872">
        <w:rPr>
          <w:rFonts w:ascii="Times New Roman" w:eastAsia="Times New Roman" w:hAnsi="Times New Roman" w:cs="Times New Roman"/>
          <w:sz w:val="24"/>
          <w:szCs w:val="24"/>
        </w:rPr>
        <w:t>comprehensive</w:t>
      </w:r>
      <w:r w:rsidR="00D45E73" w:rsidRPr="00BB2872">
        <w:rPr>
          <w:rFonts w:ascii="Times New Roman" w:eastAsia="Times New Roman" w:hAnsi="Times New Roman" w:cs="Times New Roman"/>
          <w:sz w:val="24"/>
          <w:szCs w:val="24"/>
        </w:rPr>
        <w:t xml:space="preserve">. </w:t>
      </w:r>
      <w:r w:rsidR="00236538" w:rsidRPr="00BB2872">
        <w:rPr>
          <w:rFonts w:ascii="Times New Roman" w:eastAsia="Times New Roman" w:hAnsi="Times New Roman" w:cs="Times New Roman"/>
          <w:sz w:val="24"/>
          <w:szCs w:val="24"/>
        </w:rPr>
        <w:t>D</w:t>
      </w:r>
      <w:r w:rsidR="00D45E73" w:rsidRPr="00BB2872">
        <w:rPr>
          <w:rFonts w:ascii="Times New Roman" w:eastAsia="Times New Roman" w:hAnsi="Times New Roman" w:cs="Times New Roman"/>
          <w:sz w:val="24"/>
          <w:szCs w:val="24"/>
        </w:rPr>
        <w:t>evelopment</w:t>
      </w:r>
      <w:r w:rsidR="00236538" w:rsidRPr="00BB2872">
        <w:rPr>
          <w:rFonts w:ascii="Times New Roman" w:eastAsia="Times New Roman" w:hAnsi="Times New Roman" w:cs="Times New Roman"/>
          <w:sz w:val="24"/>
          <w:szCs w:val="24"/>
        </w:rPr>
        <w:t>s</w:t>
      </w:r>
      <w:r w:rsidR="00D45E73" w:rsidRPr="00BB2872">
        <w:rPr>
          <w:rFonts w:ascii="Times New Roman" w:eastAsia="Times New Roman" w:hAnsi="Times New Roman" w:cs="Times New Roman"/>
          <w:sz w:val="24"/>
          <w:szCs w:val="24"/>
        </w:rPr>
        <w:t xml:space="preserve"> </w:t>
      </w:r>
      <w:r w:rsidR="00236538" w:rsidRPr="00BB2872">
        <w:rPr>
          <w:rFonts w:ascii="Times New Roman" w:eastAsia="Times New Roman" w:hAnsi="Times New Roman" w:cs="Times New Roman"/>
          <w:sz w:val="24"/>
          <w:szCs w:val="24"/>
        </w:rPr>
        <w:t xml:space="preserve">in </w:t>
      </w:r>
      <w:r w:rsidR="00D45E73" w:rsidRPr="00BB2872">
        <w:rPr>
          <w:rFonts w:ascii="Times New Roman" w:eastAsia="Times New Roman" w:hAnsi="Times New Roman" w:cs="Times New Roman"/>
          <w:sz w:val="24"/>
          <w:szCs w:val="24"/>
        </w:rPr>
        <w:t>last decade</w:t>
      </w:r>
      <w:r w:rsidR="00236538" w:rsidRPr="00BB2872">
        <w:rPr>
          <w:rFonts w:ascii="Times New Roman" w:eastAsia="Times New Roman" w:hAnsi="Times New Roman" w:cs="Times New Roman"/>
          <w:sz w:val="24"/>
          <w:szCs w:val="24"/>
        </w:rPr>
        <w:t xml:space="preserve"> </w:t>
      </w:r>
      <w:proofErr w:type="gramStart"/>
      <w:r w:rsidR="00236538" w:rsidRPr="00BB2872">
        <w:rPr>
          <w:rFonts w:ascii="Times New Roman" w:eastAsia="Times New Roman" w:hAnsi="Times New Roman" w:cs="Times New Roman"/>
          <w:sz w:val="24"/>
          <w:szCs w:val="24"/>
        </w:rPr>
        <w:t>in particular</w:t>
      </w:r>
      <w:r w:rsidR="00D45E73" w:rsidRPr="00BB2872">
        <w:rPr>
          <w:rFonts w:ascii="Times New Roman" w:eastAsia="Times New Roman" w:hAnsi="Times New Roman" w:cs="Times New Roman"/>
          <w:sz w:val="24"/>
          <w:szCs w:val="24"/>
        </w:rPr>
        <w:t xml:space="preserve"> ha</w:t>
      </w:r>
      <w:r w:rsidR="00236538" w:rsidRPr="00BB2872">
        <w:rPr>
          <w:rFonts w:ascii="Times New Roman" w:eastAsia="Times New Roman" w:hAnsi="Times New Roman" w:cs="Times New Roman"/>
          <w:sz w:val="24"/>
          <w:szCs w:val="24"/>
        </w:rPr>
        <w:t>ve</w:t>
      </w:r>
      <w:proofErr w:type="gramEnd"/>
      <w:r w:rsidR="00D45E73" w:rsidRPr="00BB2872">
        <w:rPr>
          <w:rFonts w:ascii="Times New Roman" w:eastAsia="Times New Roman" w:hAnsi="Times New Roman" w:cs="Times New Roman"/>
          <w:sz w:val="24"/>
          <w:szCs w:val="24"/>
        </w:rPr>
        <w:t xml:space="preserve"> brought many challenges for monetary authorities. </w:t>
      </w:r>
      <w:r w:rsidR="00236538" w:rsidRPr="00BB2872">
        <w:rPr>
          <w:rFonts w:ascii="Times New Roman" w:eastAsia="Times New Roman" w:hAnsi="Times New Roman" w:cs="Times New Roman"/>
          <w:sz w:val="24"/>
          <w:szCs w:val="24"/>
        </w:rPr>
        <w:t xml:space="preserve">Following </w:t>
      </w:r>
      <w:r w:rsidR="00D45E73" w:rsidRPr="00BB2872">
        <w:rPr>
          <w:rFonts w:ascii="Times New Roman" w:eastAsia="Times New Roman" w:hAnsi="Times New Roman" w:cs="Times New Roman"/>
          <w:sz w:val="24"/>
          <w:szCs w:val="24"/>
        </w:rPr>
        <w:t>the financial and consequent debt cris</w:t>
      </w:r>
      <w:r w:rsidR="00236538" w:rsidRPr="00BB2872">
        <w:rPr>
          <w:rFonts w:ascii="Times New Roman" w:eastAsia="Times New Roman" w:hAnsi="Times New Roman" w:cs="Times New Roman"/>
          <w:sz w:val="24"/>
          <w:szCs w:val="24"/>
        </w:rPr>
        <w:t>e</w:t>
      </w:r>
      <w:r w:rsidR="00D45E73" w:rsidRPr="00BB2872">
        <w:rPr>
          <w:rFonts w:ascii="Times New Roman" w:eastAsia="Times New Roman" w:hAnsi="Times New Roman" w:cs="Times New Roman"/>
          <w:sz w:val="24"/>
          <w:szCs w:val="24"/>
        </w:rPr>
        <w:t xml:space="preserve">s in Europe, empirical studies </w:t>
      </w:r>
      <w:r w:rsidR="00236538" w:rsidRPr="00BB2872">
        <w:rPr>
          <w:rFonts w:ascii="Times New Roman" w:eastAsia="Times New Roman" w:hAnsi="Times New Roman" w:cs="Times New Roman"/>
          <w:sz w:val="24"/>
          <w:szCs w:val="24"/>
        </w:rPr>
        <w:t>(</w:t>
      </w:r>
      <w:proofErr w:type="gramStart"/>
      <w:r w:rsidR="00D45E73" w:rsidRPr="00BB2872">
        <w:rPr>
          <w:rFonts w:ascii="Times New Roman" w:eastAsia="Times New Roman" w:hAnsi="Times New Roman" w:cs="Times New Roman"/>
          <w:sz w:val="24"/>
          <w:szCs w:val="24"/>
        </w:rPr>
        <w:t>e.g.</w:t>
      </w:r>
      <w:proofErr w:type="gramEnd"/>
      <w:r w:rsidR="00D45E73" w:rsidRPr="00BB2872">
        <w:rPr>
          <w:rFonts w:ascii="Times New Roman" w:eastAsia="Times New Roman" w:hAnsi="Times New Roman" w:cs="Times New Roman"/>
          <w:sz w:val="24"/>
          <w:szCs w:val="24"/>
        </w:rPr>
        <w:t xml:space="preserve"> Blot and </w:t>
      </w:r>
      <w:proofErr w:type="spellStart"/>
      <w:r w:rsidR="00D45E73" w:rsidRPr="00BB2872">
        <w:rPr>
          <w:rFonts w:ascii="Times New Roman" w:eastAsia="Times New Roman" w:hAnsi="Times New Roman" w:cs="Times New Roman"/>
          <w:sz w:val="24"/>
          <w:szCs w:val="24"/>
        </w:rPr>
        <w:t>Labordance</w:t>
      </w:r>
      <w:proofErr w:type="spellEnd"/>
      <w:r w:rsidR="00236538" w:rsidRPr="00BB2872">
        <w:rPr>
          <w:rFonts w:ascii="Times New Roman" w:eastAsia="Times New Roman" w:hAnsi="Times New Roman" w:cs="Times New Roman"/>
          <w:sz w:val="24"/>
          <w:szCs w:val="24"/>
        </w:rPr>
        <w:t>,</w:t>
      </w:r>
      <w:r w:rsidR="00D45E73" w:rsidRPr="00BB2872">
        <w:rPr>
          <w:rFonts w:ascii="Times New Roman" w:eastAsia="Times New Roman" w:hAnsi="Times New Roman" w:cs="Times New Roman"/>
          <w:sz w:val="24"/>
          <w:szCs w:val="24"/>
        </w:rPr>
        <w:t xml:space="preserve"> 2013</w:t>
      </w:r>
      <w:r w:rsidR="00236538" w:rsidRPr="00BB2872">
        <w:rPr>
          <w:rFonts w:ascii="Times New Roman" w:eastAsia="Times New Roman" w:hAnsi="Times New Roman" w:cs="Times New Roman"/>
          <w:sz w:val="24"/>
          <w:szCs w:val="24"/>
        </w:rPr>
        <w:t>;</w:t>
      </w:r>
      <w:r w:rsidR="00D45E73" w:rsidRPr="00BB2872">
        <w:rPr>
          <w:rFonts w:ascii="Times New Roman" w:eastAsia="Times New Roman" w:hAnsi="Times New Roman" w:cs="Times New Roman"/>
          <w:sz w:val="24"/>
          <w:szCs w:val="24"/>
        </w:rPr>
        <w:t xml:space="preserve"> </w:t>
      </w:r>
      <w:proofErr w:type="spellStart"/>
      <w:r w:rsidR="00D45E73" w:rsidRPr="00BB2872">
        <w:rPr>
          <w:rFonts w:ascii="Times New Roman" w:eastAsia="Times New Roman" w:hAnsi="Times New Roman" w:cs="Times New Roman"/>
          <w:sz w:val="24"/>
          <w:szCs w:val="24"/>
        </w:rPr>
        <w:t>Paries</w:t>
      </w:r>
      <w:proofErr w:type="spellEnd"/>
      <w:r w:rsidR="00D45E73" w:rsidRPr="00BB2872">
        <w:rPr>
          <w:rFonts w:ascii="Times New Roman" w:eastAsia="Times New Roman" w:hAnsi="Times New Roman" w:cs="Times New Roman"/>
          <w:sz w:val="24"/>
          <w:szCs w:val="24"/>
        </w:rPr>
        <w:t xml:space="preserve"> et al.</w:t>
      </w:r>
      <w:r w:rsidR="00236538" w:rsidRPr="00BB2872">
        <w:rPr>
          <w:rFonts w:ascii="Times New Roman" w:eastAsia="Times New Roman" w:hAnsi="Times New Roman" w:cs="Times New Roman"/>
          <w:sz w:val="24"/>
          <w:szCs w:val="24"/>
        </w:rPr>
        <w:t>,</w:t>
      </w:r>
      <w:r w:rsidR="00D45E73" w:rsidRPr="00BB2872">
        <w:rPr>
          <w:rFonts w:ascii="Times New Roman" w:eastAsia="Times New Roman" w:hAnsi="Times New Roman" w:cs="Times New Roman"/>
          <w:sz w:val="24"/>
          <w:szCs w:val="24"/>
        </w:rPr>
        <w:t xml:space="preserve"> 2014</w:t>
      </w:r>
      <w:r w:rsidR="00236538" w:rsidRPr="00BB2872">
        <w:rPr>
          <w:rFonts w:ascii="Times New Roman" w:eastAsia="Times New Roman" w:hAnsi="Times New Roman" w:cs="Times New Roman"/>
          <w:sz w:val="24"/>
          <w:szCs w:val="24"/>
        </w:rPr>
        <w:t>;</w:t>
      </w:r>
      <w:r w:rsidR="00D45E73" w:rsidRPr="00BB2872">
        <w:rPr>
          <w:rFonts w:ascii="Times New Roman" w:eastAsia="Times New Roman" w:hAnsi="Times New Roman" w:cs="Times New Roman"/>
          <w:sz w:val="24"/>
          <w:szCs w:val="24"/>
        </w:rPr>
        <w:t xml:space="preserve"> Holton and Rodriguez </w:t>
      </w:r>
      <w:proofErr w:type="spellStart"/>
      <w:r w:rsidR="00D45E73" w:rsidRPr="00BB2872">
        <w:rPr>
          <w:rFonts w:ascii="Times New Roman" w:eastAsia="Times New Roman" w:hAnsi="Times New Roman" w:cs="Times New Roman"/>
          <w:sz w:val="24"/>
          <w:szCs w:val="24"/>
        </w:rPr>
        <w:t>d</w:t>
      </w:r>
      <w:r w:rsidR="000F32CE" w:rsidRPr="00BB2872">
        <w:rPr>
          <w:rFonts w:ascii="Times New Roman" w:eastAsia="Times New Roman" w:hAnsi="Times New Roman" w:cs="Times New Roman"/>
          <w:sz w:val="24"/>
          <w:szCs w:val="24"/>
        </w:rPr>
        <w:t>’</w:t>
      </w:r>
      <w:r w:rsidR="00D45E73" w:rsidRPr="00BB2872">
        <w:rPr>
          <w:rFonts w:ascii="Times New Roman" w:eastAsia="Times New Roman" w:hAnsi="Times New Roman" w:cs="Times New Roman"/>
          <w:sz w:val="24"/>
          <w:szCs w:val="24"/>
        </w:rPr>
        <w:t>Arci</w:t>
      </w:r>
      <w:proofErr w:type="spellEnd"/>
      <w:r w:rsidR="00236538" w:rsidRPr="00BB2872">
        <w:rPr>
          <w:rFonts w:ascii="Times New Roman" w:eastAsia="Times New Roman" w:hAnsi="Times New Roman" w:cs="Times New Roman"/>
          <w:sz w:val="24"/>
          <w:szCs w:val="24"/>
        </w:rPr>
        <w:t>,</w:t>
      </w:r>
      <w:r w:rsidR="00D45E73" w:rsidRPr="00BB2872">
        <w:rPr>
          <w:rFonts w:ascii="Times New Roman" w:eastAsia="Times New Roman" w:hAnsi="Times New Roman" w:cs="Times New Roman"/>
          <w:sz w:val="24"/>
          <w:szCs w:val="24"/>
        </w:rPr>
        <w:t xml:space="preserve"> 2015</w:t>
      </w:r>
      <w:r w:rsidR="00236538" w:rsidRPr="00BB2872">
        <w:rPr>
          <w:rFonts w:ascii="Times New Roman" w:eastAsia="Times New Roman" w:hAnsi="Times New Roman" w:cs="Times New Roman"/>
          <w:sz w:val="24"/>
          <w:szCs w:val="24"/>
        </w:rPr>
        <w:t>;</w:t>
      </w:r>
      <w:r w:rsidR="00D45E73" w:rsidRPr="00BB2872">
        <w:rPr>
          <w:rFonts w:ascii="Times New Roman" w:eastAsia="Times New Roman" w:hAnsi="Times New Roman" w:cs="Times New Roman"/>
          <w:sz w:val="24"/>
          <w:szCs w:val="24"/>
        </w:rPr>
        <w:t xml:space="preserve"> </w:t>
      </w:r>
      <w:proofErr w:type="spellStart"/>
      <w:r w:rsidR="00D45E73" w:rsidRPr="00BB2872">
        <w:rPr>
          <w:rFonts w:ascii="Times New Roman" w:eastAsia="Times New Roman" w:hAnsi="Times New Roman" w:cs="Times New Roman"/>
          <w:sz w:val="24"/>
          <w:szCs w:val="24"/>
        </w:rPr>
        <w:t>Avouyi-Dovi</w:t>
      </w:r>
      <w:proofErr w:type="spellEnd"/>
      <w:r w:rsidR="00D45E73" w:rsidRPr="00BB2872">
        <w:rPr>
          <w:rFonts w:ascii="Times New Roman" w:eastAsia="Times New Roman" w:hAnsi="Times New Roman" w:cs="Times New Roman"/>
          <w:sz w:val="24"/>
          <w:szCs w:val="24"/>
        </w:rPr>
        <w:t xml:space="preserve"> et al.</w:t>
      </w:r>
      <w:r w:rsidR="00236538" w:rsidRPr="00BB2872">
        <w:rPr>
          <w:rFonts w:ascii="Times New Roman" w:eastAsia="Times New Roman" w:hAnsi="Times New Roman" w:cs="Times New Roman"/>
          <w:sz w:val="24"/>
          <w:szCs w:val="24"/>
        </w:rPr>
        <w:t>,</w:t>
      </w:r>
      <w:r w:rsidR="00D45E73" w:rsidRPr="00BB2872">
        <w:rPr>
          <w:rFonts w:ascii="Times New Roman" w:eastAsia="Times New Roman" w:hAnsi="Times New Roman" w:cs="Times New Roman"/>
          <w:sz w:val="24"/>
          <w:szCs w:val="24"/>
        </w:rPr>
        <w:t xml:space="preserve"> 2017</w:t>
      </w:r>
      <w:r w:rsidR="00236538" w:rsidRPr="00BB2872">
        <w:rPr>
          <w:rFonts w:ascii="Times New Roman" w:eastAsia="Times New Roman" w:hAnsi="Times New Roman" w:cs="Times New Roman"/>
          <w:sz w:val="24"/>
          <w:szCs w:val="24"/>
        </w:rPr>
        <w:t>;</w:t>
      </w:r>
      <w:r w:rsidR="00D45E73" w:rsidRPr="00BB2872">
        <w:rPr>
          <w:rFonts w:ascii="Times New Roman" w:eastAsia="Times New Roman" w:hAnsi="Times New Roman" w:cs="Times New Roman"/>
          <w:sz w:val="24"/>
          <w:szCs w:val="24"/>
        </w:rPr>
        <w:t xml:space="preserve"> </w:t>
      </w:r>
      <w:proofErr w:type="spellStart"/>
      <w:r w:rsidR="00D45E73" w:rsidRPr="00BB2872">
        <w:rPr>
          <w:rFonts w:ascii="Times New Roman" w:eastAsia="Times New Roman" w:hAnsi="Times New Roman" w:cs="Times New Roman"/>
          <w:sz w:val="24"/>
          <w:szCs w:val="24"/>
        </w:rPr>
        <w:t>Illes</w:t>
      </w:r>
      <w:proofErr w:type="spellEnd"/>
      <w:r w:rsidR="00D45E73" w:rsidRPr="00BB2872">
        <w:rPr>
          <w:rFonts w:ascii="Times New Roman" w:eastAsia="Times New Roman" w:hAnsi="Times New Roman" w:cs="Times New Roman"/>
          <w:sz w:val="24"/>
          <w:szCs w:val="24"/>
        </w:rPr>
        <w:t xml:space="preserve"> et al.</w:t>
      </w:r>
      <w:r w:rsidR="00236538" w:rsidRPr="00BB2872">
        <w:rPr>
          <w:rFonts w:ascii="Times New Roman" w:eastAsia="Times New Roman" w:hAnsi="Times New Roman" w:cs="Times New Roman"/>
          <w:sz w:val="24"/>
          <w:szCs w:val="24"/>
        </w:rPr>
        <w:t>,</w:t>
      </w:r>
      <w:r w:rsidR="00D45E73" w:rsidRPr="00BB2872">
        <w:rPr>
          <w:rFonts w:ascii="Times New Roman" w:eastAsia="Times New Roman" w:hAnsi="Times New Roman" w:cs="Times New Roman"/>
          <w:sz w:val="24"/>
          <w:szCs w:val="24"/>
        </w:rPr>
        <w:t xml:space="preserve"> 2019</w:t>
      </w:r>
      <w:r w:rsidR="00236538" w:rsidRPr="00BB2872">
        <w:rPr>
          <w:rFonts w:ascii="Times New Roman" w:eastAsia="Times New Roman" w:hAnsi="Times New Roman" w:cs="Times New Roman"/>
          <w:sz w:val="24"/>
          <w:szCs w:val="24"/>
        </w:rPr>
        <w:t>;</w:t>
      </w:r>
      <w:r w:rsidR="00D45E73" w:rsidRPr="00BB2872">
        <w:rPr>
          <w:rFonts w:ascii="Times New Roman" w:eastAsia="Times New Roman" w:hAnsi="Times New Roman" w:cs="Times New Roman"/>
          <w:sz w:val="24"/>
          <w:szCs w:val="24"/>
        </w:rPr>
        <w:t xml:space="preserve"> </w:t>
      </w:r>
      <w:proofErr w:type="spellStart"/>
      <w:r w:rsidR="00D45E73" w:rsidRPr="00BB2872">
        <w:rPr>
          <w:rFonts w:ascii="Times New Roman" w:eastAsia="Times New Roman" w:hAnsi="Times New Roman" w:cs="Times New Roman"/>
          <w:sz w:val="24"/>
          <w:szCs w:val="24"/>
        </w:rPr>
        <w:t>Altavilla</w:t>
      </w:r>
      <w:proofErr w:type="spellEnd"/>
      <w:r w:rsidR="00D45E73" w:rsidRPr="00BB2872">
        <w:rPr>
          <w:rFonts w:ascii="Times New Roman" w:eastAsia="Times New Roman" w:hAnsi="Times New Roman" w:cs="Times New Roman"/>
          <w:sz w:val="24"/>
          <w:szCs w:val="24"/>
        </w:rPr>
        <w:t xml:space="preserve"> et al.</w:t>
      </w:r>
      <w:r w:rsidR="00236538" w:rsidRPr="00BB2872">
        <w:rPr>
          <w:rFonts w:ascii="Times New Roman" w:eastAsia="Times New Roman" w:hAnsi="Times New Roman" w:cs="Times New Roman"/>
          <w:sz w:val="24"/>
          <w:szCs w:val="24"/>
        </w:rPr>
        <w:t>,</w:t>
      </w:r>
      <w:r w:rsidR="00D45E73" w:rsidRPr="00BB2872">
        <w:rPr>
          <w:rFonts w:ascii="Times New Roman" w:eastAsia="Times New Roman" w:hAnsi="Times New Roman" w:cs="Times New Roman"/>
          <w:sz w:val="24"/>
          <w:szCs w:val="24"/>
        </w:rPr>
        <w:t xml:space="preserve"> 2020) </w:t>
      </w:r>
      <w:r w:rsidR="00236538" w:rsidRPr="00BB2872">
        <w:rPr>
          <w:rFonts w:ascii="Times New Roman" w:eastAsia="Times New Roman" w:hAnsi="Times New Roman" w:cs="Times New Roman"/>
          <w:sz w:val="24"/>
          <w:szCs w:val="24"/>
        </w:rPr>
        <w:t xml:space="preserve">have </w:t>
      </w:r>
      <w:r w:rsidR="00D45E73" w:rsidRPr="00BB2872">
        <w:rPr>
          <w:rFonts w:ascii="Times New Roman" w:eastAsia="Times New Roman" w:hAnsi="Times New Roman" w:cs="Times New Roman"/>
          <w:sz w:val="24"/>
          <w:szCs w:val="24"/>
        </w:rPr>
        <w:t>pointed to incomplete pass-through</w:t>
      </w:r>
      <w:r w:rsidR="00236538" w:rsidRPr="00BB2872">
        <w:rPr>
          <w:rFonts w:ascii="Times New Roman" w:eastAsia="Times New Roman" w:hAnsi="Times New Roman" w:cs="Times New Roman"/>
          <w:sz w:val="24"/>
          <w:szCs w:val="24"/>
        </w:rPr>
        <w:t>s</w:t>
      </w:r>
      <w:r w:rsidR="00D45E73" w:rsidRPr="00BB2872">
        <w:rPr>
          <w:rFonts w:ascii="Times New Roman" w:eastAsia="Times New Roman" w:hAnsi="Times New Roman" w:cs="Times New Roman"/>
          <w:sz w:val="24"/>
          <w:szCs w:val="24"/>
        </w:rPr>
        <w:t xml:space="preserve"> or the fact that the process of transmission </w:t>
      </w:r>
      <w:r w:rsidR="00236538" w:rsidRPr="00BB2872">
        <w:rPr>
          <w:rFonts w:ascii="Times New Roman" w:eastAsia="Times New Roman" w:hAnsi="Times New Roman" w:cs="Times New Roman"/>
          <w:sz w:val="24"/>
          <w:szCs w:val="24"/>
        </w:rPr>
        <w:t xml:space="preserve">has been </w:t>
      </w:r>
      <w:r w:rsidR="00D45E73" w:rsidRPr="00BB2872">
        <w:rPr>
          <w:rFonts w:ascii="Times New Roman" w:eastAsia="Times New Roman" w:hAnsi="Times New Roman" w:cs="Times New Roman"/>
          <w:sz w:val="24"/>
          <w:szCs w:val="24"/>
        </w:rPr>
        <w:t xml:space="preserve">slowed in </w:t>
      </w:r>
      <w:r w:rsidR="000F32CE" w:rsidRPr="00BB2872">
        <w:rPr>
          <w:rFonts w:ascii="Times New Roman" w:eastAsia="Times New Roman" w:hAnsi="Times New Roman" w:cs="Times New Roman"/>
          <w:sz w:val="24"/>
          <w:szCs w:val="24"/>
        </w:rPr>
        <w:t>e</w:t>
      </w:r>
      <w:r w:rsidR="00D45E73" w:rsidRPr="00BB2872">
        <w:rPr>
          <w:rFonts w:ascii="Times New Roman" w:eastAsia="Times New Roman" w:hAnsi="Times New Roman" w:cs="Times New Roman"/>
          <w:sz w:val="24"/>
          <w:szCs w:val="24"/>
        </w:rPr>
        <w:t>uro</w:t>
      </w:r>
      <w:r w:rsidR="000F32CE" w:rsidRPr="00BB2872">
        <w:rPr>
          <w:rFonts w:ascii="Times New Roman" w:eastAsia="Times New Roman" w:hAnsi="Times New Roman" w:cs="Times New Roman"/>
          <w:sz w:val="24"/>
          <w:szCs w:val="24"/>
        </w:rPr>
        <w:t>-</w:t>
      </w:r>
      <w:r w:rsidR="000F32CE" w:rsidRPr="00BB2872">
        <w:rPr>
          <w:rFonts w:ascii="Times New Roman" w:eastAsia="Times New Roman" w:hAnsi="Times New Roman" w:cs="Times New Roman"/>
          <w:sz w:val="24"/>
          <w:szCs w:val="24"/>
        </w:rPr>
        <w:lastRenderedPageBreak/>
        <w:t>a</w:t>
      </w:r>
      <w:r w:rsidR="00D45E73" w:rsidRPr="00BB2872">
        <w:rPr>
          <w:rFonts w:ascii="Times New Roman" w:eastAsia="Times New Roman" w:hAnsi="Times New Roman" w:cs="Times New Roman"/>
          <w:sz w:val="24"/>
          <w:szCs w:val="24"/>
        </w:rPr>
        <w:t xml:space="preserve">rea (EA) countries. </w:t>
      </w:r>
    </w:p>
    <w:p w14:paraId="00000007" w14:textId="6F910C36" w:rsidR="00345220" w:rsidRPr="00BB2872" w:rsidRDefault="00D45E73">
      <w:pPr>
        <w:spacing w:after="0" w:line="480" w:lineRule="auto"/>
        <w:ind w:firstLine="720"/>
        <w:rPr>
          <w:rFonts w:ascii="Times New Roman" w:eastAsia="Times New Roman" w:hAnsi="Times New Roman" w:cs="Times New Roman"/>
          <w:sz w:val="24"/>
          <w:szCs w:val="24"/>
          <w:shd w:val="clear" w:color="auto" w:fill="93C47D"/>
        </w:rPr>
      </w:pPr>
      <w:r w:rsidRPr="00BB2872">
        <w:rPr>
          <w:rFonts w:ascii="Times New Roman" w:eastAsia="Times New Roman" w:hAnsi="Times New Roman" w:cs="Times New Roman"/>
          <w:sz w:val="24"/>
          <w:szCs w:val="24"/>
        </w:rPr>
        <w:t>The aim of th</w:t>
      </w:r>
      <w:r w:rsidR="00365A79" w:rsidRPr="00BB2872">
        <w:rPr>
          <w:rFonts w:ascii="Times New Roman" w:eastAsia="Times New Roman" w:hAnsi="Times New Roman" w:cs="Times New Roman"/>
          <w:sz w:val="24"/>
          <w:szCs w:val="24"/>
        </w:rPr>
        <w:t>is</w:t>
      </w:r>
      <w:r w:rsidRPr="00BB2872">
        <w:rPr>
          <w:rFonts w:ascii="Times New Roman" w:eastAsia="Times New Roman" w:hAnsi="Times New Roman" w:cs="Times New Roman"/>
          <w:sz w:val="24"/>
          <w:szCs w:val="24"/>
        </w:rPr>
        <w:t xml:space="preserve"> paper </w:t>
      </w:r>
      <w:r w:rsidR="00365A79" w:rsidRPr="00BB2872">
        <w:rPr>
          <w:rFonts w:ascii="Times New Roman" w:eastAsia="Times New Roman" w:hAnsi="Times New Roman" w:cs="Times New Roman"/>
          <w:sz w:val="24"/>
          <w:szCs w:val="24"/>
        </w:rPr>
        <w:t>wa</w:t>
      </w:r>
      <w:r w:rsidRPr="00BB2872">
        <w:rPr>
          <w:rFonts w:ascii="Times New Roman" w:eastAsia="Times New Roman" w:hAnsi="Times New Roman" w:cs="Times New Roman"/>
          <w:sz w:val="24"/>
          <w:szCs w:val="24"/>
        </w:rPr>
        <w:t xml:space="preserve">s to provide a comprehensive investigation of </w:t>
      </w:r>
      <w:r w:rsidR="00365A79" w:rsidRPr="00BB2872">
        <w:rPr>
          <w:rFonts w:ascii="Times New Roman" w:eastAsia="Times New Roman" w:hAnsi="Times New Roman" w:cs="Times New Roman"/>
          <w:sz w:val="24"/>
          <w:szCs w:val="24"/>
        </w:rPr>
        <w:t xml:space="preserve">the </w:t>
      </w:r>
      <w:r w:rsidRPr="00BB2872">
        <w:rPr>
          <w:rFonts w:ascii="Times New Roman" w:eastAsia="Times New Roman" w:hAnsi="Times New Roman" w:cs="Times New Roman"/>
          <w:sz w:val="24"/>
          <w:szCs w:val="24"/>
        </w:rPr>
        <w:t>interest</w:t>
      </w:r>
      <w:r w:rsidR="00BE66E9" w:rsidRPr="00BB2872">
        <w:rPr>
          <w:rFonts w:ascii="Times New Roman" w:eastAsia="Times New Roman" w:hAnsi="Times New Roman" w:cs="Times New Roman"/>
          <w:sz w:val="24"/>
          <w:szCs w:val="24"/>
        </w:rPr>
        <w:t xml:space="preserve"> </w:t>
      </w:r>
      <w:r w:rsidRPr="00BB2872">
        <w:rPr>
          <w:rFonts w:ascii="Times New Roman" w:eastAsia="Times New Roman" w:hAnsi="Times New Roman" w:cs="Times New Roman"/>
          <w:sz w:val="24"/>
          <w:szCs w:val="24"/>
        </w:rPr>
        <w:t xml:space="preserve">rate pass-through, its changes and dynamics in </w:t>
      </w:r>
      <w:r w:rsidR="00365A79" w:rsidRPr="00BB2872">
        <w:rPr>
          <w:rFonts w:ascii="Times New Roman" w:eastAsia="Times New Roman" w:hAnsi="Times New Roman" w:cs="Times New Roman"/>
          <w:sz w:val="24"/>
          <w:szCs w:val="24"/>
        </w:rPr>
        <w:t>the</w:t>
      </w:r>
      <w:r w:rsidRPr="00BB2872">
        <w:rPr>
          <w:rFonts w:ascii="Times New Roman" w:eastAsia="Times New Roman" w:hAnsi="Times New Roman" w:cs="Times New Roman"/>
          <w:sz w:val="24"/>
          <w:szCs w:val="24"/>
        </w:rPr>
        <w:t xml:space="preserve"> case of Czechia during </w:t>
      </w:r>
      <w:r w:rsidR="00365A79" w:rsidRPr="00BB2872">
        <w:rPr>
          <w:rFonts w:ascii="Times New Roman" w:eastAsia="Times New Roman" w:hAnsi="Times New Roman" w:cs="Times New Roman"/>
          <w:sz w:val="24"/>
          <w:szCs w:val="24"/>
        </w:rPr>
        <w:t xml:space="preserve">the </w:t>
      </w:r>
      <w:r w:rsidRPr="00BB2872">
        <w:rPr>
          <w:rFonts w:ascii="Times New Roman" w:eastAsia="Times New Roman" w:hAnsi="Times New Roman" w:cs="Times New Roman"/>
          <w:sz w:val="24"/>
          <w:szCs w:val="24"/>
        </w:rPr>
        <w:t xml:space="preserve">different monetary policy stances </w:t>
      </w:r>
      <w:r w:rsidR="00365A79" w:rsidRPr="00BB2872">
        <w:rPr>
          <w:rFonts w:ascii="Times New Roman" w:eastAsia="Times New Roman" w:hAnsi="Times New Roman" w:cs="Times New Roman"/>
          <w:sz w:val="24"/>
          <w:szCs w:val="24"/>
        </w:rPr>
        <w:t xml:space="preserve">in operation </w:t>
      </w:r>
      <w:r w:rsidRPr="00BB2872">
        <w:rPr>
          <w:rFonts w:ascii="Times New Roman" w:eastAsia="Times New Roman" w:hAnsi="Times New Roman" w:cs="Times New Roman"/>
          <w:sz w:val="24"/>
          <w:szCs w:val="24"/>
        </w:rPr>
        <w:t>from April 2005 to February 2020. Czechia is a small</w:t>
      </w:r>
      <w:r w:rsidR="00365A79" w:rsidRPr="00BB2872">
        <w:rPr>
          <w:rFonts w:ascii="Times New Roman" w:eastAsia="Times New Roman" w:hAnsi="Times New Roman" w:cs="Times New Roman"/>
          <w:sz w:val="24"/>
          <w:szCs w:val="24"/>
        </w:rPr>
        <w:t>,</w:t>
      </w:r>
      <w:r w:rsidRPr="00BB2872">
        <w:rPr>
          <w:rFonts w:ascii="Times New Roman" w:eastAsia="Times New Roman" w:hAnsi="Times New Roman" w:cs="Times New Roman"/>
          <w:sz w:val="24"/>
          <w:szCs w:val="24"/>
        </w:rPr>
        <w:t xml:space="preserve"> open economy with </w:t>
      </w:r>
      <w:r w:rsidR="00365A79" w:rsidRPr="00BB2872">
        <w:rPr>
          <w:rFonts w:ascii="Times New Roman" w:eastAsia="Times New Roman" w:hAnsi="Times New Roman" w:cs="Times New Roman"/>
          <w:sz w:val="24"/>
          <w:szCs w:val="24"/>
        </w:rPr>
        <w:t>an</w:t>
      </w:r>
      <w:r w:rsidRPr="00BB2872">
        <w:rPr>
          <w:rFonts w:ascii="Times New Roman" w:eastAsia="Times New Roman" w:hAnsi="Times New Roman" w:cs="Times New Roman"/>
          <w:sz w:val="24"/>
          <w:szCs w:val="24"/>
        </w:rPr>
        <w:t xml:space="preserve"> independent monetary policy and a commitment </w:t>
      </w:r>
      <w:r w:rsidR="00365A79" w:rsidRPr="00BB2872">
        <w:rPr>
          <w:rFonts w:ascii="Times New Roman" w:eastAsia="Times New Roman" w:hAnsi="Times New Roman" w:cs="Times New Roman"/>
          <w:sz w:val="24"/>
          <w:szCs w:val="24"/>
        </w:rPr>
        <w:t>to</w:t>
      </w:r>
      <w:r w:rsidRPr="00BB2872">
        <w:rPr>
          <w:rFonts w:ascii="Times New Roman" w:eastAsia="Times New Roman" w:hAnsi="Times New Roman" w:cs="Times New Roman"/>
          <w:sz w:val="24"/>
          <w:szCs w:val="24"/>
        </w:rPr>
        <w:t xml:space="preserve"> adopt the euro currency </w:t>
      </w:r>
      <w:r w:rsidR="00365A79" w:rsidRPr="00BB2872">
        <w:rPr>
          <w:rFonts w:ascii="Times New Roman" w:eastAsia="Times New Roman" w:hAnsi="Times New Roman" w:cs="Times New Roman"/>
          <w:sz w:val="24"/>
          <w:szCs w:val="24"/>
        </w:rPr>
        <w:t xml:space="preserve">at </w:t>
      </w:r>
      <w:r w:rsidRPr="00BB2872">
        <w:rPr>
          <w:rFonts w:ascii="Times New Roman" w:eastAsia="Times New Roman" w:hAnsi="Times New Roman" w:cs="Times New Roman"/>
          <w:sz w:val="24"/>
          <w:szCs w:val="24"/>
        </w:rPr>
        <w:t xml:space="preserve">some </w:t>
      </w:r>
      <w:r w:rsidR="00365A79" w:rsidRPr="00BB2872">
        <w:rPr>
          <w:rFonts w:ascii="Times New Roman" w:eastAsia="Times New Roman" w:hAnsi="Times New Roman" w:cs="Times New Roman"/>
          <w:sz w:val="24"/>
          <w:szCs w:val="24"/>
        </w:rPr>
        <w:t xml:space="preserve">point </w:t>
      </w:r>
      <w:r w:rsidRPr="00BB2872">
        <w:rPr>
          <w:rFonts w:ascii="Times New Roman" w:eastAsia="Times New Roman" w:hAnsi="Times New Roman" w:cs="Times New Roman"/>
          <w:sz w:val="24"/>
          <w:szCs w:val="24"/>
        </w:rPr>
        <w:t xml:space="preserve">in </w:t>
      </w:r>
      <w:r w:rsidR="00365A79" w:rsidRPr="00BB2872">
        <w:rPr>
          <w:rFonts w:ascii="Times New Roman" w:eastAsia="Times New Roman" w:hAnsi="Times New Roman" w:cs="Times New Roman"/>
          <w:sz w:val="24"/>
          <w:szCs w:val="24"/>
        </w:rPr>
        <w:t xml:space="preserve">the </w:t>
      </w:r>
      <w:r w:rsidRPr="00BB2872">
        <w:rPr>
          <w:rFonts w:ascii="Times New Roman" w:eastAsia="Times New Roman" w:hAnsi="Times New Roman" w:cs="Times New Roman"/>
          <w:sz w:val="24"/>
          <w:szCs w:val="24"/>
        </w:rPr>
        <w:t xml:space="preserve">future. </w:t>
      </w:r>
    </w:p>
    <w:p w14:paraId="00000008" w14:textId="03E1B570" w:rsidR="00345220" w:rsidRPr="00BB2872" w:rsidRDefault="00D45E73">
      <w:pPr>
        <w:spacing w:after="0" w:line="480" w:lineRule="auto"/>
        <w:ind w:firstLine="720"/>
        <w:rPr>
          <w:rFonts w:ascii="Times New Roman" w:eastAsia="Times New Roman" w:hAnsi="Times New Roman" w:cs="Times New Roman"/>
          <w:sz w:val="24"/>
          <w:szCs w:val="24"/>
        </w:rPr>
      </w:pPr>
      <w:r w:rsidRPr="00BB2872">
        <w:rPr>
          <w:rFonts w:ascii="Times New Roman" w:eastAsia="Times New Roman" w:hAnsi="Times New Roman" w:cs="Times New Roman"/>
          <w:sz w:val="24"/>
          <w:szCs w:val="24"/>
        </w:rPr>
        <w:t xml:space="preserve">The paper contributes to </w:t>
      </w:r>
      <w:r w:rsidR="00096617" w:rsidRPr="00BB2872">
        <w:rPr>
          <w:rFonts w:ascii="Times New Roman" w:eastAsia="Times New Roman" w:hAnsi="Times New Roman" w:cs="Times New Roman"/>
          <w:sz w:val="24"/>
          <w:szCs w:val="24"/>
        </w:rPr>
        <w:t xml:space="preserve">the </w:t>
      </w:r>
      <w:r w:rsidRPr="00BB2872">
        <w:rPr>
          <w:rFonts w:ascii="Times New Roman" w:eastAsia="Times New Roman" w:hAnsi="Times New Roman" w:cs="Times New Roman"/>
          <w:sz w:val="24"/>
          <w:szCs w:val="24"/>
        </w:rPr>
        <w:t xml:space="preserve">existing </w:t>
      </w:r>
      <w:r w:rsidR="00096617" w:rsidRPr="00BB2872">
        <w:rPr>
          <w:rFonts w:ascii="Times New Roman" w:eastAsia="Times New Roman" w:hAnsi="Times New Roman" w:cs="Times New Roman"/>
          <w:sz w:val="24"/>
          <w:szCs w:val="24"/>
        </w:rPr>
        <w:t>body of knowledge</w:t>
      </w:r>
      <w:r w:rsidRPr="00BB2872">
        <w:rPr>
          <w:rFonts w:ascii="Times New Roman" w:eastAsia="Times New Roman" w:hAnsi="Times New Roman" w:cs="Times New Roman"/>
          <w:sz w:val="24"/>
          <w:szCs w:val="24"/>
        </w:rPr>
        <w:t xml:space="preserve"> in several ways</w:t>
      </w:r>
      <w:r w:rsidR="00096617" w:rsidRPr="00BB2872">
        <w:rPr>
          <w:rFonts w:ascii="Times New Roman" w:eastAsia="Times New Roman" w:hAnsi="Times New Roman" w:cs="Times New Roman"/>
          <w:sz w:val="24"/>
          <w:szCs w:val="24"/>
        </w:rPr>
        <w:t>, as explained below</w:t>
      </w:r>
      <w:r w:rsidRPr="00BB2872">
        <w:rPr>
          <w:rFonts w:ascii="Times New Roman" w:eastAsia="Times New Roman" w:hAnsi="Times New Roman" w:cs="Times New Roman"/>
          <w:sz w:val="24"/>
          <w:szCs w:val="24"/>
        </w:rPr>
        <w:t xml:space="preserve">. </w:t>
      </w:r>
      <w:r w:rsidR="00096617" w:rsidRPr="00BB2872">
        <w:rPr>
          <w:rFonts w:ascii="Times New Roman" w:eastAsia="Times New Roman" w:hAnsi="Times New Roman" w:cs="Times New Roman"/>
          <w:sz w:val="24"/>
          <w:szCs w:val="24"/>
        </w:rPr>
        <w:t>In general, a</w:t>
      </w:r>
      <w:r w:rsidRPr="00BB2872">
        <w:rPr>
          <w:rFonts w:ascii="Times New Roman" w:eastAsia="Times New Roman" w:hAnsi="Times New Roman" w:cs="Times New Roman"/>
          <w:sz w:val="24"/>
          <w:szCs w:val="24"/>
        </w:rPr>
        <w:t xml:space="preserve">ll </w:t>
      </w:r>
      <w:r w:rsidR="00096617" w:rsidRPr="00BB2872">
        <w:rPr>
          <w:rFonts w:ascii="Times New Roman" w:eastAsia="Times New Roman" w:hAnsi="Times New Roman" w:cs="Times New Roman"/>
          <w:sz w:val="24"/>
          <w:szCs w:val="24"/>
        </w:rPr>
        <w:t xml:space="preserve">such </w:t>
      </w:r>
      <w:r w:rsidRPr="00BB2872">
        <w:rPr>
          <w:rFonts w:ascii="Times New Roman" w:eastAsia="Times New Roman" w:hAnsi="Times New Roman" w:cs="Times New Roman"/>
          <w:sz w:val="24"/>
          <w:szCs w:val="24"/>
        </w:rPr>
        <w:t xml:space="preserve">contributions help </w:t>
      </w:r>
      <w:r w:rsidR="00096617" w:rsidRPr="00BB2872">
        <w:rPr>
          <w:rFonts w:ascii="Times New Roman" w:eastAsia="Times New Roman" w:hAnsi="Times New Roman" w:cs="Times New Roman"/>
          <w:sz w:val="24"/>
          <w:szCs w:val="24"/>
        </w:rPr>
        <w:t xml:space="preserve">in making it possible </w:t>
      </w:r>
      <w:r w:rsidRPr="00BB2872">
        <w:rPr>
          <w:rFonts w:ascii="Times New Roman" w:eastAsia="Times New Roman" w:hAnsi="Times New Roman" w:cs="Times New Roman"/>
          <w:sz w:val="24"/>
          <w:szCs w:val="24"/>
        </w:rPr>
        <w:t xml:space="preserve">to </w:t>
      </w:r>
      <w:r w:rsidR="00096617" w:rsidRPr="00BB2872">
        <w:rPr>
          <w:rFonts w:ascii="Times New Roman" w:eastAsia="Times New Roman" w:hAnsi="Times New Roman" w:cs="Times New Roman"/>
          <w:sz w:val="24"/>
          <w:szCs w:val="24"/>
        </w:rPr>
        <w:t xml:space="preserve">draw </w:t>
      </w:r>
      <w:r w:rsidRPr="00BB2872">
        <w:rPr>
          <w:rFonts w:ascii="Times New Roman" w:eastAsia="Times New Roman" w:hAnsi="Times New Roman" w:cs="Times New Roman"/>
          <w:sz w:val="24"/>
          <w:szCs w:val="24"/>
        </w:rPr>
        <w:t xml:space="preserve">more </w:t>
      </w:r>
      <w:r w:rsidR="00096617" w:rsidRPr="00BB2872">
        <w:rPr>
          <w:rFonts w:ascii="Times New Roman" w:eastAsia="Times New Roman" w:hAnsi="Times New Roman" w:cs="Times New Roman"/>
          <w:sz w:val="24"/>
          <w:szCs w:val="24"/>
        </w:rPr>
        <w:t xml:space="preserve">informed </w:t>
      </w:r>
      <w:r w:rsidRPr="00BB2872">
        <w:rPr>
          <w:rFonts w:ascii="Times New Roman" w:eastAsia="Times New Roman" w:hAnsi="Times New Roman" w:cs="Times New Roman"/>
          <w:sz w:val="24"/>
          <w:szCs w:val="24"/>
        </w:rPr>
        <w:t xml:space="preserve">conclusions and provide </w:t>
      </w:r>
      <w:r w:rsidR="00096617" w:rsidRPr="00BB2872">
        <w:rPr>
          <w:rFonts w:ascii="Times New Roman" w:eastAsia="Times New Roman" w:hAnsi="Times New Roman" w:cs="Times New Roman"/>
          <w:sz w:val="24"/>
          <w:szCs w:val="24"/>
        </w:rPr>
        <w:t xml:space="preserve">more relevant </w:t>
      </w:r>
      <w:r w:rsidRPr="00BB2872">
        <w:rPr>
          <w:rFonts w:ascii="Times New Roman" w:eastAsia="Times New Roman" w:hAnsi="Times New Roman" w:cs="Times New Roman"/>
          <w:sz w:val="24"/>
          <w:szCs w:val="24"/>
        </w:rPr>
        <w:t xml:space="preserve">information </w:t>
      </w:r>
      <w:r w:rsidR="00096617" w:rsidRPr="00BB2872">
        <w:rPr>
          <w:rFonts w:ascii="Times New Roman" w:eastAsia="Times New Roman" w:hAnsi="Times New Roman" w:cs="Times New Roman"/>
          <w:sz w:val="24"/>
          <w:szCs w:val="24"/>
        </w:rPr>
        <w:t>concerning</w:t>
      </w:r>
      <w:r w:rsidRPr="00BB2872">
        <w:rPr>
          <w:rFonts w:ascii="Times New Roman" w:eastAsia="Times New Roman" w:hAnsi="Times New Roman" w:cs="Times New Roman"/>
          <w:sz w:val="24"/>
          <w:szCs w:val="24"/>
        </w:rPr>
        <w:t xml:space="preserve"> </w:t>
      </w:r>
      <w:r w:rsidR="00096617" w:rsidRPr="00BB2872">
        <w:rPr>
          <w:rFonts w:ascii="Times New Roman" w:eastAsia="Times New Roman" w:hAnsi="Times New Roman" w:cs="Times New Roman"/>
          <w:sz w:val="24"/>
          <w:szCs w:val="24"/>
        </w:rPr>
        <w:t xml:space="preserve">the </w:t>
      </w:r>
      <w:r w:rsidRPr="00BB2872">
        <w:rPr>
          <w:rFonts w:ascii="Times New Roman" w:eastAsia="Times New Roman" w:hAnsi="Times New Roman" w:cs="Times New Roman"/>
          <w:sz w:val="24"/>
          <w:szCs w:val="24"/>
        </w:rPr>
        <w:t xml:space="preserve">behaviour of economic agents for economic </w:t>
      </w:r>
      <w:proofErr w:type="gramStart"/>
      <w:r w:rsidRPr="00BB2872">
        <w:rPr>
          <w:rFonts w:ascii="Times New Roman" w:eastAsia="Times New Roman" w:hAnsi="Times New Roman" w:cs="Times New Roman"/>
          <w:sz w:val="24"/>
          <w:szCs w:val="24"/>
        </w:rPr>
        <w:t>policy</w:t>
      </w:r>
      <w:r w:rsidR="00096617" w:rsidRPr="00BB2872">
        <w:rPr>
          <w:rFonts w:ascii="Times New Roman" w:eastAsia="Times New Roman" w:hAnsi="Times New Roman" w:cs="Times New Roman"/>
          <w:sz w:val="24"/>
          <w:szCs w:val="24"/>
        </w:rPr>
        <w:t>-</w:t>
      </w:r>
      <w:r w:rsidRPr="00BB2872">
        <w:rPr>
          <w:rFonts w:ascii="Times New Roman" w:eastAsia="Times New Roman" w:hAnsi="Times New Roman" w:cs="Times New Roman"/>
          <w:sz w:val="24"/>
          <w:szCs w:val="24"/>
        </w:rPr>
        <w:t>makers</w:t>
      </w:r>
      <w:proofErr w:type="gramEnd"/>
      <w:r w:rsidRPr="00BB2872">
        <w:rPr>
          <w:rFonts w:ascii="Times New Roman" w:eastAsia="Times New Roman" w:hAnsi="Times New Roman" w:cs="Times New Roman"/>
          <w:sz w:val="24"/>
          <w:szCs w:val="24"/>
        </w:rPr>
        <w:t xml:space="preserve"> and economists</w:t>
      </w:r>
      <w:r w:rsidR="00096617" w:rsidRPr="00BB2872">
        <w:rPr>
          <w:rFonts w:ascii="Times New Roman" w:eastAsia="Times New Roman" w:hAnsi="Times New Roman" w:cs="Times New Roman"/>
          <w:sz w:val="24"/>
          <w:szCs w:val="24"/>
        </w:rPr>
        <w:t>,</w:t>
      </w:r>
      <w:r w:rsidRPr="00BB2872">
        <w:rPr>
          <w:rFonts w:ascii="Times New Roman" w:eastAsia="Times New Roman" w:hAnsi="Times New Roman" w:cs="Times New Roman"/>
          <w:sz w:val="24"/>
          <w:szCs w:val="24"/>
        </w:rPr>
        <w:t xml:space="preserve"> benefit</w:t>
      </w:r>
      <w:r w:rsidR="00096617" w:rsidRPr="00BB2872">
        <w:rPr>
          <w:rFonts w:ascii="Times New Roman" w:eastAsia="Times New Roman" w:hAnsi="Times New Roman" w:cs="Times New Roman"/>
          <w:sz w:val="24"/>
          <w:szCs w:val="24"/>
        </w:rPr>
        <w:t>ting</w:t>
      </w:r>
      <w:r w:rsidRPr="00BB2872">
        <w:rPr>
          <w:rFonts w:ascii="Times New Roman" w:eastAsia="Times New Roman" w:hAnsi="Times New Roman" w:cs="Times New Roman"/>
          <w:sz w:val="24"/>
          <w:szCs w:val="24"/>
        </w:rPr>
        <w:t xml:space="preserve"> them in their decision-making processes.  </w:t>
      </w:r>
    </w:p>
    <w:p w14:paraId="00000009" w14:textId="41F42711" w:rsidR="00345220" w:rsidRPr="00BB2872" w:rsidRDefault="008E6B09">
      <w:pPr>
        <w:spacing w:after="0" w:line="480" w:lineRule="auto"/>
        <w:ind w:firstLine="720"/>
        <w:rPr>
          <w:rFonts w:ascii="Times New Roman" w:eastAsia="Times New Roman" w:hAnsi="Times New Roman" w:cs="Times New Roman"/>
          <w:sz w:val="24"/>
          <w:szCs w:val="24"/>
        </w:rPr>
      </w:pPr>
      <w:bookmarkStart w:id="0" w:name="_heading=h.gjdgxs" w:colFirst="0" w:colLast="0"/>
      <w:bookmarkEnd w:id="0"/>
      <w:r w:rsidRPr="00BB2872">
        <w:rPr>
          <w:rFonts w:ascii="Times New Roman" w:eastAsia="Times New Roman" w:hAnsi="Times New Roman" w:cs="Times New Roman"/>
          <w:sz w:val="24"/>
          <w:szCs w:val="24"/>
        </w:rPr>
        <w:t>F</w:t>
      </w:r>
      <w:r w:rsidR="00D45E73" w:rsidRPr="00BB2872">
        <w:rPr>
          <w:rFonts w:ascii="Times New Roman" w:eastAsia="Times New Roman" w:hAnsi="Times New Roman" w:cs="Times New Roman"/>
          <w:sz w:val="24"/>
          <w:szCs w:val="24"/>
        </w:rPr>
        <w:t xml:space="preserve">irst, </w:t>
      </w:r>
      <w:r w:rsidRPr="00BB2872">
        <w:rPr>
          <w:rFonts w:ascii="Times New Roman" w:eastAsia="Times New Roman" w:hAnsi="Times New Roman" w:cs="Times New Roman"/>
          <w:sz w:val="24"/>
          <w:szCs w:val="24"/>
        </w:rPr>
        <w:t xml:space="preserve">the </w:t>
      </w:r>
      <w:r w:rsidR="00D45E73" w:rsidRPr="00BB2872">
        <w:rPr>
          <w:rFonts w:ascii="Times New Roman" w:eastAsia="Times New Roman" w:hAnsi="Times New Roman" w:cs="Times New Roman"/>
          <w:sz w:val="24"/>
          <w:szCs w:val="24"/>
        </w:rPr>
        <w:t>interest</w:t>
      </w:r>
      <w:r w:rsidR="000256D5" w:rsidRPr="00BB2872">
        <w:rPr>
          <w:rFonts w:ascii="Times New Roman" w:eastAsia="Times New Roman" w:hAnsi="Times New Roman" w:cs="Times New Roman"/>
          <w:sz w:val="24"/>
          <w:szCs w:val="24"/>
        </w:rPr>
        <w:t xml:space="preserve"> </w:t>
      </w:r>
      <w:r w:rsidR="00D45E73" w:rsidRPr="00BB2872">
        <w:rPr>
          <w:rFonts w:ascii="Times New Roman" w:eastAsia="Times New Roman" w:hAnsi="Times New Roman" w:cs="Times New Roman"/>
          <w:sz w:val="24"/>
          <w:szCs w:val="24"/>
        </w:rPr>
        <w:t>rate pass-through is examined in a complex way</w:t>
      </w:r>
      <w:r w:rsidRPr="00BB2872">
        <w:rPr>
          <w:rFonts w:ascii="Times New Roman" w:eastAsia="Times New Roman" w:hAnsi="Times New Roman" w:cs="Times New Roman"/>
          <w:sz w:val="24"/>
          <w:szCs w:val="24"/>
        </w:rPr>
        <w:t>,</w:t>
      </w:r>
      <w:r w:rsidR="00D45E73" w:rsidRPr="00BB2872">
        <w:rPr>
          <w:rFonts w:ascii="Times New Roman" w:eastAsia="Times New Roman" w:hAnsi="Times New Roman" w:cs="Times New Roman"/>
          <w:sz w:val="24"/>
          <w:szCs w:val="24"/>
        </w:rPr>
        <w:t xml:space="preserve"> from its beginning</w:t>
      </w:r>
      <w:r w:rsidRPr="00BB2872">
        <w:rPr>
          <w:rFonts w:ascii="Times New Roman" w:eastAsia="Times New Roman" w:hAnsi="Times New Roman" w:cs="Times New Roman"/>
          <w:sz w:val="24"/>
          <w:szCs w:val="24"/>
        </w:rPr>
        <w:t>s,</w:t>
      </w:r>
      <w:r w:rsidR="00D45E73" w:rsidRPr="00BB2872">
        <w:rPr>
          <w:rFonts w:ascii="Times New Roman" w:eastAsia="Times New Roman" w:hAnsi="Times New Roman" w:cs="Times New Roman"/>
          <w:sz w:val="24"/>
          <w:szCs w:val="24"/>
        </w:rPr>
        <w:t xml:space="preserve"> starting with a change in the official policy rate to </w:t>
      </w:r>
      <w:r w:rsidRPr="00BB2872">
        <w:rPr>
          <w:rFonts w:ascii="Times New Roman" w:eastAsia="Times New Roman" w:hAnsi="Times New Roman" w:cs="Times New Roman"/>
          <w:sz w:val="24"/>
          <w:szCs w:val="24"/>
        </w:rPr>
        <w:t xml:space="preserve">the </w:t>
      </w:r>
      <w:r w:rsidR="00D45E73" w:rsidRPr="00BB2872">
        <w:rPr>
          <w:rFonts w:ascii="Times New Roman" w:eastAsia="Times New Roman" w:hAnsi="Times New Roman" w:cs="Times New Roman"/>
          <w:sz w:val="24"/>
          <w:szCs w:val="24"/>
        </w:rPr>
        <w:t xml:space="preserve">money market rate, and consequently from </w:t>
      </w:r>
      <w:r w:rsidRPr="00BB2872">
        <w:rPr>
          <w:rFonts w:ascii="Times New Roman" w:eastAsia="Times New Roman" w:hAnsi="Times New Roman" w:cs="Times New Roman"/>
          <w:sz w:val="24"/>
          <w:szCs w:val="24"/>
        </w:rPr>
        <w:t xml:space="preserve">the </w:t>
      </w:r>
      <w:r w:rsidR="00D45E73" w:rsidRPr="00BB2872">
        <w:rPr>
          <w:rFonts w:ascii="Times New Roman" w:eastAsia="Times New Roman" w:hAnsi="Times New Roman" w:cs="Times New Roman"/>
          <w:sz w:val="24"/>
          <w:szCs w:val="24"/>
        </w:rPr>
        <w:t>money market rate to specific commercial lending rates for both corporat</w:t>
      </w:r>
      <w:r w:rsidRPr="00BB2872">
        <w:rPr>
          <w:rFonts w:ascii="Times New Roman" w:eastAsia="Times New Roman" w:hAnsi="Times New Roman" w:cs="Times New Roman"/>
          <w:sz w:val="24"/>
          <w:szCs w:val="24"/>
        </w:rPr>
        <w:t>ions</w:t>
      </w:r>
      <w:r w:rsidR="00D45E73" w:rsidRPr="00BB2872">
        <w:rPr>
          <w:rFonts w:ascii="Times New Roman" w:eastAsia="Times New Roman" w:hAnsi="Times New Roman" w:cs="Times New Roman"/>
          <w:sz w:val="24"/>
          <w:szCs w:val="24"/>
        </w:rPr>
        <w:t xml:space="preserve"> and households. Horvath and </w:t>
      </w:r>
      <w:proofErr w:type="spellStart"/>
      <w:r w:rsidR="00D45E73" w:rsidRPr="00BB2872">
        <w:rPr>
          <w:rFonts w:ascii="Times New Roman" w:eastAsia="Times New Roman" w:hAnsi="Times New Roman" w:cs="Times New Roman"/>
          <w:sz w:val="24"/>
          <w:szCs w:val="24"/>
        </w:rPr>
        <w:t>Podpiera</w:t>
      </w:r>
      <w:proofErr w:type="spellEnd"/>
      <w:r w:rsidR="00D45E73" w:rsidRPr="00BB2872">
        <w:rPr>
          <w:rFonts w:ascii="Times New Roman" w:eastAsia="Times New Roman" w:hAnsi="Times New Roman" w:cs="Times New Roman"/>
          <w:sz w:val="24"/>
          <w:szCs w:val="24"/>
        </w:rPr>
        <w:t xml:space="preserve"> (2012), </w:t>
      </w:r>
      <w:proofErr w:type="spellStart"/>
      <w:r w:rsidR="00D45E73" w:rsidRPr="00BB2872">
        <w:rPr>
          <w:rFonts w:ascii="Times New Roman" w:eastAsia="Times New Roman" w:hAnsi="Times New Roman" w:cs="Times New Roman"/>
          <w:sz w:val="24"/>
          <w:szCs w:val="24"/>
        </w:rPr>
        <w:t>Havranek</w:t>
      </w:r>
      <w:proofErr w:type="spellEnd"/>
      <w:r w:rsidR="00D45E73" w:rsidRPr="00BB2872">
        <w:rPr>
          <w:rFonts w:ascii="Times New Roman" w:eastAsia="Times New Roman" w:hAnsi="Times New Roman" w:cs="Times New Roman"/>
          <w:sz w:val="24"/>
          <w:szCs w:val="24"/>
        </w:rPr>
        <w:t xml:space="preserve"> et al. (2016) </w:t>
      </w:r>
      <w:r w:rsidR="000F32CE" w:rsidRPr="00BB2872">
        <w:rPr>
          <w:rFonts w:ascii="Times New Roman" w:eastAsia="Times New Roman" w:hAnsi="Times New Roman" w:cs="Times New Roman"/>
          <w:sz w:val="24"/>
          <w:szCs w:val="24"/>
        </w:rPr>
        <w:t>and</w:t>
      </w:r>
      <w:r w:rsidR="00D45E73" w:rsidRPr="00BB2872">
        <w:rPr>
          <w:rFonts w:ascii="Times New Roman" w:eastAsia="Times New Roman" w:hAnsi="Times New Roman" w:cs="Times New Roman"/>
          <w:sz w:val="24"/>
          <w:szCs w:val="24"/>
        </w:rPr>
        <w:t xml:space="preserve"> Gregor and </w:t>
      </w:r>
      <w:proofErr w:type="spellStart"/>
      <w:r w:rsidR="00D45E73" w:rsidRPr="00BB2872">
        <w:rPr>
          <w:rFonts w:ascii="Times New Roman" w:eastAsia="Times New Roman" w:hAnsi="Times New Roman" w:cs="Times New Roman"/>
          <w:sz w:val="24"/>
          <w:szCs w:val="24"/>
        </w:rPr>
        <w:t>Melecky</w:t>
      </w:r>
      <w:proofErr w:type="spellEnd"/>
      <w:r w:rsidR="00D45E73" w:rsidRPr="00BB2872">
        <w:rPr>
          <w:rFonts w:ascii="Times New Roman" w:eastAsia="Times New Roman" w:hAnsi="Times New Roman" w:cs="Times New Roman"/>
          <w:sz w:val="24"/>
          <w:szCs w:val="24"/>
        </w:rPr>
        <w:t xml:space="preserve"> (2018) used </w:t>
      </w:r>
      <w:r w:rsidRPr="00BB2872">
        <w:rPr>
          <w:rFonts w:ascii="Times New Roman" w:eastAsia="Times New Roman" w:hAnsi="Times New Roman" w:cs="Times New Roman"/>
          <w:sz w:val="24"/>
          <w:szCs w:val="24"/>
        </w:rPr>
        <w:t xml:space="preserve">simplified methodologies </w:t>
      </w:r>
      <w:r w:rsidR="00D45E73" w:rsidRPr="00BB2872">
        <w:rPr>
          <w:rFonts w:ascii="Times New Roman" w:eastAsia="Times New Roman" w:hAnsi="Times New Roman" w:cs="Times New Roman"/>
          <w:sz w:val="24"/>
          <w:szCs w:val="24"/>
        </w:rPr>
        <w:t xml:space="preserve">and </w:t>
      </w:r>
      <w:r w:rsidRPr="00BB2872">
        <w:rPr>
          <w:rFonts w:ascii="Times New Roman" w:eastAsia="Times New Roman" w:hAnsi="Times New Roman" w:cs="Times New Roman"/>
          <w:sz w:val="24"/>
          <w:szCs w:val="24"/>
        </w:rPr>
        <w:t>did</w:t>
      </w:r>
      <w:r w:rsidR="00D45E73" w:rsidRPr="00BB2872">
        <w:rPr>
          <w:rFonts w:ascii="Times New Roman" w:eastAsia="Times New Roman" w:hAnsi="Times New Roman" w:cs="Times New Roman"/>
          <w:sz w:val="24"/>
          <w:szCs w:val="24"/>
        </w:rPr>
        <w:t xml:space="preserve"> not examine</w:t>
      </w:r>
      <w:r w:rsidRPr="00BB2872">
        <w:rPr>
          <w:rFonts w:ascii="Times New Roman" w:eastAsia="Times New Roman" w:hAnsi="Times New Roman" w:cs="Times New Roman"/>
          <w:sz w:val="24"/>
          <w:szCs w:val="24"/>
        </w:rPr>
        <w:t xml:space="preserve"> the pass-through</w:t>
      </w:r>
      <w:r w:rsidR="00D45E73" w:rsidRPr="00BB2872">
        <w:rPr>
          <w:rFonts w:ascii="Times New Roman" w:eastAsia="Times New Roman" w:hAnsi="Times New Roman" w:cs="Times New Roman"/>
          <w:sz w:val="24"/>
          <w:szCs w:val="24"/>
        </w:rPr>
        <w:t xml:space="preserve"> step by step. It </w:t>
      </w:r>
      <w:r w:rsidRPr="00BB2872">
        <w:rPr>
          <w:rFonts w:ascii="Times New Roman" w:eastAsia="Times New Roman" w:hAnsi="Times New Roman" w:cs="Times New Roman"/>
          <w:sz w:val="24"/>
          <w:szCs w:val="24"/>
        </w:rPr>
        <w:t xml:space="preserve">is </w:t>
      </w:r>
      <w:r w:rsidR="00D45E73" w:rsidRPr="00BB2872">
        <w:rPr>
          <w:rFonts w:ascii="Times New Roman" w:eastAsia="Times New Roman" w:hAnsi="Times New Roman" w:cs="Times New Roman"/>
          <w:sz w:val="24"/>
          <w:szCs w:val="24"/>
        </w:rPr>
        <w:t>help</w:t>
      </w:r>
      <w:r w:rsidRPr="00BB2872">
        <w:rPr>
          <w:rFonts w:ascii="Times New Roman" w:eastAsia="Times New Roman" w:hAnsi="Times New Roman" w:cs="Times New Roman"/>
          <w:sz w:val="24"/>
          <w:szCs w:val="24"/>
        </w:rPr>
        <w:t>ful</w:t>
      </w:r>
      <w:r w:rsidR="00D45E73" w:rsidRPr="00BB2872">
        <w:rPr>
          <w:rFonts w:ascii="Times New Roman" w:eastAsia="Times New Roman" w:hAnsi="Times New Roman" w:cs="Times New Roman"/>
          <w:sz w:val="24"/>
          <w:szCs w:val="24"/>
        </w:rPr>
        <w:t xml:space="preserve"> to analyse</w:t>
      </w:r>
      <w:r w:rsidRPr="00BB2872">
        <w:rPr>
          <w:rFonts w:ascii="Times New Roman" w:eastAsia="Times New Roman" w:hAnsi="Times New Roman" w:cs="Times New Roman"/>
          <w:sz w:val="24"/>
          <w:szCs w:val="24"/>
        </w:rPr>
        <w:t>,</w:t>
      </w:r>
      <w:r w:rsidR="00D45E73" w:rsidRPr="00BB2872">
        <w:rPr>
          <w:rFonts w:ascii="Times New Roman" w:eastAsia="Times New Roman" w:hAnsi="Times New Roman" w:cs="Times New Roman"/>
          <w:sz w:val="24"/>
          <w:szCs w:val="24"/>
        </w:rPr>
        <w:t xml:space="preserve"> </w:t>
      </w:r>
      <w:r w:rsidRPr="00BB2872">
        <w:rPr>
          <w:rFonts w:ascii="Times New Roman" w:eastAsia="Times New Roman" w:hAnsi="Times New Roman" w:cs="Times New Roman"/>
          <w:sz w:val="24"/>
          <w:szCs w:val="24"/>
        </w:rPr>
        <w:t xml:space="preserve">in </w:t>
      </w:r>
      <w:r w:rsidR="00D45E73" w:rsidRPr="00BB2872">
        <w:rPr>
          <w:rFonts w:ascii="Times New Roman" w:eastAsia="Times New Roman" w:hAnsi="Times New Roman" w:cs="Times New Roman"/>
          <w:sz w:val="24"/>
          <w:szCs w:val="24"/>
        </w:rPr>
        <w:t>more detail</w:t>
      </w:r>
      <w:r w:rsidRPr="00BB2872">
        <w:rPr>
          <w:rFonts w:ascii="Times New Roman" w:eastAsia="Times New Roman" w:hAnsi="Times New Roman" w:cs="Times New Roman"/>
          <w:sz w:val="24"/>
          <w:szCs w:val="24"/>
        </w:rPr>
        <w:t>,</w:t>
      </w:r>
      <w:r w:rsidR="00D45E73" w:rsidRPr="00BB2872">
        <w:rPr>
          <w:rFonts w:ascii="Times New Roman" w:eastAsia="Times New Roman" w:hAnsi="Times New Roman" w:cs="Times New Roman"/>
          <w:sz w:val="24"/>
          <w:szCs w:val="24"/>
        </w:rPr>
        <w:t xml:space="preserve"> the individual parts of </w:t>
      </w:r>
      <w:r w:rsidRPr="00BB2872">
        <w:rPr>
          <w:rFonts w:ascii="Times New Roman" w:eastAsia="Times New Roman" w:hAnsi="Times New Roman" w:cs="Times New Roman"/>
          <w:sz w:val="24"/>
          <w:szCs w:val="24"/>
        </w:rPr>
        <w:t xml:space="preserve">the </w:t>
      </w:r>
      <w:r w:rsidR="00D45E73" w:rsidRPr="00BB2872">
        <w:rPr>
          <w:rFonts w:ascii="Times New Roman" w:eastAsia="Times New Roman" w:hAnsi="Times New Roman" w:cs="Times New Roman"/>
          <w:sz w:val="24"/>
          <w:szCs w:val="24"/>
        </w:rPr>
        <w:t xml:space="preserve">transmission of changes in monetary policy. </w:t>
      </w:r>
    </w:p>
    <w:p w14:paraId="0000000A" w14:textId="36FC6D55" w:rsidR="00345220" w:rsidRPr="00BB2872" w:rsidRDefault="00D45E73">
      <w:pPr>
        <w:spacing w:after="0" w:line="480" w:lineRule="auto"/>
        <w:ind w:firstLine="720"/>
        <w:rPr>
          <w:rFonts w:ascii="Times New Roman" w:eastAsia="Times New Roman" w:hAnsi="Times New Roman" w:cs="Times New Roman"/>
          <w:sz w:val="24"/>
          <w:szCs w:val="24"/>
        </w:rPr>
      </w:pPr>
      <w:r w:rsidRPr="00BB2872">
        <w:rPr>
          <w:rFonts w:ascii="Times New Roman" w:eastAsia="Times New Roman" w:hAnsi="Times New Roman" w:cs="Times New Roman"/>
          <w:sz w:val="24"/>
          <w:szCs w:val="24"/>
        </w:rPr>
        <w:t xml:space="preserve">Second, since the </w:t>
      </w:r>
      <w:r w:rsidR="00803B72" w:rsidRPr="00BB2872">
        <w:rPr>
          <w:rFonts w:ascii="Times New Roman" w:eastAsia="Times New Roman" w:hAnsi="Times New Roman" w:cs="Times New Roman"/>
          <w:sz w:val="24"/>
          <w:szCs w:val="24"/>
        </w:rPr>
        <w:t>above-</w:t>
      </w:r>
      <w:r w:rsidRPr="00BB2872">
        <w:rPr>
          <w:rFonts w:ascii="Times New Roman" w:eastAsia="Times New Roman" w:hAnsi="Times New Roman" w:cs="Times New Roman"/>
          <w:sz w:val="24"/>
          <w:szCs w:val="24"/>
        </w:rPr>
        <w:t xml:space="preserve">mentioned </w:t>
      </w:r>
      <w:r w:rsidR="00803B72" w:rsidRPr="00BB2872">
        <w:rPr>
          <w:rFonts w:ascii="Times New Roman" w:eastAsia="Times New Roman" w:hAnsi="Times New Roman" w:cs="Times New Roman"/>
          <w:sz w:val="24"/>
          <w:szCs w:val="24"/>
        </w:rPr>
        <w:t xml:space="preserve">works </w:t>
      </w:r>
      <w:r w:rsidRPr="00BB2872">
        <w:rPr>
          <w:rFonts w:ascii="Times New Roman" w:eastAsia="Times New Roman" w:hAnsi="Times New Roman" w:cs="Times New Roman"/>
          <w:sz w:val="24"/>
          <w:szCs w:val="24"/>
        </w:rPr>
        <w:t>employed methods based on co-integration or error</w:t>
      </w:r>
      <w:r w:rsidR="00803B72" w:rsidRPr="00BB2872">
        <w:rPr>
          <w:rFonts w:ascii="Times New Roman" w:eastAsia="Times New Roman" w:hAnsi="Times New Roman" w:cs="Times New Roman"/>
          <w:sz w:val="24"/>
          <w:szCs w:val="24"/>
        </w:rPr>
        <w:t>-</w:t>
      </w:r>
      <w:r w:rsidRPr="00BB2872">
        <w:rPr>
          <w:rFonts w:ascii="Times New Roman" w:eastAsia="Times New Roman" w:hAnsi="Times New Roman" w:cs="Times New Roman"/>
          <w:sz w:val="24"/>
          <w:szCs w:val="24"/>
        </w:rPr>
        <w:t>correction framework</w:t>
      </w:r>
      <w:r w:rsidR="00803B72" w:rsidRPr="00BB2872">
        <w:rPr>
          <w:rFonts w:ascii="Times New Roman" w:eastAsia="Times New Roman" w:hAnsi="Times New Roman" w:cs="Times New Roman"/>
          <w:sz w:val="24"/>
          <w:szCs w:val="24"/>
        </w:rPr>
        <w:t>s,</w:t>
      </w:r>
      <w:r w:rsidRPr="00BB2872">
        <w:rPr>
          <w:rFonts w:ascii="Times New Roman" w:eastAsia="Times New Roman" w:hAnsi="Times New Roman" w:cs="Times New Roman"/>
          <w:sz w:val="24"/>
          <w:szCs w:val="24"/>
        </w:rPr>
        <w:t xml:space="preserve"> which suffer </w:t>
      </w:r>
      <w:r w:rsidR="00803B72" w:rsidRPr="00BB2872">
        <w:rPr>
          <w:rFonts w:ascii="Times New Roman" w:eastAsia="Times New Roman" w:hAnsi="Times New Roman" w:cs="Times New Roman"/>
          <w:sz w:val="24"/>
          <w:szCs w:val="24"/>
        </w:rPr>
        <w:t>from</w:t>
      </w:r>
      <w:r w:rsidRPr="00BB2872">
        <w:rPr>
          <w:rFonts w:ascii="Times New Roman" w:eastAsia="Times New Roman" w:hAnsi="Times New Roman" w:cs="Times New Roman"/>
          <w:sz w:val="24"/>
          <w:szCs w:val="24"/>
        </w:rPr>
        <w:t xml:space="preserve"> several drawbacks </w:t>
      </w:r>
      <w:r w:rsidR="000F32CE" w:rsidRPr="00BB2872">
        <w:rPr>
          <w:rFonts w:ascii="Times New Roman" w:eastAsia="Times New Roman" w:hAnsi="Times New Roman" w:cs="Times New Roman"/>
          <w:sz w:val="24"/>
          <w:szCs w:val="24"/>
        </w:rPr>
        <w:t>(</w:t>
      </w:r>
      <w:proofErr w:type="gramStart"/>
      <w:r w:rsidRPr="00BB2872">
        <w:rPr>
          <w:rFonts w:ascii="Times New Roman" w:eastAsia="Times New Roman" w:hAnsi="Times New Roman" w:cs="Times New Roman"/>
          <w:sz w:val="24"/>
          <w:szCs w:val="24"/>
        </w:rPr>
        <w:t>e.g.</w:t>
      </w:r>
      <w:proofErr w:type="gramEnd"/>
      <w:r w:rsidRPr="00BB2872">
        <w:rPr>
          <w:rFonts w:ascii="Times New Roman" w:eastAsia="Times New Roman" w:hAnsi="Times New Roman" w:cs="Times New Roman"/>
          <w:sz w:val="24"/>
          <w:szCs w:val="24"/>
        </w:rPr>
        <w:t xml:space="preserve"> see Hamilton</w:t>
      </w:r>
      <w:r w:rsidR="000F32CE" w:rsidRPr="00BB2872">
        <w:rPr>
          <w:rFonts w:ascii="Times New Roman" w:eastAsia="Times New Roman" w:hAnsi="Times New Roman" w:cs="Times New Roman"/>
          <w:sz w:val="24"/>
          <w:szCs w:val="24"/>
        </w:rPr>
        <w:t>,</w:t>
      </w:r>
      <w:r w:rsidRPr="00BB2872">
        <w:rPr>
          <w:rFonts w:ascii="Times New Roman" w:eastAsia="Times New Roman" w:hAnsi="Times New Roman" w:cs="Times New Roman"/>
          <w:sz w:val="24"/>
          <w:szCs w:val="24"/>
        </w:rPr>
        <w:t xml:space="preserve"> 1994</w:t>
      </w:r>
      <w:r w:rsidR="000F32CE" w:rsidRPr="00BB2872">
        <w:rPr>
          <w:rFonts w:ascii="Times New Roman" w:eastAsia="Times New Roman" w:hAnsi="Times New Roman" w:cs="Times New Roman"/>
          <w:sz w:val="24"/>
          <w:szCs w:val="24"/>
        </w:rPr>
        <w:t>;</w:t>
      </w:r>
      <w:r w:rsidRPr="00BB2872">
        <w:rPr>
          <w:rFonts w:ascii="Times New Roman" w:eastAsia="Times New Roman" w:hAnsi="Times New Roman" w:cs="Times New Roman"/>
          <w:sz w:val="24"/>
          <w:szCs w:val="24"/>
        </w:rPr>
        <w:t xml:space="preserve"> Dahlhaus et al.</w:t>
      </w:r>
      <w:r w:rsidR="000F32CE" w:rsidRPr="00BB2872">
        <w:rPr>
          <w:rFonts w:ascii="Times New Roman" w:eastAsia="Times New Roman" w:hAnsi="Times New Roman" w:cs="Times New Roman"/>
          <w:sz w:val="24"/>
          <w:szCs w:val="24"/>
        </w:rPr>
        <w:t>,</w:t>
      </w:r>
      <w:r w:rsidRPr="00BB2872">
        <w:rPr>
          <w:rFonts w:ascii="Times New Roman" w:eastAsia="Times New Roman" w:hAnsi="Times New Roman" w:cs="Times New Roman"/>
          <w:sz w:val="24"/>
          <w:szCs w:val="24"/>
        </w:rPr>
        <w:t xml:space="preserve"> 2018), we employ</w:t>
      </w:r>
      <w:r w:rsidR="00803B72" w:rsidRPr="00BB2872">
        <w:rPr>
          <w:rFonts w:ascii="Times New Roman" w:eastAsia="Times New Roman" w:hAnsi="Times New Roman" w:cs="Times New Roman"/>
          <w:sz w:val="24"/>
          <w:szCs w:val="24"/>
        </w:rPr>
        <w:t>ed</w:t>
      </w:r>
      <w:r w:rsidRPr="00BB2872">
        <w:rPr>
          <w:rFonts w:ascii="Times New Roman" w:eastAsia="Times New Roman" w:hAnsi="Times New Roman" w:cs="Times New Roman"/>
          <w:sz w:val="24"/>
          <w:szCs w:val="24"/>
        </w:rPr>
        <w:t xml:space="preserve"> structural vector autoregressive (SVAR) models with imposed short-run restrictions. These models have been used recently for observing the effects of monetary policy </w:t>
      </w:r>
      <w:r w:rsidR="00B56951" w:rsidRPr="00BB2872">
        <w:rPr>
          <w:rFonts w:ascii="Times New Roman" w:eastAsia="Times New Roman" w:hAnsi="Times New Roman" w:cs="Times New Roman"/>
          <w:sz w:val="24"/>
          <w:szCs w:val="24"/>
        </w:rPr>
        <w:t>(</w:t>
      </w:r>
      <w:proofErr w:type="gramStart"/>
      <w:r w:rsidRPr="00BB2872">
        <w:rPr>
          <w:rFonts w:ascii="Times New Roman" w:eastAsia="Times New Roman" w:hAnsi="Times New Roman" w:cs="Times New Roman"/>
          <w:sz w:val="24"/>
          <w:szCs w:val="24"/>
        </w:rPr>
        <w:t>e.g.</w:t>
      </w:r>
      <w:proofErr w:type="gramEnd"/>
      <w:r w:rsidRPr="00BB2872">
        <w:rPr>
          <w:rFonts w:ascii="Times New Roman" w:eastAsia="Times New Roman" w:hAnsi="Times New Roman" w:cs="Times New Roman"/>
          <w:sz w:val="24"/>
          <w:szCs w:val="24"/>
        </w:rPr>
        <w:t xml:space="preserve"> see </w:t>
      </w:r>
      <w:proofErr w:type="spellStart"/>
      <w:r w:rsidRPr="00BB2872">
        <w:rPr>
          <w:rFonts w:ascii="Times New Roman" w:eastAsia="Times New Roman" w:hAnsi="Times New Roman" w:cs="Times New Roman"/>
          <w:sz w:val="24"/>
          <w:szCs w:val="24"/>
        </w:rPr>
        <w:t>Schenkelberg</w:t>
      </w:r>
      <w:proofErr w:type="spellEnd"/>
      <w:r w:rsidRPr="00BB2872">
        <w:rPr>
          <w:rFonts w:ascii="Times New Roman" w:eastAsia="Times New Roman" w:hAnsi="Times New Roman" w:cs="Times New Roman"/>
          <w:sz w:val="24"/>
          <w:szCs w:val="24"/>
        </w:rPr>
        <w:t xml:space="preserve"> and </w:t>
      </w:r>
      <w:proofErr w:type="spellStart"/>
      <w:r w:rsidRPr="00BB2872">
        <w:rPr>
          <w:rFonts w:ascii="Times New Roman" w:eastAsia="Times New Roman" w:hAnsi="Times New Roman" w:cs="Times New Roman"/>
          <w:sz w:val="24"/>
          <w:szCs w:val="24"/>
        </w:rPr>
        <w:t>Watzka</w:t>
      </w:r>
      <w:proofErr w:type="spellEnd"/>
      <w:r w:rsidR="00B56951" w:rsidRPr="00BB2872">
        <w:rPr>
          <w:rFonts w:ascii="Times New Roman" w:eastAsia="Times New Roman" w:hAnsi="Times New Roman" w:cs="Times New Roman"/>
          <w:sz w:val="24"/>
          <w:szCs w:val="24"/>
        </w:rPr>
        <w:t>,</w:t>
      </w:r>
      <w:r w:rsidRPr="00BB2872">
        <w:rPr>
          <w:rFonts w:ascii="Times New Roman" w:eastAsia="Times New Roman" w:hAnsi="Times New Roman" w:cs="Times New Roman"/>
          <w:sz w:val="24"/>
          <w:szCs w:val="24"/>
        </w:rPr>
        <w:t xml:space="preserve"> 2013</w:t>
      </w:r>
      <w:r w:rsidR="00B56951" w:rsidRPr="00BB2872">
        <w:rPr>
          <w:rFonts w:ascii="Times New Roman" w:eastAsia="Times New Roman" w:hAnsi="Times New Roman" w:cs="Times New Roman"/>
          <w:sz w:val="24"/>
          <w:szCs w:val="24"/>
        </w:rPr>
        <w:t>;</w:t>
      </w:r>
      <w:r w:rsidRPr="00BB2872">
        <w:rPr>
          <w:rFonts w:ascii="Times New Roman" w:eastAsia="Times New Roman" w:hAnsi="Times New Roman" w:cs="Times New Roman"/>
          <w:sz w:val="24"/>
          <w:szCs w:val="24"/>
        </w:rPr>
        <w:t xml:space="preserve"> Can et al.</w:t>
      </w:r>
      <w:r w:rsidR="00B56951" w:rsidRPr="00BB2872">
        <w:rPr>
          <w:rFonts w:ascii="Times New Roman" w:eastAsia="Times New Roman" w:hAnsi="Times New Roman" w:cs="Times New Roman"/>
          <w:sz w:val="24"/>
          <w:szCs w:val="24"/>
        </w:rPr>
        <w:t>,</w:t>
      </w:r>
      <w:r w:rsidRPr="00BB2872">
        <w:rPr>
          <w:rFonts w:ascii="Times New Roman" w:eastAsia="Times New Roman" w:hAnsi="Times New Roman" w:cs="Times New Roman"/>
          <w:sz w:val="24"/>
          <w:szCs w:val="24"/>
        </w:rPr>
        <w:t xml:space="preserve"> 2020</w:t>
      </w:r>
      <w:r w:rsidR="00B56951" w:rsidRPr="00BB2872">
        <w:rPr>
          <w:rFonts w:ascii="Times New Roman" w:eastAsia="Times New Roman" w:hAnsi="Times New Roman" w:cs="Times New Roman"/>
          <w:sz w:val="24"/>
          <w:szCs w:val="24"/>
        </w:rPr>
        <w:t xml:space="preserve">; </w:t>
      </w:r>
      <w:proofErr w:type="spellStart"/>
      <w:r w:rsidRPr="00BB2872">
        <w:rPr>
          <w:rFonts w:ascii="Times New Roman" w:eastAsia="Times New Roman" w:hAnsi="Times New Roman" w:cs="Times New Roman"/>
          <w:sz w:val="24"/>
          <w:szCs w:val="24"/>
        </w:rPr>
        <w:t>Zabala</w:t>
      </w:r>
      <w:proofErr w:type="spellEnd"/>
      <w:r w:rsidRPr="00BB2872">
        <w:rPr>
          <w:rFonts w:ascii="Times New Roman" w:eastAsia="Times New Roman" w:hAnsi="Times New Roman" w:cs="Times New Roman"/>
          <w:sz w:val="24"/>
          <w:szCs w:val="24"/>
        </w:rPr>
        <w:t xml:space="preserve"> and Prats</w:t>
      </w:r>
      <w:r w:rsidR="00B56951" w:rsidRPr="00BB2872">
        <w:rPr>
          <w:rFonts w:ascii="Times New Roman" w:eastAsia="Times New Roman" w:hAnsi="Times New Roman" w:cs="Times New Roman"/>
          <w:sz w:val="24"/>
          <w:szCs w:val="24"/>
        </w:rPr>
        <w:t>,</w:t>
      </w:r>
      <w:r w:rsidRPr="00BB2872">
        <w:rPr>
          <w:rFonts w:ascii="Times New Roman" w:eastAsia="Times New Roman" w:hAnsi="Times New Roman" w:cs="Times New Roman"/>
          <w:sz w:val="24"/>
          <w:szCs w:val="24"/>
        </w:rPr>
        <w:t xml:space="preserve"> 2020) </w:t>
      </w:r>
      <w:r w:rsidR="00803B72" w:rsidRPr="00BB2872">
        <w:rPr>
          <w:rFonts w:ascii="Times New Roman" w:eastAsia="Times New Roman" w:hAnsi="Times New Roman" w:cs="Times New Roman"/>
          <w:sz w:val="24"/>
          <w:szCs w:val="24"/>
        </w:rPr>
        <w:t>because</w:t>
      </w:r>
      <w:r w:rsidRPr="00BB2872">
        <w:rPr>
          <w:rFonts w:ascii="Times New Roman" w:eastAsia="Times New Roman" w:hAnsi="Times New Roman" w:cs="Times New Roman"/>
          <w:sz w:val="24"/>
          <w:szCs w:val="24"/>
        </w:rPr>
        <w:t xml:space="preserve"> they allow us to observe the economy as a whole system with identified relations and restrictions. Short-run restrictions </w:t>
      </w:r>
      <w:r w:rsidR="00803B72" w:rsidRPr="00BB2872">
        <w:rPr>
          <w:rFonts w:ascii="Times New Roman" w:eastAsia="Times New Roman" w:hAnsi="Times New Roman" w:cs="Times New Roman"/>
          <w:sz w:val="24"/>
          <w:szCs w:val="24"/>
        </w:rPr>
        <w:t>we</w:t>
      </w:r>
      <w:r w:rsidRPr="00BB2872">
        <w:rPr>
          <w:rFonts w:ascii="Times New Roman" w:eastAsia="Times New Roman" w:hAnsi="Times New Roman" w:cs="Times New Roman"/>
          <w:sz w:val="24"/>
          <w:szCs w:val="24"/>
        </w:rPr>
        <w:t xml:space="preserve">re imposed </w:t>
      </w:r>
      <w:r w:rsidR="00803B72" w:rsidRPr="00BB2872">
        <w:rPr>
          <w:rFonts w:ascii="Times New Roman" w:eastAsia="Times New Roman" w:hAnsi="Times New Roman" w:cs="Times New Roman"/>
          <w:sz w:val="24"/>
          <w:szCs w:val="24"/>
        </w:rPr>
        <w:t xml:space="preserve">because </w:t>
      </w:r>
      <w:r w:rsidRPr="00BB2872">
        <w:rPr>
          <w:rFonts w:ascii="Times New Roman" w:eastAsia="Times New Roman" w:hAnsi="Times New Roman" w:cs="Times New Roman"/>
          <w:sz w:val="24"/>
          <w:szCs w:val="24"/>
        </w:rPr>
        <w:t>we focus</w:t>
      </w:r>
      <w:r w:rsidR="00803B72" w:rsidRPr="00BB2872">
        <w:rPr>
          <w:rFonts w:ascii="Times New Roman" w:eastAsia="Times New Roman" w:hAnsi="Times New Roman" w:cs="Times New Roman"/>
          <w:sz w:val="24"/>
          <w:szCs w:val="24"/>
        </w:rPr>
        <w:t>ed</w:t>
      </w:r>
      <w:r w:rsidRPr="00BB2872">
        <w:rPr>
          <w:rFonts w:ascii="Times New Roman" w:eastAsia="Times New Roman" w:hAnsi="Times New Roman" w:cs="Times New Roman"/>
          <w:sz w:val="24"/>
          <w:szCs w:val="24"/>
        </w:rPr>
        <w:t xml:space="preserve"> </w:t>
      </w:r>
      <w:r w:rsidRPr="00BB2872">
        <w:rPr>
          <w:rFonts w:ascii="Times New Roman" w:eastAsia="Times New Roman" w:hAnsi="Times New Roman" w:cs="Times New Roman"/>
          <w:sz w:val="24"/>
          <w:szCs w:val="24"/>
        </w:rPr>
        <w:lastRenderedPageBreak/>
        <w:t>on the short-run transmission of interest rates. Killian (2011) consider</w:t>
      </w:r>
      <w:r w:rsidR="00803B72" w:rsidRPr="00BB2872">
        <w:rPr>
          <w:rFonts w:ascii="Times New Roman" w:eastAsia="Times New Roman" w:hAnsi="Times New Roman" w:cs="Times New Roman"/>
          <w:sz w:val="24"/>
          <w:szCs w:val="24"/>
        </w:rPr>
        <w:t>ed</w:t>
      </w:r>
      <w:r w:rsidRPr="00BB2872">
        <w:rPr>
          <w:rFonts w:ascii="Times New Roman" w:eastAsia="Times New Roman" w:hAnsi="Times New Roman" w:cs="Times New Roman"/>
          <w:sz w:val="24"/>
          <w:szCs w:val="24"/>
        </w:rPr>
        <w:t xml:space="preserve"> the SVAR model to be the workhorse of empirical research in the fields of finance and macroeconomics. </w:t>
      </w:r>
    </w:p>
    <w:p w14:paraId="0000000B" w14:textId="67FD7FDE" w:rsidR="00345220" w:rsidRPr="00BB2872" w:rsidRDefault="00D45E73">
      <w:pPr>
        <w:spacing w:after="0" w:line="480" w:lineRule="auto"/>
        <w:ind w:firstLine="720"/>
        <w:rPr>
          <w:rFonts w:ascii="Times New Roman" w:eastAsia="Times New Roman" w:hAnsi="Times New Roman" w:cs="Times New Roman"/>
          <w:sz w:val="24"/>
          <w:szCs w:val="24"/>
        </w:rPr>
      </w:pPr>
      <w:r w:rsidRPr="00BB2872">
        <w:rPr>
          <w:rFonts w:ascii="Times New Roman" w:eastAsia="Times New Roman" w:hAnsi="Times New Roman" w:cs="Times New Roman"/>
          <w:sz w:val="24"/>
          <w:szCs w:val="24"/>
        </w:rPr>
        <w:t xml:space="preserve">Third, reactions to shocks </w:t>
      </w:r>
      <w:r w:rsidR="00271A45" w:rsidRPr="00BB2872">
        <w:rPr>
          <w:rFonts w:ascii="Times New Roman" w:eastAsia="Times New Roman" w:hAnsi="Times New Roman" w:cs="Times New Roman"/>
          <w:sz w:val="24"/>
          <w:szCs w:val="24"/>
        </w:rPr>
        <w:t xml:space="preserve">can be </w:t>
      </w:r>
      <w:r w:rsidRPr="00BB2872">
        <w:rPr>
          <w:rFonts w:ascii="Times New Roman" w:eastAsia="Times New Roman" w:hAnsi="Times New Roman" w:cs="Times New Roman"/>
          <w:sz w:val="24"/>
          <w:szCs w:val="24"/>
        </w:rPr>
        <w:t>observed during different monetary policy settings</w:t>
      </w:r>
      <w:r w:rsidR="00271A45" w:rsidRPr="00BB2872">
        <w:rPr>
          <w:rFonts w:ascii="Times New Roman" w:eastAsia="Times New Roman" w:hAnsi="Times New Roman" w:cs="Times New Roman"/>
          <w:sz w:val="24"/>
          <w:szCs w:val="24"/>
        </w:rPr>
        <w:t>,</w:t>
      </w:r>
      <w:r w:rsidRPr="00BB2872">
        <w:rPr>
          <w:rFonts w:ascii="Times New Roman" w:eastAsia="Times New Roman" w:hAnsi="Times New Roman" w:cs="Times New Roman"/>
          <w:sz w:val="24"/>
          <w:szCs w:val="24"/>
        </w:rPr>
        <w:t xml:space="preserve"> which helps us to demonstrate </w:t>
      </w:r>
      <w:r w:rsidR="00271A45" w:rsidRPr="00BB2872">
        <w:rPr>
          <w:rFonts w:ascii="Times New Roman" w:eastAsia="Times New Roman" w:hAnsi="Times New Roman" w:cs="Times New Roman"/>
          <w:sz w:val="24"/>
          <w:szCs w:val="24"/>
        </w:rPr>
        <w:t xml:space="preserve">how such </w:t>
      </w:r>
      <w:r w:rsidRPr="00BB2872">
        <w:rPr>
          <w:rFonts w:ascii="Times New Roman" w:eastAsia="Times New Roman" w:hAnsi="Times New Roman" w:cs="Times New Roman"/>
          <w:sz w:val="24"/>
          <w:szCs w:val="24"/>
        </w:rPr>
        <w:t>period</w:t>
      </w:r>
      <w:r w:rsidR="00271A45" w:rsidRPr="00BB2872">
        <w:rPr>
          <w:rFonts w:ascii="Times New Roman" w:eastAsia="Times New Roman" w:hAnsi="Times New Roman" w:cs="Times New Roman"/>
          <w:sz w:val="24"/>
          <w:szCs w:val="24"/>
        </w:rPr>
        <w:t>s</w:t>
      </w:r>
      <w:r w:rsidRPr="00BB2872">
        <w:rPr>
          <w:rFonts w:ascii="Times New Roman" w:eastAsia="Times New Roman" w:hAnsi="Times New Roman" w:cs="Times New Roman"/>
          <w:sz w:val="24"/>
          <w:szCs w:val="24"/>
        </w:rPr>
        <w:t xml:space="preserve"> matter </w:t>
      </w:r>
      <w:r w:rsidR="00271A45" w:rsidRPr="00BB2872">
        <w:rPr>
          <w:rFonts w:ascii="Times New Roman" w:eastAsia="Times New Roman" w:hAnsi="Times New Roman" w:cs="Times New Roman"/>
          <w:sz w:val="24"/>
          <w:szCs w:val="24"/>
        </w:rPr>
        <w:t>in terms of</w:t>
      </w:r>
      <w:r w:rsidRPr="00BB2872">
        <w:rPr>
          <w:rFonts w:ascii="Times New Roman" w:eastAsia="Times New Roman" w:hAnsi="Times New Roman" w:cs="Times New Roman"/>
          <w:sz w:val="24"/>
          <w:szCs w:val="24"/>
        </w:rPr>
        <w:t xml:space="preserve"> policy evaluation</w:t>
      </w:r>
      <w:r w:rsidR="00271A45" w:rsidRPr="00BB2872">
        <w:rPr>
          <w:rFonts w:ascii="Times New Roman" w:eastAsia="Times New Roman" w:hAnsi="Times New Roman" w:cs="Times New Roman"/>
          <w:sz w:val="24"/>
          <w:szCs w:val="24"/>
        </w:rPr>
        <w:t>,</w:t>
      </w:r>
      <w:r w:rsidRPr="00BB2872">
        <w:rPr>
          <w:rFonts w:ascii="Times New Roman" w:eastAsia="Times New Roman" w:hAnsi="Times New Roman" w:cs="Times New Roman"/>
          <w:sz w:val="24"/>
          <w:szCs w:val="24"/>
        </w:rPr>
        <w:t xml:space="preserve"> as considered</w:t>
      </w:r>
      <w:r w:rsidR="00B56951" w:rsidRPr="00BB2872">
        <w:rPr>
          <w:rFonts w:ascii="Times New Roman" w:eastAsia="Times New Roman" w:hAnsi="Times New Roman" w:cs="Times New Roman"/>
          <w:sz w:val="24"/>
          <w:szCs w:val="24"/>
        </w:rPr>
        <w:t>, for example,</w:t>
      </w:r>
      <w:r w:rsidRPr="00BB2872">
        <w:rPr>
          <w:rFonts w:ascii="Times New Roman" w:eastAsia="Times New Roman" w:hAnsi="Times New Roman" w:cs="Times New Roman"/>
          <w:sz w:val="24"/>
          <w:szCs w:val="24"/>
        </w:rPr>
        <w:t xml:space="preserve"> </w:t>
      </w:r>
      <w:r w:rsidR="00271A45" w:rsidRPr="00BB2872">
        <w:rPr>
          <w:rFonts w:ascii="Times New Roman" w:eastAsia="Times New Roman" w:hAnsi="Times New Roman" w:cs="Times New Roman"/>
          <w:sz w:val="24"/>
          <w:szCs w:val="24"/>
        </w:rPr>
        <w:t>by</w:t>
      </w:r>
      <w:r w:rsidRPr="00BB2872">
        <w:rPr>
          <w:rFonts w:ascii="Times New Roman" w:eastAsia="Times New Roman" w:hAnsi="Times New Roman" w:cs="Times New Roman"/>
          <w:sz w:val="24"/>
          <w:szCs w:val="24"/>
        </w:rPr>
        <w:t xml:space="preserve"> </w:t>
      </w:r>
      <w:proofErr w:type="spellStart"/>
      <w:r w:rsidRPr="00BB2872">
        <w:rPr>
          <w:rFonts w:ascii="Times New Roman" w:eastAsia="Times New Roman" w:hAnsi="Times New Roman" w:cs="Times New Roman"/>
          <w:sz w:val="24"/>
          <w:szCs w:val="24"/>
        </w:rPr>
        <w:t>Paries</w:t>
      </w:r>
      <w:proofErr w:type="spellEnd"/>
      <w:r w:rsidRPr="00BB2872">
        <w:rPr>
          <w:rFonts w:ascii="Times New Roman" w:eastAsia="Times New Roman" w:hAnsi="Times New Roman" w:cs="Times New Roman"/>
          <w:sz w:val="24"/>
          <w:szCs w:val="24"/>
        </w:rPr>
        <w:t xml:space="preserve"> et al. (2014) </w:t>
      </w:r>
      <w:r w:rsidR="00B56951" w:rsidRPr="00BB2872">
        <w:rPr>
          <w:rFonts w:ascii="Times New Roman" w:eastAsia="Times New Roman" w:hAnsi="Times New Roman" w:cs="Times New Roman"/>
          <w:sz w:val="24"/>
          <w:szCs w:val="24"/>
        </w:rPr>
        <w:t>and</w:t>
      </w:r>
      <w:r w:rsidRPr="00BB2872">
        <w:rPr>
          <w:rFonts w:ascii="Times New Roman" w:eastAsia="Times New Roman" w:hAnsi="Times New Roman" w:cs="Times New Roman"/>
          <w:sz w:val="24"/>
          <w:szCs w:val="24"/>
        </w:rPr>
        <w:t xml:space="preserve"> von </w:t>
      </w:r>
      <w:proofErr w:type="spellStart"/>
      <w:r w:rsidRPr="00BB2872">
        <w:rPr>
          <w:rFonts w:ascii="Times New Roman" w:eastAsia="Times New Roman" w:hAnsi="Times New Roman" w:cs="Times New Roman"/>
          <w:sz w:val="24"/>
          <w:szCs w:val="24"/>
        </w:rPr>
        <w:t>Borstel</w:t>
      </w:r>
      <w:proofErr w:type="spellEnd"/>
      <w:r w:rsidRPr="00BB2872">
        <w:rPr>
          <w:rFonts w:ascii="Times New Roman" w:eastAsia="Times New Roman" w:hAnsi="Times New Roman" w:cs="Times New Roman"/>
          <w:sz w:val="24"/>
          <w:szCs w:val="24"/>
        </w:rPr>
        <w:t xml:space="preserve"> et al. (2016). In total, four sub-periods</w:t>
      </w:r>
      <w:r w:rsidR="00271A45" w:rsidRPr="00BB2872">
        <w:rPr>
          <w:rFonts w:ascii="Times New Roman" w:eastAsia="Times New Roman" w:hAnsi="Times New Roman" w:cs="Times New Roman"/>
          <w:sz w:val="24"/>
          <w:szCs w:val="24"/>
        </w:rPr>
        <w:t>,</w:t>
      </w:r>
      <w:r w:rsidRPr="00BB2872">
        <w:rPr>
          <w:rFonts w:ascii="Times New Roman" w:eastAsia="Times New Roman" w:hAnsi="Times New Roman" w:cs="Times New Roman"/>
          <w:sz w:val="24"/>
          <w:szCs w:val="24"/>
        </w:rPr>
        <w:t xml:space="preserve"> representing different monetary policy stances</w:t>
      </w:r>
      <w:r w:rsidR="00271A45" w:rsidRPr="00BB2872">
        <w:rPr>
          <w:rFonts w:ascii="Times New Roman" w:eastAsia="Times New Roman" w:hAnsi="Times New Roman" w:cs="Times New Roman"/>
          <w:sz w:val="24"/>
          <w:szCs w:val="24"/>
        </w:rPr>
        <w:t>,</w:t>
      </w:r>
      <w:r w:rsidRPr="00BB2872">
        <w:rPr>
          <w:rFonts w:ascii="Times New Roman" w:eastAsia="Times New Roman" w:hAnsi="Times New Roman" w:cs="Times New Roman"/>
          <w:sz w:val="24"/>
          <w:szCs w:val="24"/>
        </w:rPr>
        <w:t xml:space="preserve"> </w:t>
      </w:r>
      <w:r w:rsidR="00271A45" w:rsidRPr="00BB2872">
        <w:rPr>
          <w:rFonts w:ascii="Times New Roman" w:eastAsia="Times New Roman" w:hAnsi="Times New Roman" w:cs="Times New Roman"/>
          <w:sz w:val="24"/>
          <w:szCs w:val="24"/>
        </w:rPr>
        <w:t>we</w:t>
      </w:r>
      <w:r w:rsidRPr="00BB2872">
        <w:rPr>
          <w:rFonts w:ascii="Times New Roman" w:eastAsia="Times New Roman" w:hAnsi="Times New Roman" w:cs="Times New Roman"/>
          <w:sz w:val="24"/>
          <w:szCs w:val="24"/>
        </w:rPr>
        <w:t xml:space="preserve">re observed between April 2005 and February 2020. </w:t>
      </w:r>
      <w:r w:rsidR="00271A45" w:rsidRPr="00BB2872">
        <w:rPr>
          <w:rFonts w:ascii="Times New Roman" w:eastAsia="Times New Roman" w:hAnsi="Times New Roman" w:cs="Times New Roman"/>
          <w:sz w:val="24"/>
          <w:szCs w:val="24"/>
        </w:rPr>
        <w:t>In addition</w:t>
      </w:r>
      <w:r w:rsidRPr="00BB2872">
        <w:rPr>
          <w:rFonts w:ascii="Times New Roman" w:eastAsia="Times New Roman" w:hAnsi="Times New Roman" w:cs="Times New Roman"/>
          <w:sz w:val="24"/>
          <w:szCs w:val="24"/>
        </w:rPr>
        <w:t>, our dataset includes the last period of restrictive monetary policy</w:t>
      </w:r>
      <w:r w:rsidR="00271A45" w:rsidRPr="00BB2872">
        <w:rPr>
          <w:rFonts w:ascii="Times New Roman" w:eastAsia="Times New Roman" w:hAnsi="Times New Roman" w:cs="Times New Roman"/>
          <w:sz w:val="24"/>
          <w:szCs w:val="24"/>
        </w:rPr>
        <w:t>,</w:t>
      </w:r>
      <w:r w:rsidRPr="00BB2872">
        <w:rPr>
          <w:rFonts w:ascii="Times New Roman" w:eastAsia="Times New Roman" w:hAnsi="Times New Roman" w:cs="Times New Roman"/>
          <w:sz w:val="24"/>
          <w:szCs w:val="24"/>
        </w:rPr>
        <w:t xml:space="preserve"> which </w:t>
      </w:r>
      <w:r w:rsidR="00271A45" w:rsidRPr="00BB2872">
        <w:rPr>
          <w:rFonts w:ascii="Times New Roman" w:eastAsia="Times New Roman" w:hAnsi="Times New Roman" w:cs="Times New Roman"/>
          <w:sz w:val="24"/>
          <w:szCs w:val="24"/>
        </w:rPr>
        <w:t>h</w:t>
      </w:r>
      <w:r w:rsidRPr="00BB2872">
        <w:rPr>
          <w:rFonts w:ascii="Times New Roman" w:eastAsia="Times New Roman" w:hAnsi="Times New Roman" w:cs="Times New Roman"/>
          <w:sz w:val="24"/>
          <w:szCs w:val="24"/>
        </w:rPr>
        <w:t xml:space="preserve">as not </w:t>
      </w:r>
      <w:r w:rsidR="00271A45" w:rsidRPr="00BB2872">
        <w:rPr>
          <w:rFonts w:ascii="Times New Roman" w:eastAsia="Times New Roman" w:hAnsi="Times New Roman" w:cs="Times New Roman"/>
          <w:sz w:val="24"/>
          <w:szCs w:val="24"/>
        </w:rPr>
        <w:t xml:space="preserve">been recorded </w:t>
      </w:r>
      <w:r w:rsidRPr="00BB2872">
        <w:rPr>
          <w:rFonts w:ascii="Times New Roman" w:eastAsia="Times New Roman" w:hAnsi="Times New Roman" w:cs="Times New Roman"/>
          <w:sz w:val="24"/>
          <w:szCs w:val="24"/>
        </w:rPr>
        <w:t xml:space="preserve">in any </w:t>
      </w:r>
      <w:r w:rsidR="00271A45" w:rsidRPr="00BB2872">
        <w:rPr>
          <w:rFonts w:ascii="Times New Roman" w:eastAsia="Times New Roman" w:hAnsi="Times New Roman" w:cs="Times New Roman"/>
          <w:sz w:val="24"/>
          <w:szCs w:val="24"/>
        </w:rPr>
        <w:t>previous</w:t>
      </w:r>
      <w:r w:rsidRPr="00BB2872">
        <w:rPr>
          <w:rFonts w:ascii="Times New Roman" w:eastAsia="Times New Roman" w:hAnsi="Times New Roman" w:cs="Times New Roman"/>
          <w:sz w:val="24"/>
          <w:szCs w:val="24"/>
        </w:rPr>
        <w:t xml:space="preserve"> studies </w:t>
      </w:r>
      <w:r w:rsidR="00271A45" w:rsidRPr="00BB2872">
        <w:rPr>
          <w:rFonts w:ascii="Times New Roman" w:eastAsia="Times New Roman" w:hAnsi="Times New Roman" w:cs="Times New Roman"/>
          <w:sz w:val="24"/>
          <w:szCs w:val="24"/>
        </w:rPr>
        <w:t>on</w:t>
      </w:r>
      <w:r w:rsidRPr="00BB2872">
        <w:rPr>
          <w:rFonts w:ascii="Times New Roman" w:eastAsia="Times New Roman" w:hAnsi="Times New Roman" w:cs="Times New Roman"/>
          <w:sz w:val="24"/>
          <w:szCs w:val="24"/>
        </w:rPr>
        <w:t xml:space="preserve"> the Czech economy. </w:t>
      </w:r>
    </w:p>
    <w:p w14:paraId="0000000C" w14:textId="07779A78" w:rsidR="00345220" w:rsidRPr="00BB2872" w:rsidRDefault="00271A45">
      <w:pPr>
        <w:spacing w:after="0" w:line="480" w:lineRule="auto"/>
        <w:ind w:firstLine="720"/>
        <w:rPr>
          <w:rFonts w:ascii="Times New Roman" w:eastAsia="Times New Roman" w:hAnsi="Times New Roman" w:cs="Times New Roman"/>
          <w:sz w:val="24"/>
          <w:szCs w:val="24"/>
        </w:rPr>
      </w:pPr>
      <w:r w:rsidRPr="00BB2872">
        <w:rPr>
          <w:rFonts w:ascii="Times New Roman" w:eastAsia="Times New Roman" w:hAnsi="Times New Roman" w:cs="Times New Roman"/>
          <w:sz w:val="24"/>
          <w:szCs w:val="24"/>
        </w:rPr>
        <w:t>F</w:t>
      </w:r>
      <w:r w:rsidR="00D45E73" w:rsidRPr="00BB2872">
        <w:rPr>
          <w:rFonts w:ascii="Times New Roman" w:eastAsia="Times New Roman" w:hAnsi="Times New Roman" w:cs="Times New Roman"/>
          <w:sz w:val="24"/>
          <w:szCs w:val="24"/>
        </w:rPr>
        <w:t xml:space="preserve">ourth, </w:t>
      </w:r>
      <w:r w:rsidR="00EC66DD" w:rsidRPr="00BB2872">
        <w:rPr>
          <w:rFonts w:ascii="Times New Roman" w:eastAsia="Times New Roman" w:hAnsi="Times New Roman" w:cs="Times New Roman"/>
          <w:sz w:val="24"/>
          <w:szCs w:val="24"/>
        </w:rPr>
        <w:t xml:space="preserve">in addition to </w:t>
      </w:r>
      <w:r w:rsidR="00D45E73" w:rsidRPr="00BB2872">
        <w:rPr>
          <w:rFonts w:ascii="Times New Roman" w:eastAsia="Times New Roman" w:hAnsi="Times New Roman" w:cs="Times New Roman"/>
          <w:sz w:val="24"/>
          <w:szCs w:val="24"/>
        </w:rPr>
        <w:t xml:space="preserve">shocks in </w:t>
      </w:r>
      <w:r w:rsidR="00EC66DD" w:rsidRPr="00BB2872">
        <w:rPr>
          <w:rFonts w:ascii="Times New Roman" w:eastAsia="Times New Roman" w:hAnsi="Times New Roman" w:cs="Times New Roman"/>
          <w:sz w:val="24"/>
          <w:szCs w:val="24"/>
        </w:rPr>
        <w:t xml:space="preserve">the commonly </w:t>
      </w:r>
      <w:r w:rsidR="00D45E73" w:rsidRPr="00BB2872">
        <w:rPr>
          <w:rFonts w:ascii="Times New Roman" w:eastAsia="Times New Roman" w:hAnsi="Times New Roman" w:cs="Times New Roman"/>
          <w:sz w:val="24"/>
          <w:szCs w:val="24"/>
        </w:rPr>
        <w:t>observed variables (</w:t>
      </w:r>
      <w:proofErr w:type="gramStart"/>
      <w:r w:rsidR="00EC66DD" w:rsidRPr="00BB2872">
        <w:rPr>
          <w:rFonts w:ascii="Times New Roman" w:eastAsia="Times New Roman" w:hAnsi="Times New Roman" w:cs="Times New Roman"/>
          <w:sz w:val="24"/>
          <w:szCs w:val="24"/>
        </w:rPr>
        <w:t>i.e.</w:t>
      </w:r>
      <w:proofErr w:type="gramEnd"/>
      <w:r w:rsidR="00EC66DD" w:rsidRPr="00BB2872">
        <w:rPr>
          <w:rFonts w:ascii="Times New Roman" w:eastAsia="Times New Roman" w:hAnsi="Times New Roman" w:cs="Times New Roman"/>
          <w:sz w:val="24"/>
          <w:szCs w:val="24"/>
        </w:rPr>
        <w:t xml:space="preserve"> </w:t>
      </w:r>
      <w:r w:rsidR="00D45E73" w:rsidRPr="00BB2872">
        <w:rPr>
          <w:rFonts w:ascii="Times New Roman" w:eastAsia="Times New Roman" w:hAnsi="Times New Roman" w:cs="Times New Roman"/>
          <w:sz w:val="24"/>
          <w:szCs w:val="24"/>
        </w:rPr>
        <w:t>repo rate, money market rate, price development, exchange rate)</w:t>
      </w:r>
      <w:r w:rsidR="00EC66DD" w:rsidRPr="00BB2872">
        <w:rPr>
          <w:rFonts w:ascii="Times New Roman" w:eastAsia="Times New Roman" w:hAnsi="Times New Roman" w:cs="Times New Roman"/>
          <w:sz w:val="24"/>
          <w:szCs w:val="24"/>
        </w:rPr>
        <w:t>,</w:t>
      </w:r>
      <w:r w:rsidR="00D45E73" w:rsidRPr="00BB2872">
        <w:rPr>
          <w:rFonts w:ascii="Times New Roman" w:eastAsia="Times New Roman" w:hAnsi="Times New Roman" w:cs="Times New Roman"/>
          <w:sz w:val="24"/>
          <w:szCs w:val="24"/>
        </w:rPr>
        <w:t xml:space="preserve"> and their role in </w:t>
      </w:r>
      <w:r w:rsidR="00EC66DD" w:rsidRPr="00BB2872">
        <w:rPr>
          <w:rFonts w:ascii="Times New Roman" w:eastAsia="Times New Roman" w:hAnsi="Times New Roman" w:cs="Times New Roman"/>
          <w:sz w:val="24"/>
          <w:szCs w:val="24"/>
        </w:rPr>
        <w:t xml:space="preserve">the </w:t>
      </w:r>
      <w:r w:rsidR="00D45E73" w:rsidRPr="00BB2872">
        <w:rPr>
          <w:rFonts w:ascii="Times New Roman" w:eastAsia="Times New Roman" w:hAnsi="Times New Roman" w:cs="Times New Roman"/>
          <w:sz w:val="24"/>
          <w:szCs w:val="24"/>
        </w:rPr>
        <w:t>interest</w:t>
      </w:r>
      <w:r w:rsidR="00E02BFF" w:rsidRPr="00BB2872">
        <w:rPr>
          <w:rFonts w:ascii="Times New Roman" w:eastAsia="Times New Roman" w:hAnsi="Times New Roman" w:cs="Times New Roman"/>
          <w:sz w:val="24"/>
          <w:szCs w:val="24"/>
        </w:rPr>
        <w:t xml:space="preserve"> </w:t>
      </w:r>
      <w:r w:rsidR="00D45E73" w:rsidRPr="00BB2872">
        <w:rPr>
          <w:rFonts w:ascii="Times New Roman" w:eastAsia="Times New Roman" w:hAnsi="Times New Roman" w:cs="Times New Roman"/>
          <w:sz w:val="24"/>
          <w:szCs w:val="24"/>
        </w:rPr>
        <w:t>rate pass-through, we added three external shocks into the model</w:t>
      </w:r>
      <w:r w:rsidR="00EC66DD" w:rsidRPr="00BB2872">
        <w:rPr>
          <w:rFonts w:ascii="Times New Roman" w:eastAsia="Times New Roman" w:hAnsi="Times New Roman" w:cs="Times New Roman"/>
          <w:sz w:val="24"/>
          <w:szCs w:val="24"/>
        </w:rPr>
        <w:t>––one</w:t>
      </w:r>
      <w:r w:rsidR="00D45E73" w:rsidRPr="00BB2872">
        <w:rPr>
          <w:rFonts w:ascii="Times New Roman" w:eastAsia="Times New Roman" w:hAnsi="Times New Roman" w:cs="Times New Roman"/>
          <w:sz w:val="24"/>
          <w:szCs w:val="24"/>
        </w:rPr>
        <w:t xml:space="preserve"> in the EA’s money market rate, </w:t>
      </w:r>
      <w:r w:rsidR="00EC66DD" w:rsidRPr="00BB2872">
        <w:rPr>
          <w:rFonts w:ascii="Times New Roman" w:eastAsia="Times New Roman" w:hAnsi="Times New Roman" w:cs="Times New Roman"/>
          <w:sz w:val="24"/>
          <w:szCs w:val="24"/>
        </w:rPr>
        <w:t>one</w:t>
      </w:r>
      <w:r w:rsidR="00D45E73" w:rsidRPr="00BB2872">
        <w:rPr>
          <w:rFonts w:ascii="Times New Roman" w:eastAsia="Times New Roman" w:hAnsi="Times New Roman" w:cs="Times New Roman"/>
          <w:sz w:val="24"/>
          <w:szCs w:val="24"/>
        </w:rPr>
        <w:t xml:space="preserve"> representing </w:t>
      </w:r>
      <w:proofErr w:type="spellStart"/>
      <w:r w:rsidR="00D45E73" w:rsidRPr="00BB2872">
        <w:rPr>
          <w:rFonts w:ascii="Times New Roman" w:eastAsia="Times New Roman" w:hAnsi="Times New Roman" w:cs="Times New Roman"/>
          <w:sz w:val="24"/>
          <w:szCs w:val="24"/>
        </w:rPr>
        <w:t>spillovers</w:t>
      </w:r>
      <w:proofErr w:type="spellEnd"/>
      <w:r w:rsidR="00D45E73" w:rsidRPr="00BB2872">
        <w:rPr>
          <w:rFonts w:ascii="Times New Roman" w:eastAsia="Times New Roman" w:hAnsi="Times New Roman" w:cs="Times New Roman"/>
          <w:sz w:val="24"/>
          <w:szCs w:val="24"/>
        </w:rPr>
        <w:t xml:space="preserve"> in the EA and </w:t>
      </w:r>
      <w:r w:rsidR="00EC66DD" w:rsidRPr="00BB2872">
        <w:rPr>
          <w:rFonts w:ascii="Times New Roman" w:eastAsia="Times New Roman" w:hAnsi="Times New Roman" w:cs="Times New Roman"/>
          <w:sz w:val="24"/>
          <w:szCs w:val="24"/>
        </w:rPr>
        <w:t>one</w:t>
      </w:r>
      <w:r w:rsidR="00D45E73" w:rsidRPr="00BB2872">
        <w:rPr>
          <w:rFonts w:ascii="Times New Roman" w:eastAsia="Times New Roman" w:hAnsi="Times New Roman" w:cs="Times New Roman"/>
          <w:sz w:val="24"/>
          <w:szCs w:val="24"/>
        </w:rPr>
        <w:t xml:space="preserve"> in confidence. The shock in the EA’s money market rate</w:t>
      </w:r>
      <w:r w:rsidR="00EC66DD" w:rsidRPr="00BB2872">
        <w:rPr>
          <w:rFonts w:ascii="Times New Roman" w:eastAsia="Times New Roman" w:hAnsi="Times New Roman" w:cs="Times New Roman"/>
          <w:sz w:val="24"/>
          <w:szCs w:val="24"/>
        </w:rPr>
        <w:t>,</w:t>
      </w:r>
      <w:r w:rsidR="00D45E73" w:rsidRPr="00BB2872">
        <w:rPr>
          <w:rFonts w:ascii="Times New Roman" w:eastAsia="Times New Roman" w:hAnsi="Times New Roman" w:cs="Times New Roman"/>
          <w:sz w:val="24"/>
          <w:szCs w:val="24"/>
        </w:rPr>
        <w:t xml:space="preserve"> and its effect on the Czech money market rate</w:t>
      </w:r>
      <w:r w:rsidR="00EC66DD" w:rsidRPr="00BB2872">
        <w:rPr>
          <w:rFonts w:ascii="Times New Roman" w:eastAsia="Times New Roman" w:hAnsi="Times New Roman" w:cs="Times New Roman"/>
          <w:sz w:val="24"/>
          <w:szCs w:val="24"/>
        </w:rPr>
        <w:t>,</w:t>
      </w:r>
      <w:r w:rsidR="00D45E73" w:rsidRPr="00BB2872">
        <w:rPr>
          <w:rFonts w:ascii="Times New Roman" w:eastAsia="Times New Roman" w:hAnsi="Times New Roman" w:cs="Times New Roman"/>
          <w:sz w:val="24"/>
          <w:szCs w:val="24"/>
        </w:rPr>
        <w:t xml:space="preserve"> </w:t>
      </w:r>
      <w:r w:rsidR="00EC66DD" w:rsidRPr="00BB2872">
        <w:rPr>
          <w:rFonts w:ascii="Times New Roman" w:eastAsia="Times New Roman" w:hAnsi="Times New Roman" w:cs="Times New Roman"/>
          <w:sz w:val="24"/>
          <w:szCs w:val="24"/>
        </w:rPr>
        <w:t>wa</w:t>
      </w:r>
      <w:r w:rsidR="00D45E73" w:rsidRPr="00BB2872">
        <w:rPr>
          <w:rFonts w:ascii="Times New Roman" w:eastAsia="Times New Roman" w:hAnsi="Times New Roman" w:cs="Times New Roman"/>
          <w:sz w:val="24"/>
          <w:szCs w:val="24"/>
        </w:rPr>
        <w:t xml:space="preserve">s </w:t>
      </w:r>
      <w:r w:rsidR="00EC66DD" w:rsidRPr="00BB2872">
        <w:rPr>
          <w:rFonts w:ascii="Times New Roman" w:eastAsia="Times New Roman" w:hAnsi="Times New Roman" w:cs="Times New Roman"/>
          <w:sz w:val="24"/>
          <w:szCs w:val="24"/>
        </w:rPr>
        <w:t xml:space="preserve">analysed because </w:t>
      </w:r>
      <w:r w:rsidR="00D45E73" w:rsidRPr="00BB2872">
        <w:rPr>
          <w:rFonts w:ascii="Times New Roman" w:eastAsia="Times New Roman" w:hAnsi="Times New Roman" w:cs="Times New Roman"/>
          <w:sz w:val="24"/>
          <w:szCs w:val="24"/>
        </w:rPr>
        <w:t xml:space="preserve">Czechia should </w:t>
      </w:r>
      <w:r w:rsidR="00EC66DD" w:rsidRPr="00BB2872">
        <w:rPr>
          <w:rFonts w:ascii="Times New Roman" w:eastAsia="Times New Roman" w:hAnsi="Times New Roman" w:cs="Times New Roman"/>
          <w:sz w:val="24"/>
          <w:szCs w:val="24"/>
        </w:rPr>
        <w:t xml:space="preserve">be </w:t>
      </w:r>
      <w:r w:rsidR="00D45E73" w:rsidRPr="00BB2872">
        <w:rPr>
          <w:rFonts w:ascii="Times New Roman" w:eastAsia="Times New Roman" w:hAnsi="Times New Roman" w:cs="Times New Roman"/>
          <w:sz w:val="24"/>
          <w:szCs w:val="24"/>
        </w:rPr>
        <w:t>undertak</w:t>
      </w:r>
      <w:r w:rsidR="00EC66DD" w:rsidRPr="00BB2872">
        <w:rPr>
          <w:rFonts w:ascii="Times New Roman" w:eastAsia="Times New Roman" w:hAnsi="Times New Roman" w:cs="Times New Roman"/>
          <w:sz w:val="24"/>
          <w:szCs w:val="24"/>
        </w:rPr>
        <w:t>ing</w:t>
      </w:r>
      <w:r w:rsidR="00D45E73" w:rsidRPr="00BB2872">
        <w:rPr>
          <w:rFonts w:ascii="Times New Roman" w:eastAsia="Times New Roman" w:hAnsi="Times New Roman" w:cs="Times New Roman"/>
          <w:sz w:val="24"/>
          <w:szCs w:val="24"/>
        </w:rPr>
        <w:t xml:space="preserve"> steps to</w:t>
      </w:r>
      <w:r w:rsidR="00EC66DD" w:rsidRPr="00BB2872">
        <w:rPr>
          <w:rFonts w:ascii="Times New Roman" w:eastAsia="Times New Roman" w:hAnsi="Times New Roman" w:cs="Times New Roman"/>
          <w:sz w:val="24"/>
          <w:szCs w:val="24"/>
        </w:rPr>
        <w:t>wards</w:t>
      </w:r>
      <w:r w:rsidR="00D45E73" w:rsidRPr="00BB2872">
        <w:rPr>
          <w:rFonts w:ascii="Times New Roman" w:eastAsia="Times New Roman" w:hAnsi="Times New Roman" w:cs="Times New Roman"/>
          <w:sz w:val="24"/>
          <w:szCs w:val="24"/>
        </w:rPr>
        <w:t xml:space="preserve"> future adoption</w:t>
      </w:r>
      <w:r w:rsidR="00EC66DD" w:rsidRPr="00BB2872">
        <w:rPr>
          <w:rFonts w:ascii="Times New Roman" w:eastAsia="Times New Roman" w:hAnsi="Times New Roman" w:cs="Times New Roman"/>
          <w:sz w:val="24"/>
          <w:szCs w:val="24"/>
        </w:rPr>
        <w:t xml:space="preserve"> of the euro</w:t>
      </w:r>
      <w:r w:rsidR="00D45E73" w:rsidRPr="00BB2872">
        <w:rPr>
          <w:rFonts w:ascii="Times New Roman" w:eastAsia="Times New Roman" w:hAnsi="Times New Roman" w:cs="Times New Roman"/>
          <w:sz w:val="24"/>
          <w:szCs w:val="24"/>
        </w:rPr>
        <w:t xml:space="preserve">. The </w:t>
      </w:r>
      <w:proofErr w:type="spellStart"/>
      <w:r w:rsidR="00D45E73" w:rsidRPr="00BB2872">
        <w:rPr>
          <w:rFonts w:ascii="Times New Roman" w:eastAsia="Times New Roman" w:hAnsi="Times New Roman" w:cs="Times New Roman"/>
          <w:sz w:val="24"/>
          <w:szCs w:val="24"/>
        </w:rPr>
        <w:t>spillovers</w:t>
      </w:r>
      <w:proofErr w:type="spellEnd"/>
      <w:r w:rsidR="00D45E73" w:rsidRPr="00BB2872">
        <w:rPr>
          <w:rFonts w:ascii="Times New Roman" w:eastAsia="Times New Roman" w:hAnsi="Times New Roman" w:cs="Times New Roman"/>
          <w:sz w:val="24"/>
          <w:szCs w:val="24"/>
        </w:rPr>
        <w:t xml:space="preserve"> coming from the EA </w:t>
      </w:r>
      <w:r w:rsidR="00EC66DD" w:rsidRPr="00BB2872">
        <w:rPr>
          <w:rFonts w:ascii="Times New Roman" w:eastAsia="Times New Roman" w:hAnsi="Times New Roman" w:cs="Times New Roman"/>
          <w:sz w:val="24"/>
          <w:szCs w:val="24"/>
        </w:rPr>
        <w:t>we</w:t>
      </w:r>
      <w:r w:rsidR="00D45E73" w:rsidRPr="00BB2872">
        <w:rPr>
          <w:rFonts w:ascii="Times New Roman" w:eastAsia="Times New Roman" w:hAnsi="Times New Roman" w:cs="Times New Roman"/>
          <w:sz w:val="24"/>
          <w:szCs w:val="24"/>
        </w:rPr>
        <w:t xml:space="preserve">re examined </w:t>
      </w:r>
      <w:r w:rsidR="00EC66DD" w:rsidRPr="00BB2872">
        <w:rPr>
          <w:rFonts w:ascii="Times New Roman" w:eastAsia="Times New Roman" w:hAnsi="Times New Roman" w:cs="Times New Roman"/>
          <w:sz w:val="24"/>
          <w:szCs w:val="24"/>
        </w:rPr>
        <w:t xml:space="preserve">because </w:t>
      </w:r>
      <w:r w:rsidR="00D45E73" w:rsidRPr="00BB2872">
        <w:rPr>
          <w:rFonts w:ascii="Times New Roman" w:eastAsia="Times New Roman" w:hAnsi="Times New Roman" w:cs="Times New Roman"/>
          <w:sz w:val="24"/>
          <w:szCs w:val="24"/>
        </w:rPr>
        <w:t xml:space="preserve">they can significantly affect the development </w:t>
      </w:r>
      <w:r w:rsidR="00EC66DD" w:rsidRPr="00BB2872">
        <w:rPr>
          <w:rFonts w:ascii="Times New Roman" w:eastAsia="Times New Roman" w:hAnsi="Times New Roman" w:cs="Times New Roman"/>
          <w:sz w:val="24"/>
          <w:szCs w:val="24"/>
        </w:rPr>
        <w:t>of a</w:t>
      </w:r>
      <w:r w:rsidR="00D45E73" w:rsidRPr="00BB2872">
        <w:rPr>
          <w:rFonts w:ascii="Times New Roman" w:eastAsia="Times New Roman" w:hAnsi="Times New Roman" w:cs="Times New Roman"/>
          <w:sz w:val="24"/>
          <w:szCs w:val="24"/>
        </w:rPr>
        <w:t xml:space="preserve"> countr</w:t>
      </w:r>
      <w:r w:rsidR="00EC66DD" w:rsidRPr="00BB2872">
        <w:rPr>
          <w:rFonts w:ascii="Times New Roman" w:eastAsia="Times New Roman" w:hAnsi="Times New Roman" w:cs="Times New Roman"/>
          <w:sz w:val="24"/>
          <w:szCs w:val="24"/>
        </w:rPr>
        <w:t>y,</w:t>
      </w:r>
      <w:r w:rsidR="00D45E73" w:rsidRPr="00BB2872">
        <w:rPr>
          <w:rFonts w:ascii="Times New Roman" w:eastAsia="Times New Roman" w:hAnsi="Times New Roman" w:cs="Times New Roman"/>
          <w:sz w:val="24"/>
          <w:szCs w:val="24"/>
        </w:rPr>
        <w:t xml:space="preserve"> as </w:t>
      </w:r>
      <w:r w:rsidR="00EC66DD" w:rsidRPr="00BB2872">
        <w:rPr>
          <w:rFonts w:ascii="Times New Roman" w:eastAsia="Times New Roman" w:hAnsi="Times New Roman" w:cs="Times New Roman"/>
          <w:sz w:val="24"/>
          <w:szCs w:val="24"/>
        </w:rPr>
        <w:t>posited by, for example,</w:t>
      </w:r>
      <w:r w:rsidR="00D45E73" w:rsidRPr="00BB2872">
        <w:rPr>
          <w:rFonts w:ascii="Times New Roman" w:eastAsia="Times New Roman" w:hAnsi="Times New Roman" w:cs="Times New Roman"/>
          <w:sz w:val="24"/>
          <w:szCs w:val="24"/>
        </w:rPr>
        <w:t xml:space="preserve"> Keppel and </w:t>
      </w:r>
      <w:proofErr w:type="spellStart"/>
      <w:r w:rsidR="00D45E73" w:rsidRPr="00BB2872">
        <w:rPr>
          <w:rFonts w:ascii="Times New Roman" w:eastAsia="Times New Roman" w:hAnsi="Times New Roman" w:cs="Times New Roman"/>
          <w:sz w:val="24"/>
          <w:szCs w:val="24"/>
        </w:rPr>
        <w:t>Prettner</w:t>
      </w:r>
      <w:proofErr w:type="spellEnd"/>
      <w:r w:rsidR="00D45E73" w:rsidRPr="00BB2872">
        <w:rPr>
          <w:rFonts w:ascii="Times New Roman" w:eastAsia="Times New Roman" w:hAnsi="Times New Roman" w:cs="Times New Roman"/>
          <w:sz w:val="24"/>
          <w:szCs w:val="24"/>
        </w:rPr>
        <w:t xml:space="preserve"> (2015), </w:t>
      </w:r>
      <w:proofErr w:type="spellStart"/>
      <w:r w:rsidR="00D45E73" w:rsidRPr="00BB2872">
        <w:rPr>
          <w:rFonts w:ascii="Times New Roman" w:eastAsia="Times New Roman" w:hAnsi="Times New Roman" w:cs="Times New Roman"/>
          <w:sz w:val="24"/>
          <w:szCs w:val="24"/>
        </w:rPr>
        <w:t>Babecka</w:t>
      </w:r>
      <w:proofErr w:type="spellEnd"/>
      <w:r w:rsidR="00D45E73" w:rsidRPr="00BB2872">
        <w:rPr>
          <w:rFonts w:ascii="Times New Roman" w:eastAsia="Times New Roman" w:hAnsi="Times New Roman" w:cs="Times New Roman"/>
          <w:sz w:val="24"/>
          <w:szCs w:val="24"/>
        </w:rPr>
        <w:t xml:space="preserve"> </w:t>
      </w:r>
      <w:proofErr w:type="spellStart"/>
      <w:r w:rsidR="00D45E73" w:rsidRPr="00BB2872">
        <w:rPr>
          <w:rFonts w:ascii="Times New Roman" w:eastAsia="Times New Roman" w:hAnsi="Times New Roman" w:cs="Times New Roman"/>
          <w:sz w:val="24"/>
          <w:szCs w:val="24"/>
        </w:rPr>
        <w:t>Kucharcukova</w:t>
      </w:r>
      <w:proofErr w:type="spellEnd"/>
      <w:r w:rsidR="00D45E73" w:rsidRPr="00BB2872">
        <w:rPr>
          <w:rFonts w:ascii="Times New Roman" w:eastAsia="Times New Roman" w:hAnsi="Times New Roman" w:cs="Times New Roman"/>
          <w:sz w:val="24"/>
          <w:szCs w:val="24"/>
        </w:rPr>
        <w:t xml:space="preserve"> et al. (2016) </w:t>
      </w:r>
      <w:r w:rsidR="00B56951" w:rsidRPr="00BB2872">
        <w:rPr>
          <w:rFonts w:ascii="Times New Roman" w:eastAsia="Times New Roman" w:hAnsi="Times New Roman" w:cs="Times New Roman"/>
          <w:sz w:val="24"/>
          <w:szCs w:val="24"/>
        </w:rPr>
        <w:t>and</w:t>
      </w:r>
      <w:r w:rsidR="00D45E73" w:rsidRPr="00BB2872">
        <w:rPr>
          <w:rFonts w:ascii="Times New Roman" w:eastAsia="Times New Roman" w:hAnsi="Times New Roman" w:cs="Times New Roman"/>
          <w:sz w:val="24"/>
          <w:szCs w:val="24"/>
        </w:rPr>
        <w:t xml:space="preserve"> H</w:t>
      </w:r>
      <w:r w:rsidR="009F00C0" w:rsidRPr="00BB2872">
        <w:rPr>
          <w:rFonts w:ascii="Times New Roman" w:eastAsia="Times New Roman" w:hAnsi="Times New Roman" w:cs="Times New Roman"/>
          <w:sz w:val="24"/>
          <w:szCs w:val="24"/>
          <w:lang w:val="cs-CZ"/>
        </w:rPr>
        <w:t>á</w:t>
      </w:r>
      <w:proofErr w:type="spellStart"/>
      <w:r w:rsidR="00D45E73" w:rsidRPr="00BB2872">
        <w:rPr>
          <w:rFonts w:ascii="Times New Roman" w:eastAsia="Times New Roman" w:hAnsi="Times New Roman" w:cs="Times New Roman"/>
          <w:sz w:val="24"/>
          <w:szCs w:val="24"/>
        </w:rPr>
        <w:t>jek</w:t>
      </w:r>
      <w:proofErr w:type="spellEnd"/>
      <w:r w:rsidR="00D45E73" w:rsidRPr="00BB2872">
        <w:rPr>
          <w:rFonts w:ascii="Times New Roman" w:eastAsia="Times New Roman" w:hAnsi="Times New Roman" w:cs="Times New Roman"/>
          <w:sz w:val="24"/>
          <w:szCs w:val="24"/>
        </w:rPr>
        <w:t xml:space="preserve"> and Horv</w:t>
      </w:r>
      <w:r w:rsidR="009F00C0" w:rsidRPr="00BB2872">
        <w:rPr>
          <w:rFonts w:ascii="Times New Roman" w:eastAsia="Times New Roman" w:hAnsi="Times New Roman" w:cs="Times New Roman"/>
          <w:sz w:val="24"/>
          <w:szCs w:val="24"/>
        </w:rPr>
        <w:t>a</w:t>
      </w:r>
      <w:r w:rsidR="00D45E73" w:rsidRPr="00BB2872">
        <w:rPr>
          <w:rFonts w:ascii="Times New Roman" w:eastAsia="Times New Roman" w:hAnsi="Times New Roman" w:cs="Times New Roman"/>
          <w:sz w:val="24"/>
          <w:szCs w:val="24"/>
        </w:rPr>
        <w:t xml:space="preserve">th (2016), who dealt with </w:t>
      </w:r>
      <w:proofErr w:type="spellStart"/>
      <w:r w:rsidR="00D45E73" w:rsidRPr="00BB2872">
        <w:rPr>
          <w:rFonts w:ascii="Times New Roman" w:eastAsia="Times New Roman" w:hAnsi="Times New Roman" w:cs="Times New Roman"/>
          <w:sz w:val="24"/>
          <w:szCs w:val="24"/>
        </w:rPr>
        <w:t>spillovers</w:t>
      </w:r>
      <w:proofErr w:type="spellEnd"/>
      <w:r w:rsidR="00D45E73" w:rsidRPr="00BB2872">
        <w:rPr>
          <w:rFonts w:ascii="Times New Roman" w:eastAsia="Times New Roman" w:hAnsi="Times New Roman" w:cs="Times New Roman"/>
          <w:sz w:val="24"/>
          <w:szCs w:val="24"/>
        </w:rPr>
        <w:t xml:space="preserve"> </w:t>
      </w:r>
      <w:r w:rsidR="00EC66DD" w:rsidRPr="00BB2872">
        <w:rPr>
          <w:rFonts w:ascii="Times New Roman" w:eastAsia="Times New Roman" w:hAnsi="Times New Roman" w:cs="Times New Roman"/>
          <w:sz w:val="24"/>
          <w:szCs w:val="24"/>
        </w:rPr>
        <w:t>from</w:t>
      </w:r>
      <w:r w:rsidR="00D45E73" w:rsidRPr="00BB2872">
        <w:rPr>
          <w:rFonts w:ascii="Times New Roman" w:eastAsia="Times New Roman" w:hAnsi="Times New Roman" w:cs="Times New Roman"/>
          <w:sz w:val="24"/>
          <w:szCs w:val="24"/>
        </w:rPr>
        <w:t xml:space="preserve"> the European Central Bank’s (ECB</w:t>
      </w:r>
      <w:r w:rsidR="00EC66DD" w:rsidRPr="00BB2872">
        <w:rPr>
          <w:rFonts w:ascii="Times New Roman" w:eastAsia="Times New Roman" w:hAnsi="Times New Roman" w:cs="Times New Roman"/>
          <w:sz w:val="24"/>
          <w:szCs w:val="24"/>
        </w:rPr>
        <w:t>’s</w:t>
      </w:r>
      <w:r w:rsidR="00D45E73" w:rsidRPr="00BB2872">
        <w:rPr>
          <w:rFonts w:ascii="Times New Roman" w:eastAsia="Times New Roman" w:hAnsi="Times New Roman" w:cs="Times New Roman"/>
          <w:sz w:val="24"/>
          <w:szCs w:val="24"/>
        </w:rPr>
        <w:t xml:space="preserve">) monetary policy. The effects of shocks in business and consumer confidence </w:t>
      </w:r>
      <w:r w:rsidR="00893E3C" w:rsidRPr="00BB2872">
        <w:rPr>
          <w:rFonts w:ascii="Times New Roman" w:eastAsia="Times New Roman" w:hAnsi="Times New Roman" w:cs="Times New Roman"/>
          <w:sz w:val="24"/>
          <w:szCs w:val="24"/>
        </w:rPr>
        <w:t>we</w:t>
      </w:r>
      <w:r w:rsidR="00D45E73" w:rsidRPr="00BB2872">
        <w:rPr>
          <w:rFonts w:ascii="Times New Roman" w:eastAsia="Times New Roman" w:hAnsi="Times New Roman" w:cs="Times New Roman"/>
          <w:sz w:val="24"/>
          <w:szCs w:val="24"/>
        </w:rPr>
        <w:t xml:space="preserve">re </w:t>
      </w:r>
      <w:r w:rsidR="00893E3C" w:rsidRPr="00BB2872">
        <w:rPr>
          <w:rFonts w:ascii="Times New Roman" w:eastAsia="Times New Roman" w:hAnsi="Times New Roman" w:cs="Times New Roman"/>
          <w:sz w:val="24"/>
          <w:szCs w:val="24"/>
        </w:rPr>
        <w:t xml:space="preserve">also </w:t>
      </w:r>
      <w:r w:rsidR="00D45E73" w:rsidRPr="00BB2872">
        <w:rPr>
          <w:rFonts w:ascii="Times New Roman" w:eastAsia="Times New Roman" w:hAnsi="Times New Roman" w:cs="Times New Roman"/>
          <w:sz w:val="24"/>
          <w:szCs w:val="24"/>
        </w:rPr>
        <w:t xml:space="preserve">observed </w:t>
      </w:r>
      <w:r w:rsidR="00893E3C" w:rsidRPr="00BB2872">
        <w:rPr>
          <w:rFonts w:ascii="Times New Roman" w:eastAsia="Times New Roman" w:hAnsi="Times New Roman" w:cs="Times New Roman"/>
          <w:sz w:val="24"/>
          <w:szCs w:val="24"/>
        </w:rPr>
        <w:t>because</w:t>
      </w:r>
      <w:r w:rsidR="00D45E73" w:rsidRPr="00BB2872">
        <w:rPr>
          <w:rFonts w:ascii="Times New Roman" w:eastAsia="Times New Roman" w:hAnsi="Times New Roman" w:cs="Times New Roman"/>
          <w:sz w:val="24"/>
          <w:szCs w:val="24"/>
        </w:rPr>
        <w:t xml:space="preserve"> their importance is growing in studies focused on uncertainty, confidence and </w:t>
      </w:r>
      <w:r w:rsidR="00893E3C" w:rsidRPr="00BB2872">
        <w:rPr>
          <w:rFonts w:ascii="Times New Roman" w:eastAsia="Times New Roman" w:hAnsi="Times New Roman" w:cs="Times New Roman"/>
          <w:sz w:val="24"/>
          <w:szCs w:val="24"/>
        </w:rPr>
        <w:t xml:space="preserve">the behaviour of </w:t>
      </w:r>
      <w:r w:rsidR="00D45E73" w:rsidRPr="00BB2872">
        <w:rPr>
          <w:rFonts w:ascii="Times New Roman" w:eastAsia="Times New Roman" w:hAnsi="Times New Roman" w:cs="Times New Roman"/>
          <w:sz w:val="24"/>
          <w:szCs w:val="24"/>
        </w:rPr>
        <w:t xml:space="preserve">economic agents </w:t>
      </w:r>
      <w:r w:rsidR="00893E3C" w:rsidRPr="00BB2872">
        <w:rPr>
          <w:rFonts w:ascii="Times New Roman" w:eastAsia="Times New Roman" w:hAnsi="Times New Roman" w:cs="Times New Roman"/>
          <w:sz w:val="24"/>
          <w:szCs w:val="24"/>
        </w:rPr>
        <w:t>(</w:t>
      </w:r>
      <w:proofErr w:type="gramStart"/>
      <w:r w:rsidR="00D45E73" w:rsidRPr="00BB2872">
        <w:rPr>
          <w:rFonts w:ascii="Times New Roman" w:eastAsia="Times New Roman" w:hAnsi="Times New Roman" w:cs="Times New Roman"/>
          <w:sz w:val="24"/>
          <w:szCs w:val="24"/>
        </w:rPr>
        <w:t>e.g.</w:t>
      </w:r>
      <w:proofErr w:type="gramEnd"/>
      <w:r w:rsidR="00D45E73" w:rsidRPr="00BB2872">
        <w:rPr>
          <w:rFonts w:ascii="Times New Roman" w:eastAsia="Times New Roman" w:hAnsi="Times New Roman" w:cs="Times New Roman"/>
          <w:sz w:val="24"/>
          <w:szCs w:val="24"/>
        </w:rPr>
        <w:t xml:space="preserve"> see Federal Reserve Bank of Richmond</w:t>
      </w:r>
      <w:r w:rsidR="00893E3C" w:rsidRPr="00BB2872">
        <w:rPr>
          <w:rFonts w:ascii="Times New Roman" w:eastAsia="Times New Roman" w:hAnsi="Times New Roman" w:cs="Times New Roman"/>
          <w:sz w:val="24"/>
          <w:szCs w:val="24"/>
        </w:rPr>
        <w:t>,</w:t>
      </w:r>
      <w:r w:rsidR="00D45E73" w:rsidRPr="00BB2872">
        <w:rPr>
          <w:rFonts w:ascii="Times New Roman" w:eastAsia="Times New Roman" w:hAnsi="Times New Roman" w:cs="Times New Roman"/>
          <w:sz w:val="24"/>
          <w:szCs w:val="24"/>
        </w:rPr>
        <w:t xml:space="preserve"> 2019</w:t>
      </w:r>
      <w:r w:rsidR="00893E3C" w:rsidRPr="00BB2872">
        <w:rPr>
          <w:rFonts w:ascii="Times New Roman" w:eastAsia="Times New Roman" w:hAnsi="Times New Roman" w:cs="Times New Roman"/>
          <w:sz w:val="24"/>
          <w:szCs w:val="24"/>
        </w:rPr>
        <w:t>;</w:t>
      </w:r>
      <w:r w:rsidR="00D45E73" w:rsidRPr="00BB2872">
        <w:rPr>
          <w:rFonts w:ascii="Times New Roman" w:eastAsia="Times New Roman" w:hAnsi="Times New Roman" w:cs="Times New Roman"/>
          <w:sz w:val="24"/>
          <w:szCs w:val="24"/>
        </w:rPr>
        <w:t xml:space="preserve"> Zhang et al</w:t>
      </w:r>
      <w:r w:rsidR="00B56951" w:rsidRPr="00BB2872">
        <w:rPr>
          <w:rFonts w:ascii="Times New Roman" w:eastAsia="Times New Roman" w:hAnsi="Times New Roman" w:cs="Times New Roman"/>
          <w:sz w:val="24"/>
          <w:szCs w:val="24"/>
        </w:rPr>
        <w:t>.</w:t>
      </w:r>
      <w:r w:rsidR="00893E3C" w:rsidRPr="00BB2872">
        <w:rPr>
          <w:rFonts w:ascii="Times New Roman" w:eastAsia="Times New Roman" w:hAnsi="Times New Roman" w:cs="Times New Roman"/>
          <w:sz w:val="24"/>
          <w:szCs w:val="24"/>
        </w:rPr>
        <w:t>,</w:t>
      </w:r>
      <w:r w:rsidR="00D45E73" w:rsidRPr="00BB2872">
        <w:rPr>
          <w:rFonts w:ascii="Times New Roman" w:eastAsia="Times New Roman" w:hAnsi="Times New Roman" w:cs="Times New Roman"/>
          <w:sz w:val="24"/>
          <w:szCs w:val="24"/>
        </w:rPr>
        <w:t xml:space="preserve"> 2019).</w:t>
      </w:r>
    </w:p>
    <w:p w14:paraId="0000000D" w14:textId="3C6ADD1F" w:rsidR="00345220" w:rsidRPr="00BB2872" w:rsidRDefault="00D45E73">
      <w:pPr>
        <w:spacing w:after="0" w:line="480" w:lineRule="auto"/>
        <w:ind w:firstLine="720"/>
        <w:rPr>
          <w:rFonts w:ascii="Times New Roman" w:eastAsia="Times New Roman" w:hAnsi="Times New Roman" w:cs="Times New Roman"/>
          <w:sz w:val="24"/>
          <w:szCs w:val="24"/>
        </w:rPr>
      </w:pPr>
      <w:r w:rsidRPr="00BB2872">
        <w:rPr>
          <w:rFonts w:ascii="Times New Roman" w:eastAsia="Times New Roman" w:hAnsi="Times New Roman" w:cs="Times New Roman"/>
          <w:sz w:val="24"/>
          <w:szCs w:val="24"/>
        </w:rPr>
        <w:t xml:space="preserve">Our results suggest that </w:t>
      </w:r>
      <w:r w:rsidR="00D64161" w:rsidRPr="00BB2872">
        <w:rPr>
          <w:rFonts w:ascii="Times New Roman" w:eastAsia="Times New Roman" w:hAnsi="Times New Roman" w:cs="Times New Roman"/>
          <w:sz w:val="24"/>
          <w:szCs w:val="24"/>
        </w:rPr>
        <w:t xml:space="preserve">the </w:t>
      </w:r>
      <w:r w:rsidRPr="00BB2872">
        <w:rPr>
          <w:rFonts w:ascii="Times New Roman" w:eastAsia="Times New Roman" w:hAnsi="Times New Roman" w:cs="Times New Roman"/>
          <w:sz w:val="24"/>
          <w:szCs w:val="24"/>
        </w:rPr>
        <w:t xml:space="preserve">pass-through works well </w:t>
      </w:r>
      <w:r w:rsidR="00D64161" w:rsidRPr="00BB2872">
        <w:rPr>
          <w:rFonts w:ascii="Times New Roman" w:eastAsia="Times New Roman" w:hAnsi="Times New Roman" w:cs="Times New Roman"/>
          <w:sz w:val="24"/>
          <w:szCs w:val="24"/>
        </w:rPr>
        <w:t>in</w:t>
      </w:r>
      <w:r w:rsidRPr="00BB2872">
        <w:rPr>
          <w:rFonts w:ascii="Times New Roman" w:eastAsia="Times New Roman" w:hAnsi="Times New Roman" w:cs="Times New Roman"/>
          <w:sz w:val="24"/>
          <w:szCs w:val="24"/>
        </w:rPr>
        <w:t xml:space="preserve"> the initial stage</w:t>
      </w:r>
      <w:r w:rsidR="00D64161" w:rsidRPr="00BB2872">
        <w:rPr>
          <w:rFonts w:ascii="Times New Roman" w:eastAsia="Times New Roman" w:hAnsi="Times New Roman" w:cs="Times New Roman"/>
          <w:sz w:val="24"/>
          <w:szCs w:val="24"/>
        </w:rPr>
        <w:t>s</w:t>
      </w:r>
      <w:r w:rsidRPr="00BB2872">
        <w:rPr>
          <w:rFonts w:ascii="Times New Roman" w:eastAsia="Times New Roman" w:hAnsi="Times New Roman" w:cs="Times New Roman"/>
          <w:sz w:val="24"/>
          <w:szCs w:val="24"/>
        </w:rPr>
        <w:t xml:space="preserve"> of </w:t>
      </w:r>
      <w:r w:rsidR="00184E8B" w:rsidRPr="00BB2872">
        <w:rPr>
          <w:rFonts w:ascii="Times New Roman" w:eastAsia="Times New Roman" w:hAnsi="Times New Roman" w:cs="Times New Roman"/>
          <w:sz w:val="24"/>
          <w:szCs w:val="24"/>
        </w:rPr>
        <w:t>a</w:t>
      </w:r>
      <w:r w:rsidR="00D64161" w:rsidRPr="00BB2872">
        <w:rPr>
          <w:rFonts w:ascii="Times New Roman" w:eastAsia="Times New Roman" w:hAnsi="Times New Roman" w:cs="Times New Roman"/>
          <w:sz w:val="24"/>
          <w:szCs w:val="24"/>
        </w:rPr>
        <w:t xml:space="preserve"> </w:t>
      </w:r>
      <w:r w:rsidRPr="00BB2872">
        <w:rPr>
          <w:rFonts w:ascii="Times New Roman" w:eastAsia="Times New Roman" w:hAnsi="Times New Roman" w:cs="Times New Roman"/>
          <w:sz w:val="24"/>
          <w:szCs w:val="24"/>
        </w:rPr>
        <w:t xml:space="preserve">monetary policy, but the responsiveness of </w:t>
      </w:r>
      <w:r w:rsidR="00D64161" w:rsidRPr="00BB2872">
        <w:rPr>
          <w:rFonts w:ascii="Times New Roman" w:eastAsia="Times New Roman" w:hAnsi="Times New Roman" w:cs="Times New Roman"/>
          <w:sz w:val="24"/>
          <w:szCs w:val="24"/>
        </w:rPr>
        <w:t xml:space="preserve">the </w:t>
      </w:r>
      <w:r w:rsidRPr="00BB2872">
        <w:rPr>
          <w:rFonts w:ascii="Times New Roman" w:eastAsia="Times New Roman" w:hAnsi="Times New Roman" w:cs="Times New Roman"/>
          <w:sz w:val="24"/>
          <w:szCs w:val="24"/>
        </w:rPr>
        <w:t>money market rate</w:t>
      </w:r>
      <w:r w:rsidR="00D608EF" w:rsidRPr="00BB2872">
        <w:rPr>
          <w:rFonts w:ascii="Times New Roman" w:eastAsia="Times New Roman" w:hAnsi="Times New Roman" w:cs="Times New Roman"/>
          <w:sz w:val="24"/>
          <w:szCs w:val="24"/>
        </w:rPr>
        <w:t xml:space="preserve"> </w:t>
      </w:r>
      <w:r w:rsidR="00D64161" w:rsidRPr="00BB2872">
        <w:rPr>
          <w:rFonts w:ascii="Times New Roman" w:eastAsia="Times New Roman" w:hAnsi="Times New Roman" w:cs="Times New Roman"/>
          <w:sz w:val="24"/>
          <w:szCs w:val="24"/>
        </w:rPr>
        <w:t>(</w:t>
      </w:r>
      <w:r w:rsidR="00D608EF" w:rsidRPr="00BB2872">
        <w:rPr>
          <w:rFonts w:ascii="Times New Roman" w:eastAsia="Times New Roman" w:hAnsi="Times New Roman" w:cs="Times New Roman"/>
          <w:sz w:val="24"/>
          <w:szCs w:val="24"/>
        </w:rPr>
        <w:t>Prague Interbank Offered Rate</w:t>
      </w:r>
      <w:r w:rsidR="00D64161" w:rsidRPr="00BB2872">
        <w:rPr>
          <w:rFonts w:ascii="Times New Roman" w:eastAsia="Times New Roman" w:hAnsi="Times New Roman" w:cs="Times New Roman"/>
          <w:sz w:val="24"/>
          <w:szCs w:val="24"/>
        </w:rPr>
        <w:t>,</w:t>
      </w:r>
      <w:r w:rsidRPr="00BB2872">
        <w:rPr>
          <w:rFonts w:ascii="Times New Roman" w:eastAsia="Times New Roman" w:hAnsi="Times New Roman" w:cs="Times New Roman"/>
          <w:sz w:val="24"/>
          <w:szCs w:val="24"/>
        </w:rPr>
        <w:t xml:space="preserve"> PRIBOR</w:t>
      </w:r>
      <w:r w:rsidR="00D608EF" w:rsidRPr="00BB2872">
        <w:rPr>
          <w:rFonts w:ascii="Times New Roman" w:eastAsia="Times New Roman" w:hAnsi="Times New Roman" w:cs="Times New Roman"/>
          <w:sz w:val="24"/>
          <w:szCs w:val="24"/>
        </w:rPr>
        <w:t>)</w:t>
      </w:r>
      <w:r w:rsidRPr="00BB2872">
        <w:rPr>
          <w:rFonts w:ascii="Times New Roman" w:eastAsia="Times New Roman" w:hAnsi="Times New Roman" w:cs="Times New Roman"/>
          <w:sz w:val="24"/>
          <w:szCs w:val="24"/>
        </w:rPr>
        <w:t xml:space="preserve"> to </w:t>
      </w:r>
      <w:r w:rsidR="00D64161" w:rsidRPr="00BB2872">
        <w:rPr>
          <w:rFonts w:ascii="Times New Roman" w:eastAsia="Times New Roman" w:hAnsi="Times New Roman" w:cs="Times New Roman"/>
          <w:sz w:val="24"/>
          <w:szCs w:val="24"/>
        </w:rPr>
        <w:t xml:space="preserve">the </w:t>
      </w:r>
      <w:r w:rsidRPr="00BB2872">
        <w:rPr>
          <w:rFonts w:ascii="Times New Roman" w:eastAsia="Times New Roman" w:hAnsi="Times New Roman" w:cs="Times New Roman"/>
          <w:sz w:val="24"/>
          <w:szCs w:val="24"/>
        </w:rPr>
        <w:t>official interest</w:t>
      </w:r>
      <w:r w:rsidR="003B30F8" w:rsidRPr="00BB2872">
        <w:rPr>
          <w:rFonts w:ascii="Times New Roman" w:eastAsia="Times New Roman" w:hAnsi="Times New Roman" w:cs="Times New Roman"/>
          <w:sz w:val="24"/>
          <w:szCs w:val="24"/>
        </w:rPr>
        <w:t xml:space="preserve"> </w:t>
      </w:r>
      <w:r w:rsidRPr="00BB2872">
        <w:rPr>
          <w:rFonts w:ascii="Times New Roman" w:eastAsia="Times New Roman" w:hAnsi="Times New Roman" w:cs="Times New Roman"/>
          <w:sz w:val="24"/>
          <w:szCs w:val="24"/>
        </w:rPr>
        <w:t xml:space="preserve">rate change differed </w:t>
      </w:r>
      <w:r w:rsidR="00D64161" w:rsidRPr="00BB2872">
        <w:rPr>
          <w:rFonts w:ascii="Times New Roman" w:eastAsia="Times New Roman" w:hAnsi="Times New Roman" w:cs="Times New Roman"/>
          <w:sz w:val="24"/>
          <w:szCs w:val="24"/>
        </w:rPr>
        <w:t xml:space="preserve">for </w:t>
      </w:r>
      <w:r w:rsidRPr="00BB2872">
        <w:rPr>
          <w:rFonts w:ascii="Times New Roman" w:eastAsia="Times New Roman" w:hAnsi="Times New Roman" w:cs="Times New Roman"/>
          <w:sz w:val="24"/>
          <w:szCs w:val="24"/>
        </w:rPr>
        <w:t xml:space="preserve">individual monetary policy stances. A significant disturbance was identified during the </w:t>
      </w:r>
      <w:r w:rsidR="00D64161" w:rsidRPr="00BB2872">
        <w:rPr>
          <w:rFonts w:ascii="Times New Roman" w:eastAsia="Times New Roman" w:hAnsi="Times New Roman" w:cs="Times New Roman"/>
          <w:sz w:val="24"/>
          <w:szCs w:val="24"/>
        </w:rPr>
        <w:t xml:space="preserve">period of the </w:t>
      </w:r>
      <w:r w:rsidRPr="00BB2872">
        <w:rPr>
          <w:rFonts w:ascii="Times New Roman" w:eastAsia="Times New Roman" w:hAnsi="Times New Roman" w:cs="Times New Roman"/>
          <w:sz w:val="24"/>
          <w:szCs w:val="24"/>
        </w:rPr>
        <w:t xml:space="preserve">financial crisis, </w:t>
      </w:r>
      <w:r w:rsidR="00D64161" w:rsidRPr="00BB2872">
        <w:rPr>
          <w:rFonts w:ascii="Times New Roman" w:eastAsia="Times New Roman" w:hAnsi="Times New Roman" w:cs="Times New Roman"/>
          <w:sz w:val="24"/>
          <w:szCs w:val="24"/>
        </w:rPr>
        <w:t xml:space="preserve">which was </w:t>
      </w:r>
      <w:r w:rsidR="00D64161" w:rsidRPr="00BB2872">
        <w:rPr>
          <w:rFonts w:ascii="Times New Roman" w:eastAsia="Times New Roman" w:hAnsi="Times New Roman" w:cs="Times New Roman"/>
          <w:sz w:val="24"/>
          <w:szCs w:val="24"/>
        </w:rPr>
        <w:lastRenderedPageBreak/>
        <w:t>maintained</w:t>
      </w:r>
      <w:r w:rsidRPr="00BB2872">
        <w:rPr>
          <w:rFonts w:ascii="Times New Roman" w:eastAsia="Times New Roman" w:hAnsi="Times New Roman" w:cs="Times New Roman"/>
          <w:sz w:val="24"/>
          <w:szCs w:val="24"/>
        </w:rPr>
        <w:t xml:space="preserve"> during the zero lower bound </w:t>
      </w:r>
      <w:r w:rsidR="00E0756A" w:rsidRPr="00BB2872">
        <w:rPr>
          <w:rFonts w:ascii="Times New Roman" w:eastAsia="Times New Roman" w:hAnsi="Times New Roman" w:cs="Times New Roman"/>
          <w:sz w:val="24"/>
          <w:szCs w:val="24"/>
        </w:rPr>
        <w:t xml:space="preserve">(ZLB) </w:t>
      </w:r>
      <w:r w:rsidRPr="00BB2872">
        <w:rPr>
          <w:rFonts w:ascii="Times New Roman" w:eastAsia="Times New Roman" w:hAnsi="Times New Roman" w:cs="Times New Roman"/>
          <w:sz w:val="24"/>
          <w:szCs w:val="24"/>
        </w:rPr>
        <w:t xml:space="preserve">period, but during consequent monetary tightening, shocks in </w:t>
      </w:r>
      <w:r w:rsidR="00673313" w:rsidRPr="00BB2872">
        <w:rPr>
          <w:rFonts w:ascii="Times New Roman" w:eastAsia="Times New Roman" w:hAnsi="Times New Roman" w:cs="Times New Roman"/>
          <w:sz w:val="24"/>
          <w:szCs w:val="24"/>
        </w:rPr>
        <w:t xml:space="preserve">the </w:t>
      </w:r>
      <w:r w:rsidRPr="00BB2872">
        <w:rPr>
          <w:rFonts w:ascii="Times New Roman" w:eastAsia="Times New Roman" w:hAnsi="Times New Roman" w:cs="Times New Roman"/>
          <w:sz w:val="24"/>
          <w:szCs w:val="24"/>
        </w:rPr>
        <w:t xml:space="preserve">repo rate </w:t>
      </w:r>
      <w:r w:rsidR="00673313" w:rsidRPr="00BB2872">
        <w:rPr>
          <w:rFonts w:ascii="Times New Roman" w:eastAsia="Times New Roman" w:hAnsi="Times New Roman" w:cs="Times New Roman"/>
          <w:sz w:val="24"/>
          <w:szCs w:val="24"/>
        </w:rPr>
        <w:t xml:space="preserve">began </w:t>
      </w:r>
      <w:r w:rsidRPr="00BB2872">
        <w:rPr>
          <w:rFonts w:ascii="Times New Roman" w:eastAsia="Times New Roman" w:hAnsi="Times New Roman" w:cs="Times New Roman"/>
          <w:sz w:val="24"/>
          <w:szCs w:val="24"/>
        </w:rPr>
        <w:t xml:space="preserve">to contribute </w:t>
      </w:r>
      <w:r w:rsidR="00673313" w:rsidRPr="00BB2872">
        <w:rPr>
          <w:rFonts w:ascii="Times New Roman" w:eastAsia="Times New Roman" w:hAnsi="Times New Roman" w:cs="Times New Roman"/>
          <w:sz w:val="24"/>
          <w:szCs w:val="24"/>
        </w:rPr>
        <w:t xml:space="preserve">significantly </w:t>
      </w:r>
      <w:r w:rsidRPr="00BB2872">
        <w:rPr>
          <w:rFonts w:ascii="Times New Roman" w:eastAsia="Times New Roman" w:hAnsi="Times New Roman" w:cs="Times New Roman"/>
          <w:sz w:val="24"/>
          <w:szCs w:val="24"/>
        </w:rPr>
        <w:t xml:space="preserve">to variance </w:t>
      </w:r>
      <w:r w:rsidR="00673313" w:rsidRPr="00BB2872">
        <w:rPr>
          <w:rFonts w:ascii="Times New Roman" w:eastAsia="Times New Roman" w:hAnsi="Times New Roman" w:cs="Times New Roman"/>
          <w:sz w:val="24"/>
          <w:szCs w:val="24"/>
        </w:rPr>
        <w:t>in the</w:t>
      </w:r>
      <w:r w:rsidRPr="00BB2872">
        <w:rPr>
          <w:rFonts w:ascii="Times New Roman" w:eastAsia="Times New Roman" w:hAnsi="Times New Roman" w:cs="Times New Roman"/>
          <w:sz w:val="24"/>
          <w:szCs w:val="24"/>
        </w:rPr>
        <w:t xml:space="preserve"> money market rate (by 84%</w:t>
      </w:r>
      <w:r w:rsidR="00673313" w:rsidRPr="00BB2872">
        <w:rPr>
          <w:rFonts w:ascii="Times New Roman" w:eastAsia="Times New Roman" w:hAnsi="Times New Roman" w:cs="Times New Roman"/>
          <w:sz w:val="24"/>
          <w:szCs w:val="24"/>
        </w:rPr>
        <w:t>,</w:t>
      </w:r>
      <w:r w:rsidRPr="00BB2872">
        <w:rPr>
          <w:rFonts w:ascii="Times New Roman" w:eastAsia="Times New Roman" w:hAnsi="Times New Roman" w:cs="Times New Roman"/>
          <w:sz w:val="24"/>
          <w:szCs w:val="24"/>
        </w:rPr>
        <w:t xml:space="preserve"> </w:t>
      </w:r>
      <w:r w:rsidR="00673313" w:rsidRPr="00BB2872">
        <w:rPr>
          <w:rFonts w:ascii="Times New Roman" w:eastAsia="Times New Roman" w:hAnsi="Times New Roman" w:cs="Times New Roman"/>
          <w:sz w:val="24"/>
          <w:szCs w:val="24"/>
        </w:rPr>
        <w:t xml:space="preserve">based on </w:t>
      </w:r>
      <w:r w:rsidRPr="00BB2872">
        <w:rPr>
          <w:rFonts w:ascii="Times New Roman" w:eastAsia="Times New Roman" w:hAnsi="Times New Roman" w:cs="Times New Roman"/>
          <w:sz w:val="24"/>
          <w:szCs w:val="24"/>
        </w:rPr>
        <w:t xml:space="preserve">selected factors). We also found that shocks in confidence significantly contributed to the variance in </w:t>
      </w:r>
      <w:r w:rsidR="0080783F" w:rsidRPr="00BB2872">
        <w:rPr>
          <w:rFonts w:ascii="Times New Roman" w:eastAsia="Times New Roman" w:hAnsi="Times New Roman" w:cs="Times New Roman"/>
          <w:sz w:val="24"/>
          <w:szCs w:val="24"/>
        </w:rPr>
        <w:t xml:space="preserve">rate </w:t>
      </w:r>
      <w:r w:rsidRPr="00BB2872">
        <w:rPr>
          <w:rFonts w:ascii="Times New Roman" w:eastAsia="Times New Roman" w:hAnsi="Times New Roman" w:cs="Times New Roman"/>
          <w:sz w:val="24"/>
          <w:szCs w:val="24"/>
        </w:rPr>
        <w:t xml:space="preserve">changes on corporate loans </w:t>
      </w:r>
      <w:r w:rsidR="0080783F" w:rsidRPr="00BB2872">
        <w:rPr>
          <w:rFonts w:ascii="Times New Roman" w:eastAsia="Times New Roman" w:hAnsi="Times New Roman" w:cs="Times New Roman"/>
          <w:sz w:val="24"/>
          <w:szCs w:val="24"/>
        </w:rPr>
        <w:t xml:space="preserve">of </w:t>
      </w:r>
      <w:r w:rsidRPr="00BB2872">
        <w:rPr>
          <w:rFonts w:ascii="Times New Roman" w:eastAsia="Times New Roman" w:hAnsi="Times New Roman" w:cs="Times New Roman"/>
          <w:sz w:val="24"/>
          <w:szCs w:val="24"/>
        </w:rPr>
        <w:t>up to 30 mil</w:t>
      </w:r>
      <w:r w:rsidR="0080783F" w:rsidRPr="00BB2872">
        <w:rPr>
          <w:rFonts w:ascii="Times New Roman" w:eastAsia="Times New Roman" w:hAnsi="Times New Roman" w:cs="Times New Roman"/>
          <w:sz w:val="24"/>
          <w:szCs w:val="24"/>
        </w:rPr>
        <w:t>lion</w:t>
      </w:r>
      <w:r w:rsidRPr="00BB2872">
        <w:rPr>
          <w:rFonts w:ascii="Times New Roman" w:eastAsia="Times New Roman" w:hAnsi="Times New Roman" w:cs="Times New Roman"/>
          <w:sz w:val="24"/>
          <w:szCs w:val="24"/>
        </w:rPr>
        <w:t xml:space="preserve"> CZK when the monetary policy </w:t>
      </w:r>
      <w:r w:rsidR="0080783F" w:rsidRPr="00BB2872">
        <w:rPr>
          <w:rFonts w:ascii="Times New Roman" w:eastAsia="Times New Roman" w:hAnsi="Times New Roman" w:cs="Times New Roman"/>
          <w:sz w:val="24"/>
          <w:szCs w:val="24"/>
        </w:rPr>
        <w:t xml:space="preserve">was </w:t>
      </w:r>
      <w:r w:rsidRPr="00BB2872">
        <w:rPr>
          <w:rFonts w:ascii="Times New Roman" w:eastAsia="Times New Roman" w:hAnsi="Times New Roman" w:cs="Times New Roman"/>
          <w:sz w:val="24"/>
          <w:szCs w:val="24"/>
        </w:rPr>
        <w:t xml:space="preserve">tightened </w:t>
      </w:r>
      <w:r w:rsidR="0080783F" w:rsidRPr="00BB2872">
        <w:rPr>
          <w:rFonts w:ascii="Times New Roman" w:eastAsia="Times New Roman" w:hAnsi="Times New Roman" w:cs="Times New Roman"/>
          <w:sz w:val="24"/>
          <w:szCs w:val="24"/>
        </w:rPr>
        <w:t xml:space="preserve">following </w:t>
      </w:r>
      <w:r w:rsidRPr="00BB2872">
        <w:rPr>
          <w:rFonts w:ascii="Times New Roman" w:eastAsia="Times New Roman" w:hAnsi="Times New Roman" w:cs="Times New Roman"/>
          <w:sz w:val="24"/>
          <w:szCs w:val="24"/>
        </w:rPr>
        <w:t xml:space="preserve">the </w:t>
      </w:r>
      <w:r w:rsidR="00E0756A" w:rsidRPr="00BB2872">
        <w:rPr>
          <w:rFonts w:ascii="Times New Roman" w:eastAsia="Times New Roman" w:hAnsi="Times New Roman" w:cs="Times New Roman"/>
          <w:sz w:val="24"/>
          <w:szCs w:val="24"/>
        </w:rPr>
        <w:t>ZLB</w:t>
      </w:r>
      <w:r w:rsidRPr="00BB2872">
        <w:rPr>
          <w:rFonts w:ascii="Times New Roman" w:eastAsia="Times New Roman" w:hAnsi="Times New Roman" w:cs="Times New Roman"/>
          <w:sz w:val="24"/>
          <w:szCs w:val="24"/>
        </w:rPr>
        <w:t xml:space="preserve"> period. The results also suggest that the Czech money market has not responded to the EA money market since the ZLB period</w:t>
      </w:r>
      <w:r w:rsidR="0080783F" w:rsidRPr="00BB2872">
        <w:rPr>
          <w:rFonts w:ascii="Times New Roman" w:eastAsia="Times New Roman" w:hAnsi="Times New Roman" w:cs="Times New Roman"/>
          <w:sz w:val="24"/>
          <w:szCs w:val="24"/>
        </w:rPr>
        <w:t>,</w:t>
      </w:r>
      <w:r w:rsidRPr="00BB2872">
        <w:rPr>
          <w:rFonts w:ascii="Times New Roman" w:eastAsia="Times New Roman" w:hAnsi="Times New Roman" w:cs="Times New Roman"/>
          <w:sz w:val="24"/>
          <w:szCs w:val="24"/>
        </w:rPr>
        <w:t xml:space="preserve"> even though Czechia has a commitment </w:t>
      </w:r>
      <w:r w:rsidR="0080783F" w:rsidRPr="00BB2872">
        <w:rPr>
          <w:rFonts w:ascii="Times New Roman" w:eastAsia="Times New Roman" w:hAnsi="Times New Roman" w:cs="Times New Roman"/>
          <w:sz w:val="24"/>
          <w:szCs w:val="24"/>
        </w:rPr>
        <w:t>to</w:t>
      </w:r>
      <w:r w:rsidRPr="00BB2872">
        <w:rPr>
          <w:rFonts w:ascii="Times New Roman" w:eastAsia="Times New Roman" w:hAnsi="Times New Roman" w:cs="Times New Roman"/>
          <w:sz w:val="24"/>
          <w:szCs w:val="24"/>
        </w:rPr>
        <w:t xml:space="preserve"> one day adopt the euro currency. The outcomes of </w:t>
      </w:r>
      <w:r w:rsidR="0080783F" w:rsidRPr="00BB2872">
        <w:rPr>
          <w:rFonts w:ascii="Times New Roman" w:eastAsia="Times New Roman" w:hAnsi="Times New Roman" w:cs="Times New Roman"/>
          <w:sz w:val="24"/>
          <w:szCs w:val="24"/>
        </w:rPr>
        <w:t xml:space="preserve">the </w:t>
      </w:r>
      <w:r w:rsidRPr="00BB2872">
        <w:rPr>
          <w:rFonts w:ascii="Times New Roman" w:eastAsia="Times New Roman" w:hAnsi="Times New Roman" w:cs="Times New Roman"/>
          <w:sz w:val="24"/>
          <w:szCs w:val="24"/>
        </w:rPr>
        <w:t xml:space="preserve">estimations </w:t>
      </w:r>
      <w:r w:rsidR="0080783F" w:rsidRPr="00BB2872">
        <w:rPr>
          <w:rFonts w:ascii="Times New Roman" w:eastAsia="Times New Roman" w:hAnsi="Times New Roman" w:cs="Times New Roman"/>
          <w:sz w:val="24"/>
          <w:szCs w:val="24"/>
        </w:rPr>
        <w:t xml:space="preserve">used </w:t>
      </w:r>
      <w:r w:rsidRPr="00BB2872">
        <w:rPr>
          <w:rFonts w:ascii="Times New Roman" w:eastAsia="Times New Roman" w:hAnsi="Times New Roman" w:cs="Times New Roman"/>
          <w:sz w:val="24"/>
          <w:szCs w:val="24"/>
        </w:rPr>
        <w:t xml:space="preserve">did not </w:t>
      </w:r>
      <w:r w:rsidR="0080783F" w:rsidRPr="00BB2872">
        <w:rPr>
          <w:rFonts w:ascii="Times New Roman" w:eastAsia="Times New Roman" w:hAnsi="Times New Roman" w:cs="Times New Roman"/>
          <w:sz w:val="24"/>
          <w:szCs w:val="24"/>
        </w:rPr>
        <w:t xml:space="preserve">highlight </w:t>
      </w:r>
      <w:r w:rsidRPr="00BB2872">
        <w:rPr>
          <w:rFonts w:ascii="Times New Roman" w:eastAsia="Times New Roman" w:hAnsi="Times New Roman" w:cs="Times New Roman"/>
          <w:sz w:val="24"/>
          <w:szCs w:val="24"/>
        </w:rPr>
        <w:t>any effect of exchange</w:t>
      </w:r>
      <w:r w:rsidR="00552339" w:rsidRPr="00BB2872">
        <w:rPr>
          <w:rFonts w:ascii="Times New Roman" w:eastAsia="Times New Roman" w:hAnsi="Times New Roman" w:cs="Times New Roman"/>
          <w:sz w:val="24"/>
          <w:szCs w:val="24"/>
        </w:rPr>
        <w:t>-</w:t>
      </w:r>
      <w:r w:rsidRPr="00BB2872">
        <w:rPr>
          <w:rFonts w:ascii="Times New Roman" w:eastAsia="Times New Roman" w:hAnsi="Times New Roman" w:cs="Times New Roman"/>
          <w:sz w:val="24"/>
          <w:szCs w:val="24"/>
        </w:rPr>
        <w:t xml:space="preserve">rate interventions on commercial loan pricing in Czechia. </w:t>
      </w:r>
    </w:p>
    <w:p w14:paraId="0000000E" w14:textId="3F85FA42" w:rsidR="00345220" w:rsidRPr="00BB2872" w:rsidRDefault="00D45E73">
      <w:pPr>
        <w:spacing w:after="0" w:line="480" w:lineRule="auto"/>
        <w:ind w:firstLine="720"/>
        <w:rPr>
          <w:rFonts w:ascii="Times New Roman" w:eastAsia="Times New Roman" w:hAnsi="Times New Roman" w:cs="Times New Roman"/>
          <w:sz w:val="24"/>
          <w:szCs w:val="24"/>
        </w:rPr>
      </w:pPr>
      <w:r w:rsidRPr="00BB2872">
        <w:rPr>
          <w:rFonts w:ascii="Times New Roman" w:eastAsia="Times New Roman" w:hAnsi="Times New Roman" w:cs="Times New Roman"/>
          <w:sz w:val="24"/>
          <w:szCs w:val="24"/>
        </w:rPr>
        <w:t>Th</w:t>
      </w:r>
      <w:r w:rsidR="0055488C" w:rsidRPr="00BB2872">
        <w:rPr>
          <w:rFonts w:ascii="Times New Roman" w:eastAsia="Times New Roman" w:hAnsi="Times New Roman" w:cs="Times New Roman"/>
          <w:sz w:val="24"/>
          <w:szCs w:val="24"/>
        </w:rPr>
        <w:t>is</w:t>
      </w:r>
      <w:r w:rsidRPr="00BB2872">
        <w:rPr>
          <w:rFonts w:ascii="Times New Roman" w:eastAsia="Times New Roman" w:hAnsi="Times New Roman" w:cs="Times New Roman"/>
          <w:sz w:val="24"/>
          <w:szCs w:val="24"/>
        </w:rPr>
        <w:t xml:space="preserve"> paper is structured as follows. Section 2 provides </w:t>
      </w:r>
      <w:r w:rsidR="0055488C" w:rsidRPr="00BB2872">
        <w:rPr>
          <w:rFonts w:ascii="Times New Roman" w:eastAsia="Times New Roman" w:hAnsi="Times New Roman" w:cs="Times New Roman"/>
          <w:sz w:val="24"/>
          <w:szCs w:val="24"/>
        </w:rPr>
        <w:t xml:space="preserve">a </w:t>
      </w:r>
      <w:r w:rsidRPr="00BB2872">
        <w:rPr>
          <w:rFonts w:ascii="Times New Roman" w:eastAsia="Times New Roman" w:hAnsi="Times New Roman" w:cs="Times New Roman"/>
          <w:sz w:val="24"/>
          <w:szCs w:val="24"/>
        </w:rPr>
        <w:t xml:space="preserve">literature review focused on </w:t>
      </w:r>
      <w:r w:rsidR="0055488C" w:rsidRPr="00BB2872">
        <w:rPr>
          <w:rFonts w:ascii="Times New Roman" w:eastAsia="Times New Roman" w:hAnsi="Times New Roman" w:cs="Times New Roman"/>
          <w:sz w:val="24"/>
          <w:szCs w:val="24"/>
        </w:rPr>
        <w:t xml:space="preserve">the </w:t>
      </w:r>
      <w:r w:rsidRPr="00BB2872">
        <w:rPr>
          <w:rFonts w:ascii="Times New Roman" w:eastAsia="Times New Roman" w:hAnsi="Times New Roman" w:cs="Times New Roman"/>
          <w:sz w:val="24"/>
          <w:szCs w:val="24"/>
        </w:rPr>
        <w:t>interest</w:t>
      </w:r>
      <w:r w:rsidR="0012738C" w:rsidRPr="00BB2872">
        <w:rPr>
          <w:rFonts w:ascii="Times New Roman" w:eastAsia="Times New Roman" w:hAnsi="Times New Roman" w:cs="Times New Roman"/>
          <w:sz w:val="24"/>
          <w:szCs w:val="24"/>
        </w:rPr>
        <w:t xml:space="preserve"> rate </w:t>
      </w:r>
      <w:r w:rsidRPr="00BB2872">
        <w:rPr>
          <w:rFonts w:ascii="Times New Roman" w:eastAsia="Times New Roman" w:hAnsi="Times New Roman" w:cs="Times New Roman"/>
          <w:sz w:val="24"/>
          <w:szCs w:val="24"/>
        </w:rPr>
        <w:t xml:space="preserve">pass-through in the EA and Czechia. Section 3 </w:t>
      </w:r>
      <w:r w:rsidR="0055488C" w:rsidRPr="00BB2872">
        <w:rPr>
          <w:rFonts w:ascii="Times New Roman" w:eastAsia="Times New Roman" w:hAnsi="Times New Roman" w:cs="Times New Roman"/>
          <w:sz w:val="24"/>
          <w:szCs w:val="24"/>
        </w:rPr>
        <w:t xml:space="preserve">contains </w:t>
      </w:r>
      <w:r w:rsidRPr="00BB2872">
        <w:rPr>
          <w:rFonts w:ascii="Times New Roman" w:eastAsia="Times New Roman" w:hAnsi="Times New Roman" w:cs="Times New Roman"/>
          <w:sz w:val="24"/>
          <w:szCs w:val="24"/>
        </w:rPr>
        <w:t xml:space="preserve">a brief background to monetary policy in Czechia </w:t>
      </w:r>
      <w:r w:rsidR="0055488C" w:rsidRPr="00BB2872">
        <w:rPr>
          <w:rFonts w:ascii="Times New Roman" w:eastAsia="Times New Roman" w:hAnsi="Times New Roman" w:cs="Times New Roman"/>
          <w:sz w:val="24"/>
          <w:szCs w:val="24"/>
        </w:rPr>
        <w:t>for</w:t>
      </w:r>
      <w:r w:rsidRPr="00BB2872">
        <w:rPr>
          <w:rFonts w:ascii="Times New Roman" w:eastAsia="Times New Roman" w:hAnsi="Times New Roman" w:cs="Times New Roman"/>
          <w:sz w:val="24"/>
          <w:szCs w:val="24"/>
        </w:rPr>
        <w:t xml:space="preserve"> readers </w:t>
      </w:r>
      <w:r w:rsidR="0055488C" w:rsidRPr="00BB2872">
        <w:rPr>
          <w:rFonts w:ascii="Times New Roman" w:eastAsia="Times New Roman" w:hAnsi="Times New Roman" w:cs="Times New Roman"/>
          <w:sz w:val="24"/>
          <w:szCs w:val="24"/>
        </w:rPr>
        <w:t>who</w:t>
      </w:r>
      <w:r w:rsidRPr="00BB2872">
        <w:rPr>
          <w:rFonts w:ascii="Times New Roman" w:eastAsia="Times New Roman" w:hAnsi="Times New Roman" w:cs="Times New Roman"/>
          <w:sz w:val="24"/>
          <w:szCs w:val="24"/>
        </w:rPr>
        <w:t xml:space="preserve"> are not familiar with its specifics. </w:t>
      </w:r>
      <w:r w:rsidR="0055488C" w:rsidRPr="00BB2872">
        <w:rPr>
          <w:rFonts w:ascii="Times New Roman" w:eastAsia="Times New Roman" w:hAnsi="Times New Roman" w:cs="Times New Roman"/>
          <w:sz w:val="24"/>
          <w:szCs w:val="24"/>
        </w:rPr>
        <w:t xml:space="preserve">Our </w:t>
      </w:r>
      <w:r w:rsidRPr="00BB2872">
        <w:rPr>
          <w:rFonts w:ascii="Times New Roman" w:eastAsia="Times New Roman" w:hAnsi="Times New Roman" w:cs="Times New Roman"/>
          <w:sz w:val="24"/>
          <w:szCs w:val="24"/>
        </w:rPr>
        <w:t xml:space="preserve">dataset, its fundamental characteristics and </w:t>
      </w:r>
      <w:r w:rsidR="0055488C" w:rsidRPr="00BB2872">
        <w:rPr>
          <w:rFonts w:ascii="Times New Roman" w:eastAsia="Times New Roman" w:hAnsi="Times New Roman" w:cs="Times New Roman"/>
          <w:sz w:val="24"/>
          <w:szCs w:val="24"/>
        </w:rPr>
        <w:t xml:space="preserve">the </w:t>
      </w:r>
      <w:r w:rsidRPr="00BB2872">
        <w:rPr>
          <w:rFonts w:ascii="Times New Roman" w:eastAsia="Times New Roman" w:hAnsi="Times New Roman" w:cs="Times New Roman"/>
          <w:sz w:val="24"/>
          <w:szCs w:val="24"/>
        </w:rPr>
        <w:t xml:space="preserve">methods </w:t>
      </w:r>
      <w:r w:rsidR="0055488C" w:rsidRPr="00BB2872">
        <w:rPr>
          <w:rFonts w:ascii="Times New Roman" w:eastAsia="Times New Roman" w:hAnsi="Times New Roman" w:cs="Times New Roman"/>
          <w:sz w:val="24"/>
          <w:szCs w:val="24"/>
        </w:rPr>
        <w:t xml:space="preserve">employed </w:t>
      </w:r>
      <w:r w:rsidRPr="00BB2872">
        <w:rPr>
          <w:rFonts w:ascii="Times New Roman" w:eastAsia="Times New Roman" w:hAnsi="Times New Roman" w:cs="Times New Roman"/>
          <w:sz w:val="24"/>
          <w:szCs w:val="24"/>
        </w:rPr>
        <w:t xml:space="preserve">are presented in </w:t>
      </w:r>
      <w:r w:rsidR="0055488C" w:rsidRPr="00BB2872">
        <w:rPr>
          <w:rFonts w:ascii="Times New Roman" w:eastAsia="Times New Roman" w:hAnsi="Times New Roman" w:cs="Times New Roman"/>
          <w:sz w:val="24"/>
          <w:szCs w:val="24"/>
        </w:rPr>
        <w:t>S</w:t>
      </w:r>
      <w:r w:rsidRPr="00BB2872">
        <w:rPr>
          <w:rFonts w:ascii="Times New Roman" w:eastAsia="Times New Roman" w:hAnsi="Times New Roman" w:cs="Times New Roman"/>
          <w:sz w:val="24"/>
          <w:szCs w:val="24"/>
        </w:rPr>
        <w:t xml:space="preserve">ection 4. Section 5 </w:t>
      </w:r>
      <w:r w:rsidR="0055488C" w:rsidRPr="00BB2872">
        <w:rPr>
          <w:rFonts w:ascii="Times New Roman" w:eastAsia="Times New Roman" w:hAnsi="Times New Roman" w:cs="Times New Roman"/>
          <w:sz w:val="24"/>
          <w:szCs w:val="24"/>
        </w:rPr>
        <w:t xml:space="preserve">presents </w:t>
      </w:r>
      <w:r w:rsidRPr="00BB2872">
        <w:rPr>
          <w:rFonts w:ascii="Times New Roman" w:eastAsia="Times New Roman" w:hAnsi="Times New Roman" w:cs="Times New Roman"/>
          <w:sz w:val="24"/>
          <w:szCs w:val="24"/>
        </w:rPr>
        <w:t xml:space="preserve">the results and discussion. </w:t>
      </w:r>
      <w:r w:rsidR="004C11AB" w:rsidRPr="00BB2872">
        <w:rPr>
          <w:rFonts w:ascii="Times New Roman" w:eastAsia="Times New Roman" w:hAnsi="Times New Roman" w:cs="Times New Roman"/>
          <w:sz w:val="24"/>
          <w:szCs w:val="24"/>
        </w:rPr>
        <w:t xml:space="preserve">Our conclusions appear in the </w:t>
      </w:r>
      <w:r w:rsidRPr="00BB2872">
        <w:rPr>
          <w:rFonts w:ascii="Times New Roman" w:eastAsia="Times New Roman" w:hAnsi="Times New Roman" w:cs="Times New Roman"/>
          <w:sz w:val="24"/>
          <w:szCs w:val="24"/>
        </w:rPr>
        <w:t>final section.</w:t>
      </w:r>
    </w:p>
    <w:p w14:paraId="0000000F" w14:textId="15A948F9" w:rsidR="00345220" w:rsidRPr="00BB2872" w:rsidRDefault="00D45E73">
      <w:pPr>
        <w:pStyle w:val="Nadpis1"/>
      </w:pPr>
      <w:r w:rsidRPr="00BB2872">
        <w:t xml:space="preserve">2 Literature </w:t>
      </w:r>
      <w:r w:rsidR="005571BC" w:rsidRPr="00BB2872">
        <w:t>r</w:t>
      </w:r>
      <w:r w:rsidRPr="00BB2872">
        <w:t>eview</w:t>
      </w:r>
    </w:p>
    <w:p w14:paraId="00000010" w14:textId="437BAF2B" w:rsidR="00345220" w:rsidRPr="00BB2872" w:rsidRDefault="00A0589A">
      <w:pPr>
        <w:widowControl w:val="0"/>
        <w:spacing w:before="240" w:after="0" w:line="480" w:lineRule="auto"/>
        <w:rPr>
          <w:rFonts w:ascii="Times New Roman" w:eastAsia="Times New Roman" w:hAnsi="Times New Roman" w:cs="Times New Roman"/>
          <w:sz w:val="24"/>
          <w:szCs w:val="24"/>
        </w:rPr>
      </w:pPr>
      <w:r w:rsidRPr="00BB2872">
        <w:rPr>
          <w:rFonts w:ascii="Times New Roman" w:eastAsia="Times New Roman" w:hAnsi="Times New Roman" w:cs="Times New Roman"/>
          <w:sz w:val="24"/>
          <w:szCs w:val="24"/>
        </w:rPr>
        <w:t xml:space="preserve">Because </w:t>
      </w:r>
      <w:r w:rsidR="00D45E73" w:rsidRPr="00BB2872">
        <w:rPr>
          <w:rFonts w:ascii="Times New Roman" w:eastAsia="Times New Roman" w:hAnsi="Times New Roman" w:cs="Times New Roman"/>
          <w:sz w:val="24"/>
          <w:szCs w:val="24"/>
        </w:rPr>
        <w:t>the functioning of the interest</w:t>
      </w:r>
      <w:r w:rsidR="00476ED1" w:rsidRPr="00BB2872">
        <w:rPr>
          <w:rFonts w:ascii="Times New Roman" w:eastAsia="Times New Roman" w:hAnsi="Times New Roman" w:cs="Times New Roman"/>
          <w:sz w:val="24"/>
          <w:szCs w:val="24"/>
        </w:rPr>
        <w:t xml:space="preserve"> </w:t>
      </w:r>
      <w:r w:rsidR="00D45E73" w:rsidRPr="00BB2872">
        <w:rPr>
          <w:rFonts w:ascii="Times New Roman" w:eastAsia="Times New Roman" w:hAnsi="Times New Roman" w:cs="Times New Roman"/>
          <w:sz w:val="24"/>
          <w:szCs w:val="24"/>
        </w:rPr>
        <w:t xml:space="preserve">rate pass-through is crucial when pursuing monetary policy intentions, research </w:t>
      </w:r>
      <w:r w:rsidRPr="00BB2872">
        <w:rPr>
          <w:rFonts w:ascii="Times New Roman" w:eastAsia="Times New Roman" w:hAnsi="Times New Roman" w:cs="Times New Roman"/>
          <w:sz w:val="24"/>
          <w:szCs w:val="24"/>
        </w:rPr>
        <w:t xml:space="preserve">on </w:t>
      </w:r>
      <w:r w:rsidR="00D45E73" w:rsidRPr="00BB2872">
        <w:rPr>
          <w:rFonts w:ascii="Times New Roman" w:eastAsia="Times New Roman" w:hAnsi="Times New Roman" w:cs="Times New Roman"/>
          <w:sz w:val="24"/>
          <w:szCs w:val="24"/>
        </w:rPr>
        <w:t>th</w:t>
      </w:r>
      <w:r w:rsidRPr="00BB2872">
        <w:rPr>
          <w:rFonts w:ascii="Times New Roman" w:eastAsia="Times New Roman" w:hAnsi="Times New Roman" w:cs="Times New Roman"/>
          <w:sz w:val="24"/>
          <w:szCs w:val="24"/>
        </w:rPr>
        <w:t>is</w:t>
      </w:r>
      <w:r w:rsidR="00D45E73" w:rsidRPr="00BB2872">
        <w:rPr>
          <w:rFonts w:ascii="Times New Roman" w:eastAsia="Times New Roman" w:hAnsi="Times New Roman" w:cs="Times New Roman"/>
          <w:sz w:val="24"/>
          <w:szCs w:val="24"/>
        </w:rPr>
        <w:t xml:space="preserve"> topic is of </w:t>
      </w:r>
      <w:r w:rsidRPr="00BB2872">
        <w:rPr>
          <w:rFonts w:ascii="Times New Roman" w:eastAsia="Times New Roman" w:hAnsi="Times New Roman" w:cs="Times New Roman"/>
          <w:sz w:val="24"/>
          <w:szCs w:val="24"/>
        </w:rPr>
        <w:t xml:space="preserve">great </w:t>
      </w:r>
      <w:r w:rsidR="00D45E73" w:rsidRPr="00BB2872">
        <w:rPr>
          <w:rFonts w:ascii="Times New Roman" w:eastAsia="Times New Roman" w:hAnsi="Times New Roman" w:cs="Times New Roman"/>
          <w:sz w:val="24"/>
          <w:szCs w:val="24"/>
        </w:rPr>
        <w:t xml:space="preserve">importance </w:t>
      </w:r>
      <w:r w:rsidRPr="00BB2872">
        <w:rPr>
          <w:rFonts w:ascii="Times New Roman" w:eastAsia="Times New Roman" w:hAnsi="Times New Roman" w:cs="Times New Roman"/>
          <w:sz w:val="24"/>
          <w:szCs w:val="24"/>
        </w:rPr>
        <w:t xml:space="preserve">to </w:t>
      </w:r>
      <w:r w:rsidR="00D45E73" w:rsidRPr="00BB2872">
        <w:rPr>
          <w:rFonts w:ascii="Times New Roman" w:eastAsia="Times New Roman" w:hAnsi="Times New Roman" w:cs="Times New Roman"/>
          <w:sz w:val="24"/>
          <w:szCs w:val="24"/>
        </w:rPr>
        <w:t xml:space="preserve">central banks and economists. Its importance </w:t>
      </w:r>
      <w:r w:rsidRPr="00BB2872">
        <w:rPr>
          <w:rFonts w:ascii="Times New Roman" w:eastAsia="Times New Roman" w:hAnsi="Times New Roman" w:cs="Times New Roman"/>
          <w:sz w:val="24"/>
          <w:szCs w:val="24"/>
        </w:rPr>
        <w:t>increases when</w:t>
      </w:r>
      <w:r w:rsidR="00D45E73" w:rsidRPr="00BB2872">
        <w:rPr>
          <w:rFonts w:ascii="Times New Roman" w:eastAsia="Times New Roman" w:hAnsi="Times New Roman" w:cs="Times New Roman"/>
          <w:sz w:val="24"/>
          <w:szCs w:val="24"/>
        </w:rPr>
        <w:t xml:space="preserve"> new events or disturbances occur. With </w:t>
      </w:r>
      <w:r w:rsidRPr="00BB2872">
        <w:rPr>
          <w:rFonts w:ascii="Times New Roman" w:eastAsia="Times New Roman" w:hAnsi="Times New Roman" w:cs="Times New Roman"/>
          <w:sz w:val="24"/>
          <w:szCs w:val="24"/>
        </w:rPr>
        <w:t xml:space="preserve">the </w:t>
      </w:r>
      <w:r w:rsidR="00D45E73" w:rsidRPr="00BB2872">
        <w:rPr>
          <w:rFonts w:ascii="Times New Roman" w:eastAsia="Times New Roman" w:hAnsi="Times New Roman" w:cs="Times New Roman"/>
          <w:sz w:val="24"/>
          <w:szCs w:val="24"/>
        </w:rPr>
        <w:t>establish</w:t>
      </w:r>
      <w:r w:rsidRPr="00BB2872">
        <w:rPr>
          <w:rFonts w:ascii="Times New Roman" w:eastAsia="Times New Roman" w:hAnsi="Times New Roman" w:cs="Times New Roman"/>
          <w:sz w:val="24"/>
          <w:szCs w:val="24"/>
        </w:rPr>
        <w:t>ment</w:t>
      </w:r>
      <w:r w:rsidR="00D45E73" w:rsidRPr="00BB2872">
        <w:rPr>
          <w:rFonts w:ascii="Times New Roman" w:eastAsia="Times New Roman" w:hAnsi="Times New Roman" w:cs="Times New Roman"/>
          <w:sz w:val="24"/>
          <w:szCs w:val="24"/>
        </w:rPr>
        <w:t xml:space="preserve"> of the EA, empirical studies </w:t>
      </w:r>
      <w:r w:rsidRPr="00BB2872">
        <w:rPr>
          <w:rFonts w:ascii="Times New Roman" w:eastAsia="Times New Roman" w:hAnsi="Times New Roman" w:cs="Times New Roman"/>
          <w:sz w:val="24"/>
          <w:szCs w:val="24"/>
        </w:rPr>
        <w:t xml:space="preserve">have attempted </w:t>
      </w:r>
      <w:r w:rsidR="00D45E73" w:rsidRPr="00BB2872">
        <w:rPr>
          <w:rFonts w:ascii="Times New Roman" w:eastAsia="Times New Roman" w:hAnsi="Times New Roman" w:cs="Times New Roman"/>
          <w:sz w:val="24"/>
          <w:szCs w:val="24"/>
        </w:rPr>
        <w:t>to investigate the possible benefit</w:t>
      </w:r>
      <w:r w:rsidRPr="00BB2872">
        <w:rPr>
          <w:rFonts w:ascii="Times New Roman" w:eastAsia="Times New Roman" w:hAnsi="Times New Roman" w:cs="Times New Roman"/>
          <w:sz w:val="24"/>
          <w:szCs w:val="24"/>
        </w:rPr>
        <w:t>s</w:t>
      </w:r>
      <w:r w:rsidR="00D45E73" w:rsidRPr="00BB2872">
        <w:rPr>
          <w:rFonts w:ascii="Times New Roman" w:eastAsia="Times New Roman" w:hAnsi="Times New Roman" w:cs="Times New Roman"/>
          <w:sz w:val="24"/>
          <w:szCs w:val="24"/>
        </w:rPr>
        <w:t xml:space="preserve"> of this level of integration </w:t>
      </w:r>
      <w:r w:rsidRPr="00BB2872">
        <w:rPr>
          <w:rFonts w:ascii="Times New Roman" w:eastAsia="Times New Roman" w:hAnsi="Times New Roman" w:cs="Times New Roman"/>
          <w:sz w:val="24"/>
          <w:szCs w:val="24"/>
        </w:rPr>
        <w:t>in terms of</w:t>
      </w:r>
      <w:r w:rsidR="00D45E73" w:rsidRPr="00BB2872">
        <w:rPr>
          <w:rFonts w:ascii="Times New Roman" w:eastAsia="Times New Roman" w:hAnsi="Times New Roman" w:cs="Times New Roman"/>
          <w:sz w:val="24"/>
          <w:szCs w:val="24"/>
        </w:rPr>
        <w:t xml:space="preserve"> monetary policy transmission</w:t>
      </w:r>
      <w:r w:rsidRPr="00BB2872">
        <w:rPr>
          <w:rFonts w:ascii="Times New Roman" w:eastAsia="Times New Roman" w:hAnsi="Times New Roman" w:cs="Times New Roman"/>
          <w:sz w:val="24"/>
          <w:szCs w:val="24"/>
        </w:rPr>
        <w:t>.</w:t>
      </w:r>
      <w:r w:rsidR="00D45E73" w:rsidRPr="00BB2872">
        <w:rPr>
          <w:rFonts w:ascii="Times New Roman" w:eastAsia="Times New Roman" w:hAnsi="Times New Roman" w:cs="Times New Roman"/>
          <w:sz w:val="24"/>
          <w:szCs w:val="24"/>
        </w:rPr>
        <w:t xml:space="preserve"> </w:t>
      </w:r>
      <w:r w:rsidRPr="00BB2872">
        <w:rPr>
          <w:rFonts w:ascii="Times New Roman" w:eastAsia="Times New Roman" w:hAnsi="Times New Roman" w:cs="Times New Roman"/>
          <w:sz w:val="24"/>
          <w:szCs w:val="24"/>
        </w:rPr>
        <w:t>For example,</w:t>
      </w:r>
      <w:r w:rsidR="00D45E73" w:rsidRPr="00BB2872">
        <w:rPr>
          <w:rFonts w:ascii="Times New Roman" w:eastAsia="Times New Roman" w:hAnsi="Times New Roman" w:cs="Times New Roman"/>
          <w:sz w:val="24"/>
          <w:szCs w:val="24"/>
        </w:rPr>
        <w:t xml:space="preserve"> </w:t>
      </w:r>
      <w:r w:rsidR="00684BC8" w:rsidRPr="00BB2872">
        <w:rPr>
          <w:rFonts w:ascii="Times New Roman" w:eastAsia="Times New Roman" w:hAnsi="Times New Roman" w:cs="Times New Roman"/>
          <w:sz w:val="24"/>
          <w:szCs w:val="24"/>
        </w:rPr>
        <w:t xml:space="preserve">De </w:t>
      </w:r>
      <w:proofErr w:type="spellStart"/>
      <w:r w:rsidR="00684BC8" w:rsidRPr="00BB2872">
        <w:rPr>
          <w:rFonts w:ascii="Times New Roman" w:eastAsia="Times New Roman" w:hAnsi="Times New Roman" w:cs="Times New Roman"/>
          <w:sz w:val="24"/>
          <w:szCs w:val="24"/>
        </w:rPr>
        <w:t>Bondt</w:t>
      </w:r>
      <w:proofErr w:type="spellEnd"/>
      <w:r w:rsidR="00D45E73" w:rsidRPr="00BB2872">
        <w:rPr>
          <w:rFonts w:ascii="Times New Roman" w:eastAsia="Times New Roman" w:hAnsi="Times New Roman" w:cs="Times New Roman"/>
          <w:sz w:val="24"/>
          <w:szCs w:val="24"/>
        </w:rPr>
        <w:t xml:space="preserve"> (2002) examined the retail bank interest</w:t>
      </w:r>
      <w:r w:rsidR="00E02BFF" w:rsidRPr="00BB2872">
        <w:rPr>
          <w:rFonts w:ascii="Times New Roman" w:eastAsia="Times New Roman" w:hAnsi="Times New Roman" w:cs="Times New Roman"/>
          <w:sz w:val="24"/>
          <w:szCs w:val="24"/>
        </w:rPr>
        <w:t xml:space="preserve"> </w:t>
      </w:r>
      <w:r w:rsidR="00D45E73" w:rsidRPr="00BB2872">
        <w:rPr>
          <w:rFonts w:ascii="Times New Roman" w:eastAsia="Times New Roman" w:hAnsi="Times New Roman" w:cs="Times New Roman"/>
          <w:sz w:val="24"/>
          <w:szCs w:val="24"/>
        </w:rPr>
        <w:t>rate pass-through process in the EA</w:t>
      </w:r>
      <w:r w:rsidRPr="00BB2872">
        <w:rPr>
          <w:rFonts w:ascii="Times New Roman" w:eastAsia="Times New Roman" w:hAnsi="Times New Roman" w:cs="Times New Roman"/>
          <w:sz w:val="24"/>
          <w:szCs w:val="24"/>
        </w:rPr>
        <w:t>,</w:t>
      </w:r>
      <w:r w:rsidR="00D45E73" w:rsidRPr="00BB2872">
        <w:rPr>
          <w:rFonts w:ascii="Times New Roman" w:eastAsia="Times New Roman" w:hAnsi="Times New Roman" w:cs="Times New Roman"/>
          <w:sz w:val="24"/>
          <w:szCs w:val="24"/>
        </w:rPr>
        <w:t xml:space="preserve"> f</w:t>
      </w:r>
      <w:r w:rsidRPr="00BB2872">
        <w:rPr>
          <w:rFonts w:ascii="Times New Roman" w:eastAsia="Times New Roman" w:hAnsi="Times New Roman" w:cs="Times New Roman"/>
          <w:sz w:val="24"/>
          <w:szCs w:val="24"/>
        </w:rPr>
        <w:t>inding</w:t>
      </w:r>
      <w:r w:rsidR="00D45E73" w:rsidRPr="00BB2872">
        <w:rPr>
          <w:rFonts w:ascii="Times New Roman" w:eastAsia="Times New Roman" w:hAnsi="Times New Roman" w:cs="Times New Roman"/>
          <w:sz w:val="24"/>
          <w:szCs w:val="24"/>
        </w:rPr>
        <w:t xml:space="preserve"> it to be </w:t>
      </w:r>
      <w:r w:rsidRPr="00BB2872">
        <w:rPr>
          <w:rFonts w:ascii="Times New Roman" w:eastAsia="Times New Roman" w:hAnsi="Times New Roman" w:cs="Times New Roman"/>
          <w:sz w:val="24"/>
          <w:szCs w:val="24"/>
        </w:rPr>
        <w:t xml:space="preserve">faster </w:t>
      </w:r>
      <w:r w:rsidR="00D45E73" w:rsidRPr="00BB2872">
        <w:rPr>
          <w:rFonts w:ascii="Times New Roman" w:eastAsia="Times New Roman" w:hAnsi="Times New Roman" w:cs="Times New Roman"/>
          <w:sz w:val="24"/>
          <w:szCs w:val="24"/>
        </w:rPr>
        <w:t xml:space="preserve">since the introduction of </w:t>
      </w:r>
      <w:r w:rsidRPr="00BB2872">
        <w:rPr>
          <w:rFonts w:ascii="Times New Roman" w:eastAsia="Times New Roman" w:hAnsi="Times New Roman" w:cs="Times New Roman"/>
          <w:sz w:val="24"/>
          <w:szCs w:val="24"/>
        </w:rPr>
        <w:t xml:space="preserve">the </w:t>
      </w:r>
      <w:r w:rsidR="00D45E73" w:rsidRPr="00BB2872">
        <w:rPr>
          <w:rFonts w:ascii="Times New Roman" w:eastAsia="Times New Roman" w:hAnsi="Times New Roman" w:cs="Times New Roman"/>
          <w:sz w:val="24"/>
          <w:szCs w:val="24"/>
        </w:rPr>
        <w:t>euro</w:t>
      </w:r>
      <w:r w:rsidRPr="00BB2872">
        <w:rPr>
          <w:rFonts w:ascii="Times New Roman" w:eastAsia="Times New Roman" w:hAnsi="Times New Roman" w:cs="Times New Roman"/>
          <w:sz w:val="24"/>
          <w:szCs w:val="24"/>
        </w:rPr>
        <w:t>, whilst</w:t>
      </w:r>
      <w:r w:rsidR="00D45E73" w:rsidRPr="00BB2872">
        <w:rPr>
          <w:rFonts w:ascii="Times New Roman" w:eastAsia="Times New Roman" w:hAnsi="Times New Roman" w:cs="Times New Roman"/>
          <w:sz w:val="24"/>
          <w:szCs w:val="24"/>
        </w:rPr>
        <w:t xml:space="preserve"> Sander and </w:t>
      </w:r>
      <w:proofErr w:type="spellStart"/>
      <w:r w:rsidR="00D45E73" w:rsidRPr="00BB2872">
        <w:rPr>
          <w:rFonts w:ascii="Times New Roman" w:eastAsia="Times New Roman" w:hAnsi="Times New Roman" w:cs="Times New Roman"/>
          <w:sz w:val="24"/>
          <w:szCs w:val="24"/>
        </w:rPr>
        <w:t>Kleimeier</w:t>
      </w:r>
      <w:proofErr w:type="spellEnd"/>
      <w:r w:rsidR="00D45E73" w:rsidRPr="00BB2872">
        <w:rPr>
          <w:rFonts w:ascii="Times New Roman" w:eastAsia="Times New Roman" w:hAnsi="Times New Roman" w:cs="Times New Roman"/>
          <w:sz w:val="24"/>
          <w:szCs w:val="24"/>
        </w:rPr>
        <w:t xml:space="preserve"> (2004) dealt with </w:t>
      </w:r>
      <w:r w:rsidRPr="00BB2872">
        <w:rPr>
          <w:rFonts w:ascii="Times New Roman" w:eastAsia="Times New Roman" w:hAnsi="Times New Roman" w:cs="Times New Roman"/>
          <w:sz w:val="24"/>
          <w:szCs w:val="24"/>
        </w:rPr>
        <w:t xml:space="preserve">the </w:t>
      </w:r>
      <w:r w:rsidR="00D45E73" w:rsidRPr="00BB2872">
        <w:rPr>
          <w:rFonts w:ascii="Times New Roman" w:eastAsia="Times New Roman" w:hAnsi="Times New Roman" w:cs="Times New Roman"/>
          <w:sz w:val="24"/>
          <w:szCs w:val="24"/>
        </w:rPr>
        <w:t>convergence in retail banking in the EA</w:t>
      </w:r>
      <w:r w:rsidRPr="00BB2872">
        <w:rPr>
          <w:rFonts w:ascii="Times New Roman" w:eastAsia="Times New Roman" w:hAnsi="Times New Roman" w:cs="Times New Roman"/>
          <w:sz w:val="24"/>
          <w:szCs w:val="24"/>
        </w:rPr>
        <w:t>,</w:t>
      </w:r>
      <w:r w:rsidR="00D45E73" w:rsidRPr="00BB2872">
        <w:rPr>
          <w:rFonts w:ascii="Times New Roman" w:eastAsia="Times New Roman" w:hAnsi="Times New Roman" w:cs="Times New Roman"/>
          <w:sz w:val="24"/>
          <w:szCs w:val="24"/>
        </w:rPr>
        <w:t xml:space="preserve"> stud</w:t>
      </w:r>
      <w:r w:rsidRPr="00BB2872">
        <w:rPr>
          <w:rFonts w:ascii="Times New Roman" w:eastAsia="Times New Roman" w:hAnsi="Times New Roman" w:cs="Times New Roman"/>
          <w:sz w:val="24"/>
          <w:szCs w:val="24"/>
        </w:rPr>
        <w:t>ying</w:t>
      </w:r>
      <w:r w:rsidR="00D45E73" w:rsidRPr="00BB2872">
        <w:rPr>
          <w:rFonts w:ascii="Times New Roman" w:eastAsia="Times New Roman" w:hAnsi="Times New Roman" w:cs="Times New Roman"/>
          <w:sz w:val="24"/>
          <w:szCs w:val="24"/>
        </w:rPr>
        <w:t xml:space="preserve"> the role of the interest</w:t>
      </w:r>
      <w:r w:rsidR="00E02BFF" w:rsidRPr="00BB2872">
        <w:rPr>
          <w:rFonts w:ascii="Times New Roman" w:eastAsia="Times New Roman" w:hAnsi="Times New Roman" w:cs="Times New Roman"/>
          <w:sz w:val="24"/>
          <w:szCs w:val="24"/>
        </w:rPr>
        <w:t xml:space="preserve"> </w:t>
      </w:r>
      <w:r w:rsidR="00D45E73" w:rsidRPr="00BB2872">
        <w:rPr>
          <w:rFonts w:ascii="Times New Roman" w:eastAsia="Times New Roman" w:hAnsi="Times New Roman" w:cs="Times New Roman"/>
          <w:sz w:val="24"/>
          <w:szCs w:val="24"/>
        </w:rPr>
        <w:t xml:space="preserve">rate pass-through in monetary policy transmission, </w:t>
      </w:r>
      <w:proofErr w:type="gramStart"/>
      <w:r w:rsidR="00D45E73" w:rsidRPr="00BB2872">
        <w:rPr>
          <w:rFonts w:ascii="Times New Roman" w:eastAsia="Times New Roman" w:hAnsi="Times New Roman" w:cs="Times New Roman"/>
          <w:sz w:val="24"/>
          <w:szCs w:val="24"/>
        </w:rPr>
        <w:t>competition</w:t>
      </w:r>
      <w:proofErr w:type="gramEnd"/>
      <w:r w:rsidR="00D45E73" w:rsidRPr="00BB2872">
        <w:rPr>
          <w:rFonts w:ascii="Times New Roman" w:eastAsia="Times New Roman" w:hAnsi="Times New Roman" w:cs="Times New Roman"/>
          <w:sz w:val="24"/>
          <w:szCs w:val="24"/>
        </w:rPr>
        <w:t xml:space="preserve"> and integration. </w:t>
      </w:r>
    </w:p>
    <w:p w14:paraId="00000011" w14:textId="6085BD50" w:rsidR="00345220" w:rsidRPr="00BB2872" w:rsidRDefault="007468AF">
      <w:pPr>
        <w:spacing w:after="0" w:line="480" w:lineRule="auto"/>
        <w:ind w:firstLine="720"/>
        <w:rPr>
          <w:rFonts w:ascii="Times New Roman" w:eastAsia="Times New Roman" w:hAnsi="Times New Roman" w:cs="Times New Roman"/>
          <w:sz w:val="24"/>
          <w:szCs w:val="24"/>
        </w:rPr>
      </w:pPr>
      <w:r w:rsidRPr="00BB2872">
        <w:rPr>
          <w:rFonts w:ascii="Times New Roman" w:eastAsia="Times New Roman" w:hAnsi="Times New Roman" w:cs="Times New Roman"/>
          <w:sz w:val="24"/>
          <w:szCs w:val="24"/>
        </w:rPr>
        <w:lastRenderedPageBreak/>
        <w:t xml:space="preserve">Following </w:t>
      </w:r>
      <w:r w:rsidR="00D45E73" w:rsidRPr="00BB2872">
        <w:rPr>
          <w:rFonts w:ascii="Times New Roman" w:eastAsia="Times New Roman" w:hAnsi="Times New Roman" w:cs="Times New Roman"/>
          <w:sz w:val="24"/>
          <w:szCs w:val="24"/>
        </w:rPr>
        <w:t xml:space="preserve">the financial crisis, </w:t>
      </w:r>
      <w:r w:rsidRPr="00BB2872">
        <w:rPr>
          <w:rFonts w:ascii="Times New Roman" w:eastAsia="Times New Roman" w:hAnsi="Times New Roman" w:cs="Times New Roman"/>
          <w:sz w:val="24"/>
          <w:szCs w:val="24"/>
        </w:rPr>
        <w:t>studies became focused</w:t>
      </w:r>
      <w:r w:rsidR="00D45E73" w:rsidRPr="00BB2872">
        <w:rPr>
          <w:rFonts w:ascii="Times New Roman" w:eastAsia="Times New Roman" w:hAnsi="Times New Roman" w:cs="Times New Roman"/>
          <w:sz w:val="24"/>
          <w:szCs w:val="24"/>
        </w:rPr>
        <w:t xml:space="preserve"> </w:t>
      </w:r>
      <w:r w:rsidRPr="00BB2872">
        <w:rPr>
          <w:rFonts w:ascii="Times New Roman" w:eastAsia="Times New Roman" w:hAnsi="Times New Roman" w:cs="Times New Roman"/>
          <w:sz w:val="24"/>
          <w:szCs w:val="24"/>
        </w:rPr>
        <w:t>on</w:t>
      </w:r>
      <w:r w:rsidR="00D45E73" w:rsidRPr="00BB2872">
        <w:rPr>
          <w:rFonts w:ascii="Times New Roman" w:eastAsia="Times New Roman" w:hAnsi="Times New Roman" w:cs="Times New Roman"/>
          <w:sz w:val="24"/>
          <w:szCs w:val="24"/>
        </w:rPr>
        <w:t xml:space="preserve"> the issue of </w:t>
      </w:r>
      <w:r w:rsidRPr="00BB2872">
        <w:rPr>
          <w:rFonts w:ascii="Times New Roman" w:eastAsia="Times New Roman" w:hAnsi="Times New Roman" w:cs="Times New Roman"/>
          <w:sz w:val="24"/>
          <w:szCs w:val="24"/>
        </w:rPr>
        <w:t xml:space="preserve">the </w:t>
      </w:r>
      <w:r w:rsidR="00D45E73" w:rsidRPr="00BB2872">
        <w:rPr>
          <w:rFonts w:ascii="Times New Roman" w:eastAsia="Times New Roman" w:hAnsi="Times New Roman" w:cs="Times New Roman"/>
          <w:sz w:val="24"/>
          <w:szCs w:val="24"/>
        </w:rPr>
        <w:t xml:space="preserve">possible impacts of the crisis and the anomalies that it </w:t>
      </w:r>
      <w:r w:rsidRPr="00BB2872">
        <w:rPr>
          <w:rFonts w:ascii="Times New Roman" w:eastAsia="Times New Roman" w:hAnsi="Times New Roman" w:cs="Times New Roman"/>
          <w:sz w:val="24"/>
          <w:szCs w:val="24"/>
        </w:rPr>
        <w:t xml:space="preserve">may </w:t>
      </w:r>
      <w:r w:rsidR="00D45E73" w:rsidRPr="00BB2872">
        <w:rPr>
          <w:rFonts w:ascii="Times New Roman" w:eastAsia="Times New Roman" w:hAnsi="Times New Roman" w:cs="Times New Roman"/>
          <w:sz w:val="24"/>
          <w:szCs w:val="24"/>
        </w:rPr>
        <w:t xml:space="preserve">have </w:t>
      </w:r>
      <w:r w:rsidRPr="00BB2872">
        <w:rPr>
          <w:rFonts w:ascii="Times New Roman" w:eastAsia="Times New Roman" w:hAnsi="Times New Roman" w:cs="Times New Roman"/>
          <w:sz w:val="24"/>
          <w:szCs w:val="24"/>
        </w:rPr>
        <w:t xml:space="preserve">potentially </w:t>
      </w:r>
      <w:r w:rsidR="00D45E73" w:rsidRPr="00BB2872">
        <w:rPr>
          <w:rFonts w:ascii="Times New Roman" w:eastAsia="Times New Roman" w:hAnsi="Times New Roman" w:cs="Times New Roman"/>
          <w:sz w:val="24"/>
          <w:szCs w:val="24"/>
        </w:rPr>
        <w:t xml:space="preserve">brought to the pricing of loans and deposits. </w:t>
      </w:r>
      <w:proofErr w:type="spellStart"/>
      <w:r w:rsidR="00D45E73" w:rsidRPr="00BB2872">
        <w:rPr>
          <w:rFonts w:ascii="Times New Roman" w:eastAsia="Times New Roman" w:hAnsi="Times New Roman" w:cs="Times New Roman"/>
          <w:sz w:val="24"/>
          <w:szCs w:val="24"/>
        </w:rPr>
        <w:t>Karagiannis</w:t>
      </w:r>
      <w:proofErr w:type="spellEnd"/>
      <w:r w:rsidR="00D45E73" w:rsidRPr="00BB2872">
        <w:rPr>
          <w:rFonts w:ascii="Times New Roman" w:eastAsia="Times New Roman" w:hAnsi="Times New Roman" w:cs="Times New Roman"/>
          <w:sz w:val="24"/>
          <w:szCs w:val="24"/>
        </w:rPr>
        <w:t xml:space="preserve"> et al. (2010) investigated the interest</w:t>
      </w:r>
      <w:r w:rsidR="00E02BFF" w:rsidRPr="00BB2872">
        <w:rPr>
          <w:rFonts w:ascii="Times New Roman" w:eastAsia="Times New Roman" w:hAnsi="Times New Roman" w:cs="Times New Roman"/>
          <w:sz w:val="24"/>
          <w:szCs w:val="24"/>
        </w:rPr>
        <w:t xml:space="preserve"> </w:t>
      </w:r>
      <w:r w:rsidR="00D45E73" w:rsidRPr="00BB2872">
        <w:rPr>
          <w:rFonts w:ascii="Times New Roman" w:eastAsia="Times New Roman" w:hAnsi="Times New Roman" w:cs="Times New Roman"/>
          <w:sz w:val="24"/>
          <w:szCs w:val="24"/>
        </w:rPr>
        <w:t>rate pass-through in Europe and the US</w:t>
      </w:r>
      <w:r w:rsidRPr="00BB2872">
        <w:rPr>
          <w:rFonts w:ascii="Times New Roman" w:eastAsia="Times New Roman" w:hAnsi="Times New Roman" w:cs="Times New Roman"/>
          <w:sz w:val="24"/>
          <w:szCs w:val="24"/>
        </w:rPr>
        <w:t>,</w:t>
      </w:r>
      <w:r w:rsidR="00D45E73" w:rsidRPr="00BB2872">
        <w:rPr>
          <w:rFonts w:ascii="Times New Roman" w:eastAsia="Times New Roman" w:hAnsi="Times New Roman" w:cs="Times New Roman"/>
          <w:sz w:val="24"/>
          <w:szCs w:val="24"/>
        </w:rPr>
        <w:t xml:space="preserve"> with </w:t>
      </w:r>
      <w:r w:rsidRPr="00BB2872">
        <w:rPr>
          <w:rFonts w:ascii="Times New Roman" w:eastAsia="Times New Roman" w:hAnsi="Times New Roman" w:cs="Times New Roman"/>
          <w:sz w:val="24"/>
          <w:szCs w:val="24"/>
        </w:rPr>
        <w:t xml:space="preserve">a </w:t>
      </w:r>
      <w:r w:rsidR="00D45E73" w:rsidRPr="00BB2872">
        <w:rPr>
          <w:rFonts w:ascii="Times New Roman" w:eastAsia="Times New Roman" w:hAnsi="Times New Roman" w:cs="Times New Roman"/>
          <w:sz w:val="24"/>
          <w:szCs w:val="24"/>
        </w:rPr>
        <w:t xml:space="preserve">focus on </w:t>
      </w:r>
      <w:r w:rsidRPr="00BB2872">
        <w:rPr>
          <w:rFonts w:ascii="Times New Roman" w:eastAsia="Times New Roman" w:hAnsi="Times New Roman" w:cs="Times New Roman"/>
          <w:sz w:val="24"/>
          <w:szCs w:val="24"/>
        </w:rPr>
        <w:t xml:space="preserve">post-financial-crisis </w:t>
      </w:r>
      <w:r w:rsidR="00D45E73" w:rsidRPr="00BB2872">
        <w:rPr>
          <w:rFonts w:ascii="Times New Roman" w:eastAsia="Times New Roman" w:hAnsi="Times New Roman" w:cs="Times New Roman"/>
          <w:sz w:val="24"/>
          <w:szCs w:val="24"/>
        </w:rPr>
        <w:t xml:space="preserve">monetary policy. Their results </w:t>
      </w:r>
      <w:r w:rsidRPr="00BB2872">
        <w:rPr>
          <w:rFonts w:ascii="Times New Roman" w:eastAsia="Times New Roman" w:hAnsi="Times New Roman" w:cs="Times New Roman"/>
          <w:sz w:val="24"/>
          <w:szCs w:val="24"/>
        </w:rPr>
        <w:t>we</w:t>
      </w:r>
      <w:r w:rsidR="00D45E73" w:rsidRPr="00BB2872">
        <w:rPr>
          <w:rFonts w:ascii="Times New Roman" w:eastAsia="Times New Roman" w:hAnsi="Times New Roman" w:cs="Times New Roman"/>
          <w:sz w:val="24"/>
          <w:szCs w:val="24"/>
        </w:rPr>
        <w:t xml:space="preserve">re </w:t>
      </w:r>
      <w:r w:rsidRPr="00BB2872">
        <w:rPr>
          <w:rFonts w:ascii="Times New Roman" w:eastAsia="Times New Roman" w:hAnsi="Times New Roman" w:cs="Times New Roman"/>
          <w:sz w:val="24"/>
          <w:szCs w:val="24"/>
        </w:rPr>
        <w:t xml:space="preserve">somewhat </w:t>
      </w:r>
      <w:r w:rsidR="00D45E73" w:rsidRPr="00BB2872">
        <w:rPr>
          <w:rFonts w:ascii="Times New Roman" w:eastAsia="Times New Roman" w:hAnsi="Times New Roman" w:cs="Times New Roman"/>
          <w:sz w:val="24"/>
          <w:szCs w:val="24"/>
        </w:rPr>
        <w:t>mixed</w:t>
      </w:r>
      <w:r w:rsidRPr="00BB2872">
        <w:rPr>
          <w:rFonts w:ascii="Times New Roman" w:eastAsia="Times New Roman" w:hAnsi="Times New Roman" w:cs="Times New Roman"/>
          <w:sz w:val="24"/>
          <w:szCs w:val="24"/>
        </w:rPr>
        <w:t>, indicating</w:t>
      </w:r>
      <w:r w:rsidR="00D45E73" w:rsidRPr="00BB2872">
        <w:rPr>
          <w:rFonts w:ascii="Times New Roman" w:eastAsia="Times New Roman" w:hAnsi="Times New Roman" w:cs="Times New Roman"/>
          <w:sz w:val="24"/>
          <w:szCs w:val="24"/>
        </w:rPr>
        <w:t xml:space="preserve"> that the efficiency of the transmission of monetary policy in the US and Europe was disrupted, as reflected in a widening of the spreads between the central bank policy rates and the money market rates</w:t>
      </w:r>
      <w:r w:rsidRPr="00BB2872">
        <w:rPr>
          <w:rFonts w:ascii="Times New Roman" w:eastAsia="Times New Roman" w:hAnsi="Times New Roman" w:cs="Times New Roman"/>
          <w:sz w:val="24"/>
          <w:szCs w:val="24"/>
        </w:rPr>
        <w:t>,</w:t>
      </w:r>
      <w:r w:rsidR="00D45E73" w:rsidRPr="00BB2872">
        <w:rPr>
          <w:rFonts w:ascii="Times New Roman" w:eastAsia="Times New Roman" w:hAnsi="Times New Roman" w:cs="Times New Roman"/>
          <w:sz w:val="24"/>
          <w:szCs w:val="24"/>
        </w:rPr>
        <w:t xml:space="preserve"> as well as between the money market rates and the retail rates. </w:t>
      </w:r>
      <w:proofErr w:type="spellStart"/>
      <w:r w:rsidR="00D45E73" w:rsidRPr="00BB2872">
        <w:rPr>
          <w:rFonts w:ascii="Times New Roman" w:eastAsia="Times New Roman" w:hAnsi="Times New Roman" w:cs="Times New Roman"/>
          <w:sz w:val="24"/>
          <w:szCs w:val="24"/>
        </w:rPr>
        <w:t>Karagiannis</w:t>
      </w:r>
      <w:proofErr w:type="spellEnd"/>
      <w:r w:rsidR="00D45E73" w:rsidRPr="00BB2872">
        <w:rPr>
          <w:rFonts w:ascii="Times New Roman" w:eastAsia="Times New Roman" w:hAnsi="Times New Roman" w:cs="Times New Roman"/>
          <w:sz w:val="24"/>
          <w:szCs w:val="24"/>
        </w:rPr>
        <w:t xml:space="preserve"> et al. (2011) </w:t>
      </w:r>
      <w:r w:rsidRPr="00BB2872">
        <w:rPr>
          <w:rFonts w:ascii="Times New Roman" w:eastAsia="Times New Roman" w:hAnsi="Times New Roman" w:cs="Times New Roman"/>
          <w:sz w:val="24"/>
          <w:szCs w:val="24"/>
        </w:rPr>
        <w:t>went on to</w:t>
      </w:r>
      <w:r w:rsidR="00D45E73" w:rsidRPr="00BB2872">
        <w:rPr>
          <w:rFonts w:ascii="Times New Roman" w:eastAsia="Times New Roman" w:hAnsi="Times New Roman" w:cs="Times New Roman"/>
          <w:sz w:val="24"/>
          <w:szCs w:val="24"/>
        </w:rPr>
        <w:t xml:space="preserve"> deal with </w:t>
      </w:r>
      <w:r w:rsidRPr="00BB2872">
        <w:rPr>
          <w:rFonts w:ascii="Times New Roman" w:eastAsia="Times New Roman" w:hAnsi="Times New Roman" w:cs="Times New Roman"/>
          <w:sz w:val="24"/>
          <w:szCs w:val="24"/>
        </w:rPr>
        <w:t xml:space="preserve">the </w:t>
      </w:r>
      <w:r w:rsidR="00D45E73" w:rsidRPr="00BB2872">
        <w:rPr>
          <w:rFonts w:ascii="Times New Roman" w:eastAsia="Times New Roman" w:hAnsi="Times New Roman" w:cs="Times New Roman"/>
          <w:sz w:val="24"/>
          <w:szCs w:val="24"/>
        </w:rPr>
        <w:t>symmetric or asymmetric interest</w:t>
      </w:r>
      <w:r w:rsidR="00E02BFF" w:rsidRPr="00BB2872">
        <w:rPr>
          <w:rFonts w:ascii="Times New Roman" w:eastAsia="Times New Roman" w:hAnsi="Times New Roman" w:cs="Times New Roman"/>
          <w:sz w:val="24"/>
          <w:szCs w:val="24"/>
        </w:rPr>
        <w:t xml:space="preserve"> </w:t>
      </w:r>
      <w:r w:rsidR="00D45E73" w:rsidRPr="00BB2872">
        <w:rPr>
          <w:rFonts w:ascii="Times New Roman" w:eastAsia="Times New Roman" w:hAnsi="Times New Roman" w:cs="Times New Roman"/>
          <w:sz w:val="24"/>
          <w:szCs w:val="24"/>
        </w:rPr>
        <w:t xml:space="preserve">rate adjustments in Greece, </w:t>
      </w:r>
      <w:proofErr w:type="gramStart"/>
      <w:r w:rsidR="00D45E73" w:rsidRPr="00BB2872">
        <w:rPr>
          <w:rFonts w:ascii="Times New Roman" w:eastAsia="Times New Roman" w:hAnsi="Times New Roman" w:cs="Times New Roman"/>
          <w:sz w:val="24"/>
          <w:szCs w:val="24"/>
        </w:rPr>
        <w:t>Bulgaria</w:t>
      </w:r>
      <w:proofErr w:type="gramEnd"/>
      <w:r w:rsidR="00D45E73" w:rsidRPr="00BB2872">
        <w:rPr>
          <w:rFonts w:ascii="Times New Roman" w:eastAsia="Times New Roman" w:hAnsi="Times New Roman" w:cs="Times New Roman"/>
          <w:sz w:val="24"/>
          <w:szCs w:val="24"/>
        </w:rPr>
        <w:t xml:space="preserve"> and Slovenia. </w:t>
      </w:r>
      <w:r w:rsidRPr="00BB2872">
        <w:rPr>
          <w:rFonts w:ascii="Times New Roman" w:eastAsia="Times New Roman" w:hAnsi="Times New Roman" w:cs="Times New Roman"/>
          <w:sz w:val="24"/>
          <w:szCs w:val="24"/>
        </w:rPr>
        <w:t>V</w:t>
      </w:r>
      <w:r w:rsidR="00D45E73" w:rsidRPr="00BB2872">
        <w:rPr>
          <w:rFonts w:ascii="Times New Roman" w:eastAsia="Times New Roman" w:hAnsi="Times New Roman" w:cs="Times New Roman"/>
          <w:sz w:val="24"/>
          <w:szCs w:val="24"/>
        </w:rPr>
        <w:t xml:space="preserve">ariations </w:t>
      </w:r>
      <w:r w:rsidRPr="00BB2872">
        <w:rPr>
          <w:rFonts w:ascii="Times New Roman" w:eastAsia="Times New Roman" w:hAnsi="Times New Roman" w:cs="Times New Roman"/>
          <w:sz w:val="24"/>
          <w:szCs w:val="24"/>
        </w:rPr>
        <w:t xml:space="preserve">in </w:t>
      </w:r>
      <w:r w:rsidR="00D45E73" w:rsidRPr="00BB2872">
        <w:rPr>
          <w:rFonts w:ascii="Times New Roman" w:eastAsia="Times New Roman" w:hAnsi="Times New Roman" w:cs="Times New Roman"/>
          <w:sz w:val="24"/>
          <w:szCs w:val="24"/>
        </w:rPr>
        <w:t>the transmission process</w:t>
      </w:r>
      <w:r w:rsidRPr="00BB2872">
        <w:rPr>
          <w:rFonts w:ascii="Times New Roman" w:eastAsia="Times New Roman" w:hAnsi="Times New Roman" w:cs="Times New Roman"/>
          <w:sz w:val="24"/>
          <w:szCs w:val="24"/>
        </w:rPr>
        <w:t>es</w:t>
      </w:r>
      <w:r w:rsidR="00D45E73" w:rsidRPr="00BB2872">
        <w:rPr>
          <w:rFonts w:ascii="Times New Roman" w:eastAsia="Times New Roman" w:hAnsi="Times New Roman" w:cs="Times New Roman"/>
          <w:sz w:val="24"/>
          <w:szCs w:val="24"/>
        </w:rPr>
        <w:t xml:space="preserve"> of monetary policy were found</w:t>
      </w:r>
      <w:r w:rsidRPr="00BB2872">
        <w:rPr>
          <w:rFonts w:ascii="Times New Roman" w:eastAsia="Times New Roman" w:hAnsi="Times New Roman" w:cs="Times New Roman"/>
          <w:sz w:val="24"/>
          <w:szCs w:val="24"/>
        </w:rPr>
        <w:t xml:space="preserve">, </w:t>
      </w:r>
      <w:r w:rsidR="00D45E73" w:rsidRPr="00BB2872">
        <w:rPr>
          <w:rFonts w:ascii="Times New Roman" w:eastAsia="Times New Roman" w:hAnsi="Times New Roman" w:cs="Times New Roman"/>
          <w:sz w:val="24"/>
          <w:szCs w:val="24"/>
        </w:rPr>
        <w:t>possibly due to different level</w:t>
      </w:r>
      <w:r w:rsidRPr="00BB2872">
        <w:rPr>
          <w:rFonts w:ascii="Times New Roman" w:eastAsia="Times New Roman" w:hAnsi="Times New Roman" w:cs="Times New Roman"/>
          <w:sz w:val="24"/>
          <w:szCs w:val="24"/>
        </w:rPr>
        <w:t>s</w:t>
      </w:r>
      <w:r w:rsidR="00D45E73" w:rsidRPr="00BB2872">
        <w:rPr>
          <w:rFonts w:ascii="Times New Roman" w:eastAsia="Times New Roman" w:hAnsi="Times New Roman" w:cs="Times New Roman"/>
          <w:sz w:val="24"/>
          <w:szCs w:val="24"/>
        </w:rPr>
        <w:t xml:space="preserve"> of competition, liberali</w:t>
      </w:r>
      <w:r w:rsidRPr="00BB2872">
        <w:rPr>
          <w:rFonts w:ascii="Times New Roman" w:eastAsia="Times New Roman" w:hAnsi="Times New Roman" w:cs="Times New Roman"/>
          <w:sz w:val="24"/>
          <w:szCs w:val="24"/>
        </w:rPr>
        <w:t>s</w:t>
      </w:r>
      <w:r w:rsidR="00D45E73" w:rsidRPr="00BB2872">
        <w:rPr>
          <w:rFonts w:ascii="Times New Roman" w:eastAsia="Times New Roman" w:hAnsi="Times New Roman" w:cs="Times New Roman"/>
          <w:sz w:val="24"/>
          <w:szCs w:val="24"/>
        </w:rPr>
        <w:t xml:space="preserve">ation, </w:t>
      </w:r>
      <w:r w:rsidRPr="00BB2872">
        <w:rPr>
          <w:rFonts w:ascii="Times New Roman" w:eastAsia="Times New Roman" w:hAnsi="Times New Roman" w:cs="Times New Roman"/>
          <w:sz w:val="24"/>
          <w:szCs w:val="24"/>
        </w:rPr>
        <w:t xml:space="preserve">and the </w:t>
      </w:r>
      <w:r w:rsidR="00D45E73" w:rsidRPr="00BB2872">
        <w:rPr>
          <w:rFonts w:ascii="Times New Roman" w:eastAsia="Times New Roman" w:hAnsi="Times New Roman" w:cs="Times New Roman"/>
          <w:sz w:val="24"/>
          <w:szCs w:val="24"/>
        </w:rPr>
        <w:t>development</w:t>
      </w:r>
      <w:r w:rsidRPr="00BB2872">
        <w:rPr>
          <w:rFonts w:ascii="Times New Roman" w:eastAsia="Times New Roman" w:hAnsi="Times New Roman" w:cs="Times New Roman"/>
          <w:sz w:val="24"/>
          <w:szCs w:val="24"/>
        </w:rPr>
        <w:t>al level</w:t>
      </w:r>
      <w:r w:rsidR="00D45E73" w:rsidRPr="00BB2872">
        <w:rPr>
          <w:rFonts w:ascii="Times New Roman" w:eastAsia="Times New Roman" w:hAnsi="Times New Roman" w:cs="Times New Roman"/>
          <w:sz w:val="24"/>
          <w:szCs w:val="24"/>
        </w:rPr>
        <w:t xml:space="preserve"> of the banking systems in the selected countries. </w:t>
      </w:r>
      <w:proofErr w:type="spellStart"/>
      <w:r w:rsidR="00D45E73" w:rsidRPr="00BB2872">
        <w:rPr>
          <w:rFonts w:ascii="Times New Roman" w:eastAsia="Times New Roman" w:hAnsi="Times New Roman" w:cs="Times New Roman"/>
          <w:sz w:val="24"/>
          <w:szCs w:val="24"/>
        </w:rPr>
        <w:t>Petrevski</w:t>
      </w:r>
      <w:proofErr w:type="spellEnd"/>
      <w:r w:rsidR="00D45E73" w:rsidRPr="00BB2872">
        <w:rPr>
          <w:rFonts w:ascii="Times New Roman" w:eastAsia="Times New Roman" w:hAnsi="Times New Roman" w:cs="Times New Roman"/>
          <w:sz w:val="24"/>
          <w:szCs w:val="24"/>
        </w:rPr>
        <w:t xml:space="preserve"> and </w:t>
      </w:r>
      <w:proofErr w:type="spellStart"/>
      <w:r w:rsidR="00D45E73" w:rsidRPr="00BB2872">
        <w:rPr>
          <w:rFonts w:ascii="Times New Roman" w:eastAsia="Times New Roman" w:hAnsi="Times New Roman" w:cs="Times New Roman"/>
          <w:sz w:val="24"/>
          <w:szCs w:val="24"/>
        </w:rPr>
        <w:t>Bogoev</w:t>
      </w:r>
      <w:proofErr w:type="spellEnd"/>
      <w:r w:rsidR="00D45E73" w:rsidRPr="00BB2872">
        <w:rPr>
          <w:rFonts w:ascii="Times New Roman" w:eastAsia="Times New Roman" w:hAnsi="Times New Roman" w:cs="Times New Roman"/>
          <w:sz w:val="24"/>
          <w:szCs w:val="24"/>
        </w:rPr>
        <w:t xml:space="preserve"> (2012) studied the interest</w:t>
      </w:r>
      <w:r w:rsidR="00E02BFF" w:rsidRPr="00BB2872">
        <w:rPr>
          <w:rFonts w:ascii="Times New Roman" w:eastAsia="Times New Roman" w:hAnsi="Times New Roman" w:cs="Times New Roman"/>
          <w:sz w:val="24"/>
          <w:szCs w:val="24"/>
        </w:rPr>
        <w:t xml:space="preserve"> </w:t>
      </w:r>
      <w:r w:rsidR="00D45E73" w:rsidRPr="00BB2872">
        <w:rPr>
          <w:rFonts w:ascii="Times New Roman" w:eastAsia="Times New Roman" w:hAnsi="Times New Roman" w:cs="Times New Roman"/>
          <w:sz w:val="24"/>
          <w:szCs w:val="24"/>
        </w:rPr>
        <w:t xml:space="preserve">rate pass-through in three economies in </w:t>
      </w:r>
      <w:r w:rsidRPr="00BB2872">
        <w:rPr>
          <w:rFonts w:ascii="Times New Roman" w:eastAsia="Times New Roman" w:hAnsi="Times New Roman" w:cs="Times New Roman"/>
          <w:sz w:val="24"/>
          <w:szCs w:val="24"/>
        </w:rPr>
        <w:t>s</w:t>
      </w:r>
      <w:r w:rsidR="00D45E73" w:rsidRPr="00BB2872">
        <w:rPr>
          <w:rFonts w:ascii="Times New Roman" w:eastAsia="Times New Roman" w:hAnsi="Times New Roman" w:cs="Times New Roman"/>
          <w:sz w:val="24"/>
          <w:szCs w:val="24"/>
        </w:rPr>
        <w:t>outh-</w:t>
      </w:r>
      <w:r w:rsidRPr="00BB2872">
        <w:rPr>
          <w:rFonts w:ascii="Times New Roman" w:eastAsia="Times New Roman" w:hAnsi="Times New Roman" w:cs="Times New Roman"/>
          <w:sz w:val="24"/>
          <w:szCs w:val="24"/>
        </w:rPr>
        <w:t>e</w:t>
      </w:r>
      <w:r w:rsidR="00D45E73" w:rsidRPr="00BB2872">
        <w:rPr>
          <w:rFonts w:ascii="Times New Roman" w:eastAsia="Times New Roman" w:hAnsi="Times New Roman" w:cs="Times New Roman"/>
          <w:sz w:val="24"/>
          <w:szCs w:val="24"/>
        </w:rPr>
        <w:t>ast</w:t>
      </w:r>
      <w:r w:rsidRPr="00BB2872">
        <w:rPr>
          <w:rFonts w:ascii="Times New Roman" w:eastAsia="Times New Roman" w:hAnsi="Times New Roman" w:cs="Times New Roman"/>
          <w:sz w:val="24"/>
          <w:szCs w:val="24"/>
        </w:rPr>
        <w:t>ern</w:t>
      </w:r>
      <w:r w:rsidR="00D45E73" w:rsidRPr="00BB2872">
        <w:rPr>
          <w:rFonts w:ascii="Times New Roman" w:eastAsia="Times New Roman" w:hAnsi="Times New Roman" w:cs="Times New Roman"/>
          <w:sz w:val="24"/>
          <w:szCs w:val="24"/>
        </w:rPr>
        <w:t xml:space="preserve"> Europe</w:t>
      </w:r>
      <w:r w:rsidRPr="00BB2872">
        <w:rPr>
          <w:rFonts w:ascii="Times New Roman" w:eastAsia="Times New Roman" w:hAnsi="Times New Roman" w:cs="Times New Roman"/>
          <w:sz w:val="24"/>
          <w:szCs w:val="24"/>
        </w:rPr>
        <w:t>,</w:t>
      </w:r>
      <w:r w:rsidR="00D45E73" w:rsidRPr="00BB2872">
        <w:rPr>
          <w:rFonts w:ascii="Times New Roman" w:eastAsia="Times New Roman" w:hAnsi="Times New Roman" w:cs="Times New Roman"/>
          <w:sz w:val="24"/>
          <w:szCs w:val="24"/>
        </w:rPr>
        <w:t xml:space="preserve"> concluding that the adjustment of interest rates in the short </w:t>
      </w:r>
      <w:r w:rsidRPr="00BB2872">
        <w:rPr>
          <w:rFonts w:ascii="Times New Roman" w:eastAsia="Times New Roman" w:hAnsi="Times New Roman" w:cs="Times New Roman"/>
          <w:sz w:val="24"/>
          <w:szCs w:val="24"/>
        </w:rPr>
        <w:t>term wa</w:t>
      </w:r>
      <w:r w:rsidR="00D45E73" w:rsidRPr="00BB2872">
        <w:rPr>
          <w:rFonts w:ascii="Times New Roman" w:eastAsia="Times New Roman" w:hAnsi="Times New Roman" w:cs="Times New Roman"/>
          <w:sz w:val="24"/>
          <w:szCs w:val="24"/>
        </w:rPr>
        <w:t xml:space="preserve">s </w:t>
      </w:r>
      <w:r w:rsidR="006F65CF" w:rsidRPr="00BB2872">
        <w:rPr>
          <w:rFonts w:ascii="Times New Roman" w:eastAsia="Times New Roman" w:hAnsi="Times New Roman" w:cs="Times New Roman"/>
          <w:sz w:val="24"/>
          <w:szCs w:val="24"/>
        </w:rPr>
        <w:t xml:space="preserve">too </w:t>
      </w:r>
      <w:r w:rsidR="00D45E73" w:rsidRPr="00BB2872">
        <w:rPr>
          <w:rFonts w:ascii="Times New Roman" w:eastAsia="Times New Roman" w:hAnsi="Times New Roman" w:cs="Times New Roman"/>
          <w:sz w:val="24"/>
          <w:szCs w:val="24"/>
        </w:rPr>
        <w:t>low</w:t>
      </w:r>
      <w:r w:rsidRPr="00BB2872">
        <w:rPr>
          <w:rFonts w:ascii="Times New Roman" w:eastAsia="Times New Roman" w:hAnsi="Times New Roman" w:cs="Times New Roman"/>
          <w:sz w:val="24"/>
          <w:szCs w:val="24"/>
        </w:rPr>
        <w:t>,</w:t>
      </w:r>
      <w:r w:rsidR="00D45E73" w:rsidRPr="00BB2872">
        <w:rPr>
          <w:rFonts w:ascii="Times New Roman" w:eastAsia="Times New Roman" w:hAnsi="Times New Roman" w:cs="Times New Roman"/>
          <w:sz w:val="24"/>
          <w:szCs w:val="24"/>
        </w:rPr>
        <w:t xml:space="preserve"> and point</w:t>
      </w:r>
      <w:r w:rsidRPr="00BB2872">
        <w:rPr>
          <w:rFonts w:ascii="Times New Roman" w:eastAsia="Times New Roman" w:hAnsi="Times New Roman" w:cs="Times New Roman"/>
          <w:sz w:val="24"/>
          <w:szCs w:val="24"/>
        </w:rPr>
        <w:t>ing</w:t>
      </w:r>
      <w:r w:rsidR="00D45E73" w:rsidRPr="00BB2872">
        <w:rPr>
          <w:rFonts w:ascii="Times New Roman" w:eastAsia="Times New Roman" w:hAnsi="Times New Roman" w:cs="Times New Roman"/>
          <w:sz w:val="24"/>
          <w:szCs w:val="24"/>
        </w:rPr>
        <w:t xml:space="preserve"> to </w:t>
      </w:r>
      <w:r w:rsidRPr="00BB2872">
        <w:rPr>
          <w:rFonts w:ascii="Times New Roman" w:eastAsia="Times New Roman" w:hAnsi="Times New Roman" w:cs="Times New Roman"/>
          <w:sz w:val="24"/>
          <w:szCs w:val="24"/>
        </w:rPr>
        <w:t xml:space="preserve">a </w:t>
      </w:r>
      <w:r w:rsidR="00D45E73" w:rsidRPr="00BB2872">
        <w:rPr>
          <w:rFonts w:ascii="Times New Roman" w:eastAsia="Times New Roman" w:hAnsi="Times New Roman" w:cs="Times New Roman"/>
          <w:sz w:val="24"/>
          <w:szCs w:val="24"/>
        </w:rPr>
        <w:t xml:space="preserve">fact </w:t>
      </w:r>
      <w:r w:rsidRPr="00BB2872">
        <w:rPr>
          <w:rFonts w:ascii="Times New Roman" w:eastAsia="Times New Roman" w:hAnsi="Times New Roman" w:cs="Times New Roman"/>
          <w:sz w:val="24"/>
          <w:szCs w:val="24"/>
        </w:rPr>
        <w:t>that emerged that wa</w:t>
      </w:r>
      <w:r w:rsidR="00D45E73" w:rsidRPr="00BB2872">
        <w:rPr>
          <w:rFonts w:ascii="Times New Roman" w:eastAsia="Times New Roman" w:hAnsi="Times New Roman" w:cs="Times New Roman"/>
          <w:sz w:val="24"/>
          <w:szCs w:val="24"/>
        </w:rPr>
        <w:t>s in accordance with the theoretical expectations</w:t>
      </w:r>
      <w:r w:rsidRPr="00BB2872">
        <w:rPr>
          <w:rFonts w:ascii="Times New Roman" w:eastAsia="Times New Roman" w:hAnsi="Times New Roman" w:cs="Times New Roman"/>
          <w:sz w:val="24"/>
          <w:szCs w:val="24"/>
        </w:rPr>
        <w:t>––</w:t>
      </w:r>
      <w:r w:rsidR="00D45E73" w:rsidRPr="00BB2872">
        <w:rPr>
          <w:rFonts w:ascii="Times New Roman" w:eastAsia="Times New Roman" w:hAnsi="Times New Roman" w:cs="Times New Roman"/>
          <w:sz w:val="24"/>
          <w:szCs w:val="24"/>
        </w:rPr>
        <w:t>the effectiveness of a monetary policy is limited when the fixed exchange</w:t>
      </w:r>
      <w:r w:rsidRPr="00BB2872">
        <w:rPr>
          <w:rFonts w:ascii="Times New Roman" w:eastAsia="Times New Roman" w:hAnsi="Times New Roman" w:cs="Times New Roman"/>
          <w:sz w:val="24"/>
          <w:szCs w:val="24"/>
        </w:rPr>
        <w:t>-</w:t>
      </w:r>
      <w:r w:rsidR="00D45E73" w:rsidRPr="00BB2872">
        <w:rPr>
          <w:rFonts w:ascii="Times New Roman" w:eastAsia="Times New Roman" w:hAnsi="Times New Roman" w:cs="Times New Roman"/>
          <w:sz w:val="24"/>
          <w:szCs w:val="24"/>
        </w:rPr>
        <w:t>rate regime is applied in a country. The study also provided a well-arranged review of studies on the interest</w:t>
      </w:r>
      <w:r w:rsidR="00E02BFF" w:rsidRPr="00BB2872">
        <w:rPr>
          <w:rFonts w:ascii="Times New Roman" w:eastAsia="Times New Roman" w:hAnsi="Times New Roman" w:cs="Times New Roman"/>
          <w:sz w:val="24"/>
          <w:szCs w:val="24"/>
        </w:rPr>
        <w:t xml:space="preserve"> </w:t>
      </w:r>
      <w:r w:rsidR="00D45E73" w:rsidRPr="00BB2872">
        <w:rPr>
          <w:rFonts w:ascii="Times New Roman" w:eastAsia="Times New Roman" w:hAnsi="Times New Roman" w:cs="Times New Roman"/>
          <w:sz w:val="24"/>
          <w:szCs w:val="24"/>
        </w:rPr>
        <w:t>rate pass-through. Ban</w:t>
      </w:r>
      <w:r w:rsidR="008849B9" w:rsidRPr="00BB2872">
        <w:rPr>
          <w:rFonts w:ascii="Times New Roman" w:eastAsia="Times New Roman" w:hAnsi="Times New Roman" w:cs="Times New Roman"/>
          <w:sz w:val="24"/>
          <w:szCs w:val="24"/>
        </w:rPr>
        <w:t>er</w:t>
      </w:r>
      <w:r w:rsidR="00D45E73" w:rsidRPr="00BB2872">
        <w:rPr>
          <w:rFonts w:ascii="Times New Roman" w:eastAsia="Times New Roman" w:hAnsi="Times New Roman" w:cs="Times New Roman"/>
          <w:sz w:val="24"/>
          <w:szCs w:val="24"/>
        </w:rPr>
        <w:t>jee et al. (2013) examined how anticipated changes to short-term market rates influence</w:t>
      </w:r>
      <w:r w:rsidR="009E612D" w:rsidRPr="00BB2872">
        <w:rPr>
          <w:rFonts w:ascii="Times New Roman" w:eastAsia="Times New Roman" w:hAnsi="Times New Roman" w:cs="Times New Roman"/>
          <w:sz w:val="24"/>
          <w:szCs w:val="24"/>
        </w:rPr>
        <w:t>d</w:t>
      </w:r>
      <w:r w:rsidR="00D45E73" w:rsidRPr="00BB2872">
        <w:rPr>
          <w:rFonts w:ascii="Times New Roman" w:eastAsia="Times New Roman" w:hAnsi="Times New Roman" w:cs="Times New Roman"/>
          <w:sz w:val="24"/>
          <w:szCs w:val="24"/>
        </w:rPr>
        <w:t xml:space="preserve"> retail (both lending and deposit) interest rates in four major </w:t>
      </w:r>
      <w:r w:rsidR="00E22D39" w:rsidRPr="00BB2872">
        <w:rPr>
          <w:rFonts w:ascii="Times New Roman" w:eastAsia="Times New Roman" w:hAnsi="Times New Roman" w:cs="Times New Roman"/>
          <w:sz w:val="24"/>
          <w:szCs w:val="24"/>
        </w:rPr>
        <w:t>e</w:t>
      </w:r>
      <w:r w:rsidR="00D45E73" w:rsidRPr="00BB2872">
        <w:rPr>
          <w:rFonts w:ascii="Times New Roman" w:eastAsia="Times New Roman" w:hAnsi="Times New Roman" w:cs="Times New Roman"/>
          <w:sz w:val="24"/>
          <w:szCs w:val="24"/>
        </w:rPr>
        <w:t>uro</w:t>
      </w:r>
      <w:r w:rsidR="00E22D39" w:rsidRPr="00BB2872">
        <w:rPr>
          <w:rFonts w:ascii="Times New Roman" w:eastAsia="Times New Roman" w:hAnsi="Times New Roman" w:cs="Times New Roman"/>
          <w:sz w:val="24"/>
          <w:szCs w:val="24"/>
        </w:rPr>
        <w:t>-a</w:t>
      </w:r>
      <w:r w:rsidR="00D45E73" w:rsidRPr="00BB2872">
        <w:rPr>
          <w:rFonts w:ascii="Times New Roman" w:eastAsia="Times New Roman" w:hAnsi="Times New Roman" w:cs="Times New Roman"/>
          <w:sz w:val="24"/>
          <w:szCs w:val="24"/>
        </w:rPr>
        <w:t xml:space="preserve">rea </w:t>
      </w:r>
      <w:r w:rsidR="00E22D39" w:rsidRPr="00BB2872">
        <w:rPr>
          <w:rFonts w:ascii="Times New Roman" w:eastAsia="Times New Roman" w:hAnsi="Times New Roman" w:cs="Times New Roman"/>
          <w:sz w:val="24"/>
          <w:szCs w:val="24"/>
        </w:rPr>
        <w:t xml:space="preserve">(EA) </w:t>
      </w:r>
      <w:r w:rsidR="00D45E73" w:rsidRPr="00BB2872">
        <w:rPr>
          <w:rFonts w:ascii="Times New Roman" w:eastAsia="Times New Roman" w:hAnsi="Times New Roman" w:cs="Times New Roman"/>
          <w:sz w:val="24"/>
          <w:szCs w:val="24"/>
        </w:rPr>
        <w:t>economies</w:t>
      </w:r>
      <w:r w:rsidR="009E612D" w:rsidRPr="00BB2872">
        <w:rPr>
          <w:rFonts w:ascii="Times New Roman" w:eastAsia="Times New Roman" w:hAnsi="Times New Roman" w:cs="Times New Roman"/>
          <w:sz w:val="24"/>
          <w:szCs w:val="24"/>
        </w:rPr>
        <w:t>,</w:t>
      </w:r>
      <w:r w:rsidR="00D45E73" w:rsidRPr="00BB2872">
        <w:rPr>
          <w:rFonts w:ascii="Times New Roman" w:eastAsia="Times New Roman" w:hAnsi="Times New Roman" w:cs="Times New Roman"/>
          <w:sz w:val="24"/>
          <w:szCs w:val="24"/>
        </w:rPr>
        <w:t xml:space="preserve"> </w:t>
      </w:r>
      <w:r w:rsidR="009E612D" w:rsidRPr="00BB2872">
        <w:rPr>
          <w:rFonts w:ascii="Times New Roman" w:eastAsia="Times New Roman" w:hAnsi="Times New Roman" w:cs="Times New Roman"/>
          <w:sz w:val="24"/>
          <w:szCs w:val="24"/>
        </w:rPr>
        <w:t>at</w:t>
      </w:r>
      <w:r w:rsidR="00D45E73" w:rsidRPr="00BB2872">
        <w:rPr>
          <w:rFonts w:ascii="Times New Roman" w:eastAsia="Times New Roman" w:hAnsi="Times New Roman" w:cs="Times New Roman"/>
          <w:sz w:val="24"/>
          <w:szCs w:val="24"/>
        </w:rPr>
        <w:t xml:space="preserve"> the aggregate and individual level</w:t>
      </w:r>
      <w:r w:rsidR="009E612D" w:rsidRPr="00BB2872">
        <w:rPr>
          <w:rFonts w:ascii="Times New Roman" w:eastAsia="Times New Roman" w:hAnsi="Times New Roman" w:cs="Times New Roman"/>
          <w:sz w:val="24"/>
          <w:szCs w:val="24"/>
        </w:rPr>
        <w:t>s,</w:t>
      </w:r>
      <w:r w:rsidR="00D45E73" w:rsidRPr="00BB2872">
        <w:rPr>
          <w:rFonts w:ascii="Times New Roman" w:eastAsia="Times New Roman" w:hAnsi="Times New Roman" w:cs="Times New Roman"/>
          <w:sz w:val="24"/>
          <w:szCs w:val="24"/>
        </w:rPr>
        <w:t xml:space="preserve"> for French banks. The important role of market rates </w:t>
      </w:r>
      <w:r w:rsidR="009E612D" w:rsidRPr="00BB2872">
        <w:rPr>
          <w:rFonts w:ascii="Times New Roman" w:eastAsia="Times New Roman" w:hAnsi="Times New Roman" w:cs="Times New Roman"/>
          <w:sz w:val="24"/>
          <w:szCs w:val="24"/>
        </w:rPr>
        <w:t xml:space="preserve">in </w:t>
      </w:r>
      <w:r w:rsidR="00D45E73" w:rsidRPr="00BB2872">
        <w:rPr>
          <w:rFonts w:ascii="Times New Roman" w:eastAsia="Times New Roman" w:hAnsi="Times New Roman" w:cs="Times New Roman"/>
          <w:sz w:val="24"/>
          <w:szCs w:val="24"/>
        </w:rPr>
        <w:t>forecast</w:t>
      </w:r>
      <w:r w:rsidR="009E612D" w:rsidRPr="00BB2872">
        <w:rPr>
          <w:rFonts w:ascii="Times New Roman" w:eastAsia="Times New Roman" w:hAnsi="Times New Roman" w:cs="Times New Roman"/>
          <w:sz w:val="24"/>
          <w:szCs w:val="24"/>
        </w:rPr>
        <w:t>ing</w:t>
      </w:r>
      <w:r w:rsidR="00D45E73" w:rsidRPr="00BB2872">
        <w:rPr>
          <w:rFonts w:ascii="Times New Roman" w:eastAsia="Times New Roman" w:hAnsi="Times New Roman" w:cs="Times New Roman"/>
          <w:sz w:val="24"/>
          <w:szCs w:val="24"/>
        </w:rPr>
        <w:t xml:space="preserve"> retail rates was confirmed. </w:t>
      </w:r>
    </w:p>
    <w:p w14:paraId="00000012" w14:textId="05F4636D" w:rsidR="00345220" w:rsidRPr="00BB2872" w:rsidRDefault="00D45E73">
      <w:pPr>
        <w:spacing w:after="0" w:line="480" w:lineRule="auto"/>
        <w:ind w:firstLine="720"/>
        <w:rPr>
          <w:rFonts w:ascii="Times New Roman" w:eastAsia="Times New Roman" w:hAnsi="Times New Roman" w:cs="Times New Roman"/>
          <w:sz w:val="24"/>
          <w:szCs w:val="24"/>
        </w:rPr>
      </w:pPr>
      <w:r w:rsidRPr="00BB2872">
        <w:rPr>
          <w:rFonts w:ascii="Times New Roman" w:eastAsia="Times New Roman" w:hAnsi="Times New Roman" w:cs="Times New Roman"/>
          <w:sz w:val="24"/>
          <w:szCs w:val="24"/>
        </w:rPr>
        <w:t>The financial crisis revealed shortcomings in many economies</w:t>
      </w:r>
      <w:r w:rsidR="0012603E" w:rsidRPr="00BB2872">
        <w:rPr>
          <w:rFonts w:ascii="Times New Roman" w:eastAsia="Times New Roman" w:hAnsi="Times New Roman" w:cs="Times New Roman"/>
          <w:sz w:val="24"/>
          <w:szCs w:val="24"/>
        </w:rPr>
        <w:t>,</w:t>
      </w:r>
      <w:r w:rsidRPr="00BB2872">
        <w:rPr>
          <w:rFonts w:ascii="Times New Roman" w:eastAsia="Times New Roman" w:hAnsi="Times New Roman" w:cs="Times New Roman"/>
          <w:sz w:val="24"/>
          <w:szCs w:val="24"/>
        </w:rPr>
        <w:t xml:space="preserve"> and was consequently followed by the European debt crisis, which resulted in a divergence between rates in the EA countries</w:t>
      </w:r>
      <w:r w:rsidR="0012603E" w:rsidRPr="00BB2872">
        <w:rPr>
          <w:rFonts w:ascii="Times New Roman" w:eastAsia="Times New Roman" w:hAnsi="Times New Roman" w:cs="Times New Roman"/>
          <w:sz w:val="24"/>
          <w:szCs w:val="24"/>
        </w:rPr>
        <w:t>; for example,</w:t>
      </w:r>
      <w:r w:rsidRPr="00BB2872">
        <w:rPr>
          <w:rFonts w:ascii="Times New Roman" w:eastAsia="Times New Roman" w:hAnsi="Times New Roman" w:cs="Times New Roman"/>
          <w:sz w:val="24"/>
          <w:szCs w:val="24"/>
        </w:rPr>
        <w:t xml:space="preserve"> see </w:t>
      </w:r>
      <w:proofErr w:type="spellStart"/>
      <w:r w:rsidRPr="00BB2872">
        <w:rPr>
          <w:rFonts w:ascii="Times New Roman" w:eastAsia="Times New Roman" w:hAnsi="Times New Roman" w:cs="Times New Roman"/>
          <w:sz w:val="24"/>
          <w:szCs w:val="24"/>
        </w:rPr>
        <w:t>Pareis</w:t>
      </w:r>
      <w:proofErr w:type="spellEnd"/>
      <w:r w:rsidRPr="00BB2872">
        <w:rPr>
          <w:rFonts w:ascii="Times New Roman" w:eastAsia="Times New Roman" w:hAnsi="Times New Roman" w:cs="Times New Roman"/>
          <w:sz w:val="24"/>
          <w:szCs w:val="24"/>
        </w:rPr>
        <w:t xml:space="preserve"> et al. (2014), who observed the retail bank interest</w:t>
      </w:r>
      <w:r w:rsidR="00E02BFF" w:rsidRPr="00BB2872">
        <w:rPr>
          <w:rFonts w:ascii="Times New Roman" w:eastAsia="Times New Roman" w:hAnsi="Times New Roman" w:cs="Times New Roman"/>
          <w:sz w:val="24"/>
          <w:szCs w:val="24"/>
        </w:rPr>
        <w:t xml:space="preserve"> </w:t>
      </w:r>
      <w:r w:rsidRPr="00BB2872">
        <w:rPr>
          <w:rFonts w:ascii="Times New Roman" w:eastAsia="Times New Roman" w:hAnsi="Times New Roman" w:cs="Times New Roman"/>
          <w:sz w:val="24"/>
          <w:szCs w:val="24"/>
        </w:rPr>
        <w:t>rate pass-through in the EA during the financial and sovereign debt cris</w:t>
      </w:r>
      <w:r w:rsidR="0012603E" w:rsidRPr="00BB2872">
        <w:rPr>
          <w:rFonts w:ascii="Times New Roman" w:eastAsia="Times New Roman" w:hAnsi="Times New Roman" w:cs="Times New Roman"/>
          <w:sz w:val="24"/>
          <w:szCs w:val="24"/>
        </w:rPr>
        <w:t>e</w:t>
      </w:r>
      <w:r w:rsidRPr="00BB2872">
        <w:rPr>
          <w:rFonts w:ascii="Times New Roman" w:eastAsia="Times New Roman" w:hAnsi="Times New Roman" w:cs="Times New Roman"/>
          <w:sz w:val="24"/>
          <w:szCs w:val="24"/>
        </w:rPr>
        <w:t>s. Th</w:t>
      </w:r>
      <w:r w:rsidR="0012603E" w:rsidRPr="00BB2872">
        <w:rPr>
          <w:rFonts w:ascii="Times New Roman" w:eastAsia="Times New Roman" w:hAnsi="Times New Roman" w:cs="Times New Roman"/>
          <w:sz w:val="24"/>
          <w:szCs w:val="24"/>
        </w:rPr>
        <w:t>is</w:t>
      </w:r>
      <w:r w:rsidRPr="00BB2872">
        <w:rPr>
          <w:rFonts w:ascii="Times New Roman" w:eastAsia="Times New Roman" w:hAnsi="Times New Roman" w:cs="Times New Roman"/>
          <w:sz w:val="24"/>
          <w:szCs w:val="24"/>
        </w:rPr>
        <w:t xml:space="preserve"> divergence in bank lending rates was revealed </w:t>
      </w:r>
      <w:r w:rsidR="0012603E" w:rsidRPr="00BB2872">
        <w:rPr>
          <w:rFonts w:ascii="Times New Roman" w:eastAsia="Times New Roman" w:hAnsi="Times New Roman" w:cs="Times New Roman"/>
          <w:sz w:val="24"/>
          <w:szCs w:val="24"/>
        </w:rPr>
        <w:t xml:space="preserve">to have occurred during </w:t>
      </w:r>
      <w:r w:rsidRPr="00BB2872">
        <w:rPr>
          <w:rFonts w:ascii="Times New Roman" w:eastAsia="Times New Roman" w:hAnsi="Times New Roman" w:cs="Times New Roman"/>
          <w:sz w:val="24"/>
          <w:szCs w:val="24"/>
        </w:rPr>
        <w:t xml:space="preserve">the outbreak of the financial crisis in 2008 </w:t>
      </w:r>
      <w:r w:rsidRPr="00BB2872">
        <w:rPr>
          <w:rFonts w:ascii="Times New Roman" w:eastAsia="Times New Roman" w:hAnsi="Times New Roman" w:cs="Times New Roman"/>
          <w:sz w:val="24"/>
          <w:szCs w:val="24"/>
        </w:rPr>
        <w:lastRenderedPageBreak/>
        <w:t xml:space="preserve">and the sovereign debt crisis in 2010. They also explored </w:t>
      </w:r>
      <w:r w:rsidR="0012603E" w:rsidRPr="00BB2872">
        <w:rPr>
          <w:rFonts w:ascii="Times New Roman" w:eastAsia="Times New Roman" w:hAnsi="Times New Roman" w:cs="Times New Roman"/>
          <w:sz w:val="24"/>
          <w:szCs w:val="24"/>
        </w:rPr>
        <w:t>the</w:t>
      </w:r>
      <w:r w:rsidRPr="00BB2872">
        <w:rPr>
          <w:rFonts w:ascii="Times New Roman" w:eastAsia="Times New Roman" w:hAnsi="Times New Roman" w:cs="Times New Roman"/>
          <w:sz w:val="24"/>
          <w:szCs w:val="24"/>
        </w:rPr>
        <w:t xml:space="preserve"> very slow response of bank lending rates to the policy interest rate in </w:t>
      </w:r>
      <w:r w:rsidR="0012603E" w:rsidRPr="00BB2872">
        <w:rPr>
          <w:rFonts w:ascii="Times New Roman" w:eastAsia="Times New Roman" w:hAnsi="Times New Roman" w:cs="Times New Roman"/>
          <w:sz w:val="24"/>
          <w:szCs w:val="24"/>
        </w:rPr>
        <w:t xml:space="preserve">certain </w:t>
      </w:r>
      <w:r w:rsidRPr="00BB2872">
        <w:rPr>
          <w:rFonts w:ascii="Times New Roman" w:eastAsia="Times New Roman" w:hAnsi="Times New Roman" w:cs="Times New Roman"/>
          <w:sz w:val="24"/>
          <w:szCs w:val="24"/>
        </w:rPr>
        <w:t xml:space="preserve">economies, which </w:t>
      </w:r>
      <w:r w:rsidR="0012603E" w:rsidRPr="00BB2872">
        <w:rPr>
          <w:rFonts w:ascii="Times New Roman" w:eastAsia="Times New Roman" w:hAnsi="Times New Roman" w:cs="Times New Roman"/>
          <w:sz w:val="24"/>
          <w:szCs w:val="24"/>
        </w:rPr>
        <w:t xml:space="preserve">may have </w:t>
      </w:r>
      <w:r w:rsidRPr="00BB2872">
        <w:rPr>
          <w:rFonts w:ascii="Times New Roman" w:eastAsia="Times New Roman" w:hAnsi="Times New Roman" w:cs="Times New Roman"/>
          <w:sz w:val="24"/>
          <w:szCs w:val="24"/>
        </w:rPr>
        <w:t>be</w:t>
      </w:r>
      <w:r w:rsidR="0012603E" w:rsidRPr="00BB2872">
        <w:rPr>
          <w:rFonts w:ascii="Times New Roman" w:eastAsia="Times New Roman" w:hAnsi="Times New Roman" w:cs="Times New Roman"/>
          <w:sz w:val="24"/>
          <w:szCs w:val="24"/>
        </w:rPr>
        <w:t>en</w:t>
      </w:r>
      <w:r w:rsidRPr="00BB2872">
        <w:rPr>
          <w:rFonts w:ascii="Times New Roman" w:eastAsia="Times New Roman" w:hAnsi="Times New Roman" w:cs="Times New Roman"/>
          <w:sz w:val="24"/>
          <w:szCs w:val="24"/>
        </w:rPr>
        <w:t xml:space="preserve"> caused by asynchronous business cycles and differing perceptions of credit risk across countries.</w:t>
      </w:r>
    </w:p>
    <w:p w14:paraId="00000013" w14:textId="43C1B8B1" w:rsidR="00345220" w:rsidRPr="00BB2872" w:rsidRDefault="00D45E73">
      <w:pPr>
        <w:spacing w:after="0" w:line="480" w:lineRule="auto"/>
        <w:ind w:firstLine="720"/>
        <w:rPr>
          <w:rFonts w:ascii="Times New Roman" w:eastAsia="Times New Roman" w:hAnsi="Times New Roman" w:cs="Times New Roman"/>
          <w:sz w:val="24"/>
          <w:szCs w:val="24"/>
        </w:rPr>
      </w:pPr>
      <w:r w:rsidRPr="00BB2872">
        <w:rPr>
          <w:rFonts w:ascii="Times New Roman" w:eastAsia="Times New Roman" w:hAnsi="Times New Roman" w:cs="Times New Roman"/>
          <w:sz w:val="24"/>
          <w:szCs w:val="24"/>
        </w:rPr>
        <w:t>Th</w:t>
      </w:r>
      <w:r w:rsidR="00F30B77" w:rsidRPr="00BB2872">
        <w:rPr>
          <w:rFonts w:ascii="Times New Roman" w:eastAsia="Times New Roman" w:hAnsi="Times New Roman" w:cs="Times New Roman"/>
          <w:sz w:val="24"/>
          <w:szCs w:val="24"/>
        </w:rPr>
        <w:t>is</w:t>
      </w:r>
      <w:r w:rsidRPr="00BB2872">
        <w:rPr>
          <w:rFonts w:ascii="Times New Roman" w:eastAsia="Times New Roman" w:hAnsi="Times New Roman" w:cs="Times New Roman"/>
          <w:sz w:val="24"/>
          <w:szCs w:val="24"/>
        </w:rPr>
        <w:t xml:space="preserve"> situation led to the lowering of official interest rates</w:t>
      </w:r>
      <w:r w:rsidR="00F30B77" w:rsidRPr="00BB2872">
        <w:rPr>
          <w:rFonts w:ascii="Times New Roman" w:eastAsia="Times New Roman" w:hAnsi="Times New Roman" w:cs="Times New Roman"/>
          <w:sz w:val="24"/>
          <w:szCs w:val="24"/>
        </w:rPr>
        <w:t>, to the point of</w:t>
      </w:r>
      <w:r w:rsidRPr="00BB2872">
        <w:rPr>
          <w:rFonts w:ascii="Times New Roman" w:eastAsia="Times New Roman" w:hAnsi="Times New Roman" w:cs="Times New Roman"/>
          <w:sz w:val="24"/>
          <w:szCs w:val="24"/>
        </w:rPr>
        <w:t xml:space="preserve"> zero or </w:t>
      </w:r>
      <w:r w:rsidR="00F30B77" w:rsidRPr="00BB2872">
        <w:rPr>
          <w:rFonts w:ascii="Times New Roman" w:eastAsia="Times New Roman" w:hAnsi="Times New Roman" w:cs="Times New Roman"/>
          <w:sz w:val="24"/>
          <w:szCs w:val="24"/>
        </w:rPr>
        <w:t>below,</w:t>
      </w:r>
      <w:r w:rsidRPr="00BB2872">
        <w:rPr>
          <w:rFonts w:ascii="Times New Roman" w:eastAsia="Times New Roman" w:hAnsi="Times New Roman" w:cs="Times New Roman"/>
          <w:sz w:val="24"/>
          <w:szCs w:val="24"/>
        </w:rPr>
        <w:t xml:space="preserve"> </w:t>
      </w:r>
      <w:proofErr w:type="gramStart"/>
      <w:r w:rsidR="00F30B77" w:rsidRPr="00BB2872">
        <w:rPr>
          <w:rFonts w:ascii="Times New Roman" w:eastAsia="Times New Roman" w:hAnsi="Times New Roman" w:cs="Times New Roman"/>
          <w:sz w:val="24"/>
          <w:szCs w:val="24"/>
        </w:rPr>
        <w:t xml:space="preserve">in order </w:t>
      </w:r>
      <w:r w:rsidRPr="00BB2872">
        <w:rPr>
          <w:rFonts w:ascii="Times New Roman" w:eastAsia="Times New Roman" w:hAnsi="Times New Roman" w:cs="Times New Roman"/>
          <w:sz w:val="24"/>
          <w:szCs w:val="24"/>
        </w:rPr>
        <w:t>to</w:t>
      </w:r>
      <w:proofErr w:type="gramEnd"/>
      <w:r w:rsidRPr="00BB2872">
        <w:rPr>
          <w:rFonts w:ascii="Times New Roman" w:eastAsia="Times New Roman" w:hAnsi="Times New Roman" w:cs="Times New Roman"/>
          <w:sz w:val="24"/>
          <w:szCs w:val="24"/>
        </w:rPr>
        <w:t xml:space="preserve"> overcome deflation and boost economic growth. The interest</w:t>
      </w:r>
      <w:r w:rsidR="00E02BFF" w:rsidRPr="00BB2872">
        <w:rPr>
          <w:rFonts w:ascii="Times New Roman" w:eastAsia="Times New Roman" w:hAnsi="Times New Roman" w:cs="Times New Roman"/>
          <w:sz w:val="24"/>
          <w:szCs w:val="24"/>
        </w:rPr>
        <w:t xml:space="preserve"> </w:t>
      </w:r>
      <w:r w:rsidRPr="00BB2872">
        <w:rPr>
          <w:rFonts w:ascii="Times New Roman" w:eastAsia="Times New Roman" w:hAnsi="Times New Roman" w:cs="Times New Roman"/>
          <w:sz w:val="24"/>
          <w:szCs w:val="24"/>
        </w:rPr>
        <w:t xml:space="preserve">rate pass-through in </w:t>
      </w:r>
      <w:r w:rsidR="00F30B77" w:rsidRPr="00BB2872">
        <w:rPr>
          <w:rFonts w:ascii="Times New Roman" w:eastAsia="Times New Roman" w:hAnsi="Times New Roman" w:cs="Times New Roman"/>
          <w:sz w:val="24"/>
          <w:szCs w:val="24"/>
        </w:rPr>
        <w:t xml:space="preserve">these </w:t>
      </w:r>
      <w:r w:rsidRPr="00BB2872">
        <w:rPr>
          <w:rFonts w:ascii="Times New Roman" w:eastAsia="Times New Roman" w:hAnsi="Times New Roman" w:cs="Times New Roman"/>
          <w:sz w:val="24"/>
          <w:szCs w:val="24"/>
        </w:rPr>
        <w:t xml:space="preserve">circumstances </w:t>
      </w:r>
      <w:r w:rsidR="00F30B77" w:rsidRPr="00BB2872">
        <w:rPr>
          <w:rFonts w:ascii="Times New Roman" w:eastAsia="Times New Roman" w:hAnsi="Times New Roman" w:cs="Times New Roman"/>
          <w:sz w:val="24"/>
          <w:szCs w:val="24"/>
        </w:rPr>
        <w:t>became a</w:t>
      </w:r>
      <w:r w:rsidRPr="00BB2872">
        <w:rPr>
          <w:rFonts w:ascii="Times New Roman" w:eastAsia="Times New Roman" w:hAnsi="Times New Roman" w:cs="Times New Roman"/>
          <w:sz w:val="24"/>
          <w:szCs w:val="24"/>
        </w:rPr>
        <w:t xml:space="preserve"> centr</w:t>
      </w:r>
      <w:r w:rsidR="00F30B77" w:rsidRPr="00BB2872">
        <w:rPr>
          <w:rFonts w:ascii="Times New Roman" w:eastAsia="Times New Roman" w:hAnsi="Times New Roman" w:cs="Times New Roman"/>
          <w:sz w:val="24"/>
          <w:szCs w:val="24"/>
        </w:rPr>
        <w:t>al</w:t>
      </w:r>
      <w:r w:rsidRPr="00BB2872">
        <w:rPr>
          <w:rFonts w:ascii="Times New Roman" w:eastAsia="Times New Roman" w:hAnsi="Times New Roman" w:cs="Times New Roman"/>
          <w:sz w:val="24"/>
          <w:szCs w:val="24"/>
        </w:rPr>
        <w:t xml:space="preserve"> research</w:t>
      </w:r>
      <w:r w:rsidR="00F30B77" w:rsidRPr="00BB2872">
        <w:rPr>
          <w:rFonts w:ascii="Times New Roman" w:eastAsia="Times New Roman" w:hAnsi="Times New Roman" w:cs="Times New Roman"/>
          <w:sz w:val="24"/>
          <w:szCs w:val="24"/>
        </w:rPr>
        <w:t xml:space="preserve"> theme because</w:t>
      </w:r>
      <w:r w:rsidRPr="00BB2872">
        <w:rPr>
          <w:rFonts w:ascii="Times New Roman" w:eastAsia="Times New Roman" w:hAnsi="Times New Roman" w:cs="Times New Roman"/>
          <w:sz w:val="24"/>
          <w:szCs w:val="24"/>
        </w:rPr>
        <w:t xml:space="preserve"> this situation had not been common</w:t>
      </w:r>
      <w:r w:rsidR="00F30B77" w:rsidRPr="00BB2872">
        <w:rPr>
          <w:rFonts w:ascii="Times New Roman" w:eastAsia="Times New Roman" w:hAnsi="Times New Roman" w:cs="Times New Roman"/>
          <w:sz w:val="24"/>
          <w:szCs w:val="24"/>
        </w:rPr>
        <w:t>ly experienced</w:t>
      </w:r>
      <w:r w:rsidRPr="00BB2872">
        <w:rPr>
          <w:rFonts w:ascii="Times New Roman" w:eastAsia="Times New Roman" w:hAnsi="Times New Roman" w:cs="Times New Roman"/>
          <w:sz w:val="24"/>
          <w:szCs w:val="24"/>
        </w:rPr>
        <w:t xml:space="preserve"> in the European countries previously. The findings of the Deutsche Bundesbank (2019) pointed to the fact that the interest</w:t>
      </w:r>
      <w:r w:rsidR="00E02BFF" w:rsidRPr="00BB2872">
        <w:rPr>
          <w:rFonts w:ascii="Times New Roman" w:eastAsia="Times New Roman" w:hAnsi="Times New Roman" w:cs="Times New Roman"/>
          <w:sz w:val="24"/>
          <w:szCs w:val="24"/>
        </w:rPr>
        <w:t xml:space="preserve"> </w:t>
      </w:r>
      <w:r w:rsidRPr="00BB2872">
        <w:rPr>
          <w:rFonts w:ascii="Times New Roman" w:eastAsia="Times New Roman" w:hAnsi="Times New Roman" w:cs="Times New Roman"/>
          <w:sz w:val="24"/>
          <w:szCs w:val="24"/>
        </w:rPr>
        <w:t xml:space="preserve">rate pass-through </w:t>
      </w:r>
      <w:r w:rsidR="00F30B77" w:rsidRPr="00BB2872">
        <w:rPr>
          <w:rFonts w:ascii="Times New Roman" w:eastAsia="Times New Roman" w:hAnsi="Times New Roman" w:cs="Times New Roman"/>
          <w:sz w:val="24"/>
          <w:szCs w:val="24"/>
        </w:rPr>
        <w:t>has been</w:t>
      </w:r>
      <w:r w:rsidRPr="00BB2872">
        <w:rPr>
          <w:rFonts w:ascii="Times New Roman" w:eastAsia="Times New Roman" w:hAnsi="Times New Roman" w:cs="Times New Roman"/>
          <w:sz w:val="24"/>
          <w:szCs w:val="24"/>
        </w:rPr>
        <w:t xml:space="preserve"> weaker in the EA </w:t>
      </w:r>
      <w:r w:rsidR="00F30B77" w:rsidRPr="00BB2872">
        <w:rPr>
          <w:rFonts w:ascii="Times New Roman" w:eastAsia="Times New Roman" w:hAnsi="Times New Roman" w:cs="Times New Roman"/>
          <w:sz w:val="24"/>
          <w:szCs w:val="24"/>
        </w:rPr>
        <w:t xml:space="preserve">since </w:t>
      </w:r>
      <w:r w:rsidRPr="00BB2872">
        <w:rPr>
          <w:rFonts w:ascii="Times New Roman" w:eastAsia="Times New Roman" w:hAnsi="Times New Roman" w:cs="Times New Roman"/>
          <w:sz w:val="24"/>
          <w:szCs w:val="24"/>
        </w:rPr>
        <w:t>the</w:t>
      </w:r>
      <w:r w:rsidR="00F30B77" w:rsidRPr="00BB2872">
        <w:rPr>
          <w:rFonts w:ascii="Times New Roman" w:eastAsia="Times New Roman" w:hAnsi="Times New Roman" w:cs="Times New Roman"/>
          <w:sz w:val="24"/>
          <w:szCs w:val="24"/>
        </w:rPr>
        <w:t>se</w:t>
      </w:r>
      <w:r w:rsidRPr="00BB2872">
        <w:rPr>
          <w:rFonts w:ascii="Times New Roman" w:eastAsia="Times New Roman" w:hAnsi="Times New Roman" w:cs="Times New Roman"/>
          <w:sz w:val="24"/>
          <w:szCs w:val="24"/>
        </w:rPr>
        <w:t xml:space="preserve"> crises. The observed indicators were</w:t>
      </w:r>
      <w:r w:rsidR="00F30B77" w:rsidRPr="00BB2872">
        <w:rPr>
          <w:rFonts w:ascii="Times New Roman" w:eastAsia="Times New Roman" w:hAnsi="Times New Roman" w:cs="Times New Roman"/>
          <w:sz w:val="24"/>
          <w:szCs w:val="24"/>
        </w:rPr>
        <w:t>:</w:t>
      </w:r>
      <w:r w:rsidRPr="00BB2872">
        <w:rPr>
          <w:rFonts w:ascii="Times New Roman" w:eastAsia="Times New Roman" w:hAnsi="Times New Roman" w:cs="Times New Roman"/>
          <w:sz w:val="24"/>
          <w:szCs w:val="24"/>
        </w:rPr>
        <w:t xml:space="preserve"> </w:t>
      </w:r>
      <w:r w:rsidR="00F30B77" w:rsidRPr="00BB2872">
        <w:rPr>
          <w:rFonts w:ascii="Times New Roman" w:eastAsia="Times New Roman" w:hAnsi="Times New Roman" w:cs="Times New Roman"/>
          <w:sz w:val="24"/>
          <w:szCs w:val="24"/>
        </w:rPr>
        <w:t>(</w:t>
      </w:r>
      <w:r w:rsidRPr="00BB2872">
        <w:rPr>
          <w:rFonts w:ascii="Times New Roman" w:eastAsia="Times New Roman" w:hAnsi="Times New Roman" w:cs="Times New Roman"/>
          <w:sz w:val="24"/>
          <w:szCs w:val="24"/>
        </w:rPr>
        <w:t xml:space="preserve">a) </w:t>
      </w:r>
      <w:r w:rsidR="00F30B77" w:rsidRPr="00BB2872">
        <w:rPr>
          <w:rFonts w:ascii="Times New Roman" w:eastAsia="Times New Roman" w:hAnsi="Times New Roman" w:cs="Times New Roman"/>
          <w:sz w:val="24"/>
          <w:szCs w:val="24"/>
        </w:rPr>
        <w:t xml:space="preserve">a </w:t>
      </w:r>
      <w:r w:rsidRPr="00BB2872">
        <w:rPr>
          <w:rFonts w:ascii="Times New Roman" w:eastAsia="Times New Roman" w:hAnsi="Times New Roman" w:cs="Times New Roman"/>
          <w:sz w:val="24"/>
          <w:szCs w:val="24"/>
        </w:rPr>
        <w:t>widening of the mark-up (rise)</w:t>
      </w:r>
      <w:r w:rsidR="00F30B77" w:rsidRPr="00BB2872">
        <w:rPr>
          <w:rFonts w:ascii="Times New Roman" w:eastAsia="Times New Roman" w:hAnsi="Times New Roman" w:cs="Times New Roman"/>
          <w:sz w:val="24"/>
          <w:szCs w:val="24"/>
        </w:rPr>
        <w:t>;</w:t>
      </w:r>
      <w:r w:rsidRPr="00BB2872">
        <w:rPr>
          <w:rFonts w:ascii="Times New Roman" w:eastAsia="Times New Roman" w:hAnsi="Times New Roman" w:cs="Times New Roman"/>
          <w:sz w:val="24"/>
          <w:szCs w:val="24"/>
        </w:rPr>
        <w:t xml:space="preserve"> and </w:t>
      </w:r>
      <w:r w:rsidR="00F30B77" w:rsidRPr="00BB2872">
        <w:rPr>
          <w:rFonts w:ascii="Times New Roman" w:eastAsia="Times New Roman" w:hAnsi="Times New Roman" w:cs="Times New Roman"/>
          <w:sz w:val="24"/>
          <w:szCs w:val="24"/>
        </w:rPr>
        <w:t>(</w:t>
      </w:r>
      <w:r w:rsidRPr="00BB2872">
        <w:rPr>
          <w:rFonts w:ascii="Times New Roman" w:eastAsia="Times New Roman" w:hAnsi="Times New Roman" w:cs="Times New Roman"/>
          <w:sz w:val="24"/>
          <w:szCs w:val="24"/>
        </w:rPr>
        <w:t xml:space="preserve">b) a weaker correlation between the rates. However, the Deutsche Bundesbank (2019) also stated that such an increase </w:t>
      </w:r>
      <w:r w:rsidR="00F30B77" w:rsidRPr="00BB2872">
        <w:rPr>
          <w:rFonts w:ascii="Times New Roman" w:eastAsia="Times New Roman" w:hAnsi="Times New Roman" w:cs="Times New Roman"/>
          <w:sz w:val="24"/>
          <w:szCs w:val="24"/>
        </w:rPr>
        <w:t xml:space="preserve">did </w:t>
      </w:r>
      <w:r w:rsidRPr="00BB2872">
        <w:rPr>
          <w:rFonts w:ascii="Times New Roman" w:eastAsia="Times New Roman" w:hAnsi="Times New Roman" w:cs="Times New Roman"/>
          <w:sz w:val="24"/>
          <w:szCs w:val="24"/>
        </w:rPr>
        <w:t>not necessarily mean a change in interest</w:t>
      </w:r>
      <w:r w:rsidR="00E02BFF" w:rsidRPr="00BB2872">
        <w:rPr>
          <w:rFonts w:ascii="Times New Roman" w:eastAsia="Times New Roman" w:hAnsi="Times New Roman" w:cs="Times New Roman"/>
          <w:sz w:val="24"/>
          <w:szCs w:val="24"/>
        </w:rPr>
        <w:t xml:space="preserve"> </w:t>
      </w:r>
      <w:r w:rsidRPr="00BB2872">
        <w:rPr>
          <w:rFonts w:ascii="Times New Roman" w:eastAsia="Times New Roman" w:hAnsi="Times New Roman" w:cs="Times New Roman"/>
          <w:sz w:val="24"/>
          <w:szCs w:val="24"/>
        </w:rPr>
        <w:t xml:space="preserve">rate pass-through. Many published studies </w:t>
      </w:r>
      <w:r w:rsidR="00263078" w:rsidRPr="00BB2872">
        <w:rPr>
          <w:rFonts w:ascii="Times New Roman" w:eastAsia="Times New Roman" w:hAnsi="Times New Roman" w:cs="Times New Roman"/>
          <w:sz w:val="24"/>
          <w:szCs w:val="24"/>
        </w:rPr>
        <w:t>on</w:t>
      </w:r>
      <w:r w:rsidRPr="00BB2872">
        <w:rPr>
          <w:rFonts w:ascii="Times New Roman" w:eastAsia="Times New Roman" w:hAnsi="Times New Roman" w:cs="Times New Roman"/>
          <w:sz w:val="24"/>
          <w:szCs w:val="24"/>
        </w:rPr>
        <w:t xml:space="preserve"> changes in </w:t>
      </w:r>
      <w:r w:rsidR="00263078" w:rsidRPr="00BB2872">
        <w:rPr>
          <w:rFonts w:ascii="Times New Roman" w:eastAsia="Times New Roman" w:hAnsi="Times New Roman" w:cs="Times New Roman"/>
          <w:sz w:val="24"/>
          <w:szCs w:val="24"/>
        </w:rPr>
        <w:t xml:space="preserve">the </w:t>
      </w:r>
      <w:r w:rsidRPr="00BB2872">
        <w:rPr>
          <w:rFonts w:ascii="Times New Roman" w:eastAsia="Times New Roman" w:hAnsi="Times New Roman" w:cs="Times New Roman"/>
          <w:sz w:val="24"/>
          <w:szCs w:val="24"/>
        </w:rPr>
        <w:t>interest</w:t>
      </w:r>
      <w:r w:rsidR="00E02BFF" w:rsidRPr="00BB2872">
        <w:rPr>
          <w:rFonts w:ascii="Times New Roman" w:eastAsia="Times New Roman" w:hAnsi="Times New Roman" w:cs="Times New Roman"/>
          <w:sz w:val="24"/>
          <w:szCs w:val="24"/>
        </w:rPr>
        <w:t xml:space="preserve"> </w:t>
      </w:r>
      <w:r w:rsidRPr="00BB2872">
        <w:rPr>
          <w:rFonts w:ascii="Times New Roman" w:eastAsia="Times New Roman" w:hAnsi="Times New Roman" w:cs="Times New Roman"/>
          <w:sz w:val="24"/>
          <w:szCs w:val="24"/>
        </w:rPr>
        <w:t xml:space="preserve">rate pass-through </w:t>
      </w:r>
      <w:r w:rsidR="00263078" w:rsidRPr="00BB2872">
        <w:rPr>
          <w:rFonts w:ascii="Times New Roman" w:eastAsia="Times New Roman" w:hAnsi="Times New Roman" w:cs="Times New Roman"/>
          <w:sz w:val="24"/>
          <w:szCs w:val="24"/>
        </w:rPr>
        <w:t>(</w:t>
      </w:r>
      <w:proofErr w:type="gramStart"/>
      <w:r w:rsidRPr="00BB2872">
        <w:rPr>
          <w:rFonts w:ascii="Times New Roman" w:eastAsia="Times New Roman" w:hAnsi="Times New Roman" w:cs="Times New Roman"/>
          <w:sz w:val="24"/>
          <w:szCs w:val="24"/>
        </w:rPr>
        <w:t>e.g.</w:t>
      </w:r>
      <w:proofErr w:type="gramEnd"/>
      <w:r w:rsidRPr="00BB2872">
        <w:rPr>
          <w:rFonts w:ascii="Times New Roman" w:eastAsia="Times New Roman" w:hAnsi="Times New Roman" w:cs="Times New Roman"/>
          <w:sz w:val="24"/>
          <w:szCs w:val="24"/>
        </w:rPr>
        <w:t xml:space="preserve"> Blot and </w:t>
      </w:r>
      <w:proofErr w:type="spellStart"/>
      <w:r w:rsidRPr="00BB2872">
        <w:rPr>
          <w:rFonts w:ascii="Times New Roman" w:eastAsia="Times New Roman" w:hAnsi="Times New Roman" w:cs="Times New Roman"/>
          <w:sz w:val="24"/>
          <w:szCs w:val="24"/>
        </w:rPr>
        <w:t>Labordance</w:t>
      </w:r>
      <w:proofErr w:type="spellEnd"/>
      <w:r w:rsidR="00263078" w:rsidRPr="00BB2872">
        <w:rPr>
          <w:rFonts w:ascii="Times New Roman" w:eastAsia="Times New Roman" w:hAnsi="Times New Roman" w:cs="Times New Roman"/>
          <w:sz w:val="24"/>
          <w:szCs w:val="24"/>
        </w:rPr>
        <w:t>,</w:t>
      </w:r>
      <w:r w:rsidRPr="00BB2872">
        <w:rPr>
          <w:rFonts w:ascii="Times New Roman" w:eastAsia="Times New Roman" w:hAnsi="Times New Roman" w:cs="Times New Roman"/>
          <w:sz w:val="24"/>
          <w:szCs w:val="24"/>
        </w:rPr>
        <w:t xml:space="preserve"> 2013</w:t>
      </w:r>
      <w:r w:rsidR="00263078" w:rsidRPr="00BB2872">
        <w:rPr>
          <w:rFonts w:ascii="Times New Roman" w:eastAsia="Times New Roman" w:hAnsi="Times New Roman" w:cs="Times New Roman"/>
          <w:sz w:val="24"/>
          <w:szCs w:val="24"/>
        </w:rPr>
        <w:t>;</w:t>
      </w:r>
      <w:r w:rsidRPr="00BB2872">
        <w:rPr>
          <w:rFonts w:ascii="Times New Roman" w:eastAsia="Times New Roman" w:hAnsi="Times New Roman" w:cs="Times New Roman"/>
          <w:sz w:val="24"/>
          <w:szCs w:val="24"/>
        </w:rPr>
        <w:t xml:space="preserve"> </w:t>
      </w:r>
      <w:proofErr w:type="spellStart"/>
      <w:r w:rsidRPr="00BB2872">
        <w:rPr>
          <w:rFonts w:ascii="Times New Roman" w:eastAsia="Times New Roman" w:hAnsi="Times New Roman" w:cs="Times New Roman"/>
          <w:sz w:val="24"/>
          <w:szCs w:val="24"/>
        </w:rPr>
        <w:t>Paries</w:t>
      </w:r>
      <w:proofErr w:type="spellEnd"/>
      <w:r w:rsidRPr="00BB2872">
        <w:rPr>
          <w:rFonts w:ascii="Times New Roman" w:eastAsia="Times New Roman" w:hAnsi="Times New Roman" w:cs="Times New Roman"/>
          <w:sz w:val="24"/>
          <w:szCs w:val="24"/>
        </w:rPr>
        <w:t xml:space="preserve"> et al.</w:t>
      </w:r>
      <w:r w:rsidR="00263078" w:rsidRPr="00BB2872">
        <w:rPr>
          <w:rFonts w:ascii="Times New Roman" w:eastAsia="Times New Roman" w:hAnsi="Times New Roman" w:cs="Times New Roman"/>
          <w:sz w:val="24"/>
          <w:szCs w:val="24"/>
        </w:rPr>
        <w:t xml:space="preserve">, </w:t>
      </w:r>
      <w:r w:rsidRPr="00BB2872">
        <w:rPr>
          <w:rFonts w:ascii="Times New Roman" w:eastAsia="Times New Roman" w:hAnsi="Times New Roman" w:cs="Times New Roman"/>
          <w:sz w:val="24"/>
          <w:szCs w:val="24"/>
        </w:rPr>
        <w:t>2014</w:t>
      </w:r>
      <w:r w:rsidR="00263078" w:rsidRPr="00BB2872">
        <w:rPr>
          <w:rFonts w:ascii="Times New Roman" w:eastAsia="Times New Roman" w:hAnsi="Times New Roman" w:cs="Times New Roman"/>
          <w:sz w:val="24"/>
          <w:szCs w:val="24"/>
        </w:rPr>
        <w:t>;</w:t>
      </w:r>
      <w:r w:rsidRPr="00BB2872">
        <w:rPr>
          <w:rFonts w:ascii="Times New Roman" w:eastAsia="Times New Roman" w:hAnsi="Times New Roman" w:cs="Times New Roman"/>
          <w:sz w:val="24"/>
          <w:szCs w:val="24"/>
        </w:rPr>
        <w:t xml:space="preserve"> Holton and Rodriguez </w:t>
      </w:r>
      <w:proofErr w:type="spellStart"/>
      <w:r w:rsidRPr="00BB2872">
        <w:rPr>
          <w:rFonts w:ascii="Times New Roman" w:eastAsia="Times New Roman" w:hAnsi="Times New Roman" w:cs="Times New Roman"/>
          <w:sz w:val="24"/>
          <w:szCs w:val="24"/>
        </w:rPr>
        <w:t>d</w:t>
      </w:r>
      <w:r w:rsidR="00B56951" w:rsidRPr="00BB2872">
        <w:rPr>
          <w:rFonts w:ascii="Times New Roman" w:eastAsia="Times New Roman" w:hAnsi="Times New Roman" w:cs="Times New Roman"/>
          <w:sz w:val="24"/>
          <w:szCs w:val="24"/>
        </w:rPr>
        <w:t>’</w:t>
      </w:r>
      <w:r w:rsidRPr="00BB2872">
        <w:rPr>
          <w:rFonts w:ascii="Times New Roman" w:eastAsia="Times New Roman" w:hAnsi="Times New Roman" w:cs="Times New Roman"/>
          <w:sz w:val="24"/>
          <w:szCs w:val="24"/>
        </w:rPr>
        <w:t>Arci</w:t>
      </w:r>
      <w:proofErr w:type="spellEnd"/>
      <w:r w:rsidR="00263078" w:rsidRPr="00BB2872">
        <w:rPr>
          <w:rFonts w:ascii="Times New Roman" w:eastAsia="Times New Roman" w:hAnsi="Times New Roman" w:cs="Times New Roman"/>
          <w:sz w:val="24"/>
          <w:szCs w:val="24"/>
        </w:rPr>
        <w:t>,</w:t>
      </w:r>
      <w:r w:rsidRPr="00BB2872">
        <w:rPr>
          <w:rFonts w:ascii="Times New Roman" w:eastAsia="Times New Roman" w:hAnsi="Times New Roman" w:cs="Times New Roman"/>
          <w:sz w:val="24"/>
          <w:szCs w:val="24"/>
        </w:rPr>
        <w:t xml:space="preserve"> 2015)</w:t>
      </w:r>
      <w:r w:rsidR="00A23819" w:rsidRPr="00BB2872">
        <w:rPr>
          <w:rFonts w:ascii="Times New Roman" w:eastAsia="Times New Roman" w:hAnsi="Times New Roman" w:cs="Times New Roman"/>
          <w:sz w:val="24"/>
          <w:szCs w:val="24"/>
        </w:rPr>
        <w:t xml:space="preserve"> have</w:t>
      </w:r>
      <w:r w:rsidRPr="00BB2872">
        <w:rPr>
          <w:rFonts w:ascii="Times New Roman" w:eastAsia="Times New Roman" w:hAnsi="Times New Roman" w:cs="Times New Roman"/>
          <w:sz w:val="24"/>
          <w:szCs w:val="24"/>
        </w:rPr>
        <w:t xml:space="preserve"> confirmed an incomplete pass-through to retail bank rates in selected EA countries</w:t>
      </w:r>
      <w:r w:rsidR="00A23819" w:rsidRPr="00BB2872">
        <w:rPr>
          <w:rFonts w:ascii="Times New Roman" w:eastAsia="Times New Roman" w:hAnsi="Times New Roman" w:cs="Times New Roman"/>
          <w:sz w:val="24"/>
          <w:szCs w:val="24"/>
        </w:rPr>
        <w:t>.</w:t>
      </w:r>
      <w:r w:rsidRPr="00BB2872">
        <w:rPr>
          <w:rFonts w:ascii="Times New Roman" w:eastAsia="Times New Roman" w:hAnsi="Times New Roman" w:cs="Times New Roman"/>
          <w:sz w:val="24"/>
          <w:szCs w:val="24"/>
        </w:rPr>
        <w:t xml:space="preserve"> </w:t>
      </w:r>
      <w:proofErr w:type="spellStart"/>
      <w:r w:rsidRPr="00BB2872">
        <w:rPr>
          <w:rFonts w:ascii="Times New Roman" w:eastAsia="Times New Roman" w:hAnsi="Times New Roman" w:cs="Times New Roman"/>
          <w:sz w:val="24"/>
          <w:szCs w:val="24"/>
        </w:rPr>
        <w:t>Avouyi-Dovi</w:t>
      </w:r>
      <w:proofErr w:type="spellEnd"/>
      <w:r w:rsidRPr="00BB2872">
        <w:rPr>
          <w:rFonts w:ascii="Times New Roman" w:eastAsia="Times New Roman" w:hAnsi="Times New Roman" w:cs="Times New Roman"/>
          <w:sz w:val="24"/>
          <w:szCs w:val="24"/>
        </w:rPr>
        <w:t xml:space="preserve"> et al. (2017)</w:t>
      </w:r>
      <w:r w:rsidR="00A23819" w:rsidRPr="00BB2872">
        <w:rPr>
          <w:rFonts w:ascii="Times New Roman" w:eastAsia="Times New Roman" w:hAnsi="Times New Roman" w:cs="Times New Roman"/>
          <w:sz w:val="24"/>
          <w:szCs w:val="24"/>
        </w:rPr>
        <w:t xml:space="preserve"> </w:t>
      </w:r>
      <w:r w:rsidR="00186E4C" w:rsidRPr="00BB2872">
        <w:rPr>
          <w:rFonts w:ascii="Times New Roman" w:eastAsia="Times New Roman" w:hAnsi="Times New Roman" w:cs="Times New Roman"/>
          <w:sz w:val="24"/>
          <w:szCs w:val="24"/>
        </w:rPr>
        <w:t>also</w:t>
      </w:r>
      <w:r w:rsidRPr="00BB2872">
        <w:rPr>
          <w:rFonts w:ascii="Times New Roman" w:eastAsia="Times New Roman" w:hAnsi="Times New Roman" w:cs="Times New Roman"/>
          <w:sz w:val="24"/>
          <w:szCs w:val="24"/>
        </w:rPr>
        <w:t xml:space="preserve"> provided evidence of a slowdown in the transmission process. </w:t>
      </w:r>
      <w:proofErr w:type="spellStart"/>
      <w:r w:rsidRPr="00BB2872">
        <w:rPr>
          <w:rFonts w:ascii="Times New Roman" w:eastAsia="Times New Roman" w:hAnsi="Times New Roman" w:cs="Times New Roman"/>
          <w:sz w:val="24"/>
          <w:szCs w:val="24"/>
        </w:rPr>
        <w:t>Illes</w:t>
      </w:r>
      <w:proofErr w:type="spellEnd"/>
      <w:r w:rsidRPr="00BB2872">
        <w:rPr>
          <w:rFonts w:ascii="Times New Roman" w:eastAsia="Times New Roman" w:hAnsi="Times New Roman" w:cs="Times New Roman"/>
          <w:sz w:val="24"/>
          <w:szCs w:val="24"/>
        </w:rPr>
        <w:t xml:space="preserve"> et al. (2019) concluded that policy rates, which were a reasonable proxy for funding costs before 2007</w:t>
      </w:r>
      <w:r w:rsidR="00042875" w:rsidRPr="00BB2872">
        <w:rPr>
          <w:rFonts w:ascii="Times New Roman" w:eastAsia="Times New Roman" w:hAnsi="Times New Roman" w:cs="Times New Roman"/>
          <w:sz w:val="24"/>
          <w:szCs w:val="24"/>
        </w:rPr>
        <w:t>,</w:t>
      </w:r>
      <w:r w:rsidRPr="00BB2872">
        <w:rPr>
          <w:rFonts w:ascii="Times New Roman" w:eastAsia="Times New Roman" w:hAnsi="Times New Roman" w:cs="Times New Roman"/>
          <w:sz w:val="24"/>
          <w:szCs w:val="24"/>
        </w:rPr>
        <w:t xml:space="preserve"> when liquidity risks and counterparty risks were low and stable, are no longer good proxies under </w:t>
      </w:r>
      <w:r w:rsidR="00042875" w:rsidRPr="00BB2872">
        <w:rPr>
          <w:rFonts w:ascii="Times New Roman" w:eastAsia="Times New Roman" w:hAnsi="Times New Roman" w:cs="Times New Roman"/>
          <w:sz w:val="24"/>
          <w:szCs w:val="24"/>
        </w:rPr>
        <w:t xml:space="preserve">the </w:t>
      </w:r>
      <w:r w:rsidRPr="00BB2872">
        <w:rPr>
          <w:rFonts w:ascii="Times New Roman" w:eastAsia="Times New Roman" w:hAnsi="Times New Roman" w:cs="Times New Roman"/>
          <w:sz w:val="24"/>
          <w:szCs w:val="24"/>
        </w:rPr>
        <w:t xml:space="preserve">new conditions. They pointed out </w:t>
      </w:r>
      <w:r w:rsidR="00042875" w:rsidRPr="00BB2872">
        <w:rPr>
          <w:rFonts w:ascii="Times New Roman" w:eastAsia="Times New Roman" w:hAnsi="Times New Roman" w:cs="Times New Roman"/>
          <w:sz w:val="24"/>
          <w:szCs w:val="24"/>
        </w:rPr>
        <w:t xml:space="preserve">a </w:t>
      </w:r>
      <w:r w:rsidRPr="00BB2872">
        <w:rPr>
          <w:rFonts w:ascii="Times New Roman" w:eastAsia="Times New Roman" w:hAnsi="Times New Roman" w:cs="Times New Roman"/>
          <w:sz w:val="24"/>
          <w:szCs w:val="24"/>
        </w:rPr>
        <w:t xml:space="preserve">divergence </w:t>
      </w:r>
      <w:r w:rsidR="00042875" w:rsidRPr="00BB2872">
        <w:rPr>
          <w:rFonts w:ascii="Times New Roman" w:eastAsia="Times New Roman" w:hAnsi="Times New Roman" w:cs="Times New Roman"/>
          <w:sz w:val="24"/>
          <w:szCs w:val="24"/>
        </w:rPr>
        <w:t>in</w:t>
      </w:r>
      <w:r w:rsidRPr="00BB2872">
        <w:rPr>
          <w:rFonts w:ascii="Times New Roman" w:eastAsia="Times New Roman" w:hAnsi="Times New Roman" w:cs="Times New Roman"/>
          <w:sz w:val="24"/>
          <w:szCs w:val="24"/>
        </w:rPr>
        <w:t xml:space="preserve"> bank lending rates from policy rates </w:t>
      </w:r>
      <w:r w:rsidR="00042875" w:rsidRPr="00BB2872">
        <w:rPr>
          <w:rFonts w:ascii="Times New Roman" w:eastAsia="Times New Roman" w:hAnsi="Times New Roman" w:cs="Times New Roman"/>
          <w:sz w:val="24"/>
          <w:szCs w:val="24"/>
        </w:rPr>
        <w:t xml:space="preserve">following </w:t>
      </w:r>
      <w:r w:rsidRPr="00BB2872">
        <w:rPr>
          <w:rFonts w:ascii="Times New Roman" w:eastAsia="Times New Roman" w:hAnsi="Times New Roman" w:cs="Times New Roman"/>
          <w:sz w:val="24"/>
          <w:szCs w:val="24"/>
        </w:rPr>
        <w:t xml:space="preserve">the financial </w:t>
      </w:r>
      <w:proofErr w:type="gramStart"/>
      <w:r w:rsidRPr="00BB2872">
        <w:rPr>
          <w:rFonts w:ascii="Times New Roman" w:eastAsia="Times New Roman" w:hAnsi="Times New Roman" w:cs="Times New Roman"/>
          <w:sz w:val="24"/>
          <w:szCs w:val="24"/>
        </w:rPr>
        <w:t>crisis</w:t>
      </w:r>
      <w:r w:rsidR="00042875" w:rsidRPr="00BB2872">
        <w:rPr>
          <w:rFonts w:ascii="Times New Roman" w:eastAsia="Times New Roman" w:hAnsi="Times New Roman" w:cs="Times New Roman"/>
          <w:sz w:val="24"/>
          <w:szCs w:val="24"/>
        </w:rPr>
        <w:t>,</w:t>
      </w:r>
      <w:r w:rsidRPr="00BB2872">
        <w:rPr>
          <w:rFonts w:ascii="Times New Roman" w:eastAsia="Times New Roman" w:hAnsi="Times New Roman" w:cs="Times New Roman"/>
          <w:sz w:val="24"/>
          <w:szCs w:val="24"/>
        </w:rPr>
        <w:t xml:space="preserve"> and</w:t>
      </w:r>
      <w:proofErr w:type="gramEnd"/>
      <w:r w:rsidRPr="00BB2872">
        <w:rPr>
          <w:rFonts w:ascii="Times New Roman" w:eastAsia="Times New Roman" w:hAnsi="Times New Roman" w:cs="Times New Roman"/>
          <w:sz w:val="24"/>
          <w:szCs w:val="24"/>
        </w:rPr>
        <w:t xml:space="preserve"> showed strong evidence for a stable relationship between lending rates and a weighted average cost of liabilities measure than for policy rates. They summari</w:t>
      </w:r>
      <w:r w:rsidR="00042875" w:rsidRPr="00BB2872">
        <w:rPr>
          <w:rFonts w:ascii="Times New Roman" w:eastAsia="Times New Roman" w:hAnsi="Times New Roman" w:cs="Times New Roman"/>
          <w:sz w:val="24"/>
          <w:szCs w:val="24"/>
        </w:rPr>
        <w:t>s</w:t>
      </w:r>
      <w:r w:rsidRPr="00BB2872">
        <w:rPr>
          <w:rFonts w:ascii="Times New Roman" w:eastAsia="Times New Roman" w:hAnsi="Times New Roman" w:cs="Times New Roman"/>
          <w:sz w:val="24"/>
          <w:szCs w:val="24"/>
        </w:rPr>
        <w:t>ed that funding costs</w:t>
      </w:r>
      <w:r w:rsidR="00042875" w:rsidRPr="00BB2872">
        <w:rPr>
          <w:rFonts w:ascii="Times New Roman" w:eastAsia="Times New Roman" w:hAnsi="Times New Roman" w:cs="Times New Roman"/>
          <w:sz w:val="24"/>
          <w:szCs w:val="24"/>
        </w:rPr>
        <w:t>,</w:t>
      </w:r>
      <w:r w:rsidRPr="00BB2872">
        <w:rPr>
          <w:rFonts w:ascii="Times New Roman" w:eastAsia="Times New Roman" w:hAnsi="Times New Roman" w:cs="Times New Roman"/>
          <w:sz w:val="24"/>
          <w:szCs w:val="24"/>
        </w:rPr>
        <w:t xml:space="preserve"> broadly defined</w:t>
      </w:r>
      <w:r w:rsidR="00042875" w:rsidRPr="00BB2872">
        <w:rPr>
          <w:rFonts w:ascii="Times New Roman" w:eastAsia="Times New Roman" w:hAnsi="Times New Roman" w:cs="Times New Roman"/>
          <w:sz w:val="24"/>
          <w:szCs w:val="24"/>
        </w:rPr>
        <w:t>,</w:t>
      </w:r>
      <w:r w:rsidRPr="00BB2872">
        <w:rPr>
          <w:rFonts w:ascii="Times New Roman" w:eastAsia="Times New Roman" w:hAnsi="Times New Roman" w:cs="Times New Roman"/>
          <w:sz w:val="24"/>
          <w:szCs w:val="24"/>
        </w:rPr>
        <w:t xml:space="preserve"> are most relevant to lending rates </w:t>
      </w:r>
      <w:r w:rsidR="00042875" w:rsidRPr="00BB2872">
        <w:rPr>
          <w:rFonts w:ascii="Times New Roman" w:eastAsia="Times New Roman" w:hAnsi="Times New Roman" w:cs="Times New Roman"/>
          <w:sz w:val="24"/>
          <w:szCs w:val="24"/>
        </w:rPr>
        <w:t xml:space="preserve">because </w:t>
      </w:r>
      <w:r w:rsidRPr="00BB2872">
        <w:rPr>
          <w:rFonts w:ascii="Times New Roman" w:eastAsia="Times New Roman" w:hAnsi="Times New Roman" w:cs="Times New Roman"/>
          <w:sz w:val="24"/>
          <w:szCs w:val="24"/>
        </w:rPr>
        <w:t xml:space="preserve">there </w:t>
      </w:r>
      <w:r w:rsidR="00042875" w:rsidRPr="00BB2872">
        <w:rPr>
          <w:rFonts w:ascii="Times New Roman" w:eastAsia="Times New Roman" w:hAnsi="Times New Roman" w:cs="Times New Roman"/>
          <w:sz w:val="24"/>
          <w:szCs w:val="24"/>
        </w:rPr>
        <w:t>has been</w:t>
      </w:r>
      <w:r w:rsidRPr="00BB2872">
        <w:rPr>
          <w:rFonts w:ascii="Times New Roman" w:eastAsia="Times New Roman" w:hAnsi="Times New Roman" w:cs="Times New Roman"/>
          <w:sz w:val="24"/>
          <w:szCs w:val="24"/>
        </w:rPr>
        <w:t xml:space="preserve"> no divergence </w:t>
      </w:r>
      <w:r w:rsidR="00042875" w:rsidRPr="00BB2872">
        <w:rPr>
          <w:rFonts w:ascii="Times New Roman" w:eastAsia="Times New Roman" w:hAnsi="Times New Roman" w:cs="Times New Roman"/>
          <w:sz w:val="24"/>
          <w:szCs w:val="24"/>
        </w:rPr>
        <w:t xml:space="preserve">between these </w:t>
      </w:r>
      <w:r w:rsidRPr="00BB2872">
        <w:rPr>
          <w:rFonts w:ascii="Times New Roman" w:eastAsia="Times New Roman" w:hAnsi="Times New Roman" w:cs="Times New Roman"/>
          <w:sz w:val="24"/>
          <w:szCs w:val="24"/>
        </w:rPr>
        <w:t>in the post</w:t>
      </w:r>
      <w:r w:rsidR="00042875" w:rsidRPr="00BB2872">
        <w:rPr>
          <w:rFonts w:ascii="Times New Roman" w:eastAsia="Times New Roman" w:hAnsi="Times New Roman" w:cs="Times New Roman"/>
          <w:sz w:val="24"/>
          <w:szCs w:val="24"/>
        </w:rPr>
        <w:t>-</w:t>
      </w:r>
      <w:r w:rsidRPr="00BB2872">
        <w:rPr>
          <w:rFonts w:ascii="Times New Roman" w:eastAsia="Times New Roman" w:hAnsi="Times New Roman" w:cs="Times New Roman"/>
          <w:sz w:val="24"/>
          <w:szCs w:val="24"/>
        </w:rPr>
        <w:t xml:space="preserve">crisis period. </w:t>
      </w:r>
    </w:p>
    <w:p w14:paraId="00000014" w14:textId="17125851" w:rsidR="00345220" w:rsidRPr="00BB2872" w:rsidRDefault="00D45E73">
      <w:pPr>
        <w:spacing w:after="0" w:line="480" w:lineRule="auto"/>
        <w:rPr>
          <w:rFonts w:ascii="Times New Roman" w:eastAsia="Times New Roman" w:hAnsi="Times New Roman" w:cs="Times New Roman"/>
          <w:sz w:val="24"/>
          <w:szCs w:val="24"/>
        </w:rPr>
      </w:pPr>
      <w:r w:rsidRPr="00BB2872">
        <w:rPr>
          <w:rFonts w:ascii="Times New Roman" w:eastAsia="Times New Roman" w:hAnsi="Times New Roman" w:cs="Times New Roman"/>
          <w:sz w:val="24"/>
          <w:szCs w:val="24"/>
        </w:rPr>
        <w:t xml:space="preserve">Because the possibilities </w:t>
      </w:r>
      <w:r w:rsidR="00DB62B5" w:rsidRPr="00BB2872">
        <w:rPr>
          <w:rFonts w:ascii="Times New Roman" w:eastAsia="Times New Roman" w:hAnsi="Times New Roman" w:cs="Times New Roman"/>
          <w:sz w:val="24"/>
          <w:szCs w:val="24"/>
        </w:rPr>
        <w:t>for a</w:t>
      </w:r>
      <w:r w:rsidRPr="00BB2872">
        <w:rPr>
          <w:rFonts w:ascii="Times New Roman" w:eastAsia="Times New Roman" w:hAnsi="Times New Roman" w:cs="Times New Roman"/>
          <w:sz w:val="24"/>
          <w:szCs w:val="24"/>
        </w:rPr>
        <w:t xml:space="preserve"> standard monetary policy in the EA have been exhausted, the ECB </w:t>
      </w:r>
      <w:r w:rsidR="00DB62B5" w:rsidRPr="00BB2872">
        <w:rPr>
          <w:rFonts w:ascii="Times New Roman" w:eastAsia="Times New Roman" w:hAnsi="Times New Roman" w:cs="Times New Roman"/>
          <w:sz w:val="24"/>
          <w:szCs w:val="24"/>
        </w:rPr>
        <w:t xml:space="preserve">also </w:t>
      </w:r>
      <w:r w:rsidRPr="00BB2872">
        <w:rPr>
          <w:rFonts w:ascii="Times New Roman" w:eastAsia="Times New Roman" w:hAnsi="Times New Roman" w:cs="Times New Roman"/>
          <w:sz w:val="24"/>
          <w:szCs w:val="24"/>
        </w:rPr>
        <w:t xml:space="preserve">started to use non-standard policy tools, </w:t>
      </w:r>
      <w:r w:rsidR="00DB62B5" w:rsidRPr="00BB2872">
        <w:rPr>
          <w:rFonts w:ascii="Times New Roman" w:eastAsia="Times New Roman" w:hAnsi="Times New Roman" w:cs="Times New Roman"/>
          <w:sz w:val="24"/>
          <w:szCs w:val="24"/>
        </w:rPr>
        <w:t>such as</w:t>
      </w:r>
      <w:r w:rsidRPr="00BB2872">
        <w:rPr>
          <w:rFonts w:ascii="Times New Roman" w:eastAsia="Times New Roman" w:hAnsi="Times New Roman" w:cs="Times New Roman"/>
          <w:sz w:val="24"/>
          <w:szCs w:val="24"/>
        </w:rPr>
        <w:t xml:space="preserve"> asset purchase programme</w:t>
      </w:r>
      <w:r w:rsidR="00DB62B5" w:rsidRPr="00BB2872">
        <w:rPr>
          <w:rFonts w:ascii="Times New Roman" w:eastAsia="Times New Roman" w:hAnsi="Times New Roman" w:cs="Times New Roman"/>
          <w:sz w:val="24"/>
          <w:szCs w:val="24"/>
        </w:rPr>
        <w:t>s</w:t>
      </w:r>
      <w:r w:rsidRPr="00BB2872">
        <w:rPr>
          <w:rFonts w:ascii="Times New Roman" w:eastAsia="Times New Roman" w:hAnsi="Times New Roman" w:cs="Times New Roman"/>
          <w:sz w:val="24"/>
          <w:szCs w:val="24"/>
        </w:rPr>
        <w:t xml:space="preserve"> or targeted</w:t>
      </w:r>
      <w:r w:rsidR="00DB62B5" w:rsidRPr="00BB2872">
        <w:rPr>
          <w:rFonts w:ascii="Times New Roman" w:eastAsia="Times New Roman" w:hAnsi="Times New Roman" w:cs="Times New Roman"/>
          <w:sz w:val="24"/>
          <w:szCs w:val="24"/>
        </w:rPr>
        <w:t>,</w:t>
      </w:r>
      <w:r w:rsidRPr="00BB2872">
        <w:rPr>
          <w:rFonts w:ascii="Times New Roman" w:eastAsia="Times New Roman" w:hAnsi="Times New Roman" w:cs="Times New Roman"/>
          <w:sz w:val="24"/>
          <w:szCs w:val="24"/>
        </w:rPr>
        <w:t xml:space="preserve"> longer-term refinancing operations, and </w:t>
      </w:r>
      <w:r w:rsidR="00DB62B5" w:rsidRPr="00BB2872">
        <w:rPr>
          <w:rFonts w:ascii="Times New Roman" w:eastAsia="Times New Roman" w:hAnsi="Times New Roman" w:cs="Times New Roman"/>
          <w:sz w:val="24"/>
          <w:szCs w:val="24"/>
        </w:rPr>
        <w:t xml:space="preserve">so </w:t>
      </w:r>
      <w:r w:rsidRPr="00BB2872">
        <w:rPr>
          <w:rFonts w:ascii="Times New Roman" w:eastAsia="Times New Roman" w:hAnsi="Times New Roman" w:cs="Times New Roman"/>
          <w:sz w:val="24"/>
          <w:szCs w:val="24"/>
        </w:rPr>
        <w:t xml:space="preserve">studies </w:t>
      </w:r>
      <w:r w:rsidR="00DB62B5" w:rsidRPr="00BB2872">
        <w:rPr>
          <w:rFonts w:ascii="Times New Roman" w:eastAsia="Times New Roman" w:hAnsi="Times New Roman" w:cs="Times New Roman"/>
          <w:sz w:val="24"/>
          <w:szCs w:val="24"/>
        </w:rPr>
        <w:t>attempting</w:t>
      </w:r>
      <w:r w:rsidRPr="00BB2872">
        <w:rPr>
          <w:rFonts w:ascii="Times New Roman" w:eastAsia="Times New Roman" w:hAnsi="Times New Roman" w:cs="Times New Roman"/>
          <w:sz w:val="24"/>
          <w:szCs w:val="24"/>
        </w:rPr>
        <w:t xml:space="preserve"> to analyse the impact </w:t>
      </w:r>
      <w:r w:rsidRPr="00BB2872">
        <w:rPr>
          <w:rFonts w:ascii="Times New Roman" w:eastAsia="Times New Roman" w:hAnsi="Times New Roman" w:cs="Times New Roman"/>
          <w:sz w:val="24"/>
          <w:szCs w:val="24"/>
        </w:rPr>
        <w:lastRenderedPageBreak/>
        <w:t xml:space="preserve">of </w:t>
      </w:r>
      <w:r w:rsidR="00DB62B5" w:rsidRPr="00BB2872">
        <w:rPr>
          <w:rFonts w:ascii="Times New Roman" w:eastAsia="Times New Roman" w:hAnsi="Times New Roman" w:cs="Times New Roman"/>
          <w:sz w:val="24"/>
          <w:szCs w:val="24"/>
        </w:rPr>
        <w:t xml:space="preserve">these </w:t>
      </w:r>
      <w:r w:rsidRPr="00BB2872">
        <w:rPr>
          <w:rFonts w:ascii="Times New Roman" w:eastAsia="Times New Roman" w:hAnsi="Times New Roman" w:cs="Times New Roman"/>
          <w:sz w:val="24"/>
          <w:szCs w:val="24"/>
        </w:rPr>
        <w:t xml:space="preserve">non-standard tools started to be released, </w:t>
      </w:r>
      <w:r w:rsidR="00DB62B5" w:rsidRPr="00BB2872">
        <w:rPr>
          <w:rFonts w:ascii="Times New Roman" w:eastAsia="Times New Roman" w:hAnsi="Times New Roman" w:cs="Times New Roman"/>
          <w:sz w:val="24"/>
          <w:szCs w:val="24"/>
        </w:rPr>
        <w:t>such as that of</w:t>
      </w:r>
      <w:r w:rsidRPr="00BB2872">
        <w:rPr>
          <w:rFonts w:ascii="Times New Roman" w:eastAsia="Times New Roman" w:hAnsi="Times New Roman" w:cs="Times New Roman"/>
          <w:sz w:val="24"/>
          <w:szCs w:val="24"/>
        </w:rPr>
        <w:t xml:space="preserve"> </w:t>
      </w:r>
      <w:proofErr w:type="spellStart"/>
      <w:r w:rsidRPr="00BB2872">
        <w:rPr>
          <w:rFonts w:ascii="Times New Roman" w:eastAsia="Times New Roman" w:hAnsi="Times New Roman" w:cs="Times New Roman"/>
          <w:sz w:val="24"/>
          <w:szCs w:val="24"/>
        </w:rPr>
        <w:t>Altavilla</w:t>
      </w:r>
      <w:proofErr w:type="spellEnd"/>
      <w:r w:rsidRPr="00BB2872">
        <w:rPr>
          <w:rFonts w:ascii="Times New Roman" w:eastAsia="Times New Roman" w:hAnsi="Times New Roman" w:cs="Times New Roman"/>
          <w:sz w:val="24"/>
          <w:szCs w:val="24"/>
        </w:rPr>
        <w:t xml:space="preserve"> et al. (2020)</w:t>
      </w:r>
      <w:r w:rsidR="00DB62B5" w:rsidRPr="00BB2872">
        <w:rPr>
          <w:rFonts w:ascii="Times New Roman" w:eastAsia="Times New Roman" w:hAnsi="Times New Roman" w:cs="Times New Roman"/>
          <w:sz w:val="24"/>
          <w:szCs w:val="24"/>
        </w:rPr>
        <w:t>, who</w:t>
      </w:r>
      <w:r w:rsidRPr="00BB2872">
        <w:rPr>
          <w:rFonts w:ascii="Times New Roman" w:eastAsia="Times New Roman" w:hAnsi="Times New Roman" w:cs="Times New Roman"/>
          <w:sz w:val="24"/>
          <w:szCs w:val="24"/>
        </w:rPr>
        <w:t xml:space="preserve"> </w:t>
      </w:r>
      <w:r w:rsidR="00DB62B5" w:rsidRPr="00BB2872">
        <w:rPr>
          <w:rFonts w:ascii="Times New Roman" w:eastAsia="Times New Roman" w:hAnsi="Times New Roman" w:cs="Times New Roman"/>
          <w:sz w:val="24"/>
          <w:szCs w:val="24"/>
        </w:rPr>
        <w:t>examined</w:t>
      </w:r>
      <w:r w:rsidRPr="00BB2872">
        <w:rPr>
          <w:rFonts w:ascii="Times New Roman" w:eastAsia="Times New Roman" w:hAnsi="Times New Roman" w:cs="Times New Roman"/>
          <w:sz w:val="24"/>
          <w:szCs w:val="24"/>
        </w:rPr>
        <w:t xml:space="preserve"> both standard and non-standard tools in their paper. They provided </w:t>
      </w:r>
      <w:r w:rsidR="00215F2B" w:rsidRPr="00BB2872">
        <w:rPr>
          <w:rFonts w:ascii="Times New Roman" w:eastAsia="Times New Roman" w:hAnsi="Times New Roman" w:cs="Times New Roman"/>
          <w:sz w:val="24"/>
          <w:szCs w:val="24"/>
        </w:rPr>
        <w:t>an</w:t>
      </w:r>
      <w:r w:rsidRPr="00BB2872">
        <w:rPr>
          <w:rFonts w:ascii="Times New Roman" w:eastAsia="Times New Roman" w:hAnsi="Times New Roman" w:cs="Times New Roman"/>
          <w:sz w:val="24"/>
          <w:szCs w:val="24"/>
        </w:rPr>
        <w:t xml:space="preserve"> analysis of the interest</w:t>
      </w:r>
      <w:r w:rsidR="00E02BFF" w:rsidRPr="00BB2872">
        <w:rPr>
          <w:rFonts w:ascii="Times New Roman" w:eastAsia="Times New Roman" w:hAnsi="Times New Roman" w:cs="Times New Roman"/>
          <w:sz w:val="24"/>
          <w:szCs w:val="24"/>
        </w:rPr>
        <w:t xml:space="preserve"> </w:t>
      </w:r>
      <w:r w:rsidRPr="00BB2872">
        <w:rPr>
          <w:rFonts w:ascii="Times New Roman" w:eastAsia="Times New Roman" w:hAnsi="Times New Roman" w:cs="Times New Roman"/>
          <w:sz w:val="24"/>
          <w:szCs w:val="24"/>
        </w:rPr>
        <w:t>rate pass-through in the EA using bank-level data</w:t>
      </w:r>
      <w:r w:rsidR="00215F2B" w:rsidRPr="00BB2872">
        <w:rPr>
          <w:rFonts w:ascii="Times New Roman" w:eastAsia="Times New Roman" w:hAnsi="Times New Roman" w:cs="Times New Roman"/>
          <w:sz w:val="24"/>
          <w:szCs w:val="24"/>
        </w:rPr>
        <w:t>,</w:t>
      </w:r>
      <w:r w:rsidRPr="00BB2872">
        <w:rPr>
          <w:rFonts w:ascii="Times New Roman" w:eastAsia="Times New Roman" w:hAnsi="Times New Roman" w:cs="Times New Roman"/>
          <w:sz w:val="24"/>
          <w:szCs w:val="24"/>
        </w:rPr>
        <w:t xml:space="preserve"> and they also confirmed the results of studies </w:t>
      </w:r>
      <w:r w:rsidR="00215F2B" w:rsidRPr="00BB2872">
        <w:rPr>
          <w:rFonts w:ascii="Times New Roman" w:eastAsia="Times New Roman" w:hAnsi="Times New Roman" w:cs="Times New Roman"/>
          <w:sz w:val="24"/>
          <w:szCs w:val="24"/>
        </w:rPr>
        <w:t xml:space="preserve">that had </w:t>
      </w:r>
      <w:r w:rsidRPr="00BB2872">
        <w:rPr>
          <w:rFonts w:ascii="Times New Roman" w:eastAsia="Times New Roman" w:hAnsi="Times New Roman" w:cs="Times New Roman"/>
          <w:sz w:val="24"/>
          <w:szCs w:val="24"/>
        </w:rPr>
        <w:t>show</w:t>
      </w:r>
      <w:r w:rsidR="00215F2B" w:rsidRPr="00BB2872">
        <w:rPr>
          <w:rFonts w:ascii="Times New Roman" w:eastAsia="Times New Roman" w:hAnsi="Times New Roman" w:cs="Times New Roman"/>
          <w:sz w:val="24"/>
          <w:szCs w:val="24"/>
        </w:rPr>
        <w:t>ed</w:t>
      </w:r>
      <w:r w:rsidRPr="00BB2872">
        <w:rPr>
          <w:rFonts w:ascii="Times New Roman" w:eastAsia="Times New Roman" w:hAnsi="Times New Roman" w:cs="Times New Roman"/>
          <w:sz w:val="24"/>
          <w:szCs w:val="24"/>
        </w:rPr>
        <w:t xml:space="preserve"> </w:t>
      </w:r>
      <w:r w:rsidR="00215F2B" w:rsidRPr="00BB2872">
        <w:rPr>
          <w:rFonts w:ascii="Times New Roman" w:eastAsia="Times New Roman" w:hAnsi="Times New Roman" w:cs="Times New Roman"/>
          <w:sz w:val="24"/>
          <w:szCs w:val="24"/>
        </w:rPr>
        <w:t xml:space="preserve">a </w:t>
      </w:r>
      <w:r w:rsidRPr="00BB2872">
        <w:rPr>
          <w:rFonts w:ascii="Times New Roman" w:eastAsia="Times New Roman" w:hAnsi="Times New Roman" w:cs="Times New Roman"/>
          <w:sz w:val="24"/>
          <w:szCs w:val="24"/>
        </w:rPr>
        <w:t xml:space="preserve">divergence in </w:t>
      </w:r>
      <w:r w:rsidR="00215F2B" w:rsidRPr="00BB2872">
        <w:rPr>
          <w:rFonts w:ascii="Times New Roman" w:eastAsia="Times New Roman" w:hAnsi="Times New Roman" w:cs="Times New Roman"/>
          <w:sz w:val="24"/>
          <w:szCs w:val="24"/>
        </w:rPr>
        <w:t xml:space="preserve">the </w:t>
      </w:r>
      <w:r w:rsidRPr="00BB2872">
        <w:rPr>
          <w:rFonts w:ascii="Times New Roman" w:eastAsia="Times New Roman" w:hAnsi="Times New Roman" w:cs="Times New Roman"/>
          <w:sz w:val="24"/>
          <w:szCs w:val="24"/>
        </w:rPr>
        <w:t>rates. The</w:t>
      </w:r>
      <w:r w:rsidR="00215F2B" w:rsidRPr="00BB2872">
        <w:rPr>
          <w:rFonts w:ascii="Times New Roman" w:eastAsia="Times New Roman" w:hAnsi="Times New Roman" w:cs="Times New Roman"/>
          <w:sz w:val="24"/>
          <w:szCs w:val="24"/>
        </w:rPr>
        <w:t>y</w:t>
      </w:r>
      <w:r w:rsidRPr="00BB2872">
        <w:rPr>
          <w:rFonts w:ascii="Times New Roman" w:eastAsia="Times New Roman" w:hAnsi="Times New Roman" w:cs="Times New Roman"/>
          <w:sz w:val="24"/>
          <w:szCs w:val="24"/>
        </w:rPr>
        <w:t xml:space="preserve"> </w:t>
      </w:r>
      <w:r w:rsidR="00215F2B" w:rsidRPr="00BB2872">
        <w:rPr>
          <w:rFonts w:ascii="Times New Roman" w:eastAsia="Times New Roman" w:hAnsi="Times New Roman" w:cs="Times New Roman"/>
          <w:sz w:val="24"/>
          <w:szCs w:val="24"/>
        </w:rPr>
        <w:t xml:space="preserve">found </w:t>
      </w:r>
      <w:r w:rsidRPr="00BB2872">
        <w:rPr>
          <w:rFonts w:ascii="Times New Roman" w:eastAsia="Times New Roman" w:hAnsi="Times New Roman" w:cs="Times New Roman"/>
          <w:sz w:val="24"/>
          <w:szCs w:val="24"/>
        </w:rPr>
        <w:t>that the characteristics of banks are crucial when observing heterogeneity in the transmission</w:t>
      </w:r>
      <w:r w:rsidR="00215F2B" w:rsidRPr="00BB2872">
        <w:rPr>
          <w:rFonts w:ascii="Times New Roman" w:eastAsia="Times New Roman" w:hAnsi="Times New Roman" w:cs="Times New Roman"/>
          <w:sz w:val="24"/>
          <w:szCs w:val="24"/>
        </w:rPr>
        <w:t>,</w:t>
      </w:r>
      <w:r w:rsidRPr="00BB2872">
        <w:rPr>
          <w:rFonts w:ascii="Times New Roman" w:eastAsia="Times New Roman" w:hAnsi="Times New Roman" w:cs="Times New Roman"/>
          <w:sz w:val="24"/>
          <w:szCs w:val="24"/>
        </w:rPr>
        <w:t xml:space="preserve"> </w:t>
      </w:r>
      <w:r w:rsidR="00215F2B" w:rsidRPr="00BB2872">
        <w:rPr>
          <w:rFonts w:ascii="Times New Roman" w:eastAsia="Times New Roman" w:hAnsi="Times New Roman" w:cs="Times New Roman"/>
          <w:sz w:val="24"/>
          <w:szCs w:val="24"/>
        </w:rPr>
        <w:t xml:space="preserve">when </w:t>
      </w:r>
      <w:r w:rsidRPr="00BB2872">
        <w:rPr>
          <w:rFonts w:ascii="Times New Roman" w:eastAsia="Times New Roman" w:hAnsi="Times New Roman" w:cs="Times New Roman"/>
          <w:sz w:val="24"/>
          <w:szCs w:val="24"/>
        </w:rPr>
        <w:t>focus</w:t>
      </w:r>
      <w:r w:rsidR="00215F2B" w:rsidRPr="00BB2872">
        <w:rPr>
          <w:rFonts w:ascii="Times New Roman" w:eastAsia="Times New Roman" w:hAnsi="Times New Roman" w:cs="Times New Roman"/>
          <w:sz w:val="24"/>
          <w:szCs w:val="24"/>
        </w:rPr>
        <w:t>ing</w:t>
      </w:r>
      <w:r w:rsidRPr="00BB2872">
        <w:rPr>
          <w:rFonts w:ascii="Times New Roman" w:eastAsia="Times New Roman" w:hAnsi="Times New Roman" w:cs="Times New Roman"/>
          <w:sz w:val="24"/>
          <w:szCs w:val="24"/>
        </w:rPr>
        <w:t xml:space="preserve"> on conventional monetary policy tools</w:t>
      </w:r>
      <w:r w:rsidR="00215F2B" w:rsidRPr="00BB2872">
        <w:rPr>
          <w:rFonts w:ascii="Times New Roman" w:eastAsia="Times New Roman" w:hAnsi="Times New Roman" w:cs="Times New Roman"/>
          <w:sz w:val="24"/>
          <w:szCs w:val="24"/>
        </w:rPr>
        <w:t>,</w:t>
      </w:r>
      <w:r w:rsidRPr="00BB2872">
        <w:rPr>
          <w:rFonts w:ascii="Times New Roman" w:eastAsia="Times New Roman" w:hAnsi="Times New Roman" w:cs="Times New Roman"/>
          <w:sz w:val="24"/>
          <w:szCs w:val="24"/>
        </w:rPr>
        <w:t xml:space="preserve"> and that the heterogeneity is reduced when analysing the impact of non-standard measures. The effectiveness and transmission of </w:t>
      </w:r>
      <w:r w:rsidR="00215F2B" w:rsidRPr="00BB2872">
        <w:rPr>
          <w:rFonts w:ascii="Times New Roman" w:eastAsia="Times New Roman" w:hAnsi="Times New Roman" w:cs="Times New Roman"/>
          <w:sz w:val="24"/>
          <w:szCs w:val="24"/>
        </w:rPr>
        <w:t xml:space="preserve">the ECB’s </w:t>
      </w:r>
      <w:r w:rsidRPr="00BB2872">
        <w:rPr>
          <w:rFonts w:ascii="Times New Roman" w:eastAsia="Times New Roman" w:hAnsi="Times New Roman" w:cs="Times New Roman"/>
          <w:sz w:val="24"/>
          <w:szCs w:val="24"/>
        </w:rPr>
        <w:t xml:space="preserve">unconventional monetary policy were investigated by </w:t>
      </w:r>
      <w:proofErr w:type="spellStart"/>
      <w:r w:rsidRPr="00BB2872">
        <w:rPr>
          <w:rFonts w:ascii="Times New Roman" w:eastAsia="Times New Roman" w:hAnsi="Times New Roman" w:cs="Times New Roman"/>
          <w:sz w:val="24"/>
          <w:szCs w:val="24"/>
        </w:rPr>
        <w:t>Zabala</w:t>
      </w:r>
      <w:proofErr w:type="spellEnd"/>
      <w:r w:rsidRPr="00BB2872">
        <w:rPr>
          <w:rFonts w:ascii="Times New Roman" w:eastAsia="Times New Roman" w:hAnsi="Times New Roman" w:cs="Times New Roman"/>
          <w:sz w:val="24"/>
          <w:szCs w:val="24"/>
        </w:rPr>
        <w:t xml:space="preserve"> and Prats (2020)</w:t>
      </w:r>
      <w:r w:rsidR="00215F2B" w:rsidRPr="00BB2872">
        <w:rPr>
          <w:rFonts w:ascii="Times New Roman" w:eastAsia="Times New Roman" w:hAnsi="Times New Roman" w:cs="Times New Roman"/>
          <w:sz w:val="24"/>
          <w:szCs w:val="24"/>
        </w:rPr>
        <w:t>,</w:t>
      </w:r>
      <w:r w:rsidRPr="00BB2872">
        <w:rPr>
          <w:rFonts w:ascii="Times New Roman" w:eastAsia="Times New Roman" w:hAnsi="Times New Roman" w:cs="Times New Roman"/>
          <w:sz w:val="24"/>
          <w:szCs w:val="24"/>
        </w:rPr>
        <w:t xml:space="preserve"> us</w:t>
      </w:r>
      <w:r w:rsidR="00215F2B" w:rsidRPr="00BB2872">
        <w:rPr>
          <w:rFonts w:ascii="Times New Roman" w:eastAsia="Times New Roman" w:hAnsi="Times New Roman" w:cs="Times New Roman"/>
          <w:sz w:val="24"/>
          <w:szCs w:val="24"/>
        </w:rPr>
        <w:t>ing the</w:t>
      </w:r>
      <w:r w:rsidRPr="00BB2872">
        <w:rPr>
          <w:rFonts w:ascii="Times New Roman" w:eastAsia="Times New Roman" w:hAnsi="Times New Roman" w:cs="Times New Roman"/>
          <w:sz w:val="24"/>
          <w:szCs w:val="24"/>
        </w:rPr>
        <w:t xml:space="preserve"> SVAR model. They evaluated the impact on EA inflation and </w:t>
      </w:r>
      <w:r w:rsidR="00215F2B" w:rsidRPr="00BB2872">
        <w:rPr>
          <w:rFonts w:ascii="Times New Roman" w:eastAsia="Times New Roman" w:hAnsi="Times New Roman" w:cs="Times New Roman"/>
          <w:sz w:val="24"/>
          <w:szCs w:val="24"/>
        </w:rPr>
        <w:t xml:space="preserve">its </w:t>
      </w:r>
      <w:r w:rsidRPr="00BB2872">
        <w:rPr>
          <w:rFonts w:ascii="Times New Roman" w:eastAsia="Times New Roman" w:hAnsi="Times New Roman" w:cs="Times New Roman"/>
          <w:sz w:val="24"/>
          <w:szCs w:val="24"/>
        </w:rPr>
        <w:t>growth rate. The</w:t>
      </w:r>
      <w:r w:rsidR="00215F2B" w:rsidRPr="00BB2872">
        <w:rPr>
          <w:rFonts w:ascii="Times New Roman" w:eastAsia="Times New Roman" w:hAnsi="Times New Roman" w:cs="Times New Roman"/>
          <w:sz w:val="24"/>
          <w:szCs w:val="24"/>
        </w:rPr>
        <w:t>y</w:t>
      </w:r>
      <w:r w:rsidRPr="00BB2872">
        <w:rPr>
          <w:rFonts w:ascii="Times New Roman" w:eastAsia="Times New Roman" w:hAnsi="Times New Roman" w:cs="Times New Roman"/>
          <w:sz w:val="24"/>
          <w:szCs w:val="24"/>
        </w:rPr>
        <w:t xml:space="preserve"> confirmed the existence of transmission for </w:t>
      </w:r>
      <w:r w:rsidR="00215F2B" w:rsidRPr="00BB2872">
        <w:rPr>
          <w:rFonts w:ascii="Times New Roman" w:eastAsia="Times New Roman" w:hAnsi="Times New Roman" w:cs="Times New Roman"/>
          <w:sz w:val="24"/>
          <w:szCs w:val="24"/>
        </w:rPr>
        <w:t xml:space="preserve">a </w:t>
      </w:r>
      <w:r w:rsidRPr="00BB2872">
        <w:rPr>
          <w:rFonts w:ascii="Times New Roman" w:eastAsia="Times New Roman" w:hAnsi="Times New Roman" w:cs="Times New Roman"/>
          <w:sz w:val="24"/>
          <w:szCs w:val="24"/>
        </w:rPr>
        <w:t xml:space="preserve">period when the non-standard measures were used. </w:t>
      </w:r>
      <w:r w:rsidR="00E86FF0" w:rsidRPr="00BB2872">
        <w:rPr>
          <w:rFonts w:ascii="Times New Roman" w:eastAsia="Times New Roman" w:hAnsi="Times New Roman" w:cs="Times New Roman"/>
          <w:sz w:val="24"/>
          <w:szCs w:val="24"/>
        </w:rPr>
        <w:t xml:space="preserve">The </w:t>
      </w:r>
      <w:r w:rsidRPr="00BB2872">
        <w:rPr>
          <w:rFonts w:ascii="Times New Roman" w:eastAsia="Times New Roman" w:hAnsi="Times New Roman" w:cs="Times New Roman"/>
          <w:sz w:val="24"/>
          <w:szCs w:val="24"/>
        </w:rPr>
        <w:t xml:space="preserve">SVAR methodology was also </w:t>
      </w:r>
      <w:r w:rsidR="00E86FF0" w:rsidRPr="00BB2872">
        <w:rPr>
          <w:rFonts w:ascii="Times New Roman" w:eastAsia="Times New Roman" w:hAnsi="Times New Roman" w:cs="Times New Roman"/>
          <w:sz w:val="24"/>
          <w:szCs w:val="24"/>
        </w:rPr>
        <w:t>applied</w:t>
      </w:r>
      <w:r w:rsidRPr="00BB2872">
        <w:rPr>
          <w:rFonts w:ascii="Times New Roman" w:eastAsia="Times New Roman" w:hAnsi="Times New Roman" w:cs="Times New Roman"/>
          <w:sz w:val="24"/>
          <w:szCs w:val="24"/>
        </w:rPr>
        <w:t xml:space="preserve"> in </w:t>
      </w:r>
      <w:r w:rsidR="00E86FF0" w:rsidRPr="00BB2872">
        <w:rPr>
          <w:rFonts w:ascii="Times New Roman" w:eastAsia="Times New Roman" w:hAnsi="Times New Roman" w:cs="Times New Roman"/>
          <w:sz w:val="24"/>
          <w:szCs w:val="24"/>
        </w:rPr>
        <w:t>a</w:t>
      </w:r>
      <w:r w:rsidRPr="00BB2872">
        <w:rPr>
          <w:rFonts w:ascii="Times New Roman" w:eastAsia="Times New Roman" w:hAnsi="Times New Roman" w:cs="Times New Roman"/>
          <w:sz w:val="24"/>
          <w:szCs w:val="24"/>
        </w:rPr>
        <w:t xml:space="preserve"> study by Afonso and Goncalves (2020)</w:t>
      </w:r>
      <w:r w:rsidR="00E86FF0" w:rsidRPr="00BB2872">
        <w:rPr>
          <w:rFonts w:ascii="Times New Roman" w:eastAsia="Times New Roman" w:hAnsi="Times New Roman" w:cs="Times New Roman"/>
          <w:sz w:val="24"/>
          <w:szCs w:val="24"/>
        </w:rPr>
        <w:t>,</w:t>
      </w:r>
      <w:r w:rsidRPr="00BB2872">
        <w:rPr>
          <w:rFonts w:ascii="Times New Roman" w:eastAsia="Times New Roman" w:hAnsi="Times New Roman" w:cs="Times New Roman"/>
          <w:sz w:val="24"/>
          <w:szCs w:val="24"/>
        </w:rPr>
        <w:t xml:space="preserve"> which focused on fiscal and monetary policy mi</w:t>
      </w:r>
      <w:r w:rsidR="00200641" w:rsidRPr="00BB2872">
        <w:rPr>
          <w:rFonts w:ascii="Times New Roman" w:eastAsia="Times New Roman" w:hAnsi="Times New Roman" w:cs="Times New Roman"/>
          <w:sz w:val="24"/>
          <w:szCs w:val="24"/>
        </w:rPr>
        <w:t>x</w:t>
      </w:r>
      <w:r w:rsidRPr="00BB2872">
        <w:rPr>
          <w:rFonts w:ascii="Times New Roman" w:eastAsia="Times New Roman" w:hAnsi="Times New Roman" w:cs="Times New Roman"/>
          <w:sz w:val="24"/>
          <w:szCs w:val="24"/>
        </w:rPr>
        <w:t xml:space="preserve"> in the EA and the US. Regarding monetary policy, they confirmed </w:t>
      </w:r>
      <w:r w:rsidR="00E86FF0" w:rsidRPr="00BB2872">
        <w:rPr>
          <w:rFonts w:ascii="Times New Roman" w:eastAsia="Times New Roman" w:hAnsi="Times New Roman" w:cs="Times New Roman"/>
          <w:sz w:val="24"/>
          <w:szCs w:val="24"/>
        </w:rPr>
        <w:t xml:space="preserve">the </w:t>
      </w:r>
      <w:r w:rsidRPr="00BB2872">
        <w:rPr>
          <w:rFonts w:ascii="Times New Roman" w:eastAsia="Times New Roman" w:hAnsi="Times New Roman" w:cs="Times New Roman"/>
          <w:sz w:val="24"/>
          <w:szCs w:val="24"/>
        </w:rPr>
        <w:t>traditional relationship between interest rates and inflation in the US but</w:t>
      </w:r>
      <w:r w:rsidR="00E86FF0" w:rsidRPr="00BB2872">
        <w:rPr>
          <w:rFonts w:ascii="Times New Roman" w:eastAsia="Times New Roman" w:hAnsi="Times New Roman" w:cs="Times New Roman"/>
          <w:sz w:val="24"/>
          <w:szCs w:val="24"/>
        </w:rPr>
        <w:t>,</w:t>
      </w:r>
      <w:r w:rsidRPr="00BB2872">
        <w:rPr>
          <w:rFonts w:ascii="Times New Roman" w:eastAsia="Times New Roman" w:hAnsi="Times New Roman" w:cs="Times New Roman"/>
          <w:sz w:val="24"/>
          <w:szCs w:val="24"/>
        </w:rPr>
        <w:t xml:space="preserve"> in the case of the EA, </w:t>
      </w:r>
      <w:r w:rsidR="00E86FF0" w:rsidRPr="00BB2872">
        <w:rPr>
          <w:rFonts w:ascii="Times New Roman" w:eastAsia="Times New Roman" w:hAnsi="Times New Roman" w:cs="Times New Roman"/>
          <w:sz w:val="24"/>
          <w:szCs w:val="24"/>
        </w:rPr>
        <w:t xml:space="preserve">a </w:t>
      </w:r>
      <w:r w:rsidRPr="00BB2872">
        <w:rPr>
          <w:rFonts w:ascii="Times New Roman" w:eastAsia="Times New Roman" w:hAnsi="Times New Roman" w:cs="Times New Roman"/>
          <w:sz w:val="24"/>
          <w:szCs w:val="24"/>
        </w:rPr>
        <w:t xml:space="preserve">price puzzle was confirmed. An extensive review devoted to the effects of non-standard policy tools on financial markets </w:t>
      </w:r>
      <w:r w:rsidR="00E86FF0" w:rsidRPr="00BB2872">
        <w:rPr>
          <w:rFonts w:ascii="Times New Roman" w:eastAsia="Times New Roman" w:hAnsi="Times New Roman" w:cs="Times New Roman"/>
          <w:sz w:val="24"/>
          <w:szCs w:val="24"/>
        </w:rPr>
        <w:t xml:space="preserve">has been presented </w:t>
      </w:r>
      <w:r w:rsidRPr="00BB2872">
        <w:rPr>
          <w:rFonts w:ascii="Times New Roman" w:eastAsia="Times New Roman" w:hAnsi="Times New Roman" w:cs="Times New Roman"/>
          <w:sz w:val="24"/>
          <w:szCs w:val="24"/>
        </w:rPr>
        <w:t xml:space="preserve">by </w:t>
      </w:r>
      <w:proofErr w:type="spellStart"/>
      <w:r w:rsidRPr="00BB2872">
        <w:rPr>
          <w:rFonts w:ascii="Times New Roman" w:eastAsia="Times New Roman" w:hAnsi="Times New Roman" w:cs="Times New Roman"/>
          <w:sz w:val="24"/>
          <w:szCs w:val="24"/>
        </w:rPr>
        <w:t>Kampl</w:t>
      </w:r>
      <w:proofErr w:type="spellEnd"/>
      <w:r w:rsidRPr="00BB2872">
        <w:rPr>
          <w:rFonts w:ascii="Times New Roman" w:eastAsia="Times New Roman" w:hAnsi="Times New Roman" w:cs="Times New Roman"/>
          <w:sz w:val="24"/>
          <w:szCs w:val="24"/>
        </w:rPr>
        <w:t xml:space="preserve"> (2021).</w:t>
      </w:r>
    </w:p>
    <w:p w14:paraId="00000015" w14:textId="61201C24" w:rsidR="00345220" w:rsidRPr="00BB2872" w:rsidRDefault="00D45E73">
      <w:pPr>
        <w:spacing w:after="0" w:line="480" w:lineRule="auto"/>
        <w:rPr>
          <w:rFonts w:ascii="Times New Roman" w:eastAsia="Times New Roman" w:hAnsi="Times New Roman" w:cs="Times New Roman"/>
          <w:sz w:val="24"/>
          <w:szCs w:val="24"/>
        </w:rPr>
      </w:pPr>
      <w:r w:rsidRPr="00BB2872">
        <w:rPr>
          <w:rFonts w:ascii="Times New Roman" w:eastAsia="Times New Roman" w:hAnsi="Times New Roman" w:cs="Times New Roman"/>
          <w:sz w:val="24"/>
          <w:szCs w:val="24"/>
        </w:rPr>
        <w:t xml:space="preserve">The recent monetary expansion and pass-through process </w:t>
      </w:r>
      <w:r w:rsidR="007504D0" w:rsidRPr="00BB2872">
        <w:rPr>
          <w:rFonts w:ascii="Times New Roman" w:eastAsia="Times New Roman" w:hAnsi="Times New Roman" w:cs="Times New Roman"/>
          <w:sz w:val="24"/>
          <w:szCs w:val="24"/>
        </w:rPr>
        <w:t>have been</w:t>
      </w:r>
      <w:r w:rsidRPr="00BB2872">
        <w:rPr>
          <w:rFonts w:ascii="Times New Roman" w:eastAsia="Times New Roman" w:hAnsi="Times New Roman" w:cs="Times New Roman"/>
          <w:sz w:val="24"/>
          <w:szCs w:val="24"/>
        </w:rPr>
        <w:t xml:space="preserve"> supported by the adoption of </w:t>
      </w:r>
      <w:r w:rsidR="007504D0" w:rsidRPr="00BB2872">
        <w:rPr>
          <w:rFonts w:ascii="Times New Roman" w:eastAsia="Times New Roman" w:hAnsi="Times New Roman" w:cs="Times New Roman"/>
          <w:sz w:val="24"/>
          <w:szCs w:val="24"/>
        </w:rPr>
        <w:t xml:space="preserve">the </w:t>
      </w:r>
      <w:r w:rsidRPr="00BB2872">
        <w:rPr>
          <w:rFonts w:ascii="Times New Roman" w:eastAsia="Times New Roman" w:hAnsi="Times New Roman" w:cs="Times New Roman"/>
          <w:sz w:val="24"/>
          <w:szCs w:val="24"/>
        </w:rPr>
        <w:t xml:space="preserve">Basel III </w:t>
      </w:r>
      <w:r w:rsidR="007504D0" w:rsidRPr="00BB2872">
        <w:rPr>
          <w:rFonts w:ascii="Times New Roman" w:eastAsia="Times New Roman" w:hAnsi="Times New Roman" w:cs="Times New Roman"/>
          <w:sz w:val="24"/>
          <w:szCs w:val="24"/>
        </w:rPr>
        <w:t xml:space="preserve">regulation </w:t>
      </w:r>
      <w:r w:rsidRPr="00BB2872">
        <w:rPr>
          <w:rFonts w:ascii="Times New Roman" w:eastAsia="Times New Roman" w:hAnsi="Times New Roman" w:cs="Times New Roman"/>
          <w:sz w:val="24"/>
          <w:szCs w:val="24"/>
        </w:rPr>
        <w:t xml:space="preserve">and its interaction with the monetary policy framework of </w:t>
      </w:r>
      <w:r w:rsidR="007504D0" w:rsidRPr="00BB2872">
        <w:rPr>
          <w:rFonts w:ascii="Times New Roman" w:eastAsia="Times New Roman" w:hAnsi="Times New Roman" w:cs="Times New Roman"/>
          <w:sz w:val="24"/>
          <w:szCs w:val="24"/>
        </w:rPr>
        <w:t xml:space="preserve">the </w:t>
      </w:r>
      <w:r w:rsidRPr="00BB2872">
        <w:rPr>
          <w:rFonts w:ascii="Times New Roman" w:eastAsia="Times New Roman" w:hAnsi="Times New Roman" w:cs="Times New Roman"/>
          <w:sz w:val="24"/>
          <w:szCs w:val="24"/>
        </w:rPr>
        <w:t xml:space="preserve">central banks. This effect </w:t>
      </w:r>
      <w:r w:rsidR="007504D0" w:rsidRPr="00BB2872">
        <w:rPr>
          <w:rFonts w:ascii="Times New Roman" w:eastAsia="Times New Roman" w:hAnsi="Times New Roman" w:cs="Times New Roman"/>
          <w:sz w:val="24"/>
          <w:szCs w:val="24"/>
        </w:rPr>
        <w:t>has been</w:t>
      </w:r>
      <w:r w:rsidRPr="00BB2872">
        <w:rPr>
          <w:rFonts w:ascii="Times New Roman" w:eastAsia="Times New Roman" w:hAnsi="Times New Roman" w:cs="Times New Roman"/>
          <w:sz w:val="24"/>
          <w:szCs w:val="24"/>
        </w:rPr>
        <w:t xml:space="preserve"> analysed </w:t>
      </w:r>
      <w:r w:rsidR="007504D0" w:rsidRPr="00BB2872">
        <w:rPr>
          <w:rFonts w:ascii="Times New Roman" w:eastAsia="Times New Roman" w:hAnsi="Times New Roman" w:cs="Times New Roman"/>
          <w:sz w:val="24"/>
          <w:szCs w:val="24"/>
        </w:rPr>
        <w:t xml:space="preserve">by </w:t>
      </w:r>
      <w:r w:rsidRPr="00BB2872">
        <w:rPr>
          <w:rFonts w:ascii="Times New Roman" w:eastAsia="Times New Roman" w:hAnsi="Times New Roman" w:cs="Times New Roman"/>
          <w:sz w:val="24"/>
          <w:szCs w:val="24"/>
        </w:rPr>
        <w:t>focusing on the determination of two ratio level</w:t>
      </w:r>
      <w:r w:rsidR="007504D0" w:rsidRPr="00BB2872">
        <w:rPr>
          <w:rFonts w:ascii="Times New Roman" w:eastAsia="Times New Roman" w:hAnsi="Times New Roman" w:cs="Times New Roman"/>
          <w:sz w:val="24"/>
          <w:szCs w:val="24"/>
        </w:rPr>
        <w:t>s</w:t>
      </w:r>
      <w:r w:rsidRPr="00BB2872">
        <w:rPr>
          <w:rFonts w:ascii="Times New Roman" w:eastAsia="Times New Roman" w:hAnsi="Times New Roman" w:cs="Times New Roman"/>
          <w:sz w:val="24"/>
          <w:szCs w:val="24"/>
        </w:rPr>
        <w:t>. Rubio and Carrasco-Gallego (2016) stud</w:t>
      </w:r>
      <w:r w:rsidR="007504D0" w:rsidRPr="00BB2872">
        <w:rPr>
          <w:rFonts w:ascii="Times New Roman" w:eastAsia="Times New Roman" w:hAnsi="Times New Roman" w:cs="Times New Roman"/>
          <w:sz w:val="24"/>
          <w:szCs w:val="24"/>
        </w:rPr>
        <w:t>ied the</w:t>
      </w:r>
      <w:r w:rsidRPr="00BB2872">
        <w:rPr>
          <w:rFonts w:ascii="Times New Roman" w:eastAsia="Times New Roman" w:hAnsi="Times New Roman" w:cs="Times New Roman"/>
          <w:sz w:val="24"/>
          <w:szCs w:val="24"/>
        </w:rPr>
        <w:t xml:space="preserve"> interaction between </w:t>
      </w:r>
      <w:r w:rsidR="007504D0" w:rsidRPr="00BB2872">
        <w:rPr>
          <w:rFonts w:ascii="Times New Roman" w:eastAsia="Times New Roman" w:hAnsi="Times New Roman" w:cs="Times New Roman"/>
          <w:sz w:val="24"/>
          <w:szCs w:val="24"/>
        </w:rPr>
        <w:t xml:space="preserve">the </w:t>
      </w:r>
      <w:r w:rsidRPr="00BB2872">
        <w:rPr>
          <w:rFonts w:ascii="Times New Roman" w:eastAsia="Times New Roman" w:hAnsi="Times New Roman" w:cs="Times New Roman"/>
          <w:sz w:val="24"/>
          <w:szCs w:val="24"/>
        </w:rPr>
        <w:t>Basel I, II and III regulations and monetary policy. Focusing only on Basel III</w:t>
      </w:r>
      <w:r w:rsidR="007504D0" w:rsidRPr="00BB2872">
        <w:rPr>
          <w:rFonts w:ascii="Times New Roman" w:eastAsia="Times New Roman" w:hAnsi="Times New Roman" w:cs="Times New Roman"/>
          <w:sz w:val="24"/>
          <w:szCs w:val="24"/>
        </w:rPr>
        <w:t>,</w:t>
      </w:r>
      <w:r w:rsidRPr="00BB2872">
        <w:rPr>
          <w:rFonts w:ascii="Times New Roman" w:eastAsia="Times New Roman" w:hAnsi="Times New Roman" w:cs="Times New Roman"/>
          <w:sz w:val="24"/>
          <w:szCs w:val="24"/>
        </w:rPr>
        <w:t xml:space="preserve"> the required total capital ratio increase</w:t>
      </w:r>
      <w:r w:rsidR="007504D0" w:rsidRPr="00BB2872">
        <w:rPr>
          <w:rFonts w:ascii="Times New Roman" w:eastAsia="Times New Roman" w:hAnsi="Times New Roman" w:cs="Times New Roman"/>
          <w:sz w:val="24"/>
          <w:szCs w:val="24"/>
        </w:rPr>
        <w:t>d by</w:t>
      </w:r>
      <w:r w:rsidRPr="00BB2872">
        <w:rPr>
          <w:rFonts w:ascii="Times New Roman" w:eastAsia="Times New Roman" w:hAnsi="Times New Roman" w:cs="Times New Roman"/>
          <w:sz w:val="24"/>
          <w:szCs w:val="24"/>
        </w:rPr>
        <w:t xml:space="preserve"> up to 10.5%</w:t>
      </w:r>
      <w:r w:rsidR="007504D0" w:rsidRPr="00BB2872">
        <w:rPr>
          <w:rFonts w:ascii="Times New Roman" w:eastAsia="Times New Roman" w:hAnsi="Times New Roman" w:cs="Times New Roman"/>
          <w:sz w:val="24"/>
          <w:szCs w:val="24"/>
        </w:rPr>
        <w:t>, with</w:t>
      </w:r>
      <w:r w:rsidRPr="00BB2872">
        <w:rPr>
          <w:rFonts w:ascii="Times New Roman" w:eastAsia="Times New Roman" w:hAnsi="Times New Roman" w:cs="Times New Roman"/>
          <w:sz w:val="24"/>
          <w:szCs w:val="24"/>
        </w:rPr>
        <w:t xml:space="preserve"> up to </w:t>
      </w:r>
      <w:r w:rsidR="007504D0" w:rsidRPr="00BB2872">
        <w:rPr>
          <w:rFonts w:ascii="Times New Roman" w:eastAsia="Times New Roman" w:hAnsi="Times New Roman" w:cs="Times New Roman"/>
          <w:sz w:val="24"/>
          <w:szCs w:val="24"/>
        </w:rPr>
        <w:t xml:space="preserve">an </w:t>
      </w:r>
      <w:r w:rsidRPr="00BB2872">
        <w:rPr>
          <w:rFonts w:ascii="Times New Roman" w:eastAsia="Times New Roman" w:hAnsi="Times New Roman" w:cs="Times New Roman"/>
          <w:sz w:val="24"/>
          <w:szCs w:val="24"/>
        </w:rPr>
        <w:t xml:space="preserve">extra 2.5% of capital </w:t>
      </w:r>
      <w:r w:rsidR="007504D0" w:rsidRPr="00BB2872">
        <w:rPr>
          <w:rFonts w:ascii="Times New Roman" w:eastAsia="Times New Roman" w:hAnsi="Times New Roman" w:cs="Times New Roman"/>
          <w:sz w:val="24"/>
          <w:szCs w:val="24"/>
        </w:rPr>
        <w:t>being</w:t>
      </w:r>
      <w:r w:rsidRPr="00BB2872">
        <w:rPr>
          <w:rFonts w:ascii="Times New Roman" w:eastAsia="Times New Roman" w:hAnsi="Times New Roman" w:cs="Times New Roman"/>
          <w:sz w:val="24"/>
          <w:szCs w:val="24"/>
        </w:rPr>
        <w:t xml:space="preserve"> added as a dynamic macroprudential element in the form of a countercyclical capital buffer. Investigating how monetary policy changes </w:t>
      </w:r>
      <w:r w:rsidR="007504D0" w:rsidRPr="00BB2872">
        <w:rPr>
          <w:rFonts w:ascii="Times New Roman" w:eastAsia="Times New Roman" w:hAnsi="Times New Roman" w:cs="Times New Roman"/>
          <w:sz w:val="24"/>
          <w:szCs w:val="24"/>
        </w:rPr>
        <w:t xml:space="preserve">with </w:t>
      </w:r>
      <w:r w:rsidRPr="00BB2872">
        <w:rPr>
          <w:rFonts w:ascii="Times New Roman" w:eastAsia="Times New Roman" w:hAnsi="Times New Roman" w:cs="Times New Roman"/>
          <w:sz w:val="24"/>
          <w:szCs w:val="24"/>
        </w:rPr>
        <w:t>different values of the capital requirement ratio</w:t>
      </w:r>
      <w:r w:rsidR="007504D0" w:rsidRPr="00BB2872">
        <w:rPr>
          <w:rFonts w:ascii="Times New Roman" w:eastAsia="Times New Roman" w:hAnsi="Times New Roman" w:cs="Times New Roman"/>
          <w:sz w:val="24"/>
          <w:szCs w:val="24"/>
        </w:rPr>
        <w:t>,</w:t>
      </w:r>
      <w:r w:rsidRPr="00BB2872">
        <w:rPr>
          <w:rFonts w:ascii="Times New Roman" w:eastAsia="Times New Roman" w:hAnsi="Times New Roman" w:cs="Times New Roman"/>
          <w:sz w:val="24"/>
          <w:szCs w:val="24"/>
        </w:rPr>
        <w:t xml:space="preserve"> they </w:t>
      </w:r>
      <w:r w:rsidR="007504D0" w:rsidRPr="00BB2872">
        <w:rPr>
          <w:rFonts w:ascii="Times New Roman" w:eastAsia="Times New Roman" w:hAnsi="Times New Roman" w:cs="Times New Roman"/>
          <w:sz w:val="24"/>
          <w:szCs w:val="24"/>
        </w:rPr>
        <w:t>found</w:t>
      </w:r>
      <w:r w:rsidRPr="00BB2872">
        <w:rPr>
          <w:rFonts w:ascii="Times New Roman" w:eastAsia="Times New Roman" w:hAnsi="Times New Roman" w:cs="Times New Roman"/>
          <w:sz w:val="24"/>
          <w:szCs w:val="24"/>
        </w:rPr>
        <w:t xml:space="preserve"> that monetary policy need</w:t>
      </w:r>
      <w:r w:rsidR="007504D0" w:rsidRPr="00BB2872">
        <w:rPr>
          <w:rFonts w:ascii="Times New Roman" w:eastAsia="Times New Roman" w:hAnsi="Times New Roman" w:cs="Times New Roman"/>
          <w:sz w:val="24"/>
          <w:szCs w:val="24"/>
        </w:rPr>
        <w:t>ed</w:t>
      </w:r>
      <w:r w:rsidRPr="00BB2872">
        <w:rPr>
          <w:rFonts w:ascii="Times New Roman" w:eastAsia="Times New Roman" w:hAnsi="Times New Roman" w:cs="Times New Roman"/>
          <w:sz w:val="24"/>
          <w:szCs w:val="24"/>
        </w:rPr>
        <w:t xml:space="preserve"> to be more aggressive with </w:t>
      </w:r>
      <w:r w:rsidR="007504D0" w:rsidRPr="00BB2872">
        <w:rPr>
          <w:rFonts w:ascii="Times New Roman" w:eastAsia="Times New Roman" w:hAnsi="Times New Roman" w:cs="Times New Roman"/>
          <w:sz w:val="24"/>
          <w:szCs w:val="24"/>
        </w:rPr>
        <w:t xml:space="preserve">an </w:t>
      </w:r>
      <w:r w:rsidRPr="00BB2872">
        <w:rPr>
          <w:rFonts w:ascii="Times New Roman" w:eastAsia="Times New Roman" w:hAnsi="Times New Roman" w:cs="Times New Roman"/>
          <w:sz w:val="24"/>
          <w:szCs w:val="24"/>
        </w:rPr>
        <w:t xml:space="preserve">increase </w:t>
      </w:r>
      <w:r w:rsidR="007504D0" w:rsidRPr="00BB2872">
        <w:rPr>
          <w:rFonts w:ascii="Times New Roman" w:eastAsia="Times New Roman" w:hAnsi="Times New Roman" w:cs="Times New Roman"/>
          <w:sz w:val="24"/>
          <w:szCs w:val="24"/>
        </w:rPr>
        <w:t>in</w:t>
      </w:r>
      <w:r w:rsidRPr="00BB2872">
        <w:rPr>
          <w:rFonts w:ascii="Times New Roman" w:eastAsia="Times New Roman" w:hAnsi="Times New Roman" w:cs="Times New Roman"/>
          <w:sz w:val="24"/>
          <w:szCs w:val="24"/>
        </w:rPr>
        <w:t xml:space="preserve"> capital requirement ratio. Furthermore, Basel III leads to liquidity regulation changes and affects the demand for </w:t>
      </w:r>
      <w:r w:rsidRPr="00BB2872">
        <w:rPr>
          <w:rFonts w:ascii="Times New Roman" w:eastAsia="Times New Roman" w:hAnsi="Times New Roman" w:cs="Times New Roman"/>
          <w:sz w:val="24"/>
          <w:szCs w:val="24"/>
        </w:rPr>
        <w:lastRenderedPageBreak/>
        <w:t>central</w:t>
      </w:r>
      <w:r w:rsidR="007504D0" w:rsidRPr="00BB2872">
        <w:rPr>
          <w:rFonts w:ascii="Times New Roman" w:eastAsia="Times New Roman" w:hAnsi="Times New Roman" w:cs="Times New Roman"/>
          <w:sz w:val="24"/>
          <w:szCs w:val="24"/>
        </w:rPr>
        <w:t>-</w:t>
      </w:r>
      <w:r w:rsidRPr="00BB2872">
        <w:rPr>
          <w:rFonts w:ascii="Times New Roman" w:eastAsia="Times New Roman" w:hAnsi="Times New Roman" w:cs="Times New Roman"/>
          <w:sz w:val="24"/>
          <w:szCs w:val="24"/>
        </w:rPr>
        <w:t xml:space="preserve">bank liquidity as funds obtained through open market operations or through lending facilities. </w:t>
      </w:r>
      <w:r w:rsidR="007504D0" w:rsidRPr="00BB2872">
        <w:rPr>
          <w:rFonts w:ascii="Times New Roman" w:eastAsia="Times New Roman" w:hAnsi="Times New Roman" w:cs="Times New Roman"/>
          <w:sz w:val="24"/>
          <w:szCs w:val="24"/>
        </w:rPr>
        <w:t>In this way</w:t>
      </w:r>
      <w:r w:rsidRPr="00BB2872">
        <w:rPr>
          <w:rFonts w:ascii="Times New Roman" w:eastAsia="Times New Roman" w:hAnsi="Times New Roman" w:cs="Times New Roman"/>
          <w:sz w:val="24"/>
          <w:szCs w:val="24"/>
        </w:rPr>
        <w:t xml:space="preserve">, Basel III raises </w:t>
      </w:r>
      <w:r w:rsidR="007504D0" w:rsidRPr="00BB2872">
        <w:rPr>
          <w:rFonts w:ascii="Times New Roman" w:eastAsia="Times New Roman" w:hAnsi="Times New Roman" w:cs="Times New Roman"/>
          <w:sz w:val="24"/>
          <w:szCs w:val="24"/>
        </w:rPr>
        <w:t xml:space="preserve">the </w:t>
      </w:r>
      <w:r w:rsidRPr="00BB2872">
        <w:rPr>
          <w:rFonts w:ascii="Times New Roman" w:eastAsia="Times New Roman" w:hAnsi="Times New Roman" w:cs="Times New Roman"/>
          <w:sz w:val="24"/>
          <w:szCs w:val="24"/>
        </w:rPr>
        <w:t>demand for longer maturities funds as part of the liquidity coverage ratio. This makes central</w:t>
      </w:r>
      <w:r w:rsidR="008E18A8" w:rsidRPr="00BB2872">
        <w:rPr>
          <w:rFonts w:ascii="Times New Roman" w:eastAsia="Times New Roman" w:hAnsi="Times New Roman" w:cs="Times New Roman"/>
          <w:sz w:val="24"/>
          <w:szCs w:val="24"/>
        </w:rPr>
        <w:t>-</w:t>
      </w:r>
      <w:r w:rsidRPr="00BB2872">
        <w:rPr>
          <w:rFonts w:ascii="Times New Roman" w:eastAsia="Times New Roman" w:hAnsi="Times New Roman" w:cs="Times New Roman"/>
          <w:sz w:val="24"/>
          <w:szCs w:val="24"/>
        </w:rPr>
        <w:t>bank refinancing for longer maturities more attractive</w:t>
      </w:r>
      <w:r w:rsidR="00107D40" w:rsidRPr="00BB2872">
        <w:rPr>
          <w:rFonts w:ascii="Times New Roman" w:eastAsia="Times New Roman" w:hAnsi="Times New Roman" w:cs="Times New Roman"/>
          <w:sz w:val="24"/>
          <w:szCs w:val="24"/>
        </w:rPr>
        <w:t>, such as</w:t>
      </w:r>
      <w:r w:rsidRPr="00BB2872">
        <w:rPr>
          <w:rFonts w:ascii="Times New Roman" w:eastAsia="Times New Roman" w:hAnsi="Times New Roman" w:cs="Times New Roman"/>
          <w:sz w:val="24"/>
          <w:szCs w:val="24"/>
        </w:rPr>
        <w:t xml:space="preserve"> through liquidity obtained </w:t>
      </w:r>
      <w:r w:rsidR="00107D40" w:rsidRPr="00BB2872">
        <w:rPr>
          <w:rFonts w:ascii="Times New Roman" w:eastAsia="Times New Roman" w:hAnsi="Times New Roman" w:cs="Times New Roman"/>
          <w:sz w:val="24"/>
          <w:szCs w:val="24"/>
        </w:rPr>
        <w:t>via</w:t>
      </w:r>
      <w:r w:rsidRPr="00BB2872">
        <w:rPr>
          <w:rFonts w:ascii="Times New Roman" w:eastAsia="Times New Roman" w:hAnsi="Times New Roman" w:cs="Times New Roman"/>
          <w:sz w:val="24"/>
          <w:szCs w:val="24"/>
        </w:rPr>
        <w:t xml:space="preserve"> longer-term refinancing operations.</w:t>
      </w:r>
      <w:r w:rsidR="00107D40" w:rsidRPr="00BB2872">
        <w:rPr>
          <w:rFonts w:ascii="Times New Roman" w:eastAsia="Times New Roman" w:hAnsi="Times New Roman" w:cs="Times New Roman"/>
          <w:sz w:val="24"/>
          <w:szCs w:val="24"/>
        </w:rPr>
        <w:t xml:space="preserve"> </w:t>
      </w:r>
      <w:r w:rsidRPr="00BB2872">
        <w:rPr>
          <w:rFonts w:ascii="Times New Roman" w:eastAsia="Times New Roman" w:hAnsi="Times New Roman" w:cs="Times New Roman"/>
          <w:sz w:val="24"/>
          <w:szCs w:val="24"/>
        </w:rPr>
        <w:t>Focusing on the situation in the Czech Republic</w:t>
      </w:r>
      <w:r w:rsidR="00107D40" w:rsidRPr="00BB2872">
        <w:rPr>
          <w:rFonts w:ascii="Times New Roman" w:eastAsia="Times New Roman" w:hAnsi="Times New Roman" w:cs="Times New Roman"/>
          <w:sz w:val="24"/>
          <w:szCs w:val="24"/>
        </w:rPr>
        <w:t>,</w:t>
      </w:r>
      <w:r w:rsidRPr="00BB2872">
        <w:rPr>
          <w:rFonts w:ascii="Times New Roman" w:eastAsia="Times New Roman" w:hAnsi="Times New Roman" w:cs="Times New Roman"/>
          <w:sz w:val="24"/>
          <w:szCs w:val="24"/>
        </w:rPr>
        <w:t xml:space="preserve"> Bruna and </w:t>
      </w:r>
      <w:proofErr w:type="spellStart"/>
      <w:r w:rsidRPr="00BB2872">
        <w:rPr>
          <w:rFonts w:ascii="Times New Roman" w:eastAsia="Times New Roman" w:hAnsi="Times New Roman" w:cs="Times New Roman"/>
          <w:sz w:val="24"/>
          <w:szCs w:val="24"/>
        </w:rPr>
        <w:t>Blahová</w:t>
      </w:r>
      <w:proofErr w:type="spellEnd"/>
      <w:r w:rsidRPr="00BB2872">
        <w:rPr>
          <w:rFonts w:ascii="Times New Roman" w:eastAsia="Times New Roman" w:hAnsi="Times New Roman" w:cs="Times New Roman"/>
          <w:sz w:val="24"/>
          <w:szCs w:val="24"/>
        </w:rPr>
        <w:t xml:space="preserve"> (2018) </w:t>
      </w:r>
      <w:r w:rsidR="00C0427B" w:rsidRPr="00BB2872">
        <w:rPr>
          <w:rFonts w:ascii="Times New Roman" w:eastAsia="Times New Roman" w:hAnsi="Times New Roman" w:cs="Times New Roman"/>
          <w:sz w:val="24"/>
          <w:szCs w:val="24"/>
        </w:rPr>
        <w:t>directed their analysis towards the</w:t>
      </w:r>
      <w:r w:rsidRPr="00BB2872">
        <w:rPr>
          <w:rFonts w:ascii="Times New Roman" w:eastAsia="Times New Roman" w:hAnsi="Times New Roman" w:cs="Times New Roman"/>
          <w:sz w:val="24"/>
          <w:szCs w:val="24"/>
        </w:rPr>
        <w:t xml:space="preserve"> effect of Basel III and </w:t>
      </w:r>
      <w:r w:rsidR="00C0427B" w:rsidRPr="00BB2872">
        <w:rPr>
          <w:rFonts w:ascii="Times New Roman" w:eastAsia="Times New Roman" w:hAnsi="Times New Roman" w:cs="Times New Roman"/>
          <w:sz w:val="24"/>
          <w:szCs w:val="24"/>
        </w:rPr>
        <w:t xml:space="preserve">the </w:t>
      </w:r>
      <w:r w:rsidRPr="00BB2872">
        <w:rPr>
          <w:rFonts w:ascii="Times New Roman" w:eastAsia="Times New Roman" w:hAnsi="Times New Roman" w:cs="Times New Roman"/>
          <w:sz w:val="24"/>
          <w:szCs w:val="24"/>
        </w:rPr>
        <w:t xml:space="preserve">constraints in credit supply in the </w:t>
      </w:r>
      <w:r w:rsidR="00C0427B" w:rsidRPr="00BB2872">
        <w:rPr>
          <w:rFonts w:ascii="Times New Roman" w:eastAsia="Times New Roman" w:hAnsi="Times New Roman" w:cs="Times New Roman"/>
          <w:sz w:val="24"/>
          <w:szCs w:val="24"/>
        </w:rPr>
        <w:t>country, suggesting the requirement for a capital buffer due to the Basel III requirements</w:t>
      </w:r>
      <w:r w:rsidRPr="00BB2872">
        <w:rPr>
          <w:rFonts w:ascii="Times New Roman" w:eastAsia="Times New Roman" w:hAnsi="Times New Roman" w:cs="Times New Roman"/>
          <w:sz w:val="24"/>
          <w:szCs w:val="24"/>
        </w:rPr>
        <w:t xml:space="preserve">. Using data </w:t>
      </w:r>
      <w:r w:rsidR="00C0427B" w:rsidRPr="00BB2872">
        <w:rPr>
          <w:rFonts w:ascii="Times New Roman" w:eastAsia="Times New Roman" w:hAnsi="Times New Roman" w:cs="Times New Roman"/>
          <w:sz w:val="24"/>
          <w:szCs w:val="24"/>
        </w:rPr>
        <w:t xml:space="preserve">from </w:t>
      </w:r>
      <w:r w:rsidRPr="00BB2872">
        <w:rPr>
          <w:rFonts w:ascii="Times New Roman" w:eastAsia="Times New Roman" w:hAnsi="Times New Roman" w:cs="Times New Roman"/>
          <w:sz w:val="24"/>
          <w:szCs w:val="24"/>
        </w:rPr>
        <w:t>1999</w:t>
      </w:r>
      <w:r w:rsidR="00C0427B" w:rsidRPr="00BB2872">
        <w:rPr>
          <w:rFonts w:ascii="Times New Roman" w:eastAsia="Times New Roman" w:hAnsi="Times New Roman" w:cs="Times New Roman"/>
          <w:sz w:val="24"/>
          <w:szCs w:val="24"/>
        </w:rPr>
        <w:t>–</w:t>
      </w:r>
      <w:r w:rsidRPr="00BB2872">
        <w:rPr>
          <w:rFonts w:ascii="Times New Roman" w:eastAsia="Times New Roman" w:hAnsi="Times New Roman" w:cs="Times New Roman"/>
          <w:sz w:val="24"/>
          <w:szCs w:val="24"/>
        </w:rPr>
        <w:t>2014</w:t>
      </w:r>
      <w:r w:rsidR="00C0427B" w:rsidRPr="00BB2872">
        <w:rPr>
          <w:rFonts w:ascii="Times New Roman" w:eastAsia="Times New Roman" w:hAnsi="Times New Roman" w:cs="Times New Roman"/>
          <w:sz w:val="24"/>
          <w:szCs w:val="24"/>
        </w:rPr>
        <w:t>,</w:t>
      </w:r>
      <w:r w:rsidRPr="00BB2872">
        <w:rPr>
          <w:rFonts w:ascii="Times New Roman" w:eastAsia="Times New Roman" w:hAnsi="Times New Roman" w:cs="Times New Roman"/>
          <w:sz w:val="24"/>
          <w:szCs w:val="24"/>
        </w:rPr>
        <w:t xml:space="preserve"> they confirmed </w:t>
      </w:r>
      <w:r w:rsidR="00C0427B" w:rsidRPr="00BB2872">
        <w:rPr>
          <w:rFonts w:ascii="Times New Roman" w:eastAsia="Times New Roman" w:hAnsi="Times New Roman" w:cs="Times New Roman"/>
          <w:sz w:val="24"/>
          <w:szCs w:val="24"/>
        </w:rPr>
        <w:t xml:space="preserve">an </w:t>
      </w:r>
      <w:r w:rsidRPr="00BB2872">
        <w:rPr>
          <w:rFonts w:ascii="Times New Roman" w:eastAsia="Times New Roman" w:hAnsi="Times New Roman" w:cs="Times New Roman"/>
          <w:sz w:val="24"/>
          <w:szCs w:val="24"/>
        </w:rPr>
        <w:t xml:space="preserve">increasing demand for </w:t>
      </w:r>
      <w:r w:rsidR="00C0427B" w:rsidRPr="00BB2872">
        <w:rPr>
          <w:rFonts w:ascii="Times New Roman" w:eastAsia="Times New Roman" w:hAnsi="Times New Roman" w:cs="Times New Roman"/>
          <w:sz w:val="24"/>
          <w:szCs w:val="24"/>
        </w:rPr>
        <w:t xml:space="preserve">the </w:t>
      </w:r>
      <w:r w:rsidRPr="00BB2872">
        <w:rPr>
          <w:rFonts w:ascii="Times New Roman" w:eastAsia="Times New Roman" w:hAnsi="Times New Roman" w:cs="Times New Roman"/>
          <w:sz w:val="24"/>
          <w:szCs w:val="24"/>
        </w:rPr>
        <w:t>debt financing of Czech firms and banks</w:t>
      </w:r>
      <w:r w:rsidR="00C0427B" w:rsidRPr="00BB2872">
        <w:rPr>
          <w:rFonts w:ascii="Times New Roman" w:eastAsia="Times New Roman" w:hAnsi="Times New Roman" w:cs="Times New Roman"/>
          <w:sz w:val="24"/>
          <w:szCs w:val="24"/>
        </w:rPr>
        <w:t>,</w:t>
      </w:r>
      <w:r w:rsidRPr="00BB2872">
        <w:rPr>
          <w:rFonts w:ascii="Times New Roman" w:eastAsia="Times New Roman" w:hAnsi="Times New Roman" w:cs="Times New Roman"/>
          <w:sz w:val="24"/>
          <w:szCs w:val="24"/>
        </w:rPr>
        <w:t xml:space="preserve"> motivated by providing credit</w:t>
      </w:r>
      <w:r w:rsidR="00C0427B" w:rsidRPr="00BB2872">
        <w:rPr>
          <w:rFonts w:ascii="Times New Roman" w:eastAsia="Times New Roman" w:hAnsi="Times New Roman" w:cs="Times New Roman"/>
          <w:sz w:val="24"/>
          <w:szCs w:val="24"/>
        </w:rPr>
        <w:t>,</w:t>
      </w:r>
      <w:r w:rsidRPr="00BB2872">
        <w:rPr>
          <w:rFonts w:ascii="Times New Roman" w:eastAsia="Times New Roman" w:hAnsi="Times New Roman" w:cs="Times New Roman"/>
          <w:sz w:val="24"/>
          <w:szCs w:val="24"/>
        </w:rPr>
        <w:t xml:space="preserve"> and </w:t>
      </w:r>
      <w:r w:rsidR="00C0427B" w:rsidRPr="00BB2872">
        <w:rPr>
          <w:rFonts w:ascii="Times New Roman" w:eastAsia="Times New Roman" w:hAnsi="Times New Roman" w:cs="Times New Roman"/>
          <w:sz w:val="24"/>
          <w:szCs w:val="24"/>
        </w:rPr>
        <w:t>resulting from</w:t>
      </w:r>
      <w:r w:rsidRPr="00BB2872">
        <w:rPr>
          <w:rFonts w:ascii="Times New Roman" w:eastAsia="Times New Roman" w:hAnsi="Times New Roman" w:cs="Times New Roman"/>
          <w:sz w:val="24"/>
          <w:szCs w:val="24"/>
        </w:rPr>
        <w:t xml:space="preserve"> </w:t>
      </w:r>
      <w:r w:rsidR="00FA538F" w:rsidRPr="00BB2872">
        <w:rPr>
          <w:rFonts w:ascii="Times New Roman" w:eastAsia="Times New Roman" w:hAnsi="Times New Roman" w:cs="Times New Roman"/>
          <w:sz w:val="24"/>
          <w:szCs w:val="24"/>
        </w:rPr>
        <w:t>the Czech National Bank’s (</w:t>
      </w:r>
      <w:r w:rsidRPr="00BB2872">
        <w:rPr>
          <w:rFonts w:ascii="Times New Roman" w:eastAsia="Times New Roman" w:hAnsi="Times New Roman" w:cs="Times New Roman"/>
          <w:sz w:val="24"/>
          <w:szCs w:val="24"/>
        </w:rPr>
        <w:t>CNB’s</w:t>
      </w:r>
      <w:r w:rsidR="00FA538F" w:rsidRPr="00BB2872">
        <w:rPr>
          <w:rFonts w:ascii="Times New Roman" w:eastAsia="Times New Roman" w:hAnsi="Times New Roman" w:cs="Times New Roman"/>
          <w:sz w:val="24"/>
          <w:szCs w:val="24"/>
        </w:rPr>
        <w:t>)</w:t>
      </w:r>
      <w:r w:rsidRPr="00BB2872">
        <w:rPr>
          <w:rFonts w:ascii="Times New Roman" w:eastAsia="Times New Roman" w:hAnsi="Times New Roman" w:cs="Times New Roman"/>
          <w:sz w:val="24"/>
          <w:szCs w:val="24"/>
        </w:rPr>
        <w:t xml:space="preserve"> interventions. This growth </w:t>
      </w:r>
      <w:r w:rsidR="00C0427B" w:rsidRPr="00BB2872">
        <w:rPr>
          <w:rFonts w:ascii="Times New Roman" w:eastAsia="Times New Roman" w:hAnsi="Times New Roman" w:cs="Times New Roman"/>
          <w:sz w:val="24"/>
          <w:szCs w:val="24"/>
        </w:rPr>
        <w:t>in</w:t>
      </w:r>
      <w:r w:rsidRPr="00BB2872">
        <w:rPr>
          <w:rFonts w:ascii="Times New Roman" w:eastAsia="Times New Roman" w:hAnsi="Times New Roman" w:cs="Times New Roman"/>
          <w:sz w:val="24"/>
          <w:szCs w:val="24"/>
        </w:rPr>
        <w:t xml:space="preserve"> credit contributes to </w:t>
      </w:r>
      <w:r w:rsidR="00C0427B" w:rsidRPr="00BB2872">
        <w:rPr>
          <w:rFonts w:ascii="Times New Roman" w:eastAsia="Times New Roman" w:hAnsi="Times New Roman" w:cs="Times New Roman"/>
          <w:sz w:val="24"/>
          <w:szCs w:val="24"/>
        </w:rPr>
        <w:t xml:space="preserve">an </w:t>
      </w:r>
      <w:r w:rsidRPr="00BB2872">
        <w:rPr>
          <w:rFonts w:ascii="Times New Roman" w:eastAsia="Times New Roman" w:hAnsi="Times New Roman" w:cs="Times New Roman"/>
          <w:sz w:val="24"/>
          <w:szCs w:val="24"/>
        </w:rPr>
        <w:t>increase</w:t>
      </w:r>
      <w:r w:rsidR="00C0427B" w:rsidRPr="00BB2872">
        <w:rPr>
          <w:rFonts w:ascii="Times New Roman" w:eastAsia="Times New Roman" w:hAnsi="Times New Roman" w:cs="Times New Roman"/>
          <w:sz w:val="24"/>
          <w:szCs w:val="24"/>
        </w:rPr>
        <w:t>d</w:t>
      </w:r>
      <w:r w:rsidRPr="00BB2872">
        <w:rPr>
          <w:rFonts w:ascii="Times New Roman" w:eastAsia="Times New Roman" w:hAnsi="Times New Roman" w:cs="Times New Roman"/>
          <w:sz w:val="24"/>
          <w:szCs w:val="24"/>
        </w:rPr>
        <w:t xml:space="preserve"> demand for equity capital </w:t>
      </w:r>
      <w:r w:rsidR="00C0427B" w:rsidRPr="00BB2872">
        <w:rPr>
          <w:rFonts w:ascii="Times New Roman" w:eastAsia="Times New Roman" w:hAnsi="Times New Roman" w:cs="Times New Roman"/>
          <w:sz w:val="24"/>
          <w:szCs w:val="24"/>
        </w:rPr>
        <w:t>from the</w:t>
      </w:r>
      <w:r w:rsidRPr="00BB2872">
        <w:rPr>
          <w:rFonts w:ascii="Times New Roman" w:eastAsia="Times New Roman" w:hAnsi="Times New Roman" w:cs="Times New Roman"/>
          <w:sz w:val="24"/>
          <w:szCs w:val="24"/>
        </w:rPr>
        <w:t xml:space="preserve"> banks</w:t>
      </w:r>
      <w:r w:rsidR="00C0427B" w:rsidRPr="00BB2872">
        <w:rPr>
          <w:rFonts w:ascii="Times New Roman" w:eastAsia="Times New Roman" w:hAnsi="Times New Roman" w:cs="Times New Roman"/>
          <w:sz w:val="24"/>
          <w:szCs w:val="24"/>
        </w:rPr>
        <w:t>,</w:t>
      </w:r>
      <w:r w:rsidRPr="00BB2872">
        <w:rPr>
          <w:rFonts w:ascii="Times New Roman" w:eastAsia="Times New Roman" w:hAnsi="Times New Roman" w:cs="Times New Roman"/>
          <w:sz w:val="24"/>
          <w:szCs w:val="24"/>
        </w:rPr>
        <w:t xml:space="preserve"> </w:t>
      </w:r>
      <w:r w:rsidR="00C0427B" w:rsidRPr="00BB2872">
        <w:rPr>
          <w:rFonts w:ascii="Times New Roman" w:eastAsia="Times New Roman" w:hAnsi="Times New Roman" w:cs="Times New Roman"/>
          <w:sz w:val="24"/>
          <w:szCs w:val="24"/>
        </w:rPr>
        <w:t>based on</w:t>
      </w:r>
      <w:r w:rsidRPr="00BB2872">
        <w:rPr>
          <w:rFonts w:ascii="Times New Roman" w:eastAsia="Times New Roman" w:hAnsi="Times New Roman" w:cs="Times New Roman"/>
          <w:sz w:val="24"/>
          <w:szCs w:val="24"/>
        </w:rPr>
        <w:t xml:space="preserve"> </w:t>
      </w:r>
      <w:r w:rsidR="00C0427B" w:rsidRPr="00BB2872">
        <w:rPr>
          <w:rFonts w:ascii="Times New Roman" w:eastAsia="Times New Roman" w:hAnsi="Times New Roman" w:cs="Times New Roman"/>
          <w:sz w:val="24"/>
          <w:szCs w:val="24"/>
        </w:rPr>
        <w:t xml:space="preserve">the </w:t>
      </w:r>
      <w:r w:rsidRPr="00BB2872">
        <w:rPr>
          <w:rFonts w:ascii="Times New Roman" w:eastAsia="Times New Roman" w:hAnsi="Times New Roman" w:cs="Times New Roman"/>
          <w:sz w:val="24"/>
          <w:szCs w:val="24"/>
        </w:rPr>
        <w:t>Basel III regulations.</w:t>
      </w:r>
    </w:p>
    <w:p w14:paraId="00000016" w14:textId="0BD14195" w:rsidR="00345220" w:rsidRPr="00BB2872" w:rsidRDefault="00727DC7">
      <w:pPr>
        <w:spacing w:after="0" w:line="480" w:lineRule="auto"/>
        <w:ind w:firstLine="720"/>
        <w:rPr>
          <w:rFonts w:ascii="Times New Roman" w:eastAsia="Times New Roman" w:hAnsi="Times New Roman" w:cs="Times New Roman"/>
          <w:sz w:val="24"/>
          <w:szCs w:val="24"/>
        </w:rPr>
      </w:pPr>
      <w:r w:rsidRPr="00BB2872">
        <w:rPr>
          <w:rFonts w:ascii="Times New Roman" w:eastAsia="Times New Roman" w:hAnsi="Times New Roman" w:cs="Times New Roman"/>
          <w:sz w:val="24"/>
          <w:szCs w:val="24"/>
        </w:rPr>
        <w:t>In</w:t>
      </w:r>
      <w:r w:rsidR="00D45E73" w:rsidRPr="00BB2872">
        <w:rPr>
          <w:rFonts w:ascii="Times New Roman" w:eastAsia="Times New Roman" w:hAnsi="Times New Roman" w:cs="Times New Roman"/>
          <w:sz w:val="24"/>
          <w:szCs w:val="24"/>
        </w:rPr>
        <w:t xml:space="preserve"> studies </w:t>
      </w:r>
      <w:r w:rsidRPr="00BB2872">
        <w:rPr>
          <w:rFonts w:ascii="Times New Roman" w:eastAsia="Times New Roman" w:hAnsi="Times New Roman" w:cs="Times New Roman"/>
          <w:sz w:val="24"/>
          <w:szCs w:val="24"/>
        </w:rPr>
        <w:t xml:space="preserve">focused </w:t>
      </w:r>
      <w:r w:rsidR="00D45E73" w:rsidRPr="00BB2872">
        <w:rPr>
          <w:rFonts w:ascii="Times New Roman" w:eastAsia="Times New Roman" w:hAnsi="Times New Roman" w:cs="Times New Roman"/>
          <w:sz w:val="24"/>
          <w:szCs w:val="24"/>
        </w:rPr>
        <w:t xml:space="preserve">solely </w:t>
      </w:r>
      <w:r w:rsidRPr="00BB2872">
        <w:rPr>
          <w:rFonts w:ascii="Times New Roman" w:eastAsia="Times New Roman" w:hAnsi="Times New Roman" w:cs="Times New Roman"/>
          <w:sz w:val="24"/>
          <w:szCs w:val="24"/>
        </w:rPr>
        <w:t>on</w:t>
      </w:r>
      <w:r w:rsidR="00D45E73" w:rsidRPr="00BB2872">
        <w:rPr>
          <w:rFonts w:ascii="Times New Roman" w:eastAsia="Times New Roman" w:hAnsi="Times New Roman" w:cs="Times New Roman"/>
          <w:sz w:val="24"/>
          <w:szCs w:val="24"/>
        </w:rPr>
        <w:t xml:space="preserve"> Czechia</w:t>
      </w:r>
      <w:r w:rsidRPr="00BB2872">
        <w:rPr>
          <w:rFonts w:ascii="Times New Roman" w:eastAsia="Times New Roman" w:hAnsi="Times New Roman" w:cs="Times New Roman"/>
          <w:sz w:val="24"/>
          <w:szCs w:val="24"/>
        </w:rPr>
        <w:t xml:space="preserve"> and its economy</w:t>
      </w:r>
      <w:r w:rsidR="00D45E73" w:rsidRPr="00BB2872">
        <w:rPr>
          <w:rFonts w:ascii="Times New Roman" w:eastAsia="Times New Roman" w:hAnsi="Times New Roman" w:cs="Times New Roman"/>
          <w:sz w:val="24"/>
          <w:szCs w:val="24"/>
        </w:rPr>
        <w:t>, there</w:t>
      </w:r>
      <w:r w:rsidRPr="00BB2872">
        <w:rPr>
          <w:rFonts w:ascii="Times New Roman" w:eastAsia="Times New Roman" w:hAnsi="Times New Roman" w:cs="Times New Roman"/>
          <w:sz w:val="24"/>
          <w:szCs w:val="24"/>
        </w:rPr>
        <w:t xml:space="preserve"> have been</w:t>
      </w:r>
      <w:r w:rsidR="00D45E73" w:rsidRPr="00BB2872">
        <w:rPr>
          <w:rFonts w:ascii="Times New Roman" w:eastAsia="Times New Roman" w:hAnsi="Times New Roman" w:cs="Times New Roman"/>
          <w:sz w:val="24"/>
          <w:szCs w:val="24"/>
        </w:rPr>
        <w:t xml:space="preserve"> only a few </w:t>
      </w:r>
      <w:r w:rsidRPr="00BB2872">
        <w:rPr>
          <w:rFonts w:ascii="Times New Roman" w:eastAsia="Times New Roman" w:hAnsi="Times New Roman" w:cs="Times New Roman"/>
          <w:sz w:val="24"/>
          <w:szCs w:val="24"/>
        </w:rPr>
        <w:t xml:space="preserve">that have investigated </w:t>
      </w:r>
      <w:r w:rsidR="00D45E73" w:rsidRPr="00BB2872">
        <w:rPr>
          <w:rFonts w:ascii="Times New Roman" w:eastAsia="Times New Roman" w:hAnsi="Times New Roman" w:cs="Times New Roman"/>
          <w:sz w:val="24"/>
          <w:szCs w:val="24"/>
        </w:rPr>
        <w:t>the interest</w:t>
      </w:r>
      <w:r w:rsidR="00E02BFF" w:rsidRPr="00BB2872">
        <w:rPr>
          <w:rFonts w:ascii="Times New Roman" w:eastAsia="Times New Roman" w:hAnsi="Times New Roman" w:cs="Times New Roman"/>
          <w:sz w:val="24"/>
          <w:szCs w:val="24"/>
        </w:rPr>
        <w:t xml:space="preserve"> </w:t>
      </w:r>
      <w:r w:rsidR="00D45E73" w:rsidRPr="00BB2872">
        <w:rPr>
          <w:rFonts w:ascii="Times New Roman" w:eastAsia="Times New Roman" w:hAnsi="Times New Roman" w:cs="Times New Roman"/>
          <w:sz w:val="24"/>
          <w:szCs w:val="24"/>
        </w:rPr>
        <w:t xml:space="preserve">rate pass-through, </w:t>
      </w:r>
      <w:r w:rsidRPr="00BB2872">
        <w:rPr>
          <w:rFonts w:ascii="Times New Roman" w:eastAsia="Times New Roman" w:hAnsi="Times New Roman" w:cs="Times New Roman"/>
          <w:sz w:val="24"/>
          <w:szCs w:val="24"/>
        </w:rPr>
        <w:t>including</w:t>
      </w:r>
      <w:r w:rsidR="00D45E73" w:rsidRPr="00BB2872">
        <w:rPr>
          <w:rFonts w:ascii="Times New Roman" w:eastAsia="Times New Roman" w:hAnsi="Times New Roman" w:cs="Times New Roman"/>
          <w:sz w:val="24"/>
          <w:szCs w:val="24"/>
        </w:rPr>
        <w:t xml:space="preserve"> Bruna (2008)</w:t>
      </w:r>
      <w:r w:rsidRPr="00BB2872">
        <w:rPr>
          <w:rFonts w:ascii="Times New Roman" w:eastAsia="Times New Roman" w:hAnsi="Times New Roman" w:cs="Times New Roman"/>
          <w:sz w:val="24"/>
          <w:szCs w:val="24"/>
        </w:rPr>
        <w:t>,</w:t>
      </w:r>
      <w:r w:rsidR="00D45E73" w:rsidRPr="00BB2872">
        <w:rPr>
          <w:rFonts w:ascii="Times New Roman" w:eastAsia="Times New Roman" w:hAnsi="Times New Roman" w:cs="Times New Roman"/>
          <w:sz w:val="24"/>
          <w:szCs w:val="24"/>
        </w:rPr>
        <w:t xml:space="preserve"> who </w:t>
      </w:r>
      <w:r w:rsidRPr="00BB2872">
        <w:rPr>
          <w:rFonts w:ascii="Times New Roman" w:eastAsia="Times New Roman" w:hAnsi="Times New Roman" w:cs="Times New Roman"/>
          <w:sz w:val="24"/>
          <w:szCs w:val="24"/>
        </w:rPr>
        <w:t xml:space="preserve">examined </w:t>
      </w:r>
      <w:r w:rsidR="00D45E73" w:rsidRPr="00BB2872">
        <w:rPr>
          <w:rFonts w:ascii="Times New Roman" w:eastAsia="Times New Roman" w:hAnsi="Times New Roman" w:cs="Times New Roman"/>
          <w:sz w:val="24"/>
          <w:szCs w:val="24"/>
        </w:rPr>
        <w:t>the relation</w:t>
      </w:r>
      <w:r w:rsidRPr="00BB2872">
        <w:rPr>
          <w:rFonts w:ascii="Times New Roman" w:eastAsia="Times New Roman" w:hAnsi="Times New Roman" w:cs="Times New Roman"/>
          <w:sz w:val="24"/>
          <w:szCs w:val="24"/>
        </w:rPr>
        <w:t>ship</w:t>
      </w:r>
      <w:r w:rsidR="00D45E73" w:rsidRPr="00BB2872">
        <w:rPr>
          <w:rFonts w:ascii="Times New Roman" w:eastAsia="Times New Roman" w:hAnsi="Times New Roman" w:cs="Times New Roman"/>
          <w:sz w:val="24"/>
          <w:szCs w:val="24"/>
        </w:rPr>
        <w:t xml:space="preserve"> between </w:t>
      </w:r>
      <w:r w:rsidRPr="00BB2872">
        <w:rPr>
          <w:rFonts w:ascii="Times New Roman" w:eastAsia="Times New Roman" w:hAnsi="Times New Roman" w:cs="Times New Roman"/>
          <w:sz w:val="24"/>
          <w:szCs w:val="24"/>
        </w:rPr>
        <w:t xml:space="preserve">the </w:t>
      </w:r>
      <w:r w:rsidR="00D45E73" w:rsidRPr="00BB2872">
        <w:rPr>
          <w:rFonts w:ascii="Times New Roman" w:eastAsia="Times New Roman" w:hAnsi="Times New Roman" w:cs="Times New Roman"/>
          <w:sz w:val="24"/>
          <w:szCs w:val="24"/>
        </w:rPr>
        <w:t xml:space="preserve">market and </w:t>
      </w:r>
      <w:r w:rsidRPr="00BB2872">
        <w:rPr>
          <w:rFonts w:ascii="Times New Roman" w:eastAsia="Times New Roman" w:hAnsi="Times New Roman" w:cs="Times New Roman"/>
          <w:sz w:val="24"/>
          <w:szCs w:val="24"/>
        </w:rPr>
        <w:t xml:space="preserve">the </w:t>
      </w:r>
      <w:r w:rsidR="00D45E73" w:rsidRPr="00BB2872">
        <w:rPr>
          <w:rFonts w:ascii="Times New Roman" w:eastAsia="Times New Roman" w:hAnsi="Times New Roman" w:cs="Times New Roman"/>
          <w:sz w:val="24"/>
          <w:szCs w:val="24"/>
        </w:rPr>
        <w:t xml:space="preserve">client interest rate during the period of </w:t>
      </w:r>
      <w:r w:rsidRPr="00BB2872">
        <w:rPr>
          <w:rFonts w:ascii="Times New Roman" w:eastAsia="Times New Roman" w:hAnsi="Times New Roman" w:cs="Times New Roman"/>
          <w:sz w:val="24"/>
          <w:szCs w:val="24"/>
        </w:rPr>
        <w:t xml:space="preserve">the </w:t>
      </w:r>
      <w:r w:rsidR="00D45E73" w:rsidRPr="00BB2872">
        <w:rPr>
          <w:rFonts w:ascii="Times New Roman" w:eastAsia="Times New Roman" w:hAnsi="Times New Roman" w:cs="Times New Roman"/>
          <w:sz w:val="24"/>
          <w:szCs w:val="24"/>
        </w:rPr>
        <w:t xml:space="preserve">transformation of </w:t>
      </w:r>
      <w:r w:rsidRPr="00BB2872">
        <w:rPr>
          <w:rFonts w:ascii="Times New Roman" w:eastAsia="Times New Roman" w:hAnsi="Times New Roman" w:cs="Times New Roman"/>
          <w:sz w:val="24"/>
          <w:szCs w:val="24"/>
        </w:rPr>
        <w:t xml:space="preserve">the </w:t>
      </w:r>
      <w:r w:rsidR="00D45E73" w:rsidRPr="00BB2872">
        <w:rPr>
          <w:rFonts w:ascii="Times New Roman" w:eastAsia="Times New Roman" w:hAnsi="Times New Roman" w:cs="Times New Roman"/>
          <w:sz w:val="24"/>
          <w:szCs w:val="24"/>
        </w:rPr>
        <w:t>banking system and inflation stabilisation in Czechia</w:t>
      </w:r>
      <w:r w:rsidRPr="00BB2872">
        <w:rPr>
          <w:rFonts w:ascii="Times New Roman" w:eastAsia="Times New Roman" w:hAnsi="Times New Roman" w:cs="Times New Roman"/>
          <w:sz w:val="24"/>
          <w:szCs w:val="24"/>
        </w:rPr>
        <w:t>,</w:t>
      </w:r>
      <w:r w:rsidR="00D45E73" w:rsidRPr="00BB2872">
        <w:rPr>
          <w:rFonts w:ascii="Times New Roman" w:eastAsia="Times New Roman" w:hAnsi="Times New Roman" w:cs="Times New Roman"/>
          <w:sz w:val="24"/>
          <w:szCs w:val="24"/>
        </w:rPr>
        <w:t xml:space="preserve"> </w:t>
      </w:r>
      <w:r w:rsidRPr="00BB2872">
        <w:rPr>
          <w:rFonts w:ascii="Times New Roman" w:eastAsia="Times New Roman" w:hAnsi="Times New Roman" w:cs="Times New Roman"/>
          <w:sz w:val="24"/>
          <w:szCs w:val="24"/>
        </w:rPr>
        <w:t xml:space="preserve">from </w:t>
      </w:r>
      <w:r w:rsidR="00D45E73" w:rsidRPr="00BB2872">
        <w:rPr>
          <w:rFonts w:ascii="Times New Roman" w:eastAsia="Times New Roman" w:hAnsi="Times New Roman" w:cs="Times New Roman"/>
          <w:sz w:val="24"/>
          <w:szCs w:val="24"/>
        </w:rPr>
        <w:t xml:space="preserve">both </w:t>
      </w:r>
      <w:r w:rsidRPr="00BB2872">
        <w:rPr>
          <w:rFonts w:ascii="Times New Roman" w:eastAsia="Times New Roman" w:hAnsi="Times New Roman" w:cs="Times New Roman"/>
          <w:sz w:val="24"/>
          <w:szCs w:val="24"/>
        </w:rPr>
        <w:t xml:space="preserve">the </w:t>
      </w:r>
      <w:r w:rsidR="00D45E73" w:rsidRPr="00BB2872">
        <w:rPr>
          <w:rFonts w:ascii="Times New Roman" w:eastAsia="Times New Roman" w:hAnsi="Times New Roman" w:cs="Times New Roman"/>
          <w:sz w:val="24"/>
          <w:szCs w:val="24"/>
        </w:rPr>
        <w:t>short</w:t>
      </w:r>
      <w:r w:rsidRPr="00BB2872">
        <w:rPr>
          <w:rFonts w:ascii="Times New Roman" w:eastAsia="Times New Roman" w:hAnsi="Times New Roman" w:cs="Times New Roman"/>
          <w:sz w:val="24"/>
          <w:szCs w:val="24"/>
        </w:rPr>
        <w:t>-</w:t>
      </w:r>
      <w:r w:rsidR="00D45E73" w:rsidRPr="00BB2872">
        <w:rPr>
          <w:rFonts w:ascii="Times New Roman" w:eastAsia="Times New Roman" w:hAnsi="Times New Roman" w:cs="Times New Roman"/>
          <w:sz w:val="24"/>
          <w:szCs w:val="24"/>
        </w:rPr>
        <w:t xml:space="preserve"> and long</w:t>
      </w:r>
      <w:r w:rsidRPr="00BB2872">
        <w:rPr>
          <w:rFonts w:ascii="Times New Roman" w:eastAsia="Times New Roman" w:hAnsi="Times New Roman" w:cs="Times New Roman"/>
          <w:sz w:val="24"/>
          <w:szCs w:val="24"/>
        </w:rPr>
        <w:t>-term</w:t>
      </w:r>
      <w:r w:rsidR="00D45E73" w:rsidRPr="00BB2872">
        <w:rPr>
          <w:rFonts w:ascii="Times New Roman" w:eastAsia="Times New Roman" w:hAnsi="Times New Roman" w:cs="Times New Roman"/>
          <w:sz w:val="24"/>
          <w:szCs w:val="24"/>
        </w:rPr>
        <w:t xml:space="preserve"> perspective</w:t>
      </w:r>
      <w:r w:rsidRPr="00BB2872">
        <w:rPr>
          <w:rFonts w:ascii="Times New Roman" w:eastAsia="Times New Roman" w:hAnsi="Times New Roman" w:cs="Times New Roman"/>
          <w:sz w:val="24"/>
          <w:szCs w:val="24"/>
        </w:rPr>
        <w:t>s</w:t>
      </w:r>
      <w:r w:rsidR="00D45E73" w:rsidRPr="00BB2872">
        <w:rPr>
          <w:rFonts w:ascii="Times New Roman" w:eastAsia="Times New Roman" w:hAnsi="Times New Roman" w:cs="Times New Roman"/>
          <w:sz w:val="24"/>
          <w:szCs w:val="24"/>
        </w:rPr>
        <w:t>. The</w:t>
      </w:r>
      <w:r w:rsidRPr="00BB2872">
        <w:rPr>
          <w:rFonts w:ascii="Times New Roman" w:eastAsia="Times New Roman" w:hAnsi="Times New Roman" w:cs="Times New Roman"/>
          <w:sz w:val="24"/>
          <w:szCs w:val="24"/>
        </w:rPr>
        <w:t xml:space="preserve">y </w:t>
      </w:r>
      <w:r w:rsidR="00D45E73" w:rsidRPr="00BB2872">
        <w:rPr>
          <w:rFonts w:ascii="Times New Roman" w:eastAsia="Times New Roman" w:hAnsi="Times New Roman" w:cs="Times New Roman"/>
          <w:sz w:val="24"/>
          <w:szCs w:val="24"/>
        </w:rPr>
        <w:t>revealed</w:t>
      </w:r>
      <w:r w:rsidRPr="00BB2872">
        <w:rPr>
          <w:rFonts w:ascii="Times New Roman" w:eastAsia="Times New Roman" w:hAnsi="Times New Roman" w:cs="Times New Roman"/>
          <w:sz w:val="24"/>
          <w:szCs w:val="24"/>
        </w:rPr>
        <w:t xml:space="preserve"> </w:t>
      </w:r>
      <w:r w:rsidR="00D45E73" w:rsidRPr="00BB2872">
        <w:rPr>
          <w:rFonts w:ascii="Times New Roman" w:eastAsia="Times New Roman" w:hAnsi="Times New Roman" w:cs="Times New Roman"/>
          <w:sz w:val="24"/>
          <w:szCs w:val="24"/>
        </w:rPr>
        <w:t>different behaviour</w:t>
      </w:r>
      <w:r w:rsidRPr="00BB2872">
        <w:rPr>
          <w:rFonts w:ascii="Times New Roman" w:eastAsia="Times New Roman" w:hAnsi="Times New Roman" w:cs="Times New Roman"/>
          <w:sz w:val="24"/>
          <w:szCs w:val="24"/>
        </w:rPr>
        <w:t>s between the long- and short-term</w:t>
      </w:r>
      <w:r w:rsidR="00D45E73" w:rsidRPr="00BB2872">
        <w:rPr>
          <w:rFonts w:ascii="Times New Roman" w:eastAsia="Times New Roman" w:hAnsi="Times New Roman" w:cs="Times New Roman"/>
          <w:sz w:val="24"/>
          <w:szCs w:val="24"/>
        </w:rPr>
        <w:t xml:space="preserve"> interest ra</w:t>
      </w:r>
      <w:r w:rsidRPr="00BB2872">
        <w:rPr>
          <w:rFonts w:ascii="Times New Roman" w:eastAsia="Times New Roman" w:hAnsi="Times New Roman" w:cs="Times New Roman"/>
          <w:sz w:val="24"/>
          <w:szCs w:val="24"/>
        </w:rPr>
        <w:t>t</w:t>
      </w:r>
      <w:r w:rsidR="00D45E73" w:rsidRPr="00BB2872">
        <w:rPr>
          <w:rFonts w:ascii="Times New Roman" w:eastAsia="Times New Roman" w:hAnsi="Times New Roman" w:cs="Times New Roman"/>
          <w:sz w:val="24"/>
          <w:szCs w:val="24"/>
        </w:rPr>
        <w:t>e</w:t>
      </w:r>
      <w:r w:rsidRPr="00BB2872">
        <w:rPr>
          <w:rFonts w:ascii="Times New Roman" w:eastAsia="Times New Roman" w:hAnsi="Times New Roman" w:cs="Times New Roman"/>
          <w:sz w:val="24"/>
          <w:szCs w:val="24"/>
        </w:rPr>
        <w:t>s,</w:t>
      </w:r>
      <w:r w:rsidR="00D45E73" w:rsidRPr="00BB2872">
        <w:rPr>
          <w:rFonts w:ascii="Times New Roman" w:eastAsia="Times New Roman" w:hAnsi="Times New Roman" w:cs="Times New Roman"/>
          <w:sz w:val="24"/>
          <w:szCs w:val="24"/>
        </w:rPr>
        <w:t xml:space="preserve"> </w:t>
      </w:r>
      <w:proofErr w:type="gramStart"/>
      <w:r w:rsidR="00D45E73" w:rsidRPr="00BB2872">
        <w:rPr>
          <w:rFonts w:ascii="Times New Roman" w:eastAsia="Times New Roman" w:hAnsi="Times New Roman" w:cs="Times New Roman"/>
          <w:sz w:val="24"/>
          <w:szCs w:val="24"/>
        </w:rPr>
        <w:t>and also</w:t>
      </w:r>
      <w:proofErr w:type="gramEnd"/>
      <w:r w:rsidR="00D45E73" w:rsidRPr="00BB2872">
        <w:rPr>
          <w:rFonts w:ascii="Times New Roman" w:eastAsia="Times New Roman" w:hAnsi="Times New Roman" w:cs="Times New Roman"/>
          <w:sz w:val="24"/>
          <w:szCs w:val="24"/>
        </w:rPr>
        <w:t xml:space="preserve"> </w:t>
      </w:r>
      <w:r w:rsidRPr="00BB2872">
        <w:rPr>
          <w:rFonts w:ascii="Times New Roman" w:eastAsia="Times New Roman" w:hAnsi="Times New Roman" w:cs="Times New Roman"/>
          <w:sz w:val="24"/>
          <w:szCs w:val="24"/>
        </w:rPr>
        <w:t>confirmed the</w:t>
      </w:r>
      <w:r w:rsidR="00D45E73" w:rsidRPr="00BB2872">
        <w:rPr>
          <w:rFonts w:ascii="Times New Roman" w:eastAsia="Times New Roman" w:hAnsi="Times New Roman" w:cs="Times New Roman"/>
          <w:sz w:val="24"/>
          <w:szCs w:val="24"/>
        </w:rPr>
        <w:t xml:space="preserve"> crucial impact of transforming </w:t>
      </w:r>
      <w:r w:rsidRPr="00BB2872">
        <w:rPr>
          <w:rFonts w:ascii="Times New Roman" w:eastAsia="Times New Roman" w:hAnsi="Times New Roman" w:cs="Times New Roman"/>
          <w:sz w:val="24"/>
          <w:szCs w:val="24"/>
        </w:rPr>
        <w:t xml:space="preserve">the </w:t>
      </w:r>
      <w:r w:rsidR="00D45E73" w:rsidRPr="00BB2872">
        <w:rPr>
          <w:rFonts w:ascii="Times New Roman" w:eastAsia="Times New Roman" w:hAnsi="Times New Roman" w:cs="Times New Roman"/>
          <w:sz w:val="24"/>
          <w:szCs w:val="24"/>
        </w:rPr>
        <w:t xml:space="preserve">banking sector. Horvath and </w:t>
      </w:r>
      <w:proofErr w:type="spellStart"/>
      <w:r w:rsidR="00D45E73" w:rsidRPr="00BB2872">
        <w:rPr>
          <w:rFonts w:ascii="Times New Roman" w:eastAsia="Times New Roman" w:hAnsi="Times New Roman" w:cs="Times New Roman"/>
          <w:sz w:val="24"/>
          <w:szCs w:val="24"/>
        </w:rPr>
        <w:t>Podpiera</w:t>
      </w:r>
      <w:proofErr w:type="spellEnd"/>
      <w:r w:rsidR="00D45E73" w:rsidRPr="00BB2872">
        <w:rPr>
          <w:rFonts w:ascii="Times New Roman" w:eastAsia="Times New Roman" w:hAnsi="Times New Roman" w:cs="Times New Roman"/>
          <w:sz w:val="24"/>
          <w:szCs w:val="24"/>
        </w:rPr>
        <w:t xml:space="preserve"> (2012) investigated the heterogeneity in bank pricing policies from January 2004 to December 2008. Their results indicated that bank pricing in the short </w:t>
      </w:r>
      <w:r w:rsidR="00037B76" w:rsidRPr="00BB2872">
        <w:rPr>
          <w:rFonts w:ascii="Times New Roman" w:eastAsia="Times New Roman" w:hAnsi="Times New Roman" w:cs="Times New Roman"/>
          <w:sz w:val="24"/>
          <w:szCs w:val="24"/>
        </w:rPr>
        <w:t>term wa</w:t>
      </w:r>
      <w:r w:rsidR="00D45E73" w:rsidRPr="00BB2872">
        <w:rPr>
          <w:rFonts w:ascii="Times New Roman" w:eastAsia="Times New Roman" w:hAnsi="Times New Roman" w:cs="Times New Roman"/>
          <w:sz w:val="24"/>
          <w:szCs w:val="24"/>
        </w:rPr>
        <w:t xml:space="preserve">s heterogeneous, but not in the long </w:t>
      </w:r>
      <w:r w:rsidR="00037B76" w:rsidRPr="00BB2872">
        <w:rPr>
          <w:rFonts w:ascii="Times New Roman" w:eastAsia="Times New Roman" w:hAnsi="Times New Roman" w:cs="Times New Roman"/>
          <w:sz w:val="24"/>
          <w:szCs w:val="24"/>
        </w:rPr>
        <w:t>term</w:t>
      </w:r>
      <w:r w:rsidR="00D45E73" w:rsidRPr="00BB2872">
        <w:rPr>
          <w:rFonts w:ascii="Times New Roman" w:eastAsia="Times New Roman" w:hAnsi="Times New Roman" w:cs="Times New Roman"/>
          <w:sz w:val="24"/>
          <w:szCs w:val="24"/>
        </w:rPr>
        <w:t xml:space="preserve">. They also found that corporate rates and mortgage rates adjust to </w:t>
      </w:r>
      <w:r w:rsidR="00037B76" w:rsidRPr="00BB2872">
        <w:rPr>
          <w:rFonts w:ascii="Times New Roman" w:eastAsia="Times New Roman" w:hAnsi="Times New Roman" w:cs="Times New Roman"/>
          <w:sz w:val="24"/>
          <w:szCs w:val="24"/>
        </w:rPr>
        <w:t xml:space="preserve">the </w:t>
      </w:r>
      <w:r w:rsidR="00D45E73" w:rsidRPr="00BB2872">
        <w:rPr>
          <w:rFonts w:ascii="Times New Roman" w:eastAsia="Times New Roman" w:hAnsi="Times New Roman" w:cs="Times New Roman"/>
          <w:sz w:val="24"/>
          <w:szCs w:val="24"/>
        </w:rPr>
        <w:t xml:space="preserve">money market changes, but often not fully in the long </w:t>
      </w:r>
      <w:r w:rsidR="00037B76" w:rsidRPr="00BB2872">
        <w:rPr>
          <w:rFonts w:ascii="Times New Roman" w:eastAsia="Times New Roman" w:hAnsi="Times New Roman" w:cs="Times New Roman"/>
          <w:sz w:val="24"/>
          <w:szCs w:val="24"/>
        </w:rPr>
        <w:t>term</w:t>
      </w:r>
      <w:r w:rsidR="00D45E73" w:rsidRPr="00BB2872">
        <w:rPr>
          <w:rFonts w:ascii="Times New Roman" w:eastAsia="Times New Roman" w:hAnsi="Times New Roman" w:cs="Times New Roman"/>
          <w:sz w:val="24"/>
          <w:szCs w:val="24"/>
        </w:rPr>
        <w:t xml:space="preserve">. When focusing on consumer rates, the conclusion was that they </w:t>
      </w:r>
      <w:r w:rsidR="001D1532" w:rsidRPr="00BB2872">
        <w:rPr>
          <w:rFonts w:ascii="Times New Roman" w:eastAsia="Times New Roman" w:hAnsi="Times New Roman" w:cs="Times New Roman"/>
          <w:sz w:val="24"/>
          <w:szCs w:val="24"/>
        </w:rPr>
        <w:t>we</w:t>
      </w:r>
      <w:r w:rsidR="00D45E73" w:rsidRPr="00BB2872">
        <w:rPr>
          <w:rFonts w:ascii="Times New Roman" w:eastAsia="Times New Roman" w:hAnsi="Times New Roman" w:cs="Times New Roman"/>
          <w:sz w:val="24"/>
          <w:szCs w:val="24"/>
        </w:rPr>
        <w:t xml:space="preserve">re not co-integrated with </w:t>
      </w:r>
      <w:r w:rsidR="001D1532" w:rsidRPr="00BB2872">
        <w:rPr>
          <w:rFonts w:ascii="Times New Roman" w:eastAsia="Times New Roman" w:hAnsi="Times New Roman" w:cs="Times New Roman"/>
          <w:sz w:val="24"/>
          <w:szCs w:val="24"/>
        </w:rPr>
        <w:t xml:space="preserve">the </w:t>
      </w:r>
      <w:r w:rsidR="00D45E73" w:rsidRPr="00BB2872">
        <w:rPr>
          <w:rFonts w:ascii="Times New Roman" w:eastAsia="Times New Roman" w:hAnsi="Times New Roman" w:cs="Times New Roman"/>
          <w:sz w:val="24"/>
          <w:szCs w:val="24"/>
        </w:rPr>
        <w:t>money market rates</w:t>
      </w:r>
      <w:r w:rsidR="001D1532" w:rsidRPr="00BB2872">
        <w:rPr>
          <w:rFonts w:ascii="Times New Roman" w:eastAsia="Times New Roman" w:hAnsi="Times New Roman" w:cs="Times New Roman"/>
          <w:sz w:val="24"/>
          <w:szCs w:val="24"/>
        </w:rPr>
        <w:t>,</w:t>
      </w:r>
      <w:r w:rsidR="00D45E73" w:rsidRPr="00BB2872">
        <w:rPr>
          <w:rFonts w:ascii="Times New Roman" w:eastAsia="Times New Roman" w:hAnsi="Times New Roman" w:cs="Times New Roman"/>
          <w:sz w:val="24"/>
          <w:szCs w:val="24"/>
        </w:rPr>
        <w:t xml:space="preserve"> even in the long </w:t>
      </w:r>
      <w:r w:rsidR="001D1532" w:rsidRPr="00BB2872">
        <w:rPr>
          <w:rFonts w:ascii="Times New Roman" w:eastAsia="Times New Roman" w:hAnsi="Times New Roman" w:cs="Times New Roman"/>
          <w:sz w:val="24"/>
          <w:szCs w:val="24"/>
        </w:rPr>
        <w:t>term</w:t>
      </w:r>
      <w:r w:rsidR="00D45E73" w:rsidRPr="00BB2872">
        <w:rPr>
          <w:rFonts w:ascii="Times New Roman" w:eastAsia="Times New Roman" w:hAnsi="Times New Roman" w:cs="Times New Roman"/>
          <w:sz w:val="24"/>
          <w:szCs w:val="24"/>
        </w:rPr>
        <w:t>.</w:t>
      </w:r>
    </w:p>
    <w:p w14:paraId="0B3594C2" w14:textId="1381AA1B" w:rsidR="006C5247" w:rsidRPr="00BB2872" w:rsidRDefault="00D45E73">
      <w:pPr>
        <w:spacing w:after="0" w:line="480" w:lineRule="auto"/>
        <w:ind w:firstLine="720"/>
        <w:rPr>
          <w:rFonts w:ascii="Times New Roman" w:eastAsia="Times New Roman" w:hAnsi="Times New Roman" w:cs="Times New Roman"/>
          <w:sz w:val="24"/>
          <w:szCs w:val="24"/>
        </w:rPr>
      </w:pPr>
      <w:proofErr w:type="spellStart"/>
      <w:r w:rsidRPr="00BB2872">
        <w:rPr>
          <w:rFonts w:ascii="Times New Roman" w:eastAsia="Times New Roman" w:hAnsi="Times New Roman" w:cs="Times New Roman"/>
          <w:sz w:val="24"/>
          <w:szCs w:val="24"/>
        </w:rPr>
        <w:t>Havranek</w:t>
      </w:r>
      <w:proofErr w:type="spellEnd"/>
      <w:r w:rsidRPr="00BB2872">
        <w:rPr>
          <w:rFonts w:ascii="Times New Roman" w:eastAsia="Times New Roman" w:hAnsi="Times New Roman" w:cs="Times New Roman"/>
          <w:sz w:val="24"/>
          <w:szCs w:val="24"/>
        </w:rPr>
        <w:t xml:space="preserve"> et al. (2016) focused on the interest</w:t>
      </w:r>
      <w:r w:rsidR="00E02BFF" w:rsidRPr="00BB2872">
        <w:rPr>
          <w:rFonts w:ascii="Times New Roman" w:eastAsia="Times New Roman" w:hAnsi="Times New Roman" w:cs="Times New Roman"/>
          <w:sz w:val="24"/>
          <w:szCs w:val="24"/>
        </w:rPr>
        <w:t xml:space="preserve"> </w:t>
      </w:r>
      <w:r w:rsidRPr="00BB2872">
        <w:rPr>
          <w:rFonts w:ascii="Times New Roman" w:eastAsia="Times New Roman" w:hAnsi="Times New Roman" w:cs="Times New Roman"/>
          <w:sz w:val="24"/>
          <w:szCs w:val="24"/>
        </w:rPr>
        <w:t xml:space="preserve">rate pass-through of loan and deposit products between 2004 and 2013. They concluded that </w:t>
      </w:r>
      <w:r w:rsidR="006C5247" w:rsidRPr="00BB2872">
        <w:rPr>
          <w:rFonts w:ascii="Times New Roman" w:eastAsia="Times New Roman" w:hAnsi="Times New Roman" w:cs="Times New Roman"/>
          <w:sz w:val="24"/>
          <w:szCs w:val="24"/>
        </w:rPr>
        <w:t xml:space="preserve">the </w:t>
      </w:r>
      <w:r w:rsidRPr="00BB2872">
        <w:rPr>
          <w:rFonts w:ascii="Times New Roman" w:eastAsia="Times New Roman" w:hAnsi="Times New Roman" w:cs="Times New Roman"/>
          <w:sz w:val="24"/>
          <w:szCs w:val="24"/>
        </w:rPr>
        <w:t xml:space="preserve">pass-through significantly changed </w:t>
      </w:r>
      <w:r w:rsidRPr="00BB2872">
        <w:rPr>
          <w:rFonts w:ascii="Times New Roman" w:eastAsia="Times New Roman" w:hAnsi="Times New Roman" w:cs="Times New Roman"/>
          <w:sz w:val="24"/>
          <w:szCs w:val="24"/>
        </w:rPr>
        <w:lastRenderedPageBreak/>
        <w:t>in the post-crisis period</w:t>
      </w:r>
      <w:r w:rsidR="006C5247" w:rsidRPr="00BB2872">
        <w:rPr>
          <w:rFonts w:ascii="Times New Roman" w:eastAsia="Times New Roman" w:hAnsi="Times New Roman" w:cs="Times New Roman"/>
          <w:sz w:val="24"/>
          <w:szCs w:val="24"/>
        </w:rPr>
        <w:t>,</w:t>
      </w:r>
      <w:r w:rsidRPr="00BB2872">
        <w:rPr>
          <w:rFonts w:ascii="Times New Roman" w:eastAsia="Times New Roman" w:hAnsi="Times New Roman" w:cs="Times New Roman"/>
          <w:sz w:val="24"/>
          <w:szCs w:val="24"/>
        </w:rPr>
        <w:t xml:space="preserve"> which accord</w:t>
      </w:r>
      <w:r w:rsidR="006C5247" w:rsidRPr="00BB2872">
        <w:rPr>
          <w:rFonts w:ascii="Times New Roman" w:eastAsia="Times New Roman" w:hAnsi="Times New Roman" w:cs="Times New Roman"/>
          <w:sz w:val="24"/>
          <w:szCs w:val="24"/>
        </w:rPr>
        <w:t xml:space="preserve">ed </w:t>
      </w:r>
      <w:r w:rsidRPr="00BB2872">
        <w:rPr>
          <w:rFonts w:ascii="Times New Roman" w:eastAsia="Times New Roman" w:hAnsi="Times New Roman" w:cs="Times New Roman"/>
          <w:sz w:val="24"/>
          <w:szCs w:val="24"/>
        </w:rPr>
        <w:t xml:space="preserve">with the </w:t>
      </w:r>
      <w:r w:rsidR="006C5247" w:rsidRPr="00BB2872">
        <w:rPr>
          <w:rFonts w:ascii="Times New Roman" w:eastAsia="Times New Roman" w:hAnsi="Times New Roman" w:cs="Times New Roman"/>
          <w:sz w:val="24"/>
          <w:szCs w:val="24"/>
        </w:rPr>
        <w:t xml:space="preserve">findings </w:t>
      </w:r>
      <w:r w:rsidRPr="00BB2872">
        <w:rPr>
          <w:rFonts w:ascii="Times New Roman" w:eastAsia="Times New Roman" w:hAnsi="Times New Roman" w:cs="Times New Roman"/>
          <w:sz w:val="24"/>
          <w:szCs w:val="24"/>
        </w:rPr>
        <w:t xml:space="preserve">of </w:t>
      </w:r>
      <w:r w:rsidR="006C5247" w:rsidRPr="00BB2872">
        <w:rPr>
          <w:rFonts w:ascii="Times New Roman" w:eastAsia="Times New Roman" w:hAnsi="Times New Roman" w:cs="Times New Roman"/>
          <w:sz w:val="24"/>
          <w:szCs w:val="24"/>
        </w:rPr>
        <w:t xml:space="preserve">other </w:t>
      </w:r>
      <w:r w:rsidRPr="00BB2872">
        <w:rPr>
          <w:rFonts w:ascii="Times New Roman" w:eastAsia="Times New Roman" w:hAnsi="Times New Roman" w:cs="Times New Roman"/>
          <w:sz w:val="24"/>
          <w:szCs w:val="24"/>
        </w:rPr>
        <w:t>studies conducted in the post-crisis period in other countries. They also focused on bank cost efficiency</w:t>
      </w:r>
      <w:r w:rsidR="006C5247" w:rsidRPr="00BB2872">
        <w:rPr>
          <w:rFonts w:ascii="Times New Roman" w:eastAsia="Times New Roman" w:hAnsi="Times New Roman" w:cs="Times New Roman"/>
          <w:sz w:val="24"/>
          <w:szCs w:val="24"/>
        </w:rPr>
        <w:t>,</w:t>
      </w:r>
      <w:r w:rsidRPr="00BB2872">
        <w:rPr>
          <w:rFonts w:ascii="Times New Roman" w:eastAsia="Times New Roman" w:hAnsi="Times New Roman" w:cs="Times New Roman"/>
          <w:sz w:val="24"/>
          <w:szCs w:val="24"/>
        </w:rPr>
        <w:t xml:space="preserve"> confirm</w:t>
      </w:r>
      <w:r w:rsidR="006C5247" w:rsidRPr="00BB2872">
        <w:rPr>
          <w:rFonts w:ascii="Times New Roman" w:eastAsia="Times New Roman" w:hAnsi="Times New Roman" w:cs="Times New Roman"/>
          <w:sz w:val="24"/>
          <w:szCs w:val="24"/>
        </w:rPr>
        <w:t>ing</w:t>
      </w:r>
      <w:r w:rsidRPr="00BB2872">
        <w:rPr>
          <w:rFonts w:ascii="Times New Roman" w:eastAsia="Times New Roman" w:hAnsi="Times New Roman" w:cs="Times New Roman"/>
          <w:sz w:val="24"/>
          <w:szCs w:val="24"/>
        </w:rPr>
        <w:t xml:space="preserve"> that cost-efficient banks smooth loan rates. Gregor and </w:t>
      </w:r>
      <w:proofErr w:type="spellStart"/>
      <w:r w:rsidRPr="00BB2872">
        <w:rPr>
          <w:rFonts w:ascii="Times New Roman" w:eastAsia="Times New Roman" w:hAnsi="Times New Roman" w:cs="Times New Roman"/>
          <w:sz w:val="24"/>
          <w:szCs w:val="24"/>
        </w:rPr>
        <w:t>Melecky</w:t>
      </w:r>
      <w:proofErr w:type="spellEnd"/>
      <w:r w:rsidRPr="00BB2872">
        <w:rPr>
          <w:rFonts w:ascii="Times New Roman" w:eastAsia="Times New Roman" w:hAnsi="Times New Roman" w:cs="Times New Roman"/>
          <w:sz w:val="24"/>
          <w:szCs w:val="24"/>
        </w:rPr>
        <w:t xml:space="preserve"> (2018) </w:t>
      </w:r>
      <w:r w:rsidR="006C5247" w:rsidRPr="00BB2872">
        <w:rPr>
          <w:rFonts w:ascii="Times New Roman" w:eastAsia="Times New Roman" w:hAnsi="Times New Roman" w:cs="Times New Roman"/>
          <w:sz w:val="24"/>
          <w:szCs w:val="24"/>
        </w:rPr>
        <w:t xml:space="preserve">analysed </w:t>
      </w:r>
      <w:r w:rsidRPr="00BB2872">
        <w:rPr>
          <w:rFonts w:ascii="Times New Roman" w:eastAsia="Times New Roman" w:hAnsi="Times New Roman" w:cs="Times New Roman"/>
          <w:sz w:val="24"/>
          <w:szCs w:val="24"/>
        </w:rPr>
        <w:t xml:space="preserve">the pass-through of monetary policy to lending rates from January 2004 to </w:t>
      </w:r>
      <w:proofErr w:type="gramStart"/>
      <w:r w:rsidRPr="00BB2872">
        <w:rPr>
          <w:rFonts w:ascii="Times New Roman" w:eastAsia="Times New Roman" w:hAnsi="Times New Roman" w:cs="Times New Roman"/>
          <w:sz w:val="24"/>
          <w:szCs w:val="24"/>
        </w:rPr>
        <w:t>November 2017</w:t>
      </w:r>
      <w:r w:rsidR="006C5247" w:rsidRPr="00BB2872">
        <w:rPr>
          <w:rFonts w:ascii="Times New Roman" w:eastAsia="Times New Roman" w:hAnsi="Times New Roman" w:cs="Times New Roman"/>
          <w:sz w:val="24"/>
          <w:szCs w:val="24"/>
        </w:rPr>
        <w:t>, and</w:t>
      </w:r>
      <w:proofErr w:type="gramEnd"/>
      <w:r w:rsidRPr="00BB2872">
        <w:rPr>
          <w:rFonts w:ascii="Times New Roman" w:eastAsia="Times New Roman" w:hAnsi="Times New Roman" w:cs="Times New Roman"/>
          <w:sz w:val="24"/>
          <w:szCs w:val="24"/>
        </w:rPr>
        <w:t xml:space="preserve"> observed the role</w:t>
      </w:r>
      <w:r w:rsidR="006C5247" w:rsidRPr="00BB2872">
        <w:rPr>
          <w:rFonts w:ascii="Times New Roman" w:eastAsia="Times New Roman" w:hAnsi="Times New Roman" w:cs="Times New Roman"/>
          <w:sz w:val="24"/>
          <w:szCs w:val="24"/>
        </w:rPr>
        <w:t>s</w:t>
      </w:r>
      <w:r w:rsidRPr="00BB2872">
        <w:rPr>
          <w:rFonts w:ascii="Times New Roman" w:eastAsia="Times New Roman" w:hAnsi="Times New Roman" w:cs="Times New Roman"/>
          <w:sz w:val="24"/>
          <w:szCs w:val="24"/>
        </w:rPr>
        <w:t xml:space="preserve"> of other macro-financial factors. With the use of </w:t>
      </w:r>
      <w:r w:rsidR="006C5247" w:rsidRPr="00BB2872">
        <w:rPr>
          <w:rFonts w:ascii="Times New Roman" w:eastAsia="Times New Roman" w:hAnsi="Times New Roman" w:cs="Times New Roman"/>
          <w:sz w:val="24"/>
          <w:szCs w:val="24"/>
        </w:rPr>
        <w:t xml:space="preserve">an </w:t>
      </w:r>
      <w:r w:rsidRPr="00BB2872">
        <w:rPr>
          <w:rFonts w:ascii="Times New Roman" w:eastAsia="Times New Roman" w:hAnsi="Times New Roman" w:cs="Times New Roman"/>
          <w:sz w:val="24"/>
          <w:szCs w:val="24"/>
        </w:rPr>
        <w:t xml:space="preserve">autoregressive distributed lag approach, they explored </w:t>
      </w:r>
      <w:r w:rsidR="006C5247" w:rsidRPr="00BB2872">
        <w:rPr>
          <w:rFonts w:ascii="Times New Roman" w:eastAsia="Times New Roman" w:hAnsi="Times New Roman" w:cs="Times New Roman"/>
          <w:sz w:val="24"/>
          <w:szCs w:val="24"/>
        </w:rPr>
        <w:t xml:space="preserve">the </w:t>
      </w:r>
      <w:r w:rsidRPr="00BB2872">
        <w:rPr>
          <w:rFonts w:ascii="Times New Roman" w:eastAsia="Times New Roman" w:hAnsi="Times New Roman" w:cs="Times New Roman"/>
          <w:sz w:val="24"/>
          <w:szCs w:val="24"/>
        </w:rPr>
        <w:t>long</w:t>
      </w:r>
      <w:r w:rsidR="006C5247" w:rsidRPr="00BB2872">
        <w:rPr>
          <w:rFonts w:ascii="Times New Roman" w:eastAsia="Times New Roman" w:hAnsi="Times New Roman" w:cs="Times New Roman"/>
          <w:sz w:val="24"/>
          <w:szCs w:val="24"/>
        </w:rPr>
        <w:t>-term</w:t>
      </w:r>
      <w:r w:rsidRPr="00BB2872">
        <w:rPr>
          <w:rFonts w:ascii="Times New Roman" w:eastAsia="Times New Roman" w:hAnsi="Times New Roman" w:cs="Times New Roman"/>
          <w:sz w:val="24"/>
          <w:szCs w:val="24"/>
        </w:rPr>
        <w:t xml:space="preserve"> and stable pass-through for corporate lending rates and mortgages</w:t>
      </w:r>
      <w:r w:rsidR="006C5247" w:rsidRPr="00BB2872">
        <w:rPr>
          <w:rFonts w:ascii="Times New Roman" w:eastAsia="Times New Roman" w:hAnsi="Times New Roman" w:cs="Times New Roman"/>
          <w:sz w:val="24"/>
          <w:szCs w:val="24"/>
        </w:rPr>
        <w:t>,</w:t>
      </w:r>
      <w:r w:rsidRPr="00BB2872">
        <w:rPr>
          <w:rFonts w:ascii="Times New Roman" w:eastAsia="Times New Roman" w:hAnsi="Times New Roman" w:cs="Times New Roman"/>
          <w:sz w:val="24"/>
          <w:szCs w:val="24"/>
        </w:rPr>
        <w:t xml:space="preserve"> </w:t>
      </w:r>
      <w:r w:rsidR="006C5247" w:rsidRPr="00BB2872">
        <w:rPr>
          <w:rFonts w:ascii="Times New Roman" w:eastAsia="Times New Roman" w:hAnsi="Times New Roman" w:cs="Times New Roman"/>
          <w:sz w:val="24"/>
          <w:szCs w:val="24"/>
        </w:rPr>
        <w:t xml:space="preserve">determining that </w:t>
      </w:r>
      <w:r w:rsidRPr="00BB2872">
        <w:rPr>
          <w:rFonts w:ascii="Times New Roman" w:eastAsia="Times New Roman" w:hAnsi="Times New Roman" w:cs="Times New Roman"/>
          <w:sz w:val="24"/>
          <w:szCs w:val="24"/>
        </w:rPr>
        <w:t xml:space="preserve">the pass-through was not confirmed for consumer lending rates. </w:t>
      </w:r>
    </w:p>
    <w:p w14:paraId="00000017" w14:textId="32754103" w:rsidR="00345220" w:rsidRPr="00BB2872" w:rsidRDefault="006C5247">
      <w:pPr>
        <w:spacing w:after="0" w:line="480" w:lineRule="auto"/>
        <w:ind w:firstLine="720"/>
        <w:rPr>
          <w:rFonts w:ascii="Times New Roman" w:eastAsia="Times New Roman" w:hAnsi="Times New Roman" w:cs="Times New Roman"/>
          <w:sz w:val="24"/>
          <w:szCs w:val="24"/>
        </w:rPr>
      </w:pPr>
      <w:r w:rsidRPr="00BB2872">
        <w:rPr>
          <w:rFonts w:ascii="Times New Roman" w:eastAsia="Times New Roman" w:hAnsi="Times New Roman" w:cs="Times New Roman"/>
          <w:sz w:val="24"/>
          <w:szCs w:val="24"/>
        </w:rPr>
        <w:t xml:space="preserve">In </w:t>
      </w:r>
      <w:r w:rsidR="00D45E73" w:rsidRPr="00BB2872">
        <w:rPr>
          <w:rFonts w:ascii="Times New Roman" w:eastAsia="Times New Roman" w:hAnsi="Times New Roman" w:cs="Times New Roman"/>
          <w:sz w:val="24"/>
          <w:szCs w:val="24"/>
        </w:rPr>
        <w:t xml:space="preserve">2018 and 2019, </w:t>
      </w:r>
      <w:r w:rsidRPr="00BB2872">
        <w:rPr>
          <w:rFonts w:ascii="Times New Roman" w:eastAsia="Times New Roman" w:hAnsi="Times New Roman" w:cs="Times New Roman"/>
          <w:sz w:val="24"/>
          <w:szCs w:val="24"/>
        </w:rPr>
        <w:t>publications tended towards</w:t>
      </w:r>
      <w:r w:rsidR="00D45E73" w:rsidRPr="00BB2872">
        <w:rPr>
          <w:rFonts w:ascii="Times New Roman" w:eastAsia="Times New Roman" w:hAnsi="Times New Roman" w:cs="Times New Roman"/>
          <w:sz w:val="24"/>
          <w:szCs w:val="24"/>
        </w:rPr>
        <w:t xml:space="preserve"> dealing with </w:t>
      </w:r>
      <w:proofErr w:type="gramStart"/>
      <w:r w:rsidRPr="00BB2872">
        <w:rPr>
          <w:rFonts w:ascii="Times New Roman" w:eastAsia="Times New Roman" w:hAnsi="Times New Roman" w:cs="Times New Roman"/>
          <w:sz w:val="24"/>
          <w:szCs w:val="24"/>
        </w:rPr>
        <w:t xml:space="preserve">particular </w:t>
      </w:r>
      <w:r w:rsidR="00D45E73" w:rsidRPr="00BB2872">
        <w:rPr>
          <w:rFonts w:ascii="Times New Roman" w:eastAsia="Times New Roman" w:hAnsi="Times New Roman" w:cs="Times New Roman"/>
          <w:sz w:val="24"/>
          <w:szCs w:val="24"/>
        </w:rPr>
        <w:t>problems</w:t>
      </w:r>
      <w:proofErr w:type="gramEnd"/>
      <w:r w:rsidRPr="00BB2872">
        <w:rPr>
          <w:rFonts w:ascii="Times New Roman" w:eastAsia="Times New Roman" w:hAnsi="Times New Roman" w:cs="Times New Roman"/>
          <w:sz w:val="24"/>
          <w:szCs w:val="24"/>
        </w:rPr>
        <w:t>,</w:t>
      </w:r>
      <w:r w:rsidR="00D45E73" w:rsidRPr="00BB2872">
        <w:rPr>
          <w:rFonts w:ascii="Times New Roman" w:eastAsia="Times New Roman" w:hAnsi="Times New Roman" w:cs="Times New Roman"/>
          <w:sz w:val="24"/>
          <w:szCs w:val="24"/>
        </w:rPr>
        <w:t xml:space="preserve"> in detail, </w:t>
      </w:r>
      <w:r w:rsidRPr="00BB2872">
        <w:rPr>
          <w:rFonts w:ascii="Times New Roman" w:eastAsia="Times New Roman" w:hAnsi="Times New Roman" w:cs="Times New Roman"/>
          <w:sz w:val="24"/>
          <w:szCs w:val="24"/>
        </w:rPr>
        <w:t>such</w:t>
      </w:r>
      <w:r w:rsidR="00D45E73" w:rsidRPr="00BB2872">
        <w:rPr>
          <w:rFonts w:ascii="Times New Roman" w:eastAsia="Times New Roman" w:hAnsi="Times New Roman" w:cs="Times New Roman"/>
          <w:sz w:val="24"/>
          <w:szCs w:val="24"/>
        </w:rPr>
        <w:t xml:space="preserve"> </w:t>
      </w:r>
      <w:r w:rsidRPr="00BB2872">
        <w:rPr>
          <w:rFonts w:ascii="Times New Roman" w:eastAsia="Times New Roman" w:hAnsi="Times New Roman" w:cs="Times New Roman"/>
          <w:sz w:val="24"/>
          <w:szCs w:val="24"/>
        </w:rPr>
        <w:t xml:space="preserve">as </w:t>
      </w:r>
      <w:r w:rsidR="00D45E73" w:rsidRPr="00BB2872">
        <w:rPr>
          <w:rFonts w:ascii="Times New Roman" w:eastAsia="Times New Roman" w:hAnsi="Times New Roman" w:cs="Times New Roman"/>
          <w:sz w:val="24"/>
          <w:szCs w:val="24"/>
        </w:rPr>
        <w:t>Bruna and Van Tran (2018)</w:t>
      </w:r>
      <w:r w:rsidRPr="00BB2872">
        <w:rPr>
          <w:rFonts w:ascii="Times New Roman" w:eastAsia="Times New Roman" w:hAnsi="Times New Roman" w:cs="Times New Roman"/>
          <w:sz w:val="24"/>
          <w:szCs w:val="24"/>
        </w:rPr>
        <w:t>, who</w:t>
      </w:r>
      <w:r w:rsidR="00D45E73" w:rsidRPr="00BB2872">
        <w:rPr>
          <w:rFonts w:ascii="Times New Roman" w:eastAsia="Times New Roman" w:hAnsi="Times New Roman" w:cs="Times New Roman"/>
          <w:sz w:val="24"/>
          <w:szCs w:val="24"/>
        </w:rPr>
        <w:t xml:space="preserve"> </w:t>
      </w:r>
      <w:r w:rsidRPr="00BB2872">
        <w:rPr>
          <w:rFonts w:ascii="Times New Roman" w:eastAsia="Times New Roman" w:hAnsi="Times New Roman" w:cs="Times New Roman"/>
          <w:sz w:val="24"/>
          <w:szCs w:val="24"/>
        </w:rPr>
        <w:t xml:space="preserve">reported </w:t>
      </w:r>
      <w:r w:rsidR="00D45E73" w:rsidRPr="00BB2872">
        <w:rPr>
          <w:rFonts w:ascii="Times New Roman" w:eastAsia="Times New Roman" w:hAnsi="Times New Roman" w:cs="Times New Roman"/>
          <w:sz w:val="24"/>
          <w:szCs w:val="24"/>
        </w:rPr>
        <w:t xml:space="preserve">inflation targeting and </w:t>
      </w:r>
      <w:r w:rsidRPr="00BB2872">
        <w:rPr>
          <w:rFonts w:ascii="Times New Roman" w:eastAsia="Times New Roman" w:hAnsi="Times New Roman" w:cs="Times New Roman"/>
          <w:sz w:val="24"/>
          <w:szCs w:val="24"/>
        </w:rPr>
        <w:t xml:space="preserve">variability in </w:t>
      </w:r>
      <w:r w:rsidR="00D45E73" w:rsidRPr="00BB2872">
        <w:rPr>
          <w:rFonts w:ascii="Times New Roman" w:eastAsia="Times New Roman" w:hAnsi="Times New Roman" w:cs="Times New Roman"/>
          <w:sz w:val="24"/>
          <w:szCs w:val="24"/>
        </w:rPr>
        <w:t xml:space="preserve">money market rates under a </w:t>
      </w:r>
      <w:r w:rsidR="00E0756A" w:rsidRPr="00BB2872">
        <w:rPr>
          <w:rFonts w:ascii="Times New Roman" w:eastAsia="Times New Roman" w:hAnsi="Times New Roman" w:cs="Times New Roman"/>
          <w:sz w:val="24"/>
          <w:szCs w:val="24"/>
        </w:rPr>
        <w:t>ZLB</w:t>
      </w:r>
      <w:r w:rsidRPr="00BB2872">
        <w:rPr>
          <w:rFonts w:ascii="Times New Roman" w:eastAsia="Times New Roman" w:hAnsi="Times New Roman" w:cs="Times New Roman"/>
          <w:sz w:val="24"/>
          <w:szCs w:val="24"/>
        </w:rPr>
        <w:t>, using</w:t>
      </w:r>
      <w:r w:rsidR="00D45E73" w:rsidRPr="00BB2872">
        <w:rPr>
          <w:rFonts w:ascii="Times New Roman" w:eastAsia="Times New Roman" w:hAnsi="Times New Roman" w:cs="Times New Roman"/>
          <w:sz w:val="24"/>
          <w:szCs w:val="24"/>
        </w:rPr>
        <w:t xml:space="preserve"> </w:t>
      </w:r>
      <w:r w:rsidRPr="00BB2872">
        <w:rPr>
          <w:rFonts w:ascii="Times New Roman" w:eastAsia="Times New Roman" w:hAnsi="Times New Roman" w:cs="Times New Roman"/>
          <w:sz w:val="24"/>
          <w:szCs w:val="24"/>
        </w:rPr>
        <w:t>a</w:t>
      </w:r>
      <w:r w:rsidR="00D45E73" w:rsidRPr="00BB2872">
        <w:rPr>
          <w:rFonts w:ascii="Times New Roman" w:eastAsia="Times New Roman" w:hAnsi="Times New Roman" w:cs="Times New Roman"/>
          <w:sz w:val="24"/>
          <w:szCs w:val="24"/>
        </w:rPr>
        <w:t xml:space="preserve"> Bayesian </w:t>
      </w:r>
      <w:r w:rsidR="007446D3" w:rsidRPr="00BB2872">
        <w:rPr>
          <w:rFonts w:ascii="Times New Roman" w:eastAsia="Times New Roman" w:hAnsi="Times New Roman" w:cs="Times New Roman"/>
          <w:sz w:val="24"/>
          <w:szCs w:val="24"/>
        </w:rPr>
        <w:t>vector autoregressive (</w:t>
      </w:r>
      <w:r w:rsidR="00D45E73" w:rsidRPr="00BB2872">
        <w:rPr>
          <w:rFonts w:ascii="Times New Roman" w:eastAsia="Times New Roman" w:hAnsi="Times New Roman" w:cs="Times New Roman"/>
          <w:sz w:val="24"/>
          <w:szCs w:val="24"/>
        </w:rPr>
        <w:t>VAR</w:t>
      </w:r>
      <w:r w:rsidR="007446D3" w:rsidRPr="00BB2872">
        <w:rPr>
          <w:rFonts w:ascii="Times New Roman" w:eastAsia="Times New Roman" w:hAnsi="Times New Roman" w:cs="Times New Roman"/>
          <w:sz w:val="24"/>
          <w:szCs w:val="24"/>
        </w:rPr>
        <w:t>)</w:t>
      </w:r>
      <w:r w:rsidR="00D45E73" w:rsidRPr="00BB2872">
        <w:rPr>
          <w:rFonts w:ascii="Times New Roman" w:eastAsia="Times New Roman" w:hAnsi="Times New Roman" w:cs="Times New Roman"/>
          <w:sz w:val="24"/>
          <w:szCs w:val="24"/>
        </w:rPr>
        <w:t xml:space="preserve"> model</w:t>
      </w:r>
      <w:r w:rsidRPr="00BB2872">
        <w:rPr>
          <w:rFonts w:ascii="Times New Roman" w:eastAsia="Times New Roman" w:hAnsi="Times New Roman" w:cs="Times New Roman"/>
          <w:sz w:val="24"/>
          <w:szCs w:val="24"/>
        </w:rPr>
        <w:t xml:space="preserve"> for the latter</w:t>
      </w:r>
      <w:r w:rsidR="00D45E73" w:rsidRPr="00BB2872">
        <w:rPr>
          <w:rFonts w:ascii="Times New Roman" w:eastAsia="Times New Roman" w:hAnsi="Times New Roman" w:cs="Times New Roman"/>
          <w:sz w:val="24"/>
          <w:szCs w:val="24"/>
        </w:rPr>
        <w:t>. The</w:t>
      </w:r>
      <w:r w:rsidRPr="00BB2872">
        <w:rPr>
          <w:rFonts w:ascii="Times New Roman" w:eastAsia="Times New Roman" w:hAnsi="Times New Roman" w:cs="Times New Roman"/>
          <w:sz w:val="24"/>
          <w:szCs w:val="24"/>
        </w:rPr>
        <w:t xml:space="preserve">y found </w:t>
      </w:r>
      <w:r w:rsidR="00D45E73" w:rsidRPr="00BB2872">
        <w:rPr>
          <w:rFonts w:ascii="Times New Roman" w:eastAsia="Times New Roman" w:hAnsi="Times New Roman" w:cs="Times New Roman"/>
          <w:sz w:val="24"/>
          <w:szCs w:val="24"/>
        </w:rPr>
        <w:t>that the financial crisis together with exchange</w:t>
      </w:r>
      <w:r w:rsidR="00552339" w:rsidRPr="00BB2872">
        <w:rPr>
          <w:rFonts w:ascii="Times New Roman" w:eastAsia="Times New Roman" w:hAnsi="Times New Roman" w:cs="Times New Roman"/>
          <w:sz w:val="24"/>
          <w:szCs w:val="24"/>
        </w:rPr>
        <w:t>-</w:t>
      </w:r>
      <w:r w:rsidR="00D45E73" w:rsidRPr="00BB2872">
        <w:rPr>
          <w:rFonts w:ascii="Times New Roman" w:eastAsia="Times New Roman" w:hAnsi="Times New Roman" w:cs="Times New Roman"/>
          <w:sz w:val="24"/>
          <w:szCs w:val="24"/>
        </w:rPr>
        <w:t xml:space="preserve">rate interventions represent the main shocks to interest rates. </w:t>
      </w:r>
      <w:proofErr w:type="spellStart"/>
      <w:r w:rsidR="00D45E73" w:rsidRPr="00BB2872">
        <w:rPr>
          <w:rFonts w:ascii="Times New Roman" w:eastAsia="Times New Roman" w:hAnsi="Times New Roman" w:cs="Times New Roman"/>
          <w:sz w:val="24"/>
          <w:szCs w:val="24"/>
        </w:rPr>
        <w:t>Kolcunova</w:t>
      </w:r>
      <w:proofErr w:type="spellEnd"/>
      <w:r w:rsidR="00D45E73" w:rsidRPr="00BB2872">
        <w:rPr>
          <w:rFonts w:ascii="Times New Roman" w:eastAsia="Times New Roman" w:hAnsi="Times New Roman" w:cs="Times New Roman"/>
          <w:sz w:val="24"/>
          <w:szCs w:val="24"/>
        </w:rPr>
        <w:t xml:space="preserve"> and </w:t>
      </w:r>
      <w:proofErr w:type="spellStart"/>
      <w:r w:rsidR="00D45E73" w:rsidRPr="00BB2872">
        <w:rPr>
          <w:rFonts w:ascii="Times New Roman" w:eastAsia="Times New Roman" w:hAnsi="Times New Roman" w:cs="Times New Roman"/>
          <w:sz w:val="24"/>
          <w:szCs w:val="24"/>
        </w:rPr>
        <w:t>Havranek</w:t>
      </w:r>
      <w:proofErr w:type="spellEnd"/>
      <w:r w:rsidR="00D45E73" w:rsidRPr="00BB2872">
        <w:rPr>
          <w:rFonts w:ascii="Times New Roman" w:eastAsia="Times New Roman" w:hAnsi="Times New Roman" w:cs="Times New Roman"/>
          <w:sz w:val="24"/>
          <w:szCs w:val="24"/>
        </w:rPr>
        <w:t xml:space="preserve"> (2018) estimated the effective lower bound of the CNB</w:t>
      </w:r>
      <w:r w:rsidR="00FA538F" w:rsidRPr="00BB2872">
        <w:rPr>
          <w:rFonts w:ascii="Times New Roman" w:eastAsia="Times New Roman" w:hAnsi="Times New Roman" w:cs="Times New Roman"/>
          <w:sz w:val="24"/>
          <w:szCs w:val="24"/>
        </w:rPr>
        <w:t>’s</w:t>
      </w:r>
      <w:r w:rsidR="00D45E73" w:rsidRPr="00BB2872">
        <w:rPr>
          <w:rFonts w:ascii="Times New Roman" w:eastAsia="Times New Roman" w:hAnsi="Times New Roman" w:cs="Times New Roman"/>
          <w:sz w:val="24"/>
          <w:szCs w:val="24"/>
        </w:rPr>
        <w:t xml:space="preserve"> policy rate</w:t>
      </w:r>
      <w:r w:rsidR="005E3EF6" w:rsidRPr="00BB2872">
        <w:rPr>
          <w:rFonts w:ascii="Times New Roman" w:eastAsia="Times New Roman" w:hAnsi="Times New Roman" w:cs="Times New Roman"/>
          <w:sz w:val="24"/>
          <w:szCs w:val="24"/>
        </w:rPr>
        <w:t>, whilst</w:t>
      </w:r>
      <w:r w:rsidR="00D45E73" w:rsidRPr="00BB2872">
        <w:rPr>
          <w:rFonts w:ascii="Times New Roman" w:eastAsia="Times New Roman" w:hAnsi="Times New Roman" w:cs="Times New Roman"/>
          <w:sz w:val="24"/>
          <w:szCs w:val="24"/>
        </w:rPr>
        <w:t xml:space="preserve"> </w:t>
      </w:r>
      <w:proofErr w:type="spellStart"/>
      <w:r w:rsidR="00D45E73" w:rsidRPr="00BB2872">
        <w:rPr>
          <w:rFonts w:ascii="Times New Roman" w:eastAsia="Times New Roman" w:hAnsi="Times New Roman" w:cs="Times New Roman"/>
          <w:sz w:val="24"/>
          <w:szCs w:val="24"/>
        </w:rPr>
        <w:t>Filáček</w:t>
      </w:r>
      <w:proofErr w:type="spellEnd"/>
      <w:r w:rsidR="00D45E73" w:rsidRPr="00BB2872">
        <w:rPr>
          <w:rFonts w:ascii="Times New Roman" w:eastAsia="Times New Roman" w:hAnsi="Times New Roman" w:cs="Times New Roman"/>
          <w:sz w:val="24"/>
          <w:szCs w:val="24"/>
        </w:rPr>
        <w:t xml:space="preserve"> et al. (2018) suggest</w:t>
      </w:r>
      <w:r w:rsidR="005E3EF6" w:rsidRPr="00BB2872">
        <w:rPr>
          <w:rFonts w:ascii="Times New Roman" w:eastAsia="Times New Roman" w:hAnsi="Times New Roman" w:cs="Times New Roman"/>
          <w:sz w:val="24"/>
          <w:szCs w:val="24"/>
        </w:rPr>
        <w:t>ed</w:t>
      </w:r>
      <w:r w:rsidR="00D45E73" w:rsidRPr="00BB2872">
        <w:rPr>
          <w:rFonts w:ascii="Times New Roman" w:eastAsia="Times New Roman" w:hAnsi="Times New Roman" w:cs="Times New Roman"/>
          <w:sz w:val="24"/>
          <w:szCs w:val="24"/>
        </w:rPr>
        <w:t xml:space="preserve"> that deposit interest rates d</w:t>
      </w:r>
      <w:r w:rsidR="005E3EF6" w:rsidRPr="00BB2872">
        <w:rPr>
          <w:rFonts w:ascii="Times New Roman" w:eastAsia="Times New Roman" w:hAnsi="Times New Roman" w:cs="Times New Roman"/>
          <w:sz w:val="24"/>
          <w:szCs w:val="24"/>
        </w:rPr>
        <w:t>id</w:t>
      </w:r>
      <w:r w:rsidR="00D45E73" w:rsidRPr="00BB2872">
        <w:rPr>
          <w:rFonts w:ascii="Times New Roman" w:eastAsia="Times New Roman" w:hAnsi="Times New Roman" w:cs="Times New Roman"/>
          <w:sz w:val="24"/>
          <w:szCs w:val="24"/>
        </w:rPr>
        <w:t xml:space="preserve"> not indicate a failure in transmission after the exit from the exchange</w:t>
      </w:r>
      <w:r w:rsidR="00552339" w:rsidRPr="00BB2872">
        <w:rPr>
          <w:rFonts w:ascii="Times New Roman" w:eastAsia="Times New Roman" w:hAnsi="Times New Roman" w:cs="Times New Roman"/>
          <w:sz w:val="24"/>
          <w:szCs w:val="24"/>
        </w:rPr>
        <w:t>-</w:t>
      </w:r>
      <w:r w:rsidR="00D45E73" w:rsidRPr="00BB2872">
        <w:rPr>
          <w:rFonts w:ascii="Times New Roman" w:eastAsia="Times New Roman" w:hAnsi="Times New Roman" w:cs="Times New Roman"/>
          <w:sz w:val="24"/>
          <w:szCs w:val="24"/>
        </w:rPr>
        <w:t>rate commitment</w:t>
      </w:r>
      <w:r w:rsidR="005E3EF6" w:rsidRPr="00BB2872">
        <w:rPr>
          <w:rFonts w:ascii="Times New Roman" w:eastAsia="Times New Roman" w:hAnsi="Times New Roman" w:cs="Times New Roman"/>
          <w:sz w:val="24"/>
          <w:szCs w:val="24"/>
        </w:rPr>
        <w:t>,</w:t>
      </w:r>
      <w:r w:rsidR="00D45E73" w:rsidRPr="00BB2872">
        <w:rPr>
          <w:rFonts w:ascii="Times New Roman" w:eastAsia="Times New Roman" w:hAnsi="Times New Roman" w:cs="Times New Roman"/>
          <w:sz w:val="24"/>
          <w:szCs w:val="24"/>
        </w:rPr>
        <w:t xml:space="preserve"> and </w:t>
      </w:r>
      <w:r w:rsidR="005E3EF6" w:rsidRPr="00BB2872">
        <w:rPr>
          <w:rFonts w:ascii="Times New Roman" w:eastAsia="Times New Roman" w:hAnsi="Times New Roman" w:cs="Times New Roman"/>
          <w:sz w:val="24"/>
          <w:szCs w:val="24"/>
        </w:rPr>
        <w:t xml:space="preserve">that </w:t>
      </w:r>
      <w:r w:rsidR="00D45E73" w:rsidRPr="00BB2872">
        <w:rPr>
          <w:rFonts w:ascii="Times New Roman" w:eastAsia="Times New Roman" w:hAnsi="Times New Roman" w:cs="Times New Roman"/>
          <w:sz w:val="24"/>
          <w:szCs w:val="24"/>
        </w:rPr>
        <w:t>the pass-through of monetary policy rates to deposit rates has not worsened</w:t>
      </w:r>
      <w:r w:rsidR="005E3EF6" w:rsidRPr="00BB2872">
        <w:rPr>
          <w:rFonts w:ascii="Times New Roman" w:eastAsia="Times New Roman" w:hAnsi="Times New Roman" w:cs="Times New Roman"/>
          <w:sz w:val="24"/>
          <w:szCs w:val="24"/>
        </w:rPr>
        <w:t>.</w:t>
      </w:r>
      <w:r w:rsidR="00D45E73" w:rsidRPr="00BB2872">
        <w:rPr>
          <w:rFonts w:ascii="Times New Roman" w:eastAsia="Times New Roman" w:hAnsi="Times New Roman" w:cs="Times New Roman"/>
          <w:sz w:val="24"/>
          <w:szCs w:val="24"/>
        </w:rPr>
        <w:t xml:space="preserve"> Broz and </w:t>
      </w:r>
      <w:proofErr w:type="spellStart"/>
      <w:r w:rsidR="00D45E73" w:rsidRPr="00BB2872">
        <w:rPr>
          <w:rFonts w:ascii="Times New Roman" w:eastAsia="Times New Roman" w:hAnsi="Times New Roman" w:cs="Times New Roman"/>
          <w:sz w:val="24"/>
          <w:szCs w:val="24"/>
        </w:rPr>
        <w:t>Hlavacek</w:t>
      </w:r>
      <w:proofErr w:type="spellEnd"/>
      <w:r w:rsidR="00D45E73" w:rsidRPr="00BB2872">
        <w:rPr>
          <w:rFonts w:ascii="Times New Roman" w:eastAsia="Times New Roman" w:hAnsi="Times New Roman" w:cs="Times New Roman"/>
          <w:sz w:val="24"/>
          <w:szCs w:val="24"/>
        </w:rPr>
        <w:t xml:space="preserve"> (2019) focused on the drivers of </w:t>
      </w:r>
      <w:r w:rsidR="005E3EF6" w:rsidRPr="00BB2872">
        <w:rPr>
          <w:rFonts w:ascii="Times New Roman" w:eastAsia="Times New Roman" w:hAnsi="Times New Roman" w:cs="Times New Roman"/>
          <w:sz w:val="24"/>
          <w:szCs w:val="24"/>
        </w:rPr>
        <w:t xml:space="preserve">the </w:t>
      </w:r>
      <w:r w:rsidR="00D45E73" w:rsidRPr="00BB2872">
        <w:rPr>
          <w:rFonts w:ascii="Times New Roman" w:eastAsia="Times New Roman" w:hAnsi="Times New Roman" w:cs="Times New Roman"/>
          <w:sz w:val="24"/>
          <w:szCs w:val="24"/>
        </w:rPr>
        <w:t xml:space="preserve">dynamics of interest rates on consumer loans in Czechia between 2014 and 2019. Their results suggested that </w:t>
      </w:r>
      <w:r w:rsidR="005E3EF6" w:rsidRPr="00BB2872">
        <w:rPr>
          <w:rFonts w:ascii="Times New Roman" w:eastAsia="Times New Roman" w:hAnsi="Times New Roman" w:cs="Times New Roman"/>
          <w:sz w:val="24"/>
          <w:szCs w:val="24"/>
        </w:rPr>
        <w:t>a</w:t>
      </w:r>
      <w:r w:rsidR="00D45E73" w:rsidRPr="00BB2872">
        <w:rPr>
          <w:rFonts w:ascii="Times New Roman" w:eastAsia="Times New Roman" w:hAnsi="Times New Roman" w:cs="Times New Roman"/>
          <w:sz w:val="24"/>
          <w:szCs w:val="24"/>
        </w:rPr>
        <w:t xml:space="preserve"> decreasing unemployment rate, benign development of credit risk and very slightly increasing market rates</w:t>
      </w:r>
      <w:r w:rsidR="005E3EF6" w:rsidRPr="00BB2872">
        <w:rPr>
          <w:rFonts w:ascii="Times New Roman" w:eastAsia="Times New Roman" w:hAnsi="Times New Roman" w:cs="Times New Roman"/>
          <w:sz w:val="24"/>
          <w:szCs w:val="24"/>
        </w:rPr>
        <w:t xml:space="preserve"> </w:t>
      </w:r>
      <w:r w:rsidR="00EB0BB6" w:rsidRPr="00BB2872">
        <w:rPr>
          <w:rFonts w:ascii="Times New Roman" w:eastAsia="Times New Roman" w:hAnsi="Times New Roman" w:cs="Times New Roman"/>
          <w:sz w:val="24"/>
          <w:szCs w:val="24"/>
        </w:rPr>
        <w:t>might</w:t>
      </w:r>
      <w:r w:rsidR="005E3EF6" w:rsidRPr="00BB2872">
        <w:rPr>
          <w:rFonts w:ascii="Times New Roman" w:eastAsia="Times New Roman" w:hAnsi="Times New Roman" w:cs="Times New Roman"/>
          <w:sz w:val="24"/>
          <w:szCs w:val="24"/>
        </w:rPr>
        <w:t xml:space="preserve"> have</w:t>
      </w:r>
      <w:r w:rsidR="00D45E73" w:rsidRPr="00BB2872">
        <w:rPr>
          <w:rFonts w:ascii="Times New Roman" w:eastAsia="Times New Roman" w:hAnsi="Times New Roman" w:cs="Times New Roman"/>
          <w:sz w:val="24"/>
          <w:szCs w:val="24"/>
        </w:rPr>
        <w:t xml:space="preserve"> contribute</w:t>
      </w:r>
      <w:r w:rsidR="005E3EF6" w:rsidRPr="00BB2872">
        <w:rPr>
          <w:rFonts w:ascii="Times New Roman" w:eastAsia="Times New Roman" w:hAnsi="Times New Roman" w:cs="Times New Roman"/>
          <w:sz w:val="24"/>
          <w:szCs w:val="24"/>
        </w:rPr>
        <w:t>d</w:t>
      </w:r>
      <w:r w:rsidR="00D45E73" w:rsidRPr="00BB2872">
        <w:rPr>
          <w:rFonts w:ascii="Times New Roman" w:eastAsia="Times New Roman" w:hAnsi="Times New Roman" w:cs="Times New Roman"/>
          <w:sz w:val="24"/>
          <w:szCs w:val="24"/>
        </w:rPr>
        <w:t xml:space="preserve"> to the distributional dynamics of </w:t>
      </w:r>
      <w:r w:rsidR="005E3EF6" w:rsidRPr="00BB2872">
        <w:rPr>
          <w:rFonts w:ascii="Times New Roman" w:eastAsia="Times New Roman" w:hAnsi="Times New Roman" w:cs="Times New Roman"/>
          <w:sz w:val="24"/>
          <w:szCs w:val="24"/>
        </w:rPr>
        <w:t xml:space="preserve">the </w:t>
      </w:r>
      <w:r w:rsidR="00D45E73" w:rsidRPr="00BB2872">
        <w:rPr>
          <w:rFonts w:ascii="Times New Roman" w:eastAsia="Times New Roman" w:hAnsi="Times New Roman" w:cs="Times New Roman"/>
          <w:sz w:val="24"/>
          <w:szCs w:val="24"/>
        </w:rPr>
        <w:t xml:space="preserve">observed rates. </w:t>
      </w:r>
    </w:p>
    <w:p w14:paraId="2C274ACD" w14:textId="77777777" w:rsidR="00524E79" w:rsidRPr="00BB2872" w:rsidRDefault="00524E79">
      <w:pPr>
        <w:spacing w:after="0" w:line="480" w:lineRule="auto"/>
        <w:ind w:firstLine="720"/>
        <w:rPr>
          <w:rFonts w:ascii="Times New Roman" w:eastAsia="Times New Roman" w:hAnsi="Times New Roman" w:cs="Times New Roman"/>
          <w:sz w:val="24"/>
          <w:szCs w:val="24"/>
          <w:highlight w:val="white"/>
        </w:rPr>
      </w:pPr>
    </w:p>
    <w:p w14:paraId="00000018" w14:textId="0FB2475F" w:rsidR="00345220" w:rsidRPr="00BB2872" w:rsidRDefault="00D45E73" w:rsidP="005B2361">
      <w:pPr>
        <w:spacing w:after="0" w:line="480" w:lineRule="auto"/>
        <w:rPr>
          <w:rFonts w:ascii="Times New Roman" w:eastAsia="Times New Roman" w:hAnsi="Times New Roman" w:cs="Times New Roman"/>
          <w:b/>
          <w:sz w:val="24"/>
          <w:szCs w:val="24"/>
        </w:rPr>
      </w:pPr>
      <w:r w:rsidRPr="00BB2872">
        <w:rPr>
          <w:rFonts w:ascii="Times New Roman" w:eastAsia="Times New Roman" w:hAnsi="Times New Roman" w:cs="Times New Roman"/>
          <w:b/>
          <w:sz w:val="24"/>
          <w:szCs w:val="24"/>
        </w:rPr>
        <w:t xml:space="preserve">3 Monetary </w:t>
      </w:r>
      <w:r w:rsidR="005571BC" w:rsidRPr="00BB2872">
        <w:rPr>
          <w:rFonts w:ascii="Times New Roman" w:eastAsia="Times New Roman" w:hAnsi="Times New Roman" w:cs="Times New Roman"/>
          <w:b/>
          <w:sz w:val="24"/>
          <w:szCs w:val="24"/>
        </w:rPr>
        <w:t>p</w:t>
      </w:r>
      <w:r w:rsidRPr="00BB2872">
        <w:rPr>
          <w:rFonts w:ascii="Times New Roman" w:eastAsia="Times New Roman" w:hAnsi="Times New Roman" w:cs="Times New Roman"/>
          <w:b/>
          <w:sz w:val="24"/>
          <w:szCs w:val="24"/>
        </w:rPr>
        <w:t xml:space="preserve">olicy </w:t>
      </w:r>
      <w:proofErr w:type="gramStart"/>
      <w:r w:rsidR="005571BC" w:rsidRPr="00BB2872">
        <w:rPr>
          <w:rFonts w:ascii="Times New Roman" w:eastAsia="Times New Roman" w:hAnsi="Times New Roman" w:cs="Times New Roman"/>
          <w:b/>
          <w:sz w:val="24"/>
          <w:szCs w:val="24"/>
        </w:rPr>
        <w:t>r</w:t>
      </w:r>
      <w:r w:rsidRPr="00BB2872">
        <w:rPr>
          <w:rFonts w:ascii="Times New Roman" w:eastAsia="Times New Roman" w:hAnsi="Times New Roman" w:cs="Times New Roman"/>
          <w:b/>
          <w:sz w:val="24"/>
          <w:szCs w:val="24"/>
        </w:rPr>
        <w:t>egime</w:t>
      </w:r>
      <w:proofErr w:type="gramEnd"/>
      <w:r w:rsidRPr="00BB2872">
        <w:rPr>
          <w:rFonts w:ascii="Times New Roman" w:eastAsia="Times New Roman" w:hAnsi="Times New Roman" w:cs="Times New Roman"/>
          <w:b/>
          <w:sz w:val="24"/>
          <w:szCs w:val="24"/>
        </w:rPr>
        <w:t xml:space="preserve"> in the Czech Republic and </w:t>
      </w:r>
      <w:r w:rsidR="00524E79" w:rsidRPr="00BB2872">
        <w:rPr>
          <w:rFonts w:ascii="Times New Roman" w:eastAsia="Times New Roman" w:hAnsi="Times New Roman" w:cs="Times New Roman"/>
          <w:b/>
          <w:sz w:val="24"/>
          <w:szCs w:val="24"/>
        </w:rPr>
        <w:t xml:space="preserve">a </w:t>
      </w:r>
      <w:r w:rsidR="005571BC" w:rsidRPr="00BB2872">
        <w:rPr>
          <w:rFonts w:ascii="Times New Roman" w:eastAsia="Times New Roman" w:hAnsi="Times New Roman" w:cs="Times New Roman"/>
          <w:b/>
          <w:sz w:val="24"/>
          <w:szCs w:val="24"/>
        </w:rPr>
        <w:t>b</w:t>
      </w:r>
      <w:r w:rsidRPr="00BB2872">
        <w:rPr>
          <w:rFonts w:ascii="Times New Roman" w:eastAsia="Times New Roman" w:hAnsi="Times New Roman" w:cs="Times New Roman"/>
          <w:b/>
          <w:sz w:val="24"/>
          <w:szCs w:val="24"/>
        </w:rPr>
        <w:t xml:space="preserve">rief </w:t>
      </w:r>
      <w:r w:rsidR="005571BC" w:rsidRPr="00BB2872">
        <w:rPr>
          <w:rFonts w:ascii="Times New Roman" w:eastAsia="Times New Roman" w:hAnsi="Times New Roman" w:cs="Times New Roman"/>
          <w:b/>
          <w:sz w:val="24"/>
          <w:szCs w:val="24"/>
        </w:rPr>
        <w:t>e</w:t>
      </w:r>
      <w:r w:rsidRPr="00BB2872">
        <w:rPr>
          <w:rFonts w:ascii="Times New Roman" w:eastAsia="Times New Roman" w:hAnsi="Times New Roman" w:cs="Times New Roman"/>
          <w:b/>
          <w:sz w:val="24"/>
          <w:szCs w:val="24"/>
        </w:rPr>
        <w:t xml:space="preserve">conomic </w:t>
      </w:r>
      <w:r w:rsidR="005571BC" w:rsidRPr="00BB2872">
        <w:rPr>
          <w:rFonts w:ascii="Times New Roman" w:eastAsia="Times New Roman" w:hAnsi="Times New Roman" w:cs="Times New Roman"/>
          <w:b/>
          <w:sz w:val="24"/>
          <w:szCs w:val="24"/>
        </w:rPr>
        <w:t>o</w:t>
      </w:r>
      <w:r w:rsidRPr="00BB2872">
        <w:rPr>
          <w:rFonts w:ascii="Times New Roman" w:eastAsia="Times New Roman" w:hAnsi="Times New Roman" w:cs="Times New Roman"/>
          <w:b/>
          <w:sz w:val="24"/>
          <w:szCs w:val="24"/>
        </w:rPr>
        <w:t>verview</w:t>
      </w:r>
    </w:p>
    <w:p w14:paraId="00000019" w14:textId="18C3E1FD" w:rsidR="00345220" w:rsidRPr="00BB2872" w:rsidRDefault="00D45E73" w:rsidP="00F82C32">
      <w:pPr>
        <w:spacing w:after="0" w:line="480" w:lineRule="auto"/>
        <w:rPr>
          <w:rFonts w:ascii="Times New Roman" w:eastAsia="Times New Roman" w:hAnsi="Times New Roman" w:cs="Times New Roman"/>
          <w:sz w:val="24"/>
          <w:szCs w:val="24"/>
        </w:rPr>
      </w:pPr>
      <w:r w:rsidRPr="00BB2872">
        <w:rPr>
          <w:rFonts w:ascii="Times New Roman" w:eastAsia="Times New Roman" w:hAnsi="Times New Roman" w:cs="Times New Roman"/>
          <w:sz w:val="24"/>
          <w:szCs w:val="24"/>
        </w:rPr>
        <w:t xml:space="preserve">The main aim of the monetary policy of the Czech Republic is </w:t>
      </w:r>
      <w:r w:rsidR="0039050B" w:rsidRPr="00BB2872">
        <w:rPr>
          <w:rFonts w:ascii="Times New Roman" w:eastAsia="Times New Roman" w:hAnsi="Times New Roman" w:cs="Times New Roman"/>
          <w:sz w:val="24"/>
          <w:szCs w:val="24"/>
        </w:rPr>
        <w:t xml:space="preserve">to </w:t>
      </w:r>
      <w:r w:rsidRPr="00BB2872">
        <w:rPr>
          <w:rFonts w:ascii="Times New Roman" w:eastAsia="Times New Roman" w:hAnsi="Times New Roman" w:cs="Times New Roman"/>
          <w:sz w:val="24"/>
          <w:szCs w:val="24"/>
        </w:rPr>
        <w:t xml:space="preserve">maintain price stability using open market operations </w:t>
      </w:r>
      <w:r w:rsidR="0039050B" w:rsidRPr="00BB2872">
        <w:rPr>
          <w:rFonts w:ascii="Times New Roman" w:eastAsia="Times New Roman" w:hAnsi="Times New Roman" w:cs="Times New Roman"/>
          <w:sz w:val="24"/>
          <w:szCs w:val="24"/>
        </w:rPr>
        <w:t>to</w:t>
      </w:r>
      <w:r w:rsidRPr="00BB2872">
        <w:rPr>
          <w:rFonts w:ascii="Times New Roman" w:eastAsia="Times New Roman" w:hAnsi="Times New Roman" w:cs="Times New Roman"/>
          <w:sz w:val="24"/>
          <w:szCs w:val="24"/>
        </w:rPr>
        <w:t xml:space="preserve"> steer interest rates in the economy. Open market operations </w:t>
      </w:r>
      <w:r w:rsidRPr="00BB2872">
        <w:rPr>
          <w:rFonts w:ascii="Times New Roman" w:eastAsia="Times New Roman" w:hAnsi="Times New Roman" w:cs="Times New Roman"/>
          <w:sz w:val="24"/>
          <w:szCs w:val="24"/>
        </w:rPr>
        <w:lastRenderedPageBreak/>
        <w:t>are mostly executed in the form of repo operations. Furthermore, foreign</w:t>
      </w:r>
      <w:r w:rsidR="00116237" w:rsidRPr="00BB2872">
        <w:rPr>
          <w:rFonts w:ascii="Times New Roman" w:eastAsia="Times New Roman" w:hAnsi="Times New Roman" w:cs="Times New Roman"/>
          <w:sz w:val="24"/>
          <w:szCs w:val="24"/>
        </w:rPr>
        <w:t>-</w:t>
      </w:r>
      <w:r w:rsidRPr="00BB2872">
        <w:rPr>
          <w:rFonts w:ascii="Times New Roman" w:eastAsia="Times New Roman" w:hAnsi="Times New Roman" w:cs="Times New Roman"/>
          <w:sz w:val="24"/>
          <w:szCs w:val="24"/>
        </w:rPr>
        <w:t xml:space="preserve">exchange interventions </w:t>
      </w:r>
      <w:r w:rsidR="0039050B" w:rsidRPr="00BB2872">
        <w:rPr>
          <w:rFonts w:ascii="Times New Roman" w:eastAsia="Times New Roman" w:hAnsi="Times New Roman" w:cs="Times New Roman"/>
          <w:sz w:val="24"/>
          <w:szCs w:val="24"/>
        </w:rPr>
        <w:t>have been</w:t>
      </w:r>
      <w:r w:rsidRPr="00BB2872">
        <w:rPr>
          <w:rFonts w:ascii="Times New Roman" w:eastAsia="Times New Roman" w:hAnsi="Times New Roman" w:cs="Times New Roman"/>
          <w:sz w:val="24"/>
          <w:szCs w:val="24"/>
        </w:rPr>
        <w:t xml:space="preserve"> applied by the </w:t>
      </w:r>
      <w:r w:rsidR="00FA538F" w:rsidRPr="00BB2872">
        <w:rPr>
          <w:rFonts w:ascii="Times New Roman" w:eastAsia="Times New Roman" w:hAnsi="Times New Roman" w:cs="Times New Roman"/>
          <w:sz w:val="24"/>
          <w:szCs w:val="24"/>
        </w:rPr>
        <w:t>CNB</w:t>
      </w:r>
      <w:r w:rsidR="0039050B" w:rsidRPr="00BB2872">
        <w:rPr>
          <w:rFonts w:ascii="Times New Roman" w:eastAsia="Times New Roman" w:hAnsi="Times New Roman" w:cs="Times New Roman"/>
          <w:sz w:val="24"/>
          <w:szCs w:val="24"/>
        </w:rPr>
        <w:t>,</w:t>
      </w:r>
      <w:r w:rsidRPr="00BB2872">
        <w:rPr>
          <w:rFonts w:ascii="Times New Roman" w:eastAsia="Times New Roman" w:hAnsi="Times New Roman" w:cs="Times New Roman"/>
          <w:sz w:val="24"/>
          <w:szCs w:val="24"/>
        </w:rPr>
        <w:t xml:space="preserve"> aim</w:t>
      </w:r>
      <w:r w:rsidR="0039050B" w:rsidRPr="00BB2872">
        <w:rPr>
          <w:rFonts w:ascii="Times New Roman" w:eastAsia="Times New Roman" w:hAnsi="Times New Roman" w:cs="Times New Roman"/>
          <w:sz w:val="24"/>
          <w:szCs w:val="24"/>
        </w:rPr>
        <w:t>ed at</w:t>
      </w:r>
      <w:r w:rsidRPr="00BB2872">
        <w:rPr>
          <w:rFonts w:ascii="Times New Roman" w:eastAsia="Times New Roman" w:hAnsi="Times New Roman" w:cs="Times New Roman"/>
          <w:sz w:val="24"/>
          <w:szCs w:val="24"/>
        </w:rPr>
        <w:t xml:space="preserve"> restrain</w:t>
      </w:r>
      <w:r w:rsidR="0039050B" w:rsidRPr="00BB2872">
        <w:rPr>
          <w:rFonts w:ascii="Times New Roman" w:eastAsia="Times New Roman" w:hAnsi="Times New Roman" w:cs="Times New Roman"/>
          <w:sz w:val="24"/>
          <w:szCs w:val="24"/>
        </w:rPr>
        <w:t>ing</w:t>
      </w:r>
      <w:r w:rsidRPr="00BB2872">
        <w:rPr>
          <w:rFonts w:ascii="Times New Roman" w:eastAsia="Times New Roman" w:hAnsi="Times New Roman" w:cs="Times New Roman"/>
          <w:sz w:val="24"/>
          <w:szCs w:val="24"/>
        </w:rPr>
        <w:t xml:space="preserve"> foreign</w:t>
      </w:r>
      <w:r w:rsidR="00116237" w:rsidRPr="00BB2872">
        <w:rPr>
          <w:rFonts w:ascii="Times New Roman" w:eastAsia="Times New Roman" w:hAnsi="Times New Roman" w:cs="Times New Roman"/>
          <w:sz w:val="24"/>
          <w:szCs w:val="24"/>
        </w:rPr>
        <w:t>-</w:t>
      </w:r>
      <w:r w:rsidRPr="00BB2872">
        <w:rPr>
          <w:rFonts w:ascii="Times New Roman" w:eastAsia="Times New Roman" w:hAnsi="Times New Roman" w:cs="Times New Roman"/>
          <w:sz w:val="24"/>
          <w:szCs w:val="24"/>
        </w:rPr>
        <w:t xml:space="preserve">exchange market volatility or easing/tightening monetary policy (as happened in 2013). </w:t>
      </w:r>
      <w:r w:rsidR="006F10CD" w:rsidRPr="00BB2872">
        <w:rPr>
          <w:rFonts w:ascii="Times New Roman" w:eastAsia="Times New Roman" w:hAnsi="Times New Roman" w:cs="Times New Roman"/>
          <w:sz w:val="24"/>
          <w:szCs w:val="24"/>
        </w:rPr>
        <w:t>However</w:t>
      </w:r>
      <w:r w:rsidRPr="00BB2872">
        <w:rPr>
          <w:rFonts w:ascii="Times New Roman" w:eastAsia="Times New Roman" w:hAnsi="Times New Roman" w:cs="Times New Roman"/>
          <w:sz w:val="24"/>
          <w:szCs w:val="24"/>
        </w:rPr>
        <w:t>, foreign</w:t>
      </w:r>
      <w:r w:rsidR="00116237" w:rsidRPr="00BB2872">
        <w:rPr>
          <w:rFonts w:ascii="Times New Roman" w:eastAsia="Times New Roman" w:hAnsi="Times New Roman" w:cs="Times New Roman"/>
          <w:sz w:val="24"/>
          <w:szCs w:val="24"/>
        </w:rPr>
        <w:t>-</w:t>
      </w:r>
      <w:r w:rsidRPr="00BB2872">
        <w:rPr>
          <w:rFonts w:ascii="Times New Roman" w:eastAsia="Times New Roman" w:hAnsi="Times New Roman" w:cs="Times New Roman"/>
          <w:sz w:val="24"/>
          <w:szCs w:val="24"/>
        </w:rPr>
        <w:t>exchange interventions are not a regularly used instrument in the inflation</w:t>
      </w:r>
      <w:r w:rsidR="006F10CD" w:rsidRPr="00BB2872">
        <w:rPr>
          <w:rFonts w:ascii="Times New Roman" w:eastAsia="Times New Roman" w:hAnsi="Times New Roman" w:cs="Times New Roman"/>
          <w:sz w:val="24"/>
          <w:szCs w:val="24"/>
        </w:rPr>
        <w:t>-</w:t>
      </w:r>
      <w:r w:rsidRPr="00BB2872">
        <w:rPr>
          <w:rFonts w:ascii="Times New Roman" w:eastAsia="Times New Roman" w:hAnsi="Times New Roman" w:cs="Times New Roman"/>
          <w:sz w:val="24"/>
          <w:szCs w:val="24"/>
        </w:rPr>
        <w:t xml:space="preserve">targeting regime. </w:t>
      </w:r>
      <w:r w:rsidR="006F10CD" w:rsidRPr="00BB2872">
        <w:rPr>
          <w:rFonts w:ascii="Times New Roman" w:eastAsia="Times New Roman" w:hAnsi="Times New Roman" w:cs="Times New Roman"/>
          <w:sz w:val="24"/>
          <w:szCs w:val="24"/>
        </w:rPr>
        <w:t xml:space="preserve">For </w:t>
      </w:r>
      <w:r w:rsidRPr="00BB2872">
        <w:rPr>
          <w:rFonts w:ascii="Times New Roman" w:eastAsia="Times New Roman" w:hAnsi="Times New Roman" w:cs="Times New Roman"/>
          <w:sz w:val="24"/>
          <w:szCs w:val="24"/>
        </w:rPr>
        <w:t>the analysed period</w:t>
      </w:r>
      <w:r w:rsidR="006F10CD" w:rsidRPr="00BB2872">
        <w:rPr>
          <w:rFonts w:ascii="Times New Roman" w:eastAsia="Times New Roman" w:hAnsi="Times New Roman" w:cs="Times New Roman"/>
          <w:sz w:val="24"/>
          <w:szCs w:val="24"/>
        </w:rPr>
        <w:t>,</w:t>
      </w:r>
      <w:r w:rsidRPr="00BB2872">
        <w:rPr>
          <w:rFonts w:ascii="Times New Roman" w:eastAsia="Times New Roman" w:hAnsi="Times New Roman" w:cs="Times New Roman"/>
          <w:sz w:val="24"/>
          <w:szCs w:val="24"/>
        </w:rPr>
        <w:t xml:space="preserve"> the CNB used both tools</w:t>
      </w:r>
      <w:r w:rsidR="006F10CD" w:rsidRPr="00BB2872">
        <w:rPr>
          <w:rFonts w:ascii="Times New Roman" w:eastAsia="Times New Roman" w:hAnsi="Times New Roman" w:cs="Times New Roman"/>
          <w:sz w:val="24"/>
          <w:szCs w:val="24"/>
        </w:rPr>
        <w:t>––steering</w:t>
      </w:r>
      <w:r w:rsidRPr="00BB2872">
        <w:rPr>
          <w:rFonts w:ascii="Times New Roman" w:eastAsia="Times New Roman" w:hAnsi="Times New Roman" w:cs="Times New Roman"/>
          <w:sz w:val="24"/>
          <w:szCs w:val="24"/>
        </w:rPr>
        <w:t xml:space="preserve"> interest rate</w:t>
      </w:r>
      <w:r w:rsidR="006F10CD" w:rsidRPr="00BB2872">
        <w:rPr>
          <w:rFonts w:ascii="Times New Roman" w:eastAsia="Times New Roman" w:hAnsi="Times New Roman" w:cs="Times New Roman"/>
          <w:sz w:val="24"/>
          <w:szCs w:val="24"/>
        </w:rPr>
        <w:t>s</w:t>
      </w:r>
      <w:r w:rsidRPr="00BB2872">
        <w:rPr>
          <w:rFonts w:ascii="Times New Roman" w:eastAsia="Times New Roman" w:hAnsi="Times New Roman" w:cs="Times New Roman"/>
          <w:sz w:val="24"/>
          <w:szCs w:val="24"/>
        </w:rPr>
        <w:t xml:space="preserve"> downward as well as </w:t>
      </w:r>
      <w:r w:rsidR="006F10CD" w:rsidRPr="00BB2872">
        <w:rPr>
          <w:rFonts w:ascii="Times New Roman" w:eastAsia="Times New Roman" w:hAnsi="Times New Roman" w:cs="Times New Roman"/>
          <w:sz w:val="24"/>
          <w:szCs w:val="24"/>
        </w:rPr>
        <w:t xml:space="preserve">an </w:t>
      </w:r>
      <w:r w:rsidRPr="00BB2872">
        <w:rPr>
          <w:rFonts w:ascii="Times New Roman" w:eastAsia="Times New Roman" w:hAnsi="Times New Roman" w:cs="Times New Roman"/>
          <w:sz w:val="24"/>
          <w:szCs w:val="24"/>
        </w:rPr>
        <w:t>exchange</w:t>
      </w:r>
      <w:r w:rsidR="00116237" w:rsidRPr="00BB2872">
        <w:rPr>
          <w:rFonts w:ascii="Times New Roman" w:eastAsia="Times New Roman" w:hAnsi="Times New Roman" w:cs="Times New Roman"/>
          <w:sz w:val="24"/>
          <w:szCs w:val="24"/>
        </w:rPr>
        <w:t>-</w:t>
      </w:r>
      <w:r w:rsidRPr="00BB2872">
        <w:rPr>
          <w:rFonts w:ascii="Times New Roman" w:eastAsia="Times New Roman" w:hAnsi="Times New Roman" w:cs="Times New Roman"/>
          <w:sz w:val="24"/>
          <w:szCs w:val="24"/>
        </w:rPr>
        <w:t>rate intervention. Since the exit from the exchange</w:t>
      </w:r>
      <w:r w:rsidR="00116237" w:rsidRPr="00BB2872">
        <w:rPr>
          <w:rFonts w:ascii="Times New Roman" w:eastAsia="Times New Roman" w:hAnsi="Times New Roman" w:cs="Times New Roman"/>
          <w:sz w:val="24"/>
          <w:szCs w:val="24"/>
        </w:rPr>
        <w:t>-</w:t>
      </w:r>
      <w:r w:rsidRPr="00BB2872">
        <w:rPr>
          <w:rFonts w:ascii="Times New Roman" w:eastAsia="Times New Roman" w:hAnsi="Times New Roman" w:cs="Times New Roman"/>
          <w:sz w:val="24"/>
          <w:szCs w:val="24"/>
        </w:rPr>
        <w:t xml:space="preserve">rate commitment in April 2017, interest rates have again </w:t>
      </w:r>
      <w:r w:rsidR="00B952C2" w:rsidRPr="00BB2872">
        <w:rPr>
          <w:rFonts w:ascii="Times New Roman" w:eastAsia="Times New Roman" w:hAnsi="Times New Roman" w:cs="Times New Roman"/>
          <w:sz w:val="24"/>
          <w:szCs w:val="24"/>
        </w:rPr>
        <w:t xml:space="preserve">become </w:t>
      </w:r>
      <w:r w:rsidRPr="00BB2872">
        <w:rPr>
          <w:rFonts w:ascii="Times New Roman" w:eastAsia="Times New Roman" w:hAnsi="Times New Roman" w:cs="Times New Roman"/>
          <w:sz w:val="24"/>
          <w:szCs w:val="24"/>
        </w:rPr>
        <w:t xml:space="preserve">the </w:t>
      </w:r>
      <w:r w:rsidR="00FA538F" w:rsidRPr="00BB2872">
        <w:rPr>
          <w:rFonts w:ascii="Times New Roman" w:eastAsia="Times New Roman" w:hAnsi="Times New Roman" w:cs="Times New Roman"/>
          <w:sz w:val="24"/>
          <w:szCs w:val="24"/>
        </w:rPr>
        <w:t>CNB’s</w:t>
      </w:r>
      <w:r w:rsidRPr="00BB2872">
        <w:rPr>
          <w:rFonts w:ascii="Times New Roman" w:eastAsia="Times New Roman" w:hAnsi="Times New Roman" w:cs="Times New Roman"/>
          <w:sz w:val="24"/>
          <w:szCs w:val="24"/>
        </w:rPr>
        <w:t xml:space="preserve"> main monetary policy instrument. The Czech Republic is a member of </w:t>
      </w:r>
      <w:r w:rsidR="00B952C2" w:rsidRPr="00BB2872">
        <w:rPr>
          <w:rFonts w:ascii="Times New Roman" w:eastAsia="Times New Roman" w:hAnsi="Times New Roman" w:cs="Times New Roman"/>
          <w:sz w:val="24"/>
          <w:szCs w:val="24"/>
        </w:rPr>
        <w:t xml:space="preserve">the </w:t>
      </w:r>
      <w:r w:rsidRPr="00BB2872">
        <w:rPr>
          <w:rFonts w:ascii="Times New Roman" w:eastAsia="Times New Roman" w:hAnsi="Times New Roman" w:cs="Times New Roman"/>
          <w:sz w:val="24"/>
          <w:szCs w:val="24"/>
        </w:rPr>
        <w:t>V4 countries</w:t>
      </w:r>
      <w:r w:rsidR="00B952C2" w:rsidRPr="00BB2872">
        <w:rPr>
          <w:rFonts w:ascii="Times New Roman" w:eastAsia="Times New Roman" w:hAnsi="Times New Roman" w:cs="Times New Roman"/>
          <w:sz w:val="24"/>
          <w:szCs w:val="24"/>
        </w:rPr>
        <w:t>,</w:t>
      </w:r>
      <w:r w:rsidRPr="00BB2872">
        <w:rPr>
          <w:rFonts w:ascii="Times New Roman" w:eastAsia="Times New Roman" w:hAnsi="Times New Roman" w:cs="Times New Roman"/>
          <w:sz w:val="24"/>
          <w:szCs w:val="24"/>
        </w:rPr>
        <w:t xml:space="preserve"> having </w:t>
      </w:r>
      <w:r w:rsidR="00B952C2" w:rsidRPr="00BB2872">
        <w:rPr>
          <w:rFonts w:ascii="Times New Roman" w:eastAsia="Times New Roman" w:hAnsi="Times New Roman" w:cs="Times New Roman"/>
          <w:sz w:val="24"/>
          <w:szCs w:val="24"/>
        </w:rPr>
        <w:t xml:space="preserve">a </w:t>
      </w:r>
      <w:r w:rsidRPr="00BB2872">
        <w:rPr>
          <w:rFonts w:ascii="Times New Roman" w:eastAsia="Times New Roman" w:hAnsi="Times New Roman" w:cs="Times New Roman"/>
          <w:sz w:val="24"/>
          <w:szCs w:val="24"/>
        </w:rPr>
        <w:t xml:space="preserve">similar economic and political development </w:t>
      </w:r>
      <w:r w:rsidR="00B952C2" w:rsidRPr="00BB2872">
        <w:rPr>
          <w:rFonts w:ascii="Times New Roman" w:eastAsia="Times New Roman" w:hAnsi="Times New Roman" w:cs="Times New Roman"/>
          <w:sz w:val="24"/>
          <w:szCs w:val="24"/>
        </w:rPr>
        <w:t xml:space="preserve">following </w:t>
      </w:r>
      <w:r w:rsidRPr="00BB2872">
        <w:rPr>
          <w:rFonts w:ascii="Times New Roman" w:eastAsia="Times New Roman" w:hAnsi="Times New Roman" w:cs="Times New Roman"/>
          <w:sz w:val="24"/>
          <w:szCs w:val="24"/>
        </w:rPr>
        <w:t xml:space="preserve">its transition from </w:t>
      </w:r>
      <w:r w:rsidR="00E91C38" w:rsidRPr="00BB2872">
        <w:rPr>
          <w:rFonts w:ascii="Times New Roman" w:eastAsia="Times New Roman" w:hAnsi="Times New Roman" w:cs="Times New Roman"/>
          <w:sz w:val="24"/>
          <w:szCs w:val="24"/>
        </w:rPr>
        <w:t xml:space="preserve">a </w:t>
      </w:r>
      <w:r w:rsidRPr="00BB2872">
        <w:rPr>
          <w:rFonts w:ascii="Times New Roman" w:eastAsia="Times New Roman" w:hAnsi="Times New Roman" w:cs="Times New Roman"/>
          <w:sz w:val="24"/>
          <w:szCs w:val="24"/>
        </w:rPr>
        <w:t xml:space="preserve">centrally planned economy. Although </w:t>
      </w:r>
      <w:r w:rsidR="00E91C38" w:rsidRPr="00BB2872">
        <w:rPr>
          <w:rFonts w:ascii="Times New Roman" w:eastAsia="Times New Roman" w:hAnsi="Times New Roman" w:cs="Times New Roman"/>
          <w:sz w:val="24"/>
          <w:szCs w:val="24"/>
        </w:rPr>
        <w:t>there are several</w:t>
      </w:r>
      <w:r w:rsidRPr="00BB2872">
        <w:rPr>
          <w:rFonts w:ascii="Times New Roman" w:eastAsia="Times New Roman" w:hAnsi="Times New Roman" w:cs="Times New Roman"/>
          <w:sz w:val="24"/>
          <w:szCs w:val="24"/>
        </w:rPr>
        <w:t xml:space="preserve"> similarities in monetary policy aim</w:t>
      </w:r>
      <w:r w:rsidR="00E91C38" w:rsidRPr="00BB2872">
        <w:rPr>
          <w:rFonts w:ascii="Times New Roman" w:eastAsia="Times New Roman" w:hAnsi="Times New Roman" w:cs="Times New Roman"/>
          <w:sz w:val="24"/>
          <w:szCs w:val="24"/>
        </w:rPr>
        <w:t>s</w:t>
      </w:r>
      <w:r w:rsidRPr="00BB2872">
        <w:rPr>
          <w:rFonts w:ascii="Times New Roman" w:eastAsia="Times New Roman" w:hAnsi="Times New Roman" w:cs="Times New Roman"/>
          <w:sz w:val="24"/>
          <w:szCs w:val="24"/>
        </w:rPr>
        <w:t xml:space="preserve"> and tools among </w:t>
      </w:r>
      <w:r w:rsidR="00E91C38" w:rsidRPr="00BB2872">
        <w:rPr>
          <w:rFonts w:ascii="Times New Roman" w:eastAsia="Times New Roman" w:hAnsi="Times New Roman" w:cs="Times New Roman"/>
          <w:sz w:val="24"/>
          <w:szCs w:val="24"/>
        </w:rPr>
        <w:t xml:space="preserve">the </w:t>
      </w:r>
      <w:r w:rsidRPr="00BB2872">
        <w:rPr>
          <w:rFonts w:ascii="Times New Roman" w:eastAsia="Times New Roman" w:hAnsi="Times New Roman" w:cs="Times New Roman"/>
          <w:sz w:val="24"/>
          <w:szCs w:val="24"/>
        </w:rPr>
        <w:t>V4 counties</w:t>
      </w:r>
      <w:r w:rsidR="00E91C38" w:rsidRPr="00BB2872">
        <w:rPr>
          <w:rFonts w:ascii="Times New Roman" w:eastAsia="Times New Roman" w:hAnsi="Times New Roman" w:cs="Times New Roman"/>
          <w:sz w:val="24"/>
          <w:szCs w:val="24"/>
        </w:rPr>
        <w:t>,</w:t>
      </w:r>
      <w:r w:rsidRPr="00BB2872">
        <w:rPr>
          <w:rFonts w:ascii="Times New Roman" w:eastAsia="Times New Roman" w:hAnsi="Times New Roman" w:cs="Times New Roman"/>
          <w:sz w:val="24"/>
          <w:szCs w:val="24"/>
        </w:rPr>
        <w:t xml:space="preserve"> there are also some differences. Excluding Slovakia</w:t>
      </w:r>
      <w:r w:rsidR="00E91C38" w:rsidRPr="00BB2872">
        <w:rPr>
          <w:rFonts w:ascii="Times New Roman" w:eastAsia="Times New Roman" w:hAnsi="Times New Roman" w:cs="Times New Roman"/>
          <w:sz w:val="24"/>
          <w:szCs w:val="24"/>
        </w:rPr>
        <w:t>,</w:t>
      </w:r>
      <w:r w:rsidRPr="00BB2872">
        <w:rPr>
          <w:rFonts w:ascii="Times New Roman" w:eastAsia="Times New Roman" w:hAnsi="Times New Roman" w:cs="Times New Roman"/>
          <w:sz w:val="24"/>
          <w:szCs w:val="24"/>
        </w:rPr>
        <w:t xml:space="preserve"> all V4 countries induct monetary independently</w:t>
      </w:r>
      <w:r w:rsidR="00E91C38" w:rsidRPr="00BB2872">
        <w:rPr>
          <w:rFonts w:ascii="Times New Roman" w:eastAsia="Times New Roman" w:hAnsi="Times New Roman" w:cs="Times New Roman"/>
          <w:sz w:val="24"/>
          <w:szCs w:val="24"/>
        </w:rPr>
        <w:t>;</w:t>
      </w:r>
      <w:r w:rsidRPr="00BB2872">
        <w:rPr>
          <w:rFonts w:ascii="Times New Roman" w:eastAsia="Times New Roman" w:hAnsi="Times New Roman" w:cs="Times New Roman"/>
          <w:sz w:val="24"/>
          <w:szCs w:val="24"/>
        </w:rPr>
        <w:t xml:space="preserve"> Slovakia joined the </w:t>
      </w:r>
      <w:r w:rsidR="00E22D39" w:rsidRPr="00BB2872">
        <w:rPr>
          <w:rFonts w:ascii="Times New Roman" w:eastAsia="Times New Roman" w:hAnsi="Times New Roman" w:cs="Times New Roman"/>
          <w:sz w:val="24"/>
          <w:szCs w:val="24"/>
        </w:rPr>
        <w:t>EA</w:t>
      </w:r>
      <w:r w:rsidRPr="00BB2872">
        <w:rPr>
          <w:rFonts w:ascii="Times New Roman" w:eastAsia="Times New Roman" w:hAnsi="Times New Roman" w:cs="Times New Roman"/>
          <w:sz w:val="24"/>
          <w:szCs w:val="24"/>
        </w:rPr>
        <w:t xml:space="preserve"> in January 2009 and</w:t>
      </w:r>
      <w:r w:rsidR="00E91C38" w:rsidRPr="00BB2872">
        <w:rPr>
          <w:rFonts w:ascii="Times New Roman" w:eastAsia="Times New Roman" w:hAnsi="Times New Roman" w:cs="Times New Roman"/>
          <w:sz w:val="24"/>
          <w:szCs w:val="24"/>
        </w:rPr>
        <w:t>,</w:t>
      </w:r>
      <w:r w:rsidRPr="00BB2872">
        <w:rPr>
          <w:rFonts w:ascii="Times New Roman" w:eastAsia="Times New Roman" w:hAnsi="Times New Roman" w:cs="Times New Roman"/>
          <w:sz w:val="24"/>
          <w:szCs w:val="24"/>
        </w:rPr>
        <w:t xml:space="preserve"> since then</w:t>
      </w:r>
      <w:r w:rsidR="00E91C38" w:rsidRPr="00BB2872">
        <w:rPr>
          <w:rFonts w:ascii="Times New Roman" w:eastAsia="Times New Roman" w:hAnsi="Times New Roman" w:cs="Times New Roman"/>
          <w:sz w:val="24"/>
          <w:szCs w:val="24"/>
        </w:rPr>
        <w:t>,</w:t>
      </w:r>
      <w:r w:rsidRPr="00BB2872">
        <w:rPr>
          <w:rFonts w:ascii="Times New Roman" w:eastAsia="Times New Roman" w:hAnsi="Times New Roman" w:cs="Times New Roman"/>
          <w:sz w:val="24"/>
          <w:szCs w:val="24"/>
        </w:rPr>
        <w:t xml:space="preserve"> the </w:t>
      </w:r>
      <w:r w:rsidR="00DE4E56" w:rsidRPr="00BB2872">
        <w:rPr>
          <w:rFonts w:ascii="Times New Roman" w:eastAsia="Times New Roman" w:hAnsi="Times New Roman" w:cs="Times New Roman"/>
          <w:sz w:val="24"/>
          <w:szCs w:val="24"/>
        </w:rPr>
        <w:t>ECB</w:t>
      </w:r>
      <w:r w:rsidRPr="00BB2872">
        <w:rPr>
          <w:rFonts w:ascii="Times New Roman" w:eastAsia="Times New Roman" w:hAnsi="Times New Roman" w:cs="Times New Roman"/>
          <w:sz w:val="24"/>
          <w:szCs w:val="24"/>
        </w:rPr>
        <w:t xml:space="preserve"> </w:t>
      </w:r>
      <w:r w:rsidR="00E91C38" w:rsidRPr="00BB2872">
        <w:rPr>
          <w:rFonts w:ascii="Times New Roman" w:eastAsia="Times New Roman" w:hAnsi="Times New Roman" w:cs="Times New Roman"/>
          <w:sz w:val="24"/>
          <w:szCs w:val="24"/>
        </w:rPr>
        <w:t>has been</w:t>
      </w:r>
      <w:r w:rsidRPr="00BB2872">
        <w:rPr>
          <w:rFonts w:ascii="Times New Roman" w:eastAsia="Times New Roman" w:hAnsi="Times New Roman" w:cs="Times New Roman"/>
          <w:sz w:val="24"/>
          <w:szCs w:val="24"/>
        </w:rPr>
        <w:t xml:space="preserve"> </w:t>
      </w:r>
      <w:r w:rsidR="00E91C38" w:rsidRPr="00BB2872">
        <w:rPr>
          <w:rFonts w:ascii="Times New Roman" w:eastAsia="Times New Roman" w:hAnsi="Times New Roman" w:cs="Times New Roman"/>
          <w:sz w:val="24"/>
          <w:szCs w:val="24"/>
        </w:rPr>
        <w:t xml:space="preserve">its </w:t>
      </w:r>
      <w:r w:rsidRPr="00BB2872">
        <w:rPr>
          <w:rFonts w:ascii="Times New Roman" w:eastAsia="Times New Roman" w:hAnsi="Times New Roman" w:cs="Times New Roman"/>
          <w:sz w:val="24"/>
          <w:szCs w:val="24"/>
        </w:rPr>
        <w:t>main monetary authority.</w:t>
      </w:r>
    </w:p>
    <w:p w14:paraId="0000001A" w14:textId="077E9059" w:rsidR="00345220" w:rsidRPr="00BB2872" w:rsidRDefault="00D45E73">
      <w:pPr>
        <w:spacing w:after="0" w:line="480" w:lineRule="auto"/>
        <w:rPr>
          <w:rFonts w:ascii="Times New Roman" w:eastAsia="Times New Roman" w:hAnsi="Times New Roman" w:cs="Times New Roman"/>
          <w:sz w:val="24"/>
          <w:szCs w:val="24"/>
          <w:shd w:val="clear" w:color="auto" w:fill="93C47D"/>
        </w:rPr>
      </w:pPr>
      <w:r w:rsidRPr="00BB2872">
        <w:rPr>
          <w:rFonts w:ascii="Times New Roman" w:eastAsia="Times New Roman" w:hAnsi="Times New Roman" w:cs="Times New Roman"/>
          <w:sz w:val="24"/>
          <w:szCs w:val="24"/>
        </w:rPr>
        <w:t xml:space="preserve"> </w:t>
      </w:r>
      <w:r w:rsidR="00F82C32" w:rsidRPr="00BB2872">
        <w:rPr>
          <w:rFonts w:ascii="Times New Roman" w:eastAsia="Times New Roman" w:hAnsi="Times New Roman" w:cs="Times New Roman"/>
          <w:sz w:val="24"/>
          <w:szCs w:val="24"/>
        </w:rPr>
        <w:tab/>
      </w:r>
      <w:r w:rsidRPr="00BB2872">
        <w:rPr>
          <w:rFonts w:ascii="Times New Roman" w:eastAsia="Times New Roman" w:hAnsi="Times New Roman" w:cs="Times New Roman"/>
          <w:sz w:val="24"/>
          <w:szCs w:val="24"/>
        </w:rPr>
        <w:t>The m</w:t>
      </w:r>
      <w:r w:rsidR="00F82C32" w:rsidRPr="00BB2872">
        <w:rPr>
          <w:rFonts w:ascii="Times New Roman" w:eastAsia="Times New Roman" w:hAnsi="Times New Roman" w:cs="Times New Roman"/>
          <w:sz w:val="24"/>
          <w:szCs w:val="24"/>
        </w:rPr>
        <w:t>ain d</w:t>
      </w:r>
      <w:r w:rsidRPr="00BB2872">
        <w:rPr>
          <w:rFonts w:ascii="Times New Roman" w:eastAsia="Times New Roman" w:hAnsi="Times New Roman" w:cs="Times New Roman"/>
          <w:sz w:val="24"/>
          <w:szCs w:val="24"/>
        </w:rPr>
        <w:t xml:space="preserve">ifferences in monetary policy during the quantitative easing period can be </w:t>
      </w:r>
      <w:r w:rsidR="009D10A4" w:rsidRPr="00BB2872">
        <w:rPr>
          <w:rFonts w:ascii="Times New Roman" w:eastAsia="Times New Roman" w:hAnsi="Times New Roman" w:cs="Times New Roman"/>
          <w:sz w:val="24"/>
          <w:szCs w:val="24"/>
        </w:rPr>
        <w:t>summed up as the following</w:t>
      </w:r>
      <w:r w:rsidRPr="00BB2872">
        <w:rPr>
          <w:rFonts w:ascii="Times New Roman" w:eastAsia="Times New Roman" w:hAnsi="Times New Roman" w:cs="Times New Roman"/>
          <w:sz w:val="24"/>
          <w:szCs w:val="24"/>
        </w:rPr>
        <w:t>. The Polish central bank did not use the exchange</w:t>
      </w:r>
      <w:r w:rsidR="00116237" w:rsidRPr="00BB2872">
        <w:rPr>
          <w:rFonts w:ascii="Times New Roman" w:eastAsia="Times New Roman" w:hAnsi="Times New Roman" w:cs="Times New Roman"/>
          <w:sz w:val="24"/>
          <w:szCs w:val="24"/>
        </w:rPr>
        <w:t>-</w:t>
      </w:r>
      <w:r w:rsidRPr="00BB2872">
        <w:rPr>
          <w:rFonts w:ascii="Times New Roman" w:eastAsia="Times New Roman" w:hAnsi="Times New Roman" w:cs="Times New Roman"/>
          <w:sz w:val="24"/>
          <w:szCs w:val="24"/>
        </w:rPr>
        <w:t xml:space="preserve">rate intervention as an alternative tool </w:t>
      </w:r>
      <w:r w:rsidR="009D10A4" w:rsidRPr="00BB2872">
        <w:rPr>
          <w:rFonts w:ascii="Times New Roman" w:eastAsia="Times New Roman" w:hAnsi="Times New Roman" w:cs="Times New Roman"/>
          <w:sz w:val="24"/>
          <w:szCs w:val="24"/>
        </w:rPr>
        <w:t>for</w:t>
      </w:r>
      <w:r w:rsidRPr="00BB2872">
        <w:rPr>
          <w:rFonts w:ascii="Times New Roman" w:eastAsia="Times New Roman" w:hAnsi="Times New Roman" w:cs="Times New Roman"/>
          <w:sz w:val="24"/>
          <w:szCs w:val="24"/>
        </w:rPr>
        <w:t xml:space="preserve"> the loose monetary policy in the analysed period. The last time the Polish central bank directly intervened </w:t>
      </w:r>
      <w:r w:rsidR="009D10A4" w:rsidRPr="00BB2872">
        <w:rPr>
          <w:rFonts w:ascii="Times New Roman" w:eastAsia="Times New Roman" w:hAnsi="Times New Roman" w:cs="Times New Roman"/>
          <w:sz w:val="24"/>
          <w:szCs w:val="24"/>
        </w:rPr>
        <w:t>i</w:t>
      </w:r>
      <w:r w:rsidRPr="00BB2872">
        <w:rPr>
          <w:rFonts w:ascii="Times New Roman" w:eastAsia="Times New Roman" w:hAnsi="Times New Roman" w:cs="Times New Roman"/>
          <w:sz w:val="24"/>
          <w:szCs w:val="24"/>
        </w:rPr>
        <w:t xml:space="preserve">n the exchange market was in 2010 and then </w:t>
      </w:r>
      <w:r w:rsidR="009D10A4" w:rsidRPr="00BB2872">
        <w:rPr>
          <w:rFonts w:ascii="Times New Roman" w:eastAsia="Times New Roman" w:hAnsi="Times New Roman" w:cs="Times New Roman"/>
          <w:sz w:val="24"/>
          <w:szCs w:val="24"/>
        </w:rPr>
        <w:t xml:space="preserve">not </w:t>
      </w:r>
      <w:r w:rsidRPr="00BB2872">
        <w:rPr>
          <w:rFonts w:ascii="Times New Roman" w:eastAsia="Times New Roman" w:hAnsi="Times New Roman" w:cs="Times New Roman"/>
          <w:sz w:val="24"/>
          <w:szCs w:val="24"/>
        </w:rPr>
        <w:t>until December 2020 (Reuters, 2020). Furthermore, Hungary use</w:t>
      </w:r>
      <w:r w:rsidR="009D10A4" w:rsidRPr="00BB2872">
        <w:rPr>
          <w:rFonts w:ascii="Times New Roman" w:eastAsia="Times New Roman" w:hAnsi="Times New Roman" w:cs="Times New Roman"/>
          <w:sz w:val="24"/>
          <w:szCs w:val="24"/>
        </w:rPr>
        <w:t>d</w:t>
      </w:r>
      <w:r w:rsidRPr="00BB2872">
        <w:rPr>
          <w:rFonts w:ascii="Times New Roman" w:eastAsia="Times New Roman" w:hAnsi="Times New Roman" w:cs="Times New Roman"/>
          <w:sz w:val="24"/>
          <w:szCs w:val="24"/>
        </w:rPr>
        <w:t xml:space="preserve"> to use foreign currency swap tenders in the long term</w:t>
      </w:r>
      <w:r w:rsidR="009D10A4" w:rsidRPr="00BB2872">
        <w:rPr>
          <w:rFonts w:ascii="Times New Roman" w:eastAsia="Times New Roman" w:hAnsi="Times New Roman" w:cs="Times New Roman"/>
          <w:sz w:val="24"/>
          <w:szCs w:val="24"/>
        </w:rPr>
        <w:t>,</w:t>
      </w:r>
      <w:r w:rsidRPr="00BB2872">
        <w:rPr>
          <w:rFonts w:ascii="Times New Roman" w:eastAsia="Times New Roman" w:hAnsi="Times New Roman" w:cs="Times New Roman"/>
          <w:sz w:val="24"/>
          <w:szCs w:val="24"/>
        </w:rPr>
        <w:t xml:space="preserve"> with the aim </w:t>
      </w:r>
      <w:r w:rsidR="009D10A4" w:rsidRPr="00BB2872">
        <w:rPr>
          <w:rFonts w:ascii="Times New Roman" w:eastAsia="Times New Roman" w:hAnsi="Times New Roman" w:cs="Times New Roman"/>
          <w:sz w:val="24"/>
          <w:szCs w:val="24"/>
        </w:rPr>
        <w:t>of</w:t>
      </w:r>
      <w:r w:rsidRPr="00BB2872">
        <w:rPr>
          <w:rFonts w:ascii="Times New Roman" w:eastAsia="Times New Roman" w:hAnsi="Times New Roman" w:cs="Times New Roman"/>
          <w:sz w:val="24"/>
          <w:szCs w:val="24"/>
        </w:rPr>
        <w:t xml:space="preserve"> provid</w:t>
      </w:r>
      <w:r w:rsidR="009D10A4" w:rsidRPr="00BB2872">
        <w:rPr>
          <w:rFonts w:ascii="Times New Roman" w:eastAsia="Times New Roman" w:hAnsi="Times New Roman" w:cs="Times New Roman"/>
          <w:sz w:val="24"/>
          <w:szCs w:val="24"/>
        </w:rPr>
        <w:t>ing</w:t>
      </w:r>
      <w:r w:rsidRPr="00BB2872">
        <w:rPr>
          <w:rFonts w:ascii="Times New Roman" w:eastAsia="Times New Roman" w:hAnsi="Times New Roman" w:cs="Times New Roman"/>
          <w:sz w:val="24"/>
          <w:szCs w:val="24"/>
        </w:rPr>
        <w:t xml:space="preserve"> local banks with foreign-exchange liquidity.</w:t>
      </w:r>
    </w:p>
    <w:p w14:paraId="0000001B" w14:textId="0D70EDC8" w:rsidR="00345220" w:rsidRPr="00BB2872" w:rsidRDefault="00D45E73">
      <w:pPr>
        <w:spacing w:after="0" w:line="480" w:lineRule="auto"/>
        <w:ind w:firstLine="720"/>
        <w:rPr>
          <w:rFonts w:ascii="Times New Roman" w:eastAsia="Times New Roman" w:hAnsi="Times New Roman" w:cs="Times New Roman"/>
          <w:sz w:val="24"/>
          <w:szCs w:val="24"/>
        </w:rPr>
      </w:pPr>
      <w:r w:rsidRPr="00BB2872">
        <w:rPr>
          <w:rFonts w:ascii="Times New Roman" w:eastAsia="Times New Roman" w:hAnsi="Times New Roman" w:cs="Times New Roman"/>
          <w:sz w:val="24"/>
          <w:szCs w:val="24"/>
        </w:rPr>
        <w:t xml:space="preserve">The economic situation </w:t>
      </w:r>
      <w:r w:rsidR="009C20A2" w:rsidRPr="00BB2872">
        <w:rPr>
          <w:rFonts w:ascii="Times New Roman" w:eastAsia="Times New Roman" w:hAnsi="Times New Roman" w:cs="Times New Roman"/>
          <w:sz w:val="24"/>
          <w:szCs w:val="24"/>
        </w:rPr>
        <w:t xml:space="preserve">in European Union countries </w:t>
      </w:r>
      <w:r w:rsidRPr="00BB2872">
        <w:rPr>
          <w:rFonts w:ascii="Times New Roman" w:eastAsia="Times New Roman" w:hAnsi="Times New Roman" w:cs="Times New Roman"/>
          <w:sz w:val="24"/>
          <w:szCs w:val="24"/>
        </w:rPr>
        <w:t>in 2005 t</w:t>
      </w:r>
      <w:r w:rsidR="009C20A2" w:rsidRPr="00BB2872">
        <w:rPr>
          <w:rFonts w:ascii="Times New Roman" w:eastAsia="Times New Roman" w:hAnsi="Times New Roman" w:cs="Times New Roman"/>
          <w:sz w:val="24"/>
          <w:szCs w:val="24"/>
        </w:rPr>
        <w:t>hrough</w:t>
      </w:r>
      <w:r w:rsidRPr="00BB2872">
        <w:rPr>
          <w:rFonts w:ascii="Times New Roman" w:eastAsia="Times New Roman" w:hAnsi="Times New Roman" w:cs="Times New Roman"/>
          <w:sz w:val="24"/>
          <w:szCs w:val="24"/>
        </w:rPr>
        <w:t xml:space="preserve"> 2007 was characterised by expan</w:t>
      </w:r>
      <w:r w:rsidR="009C20A2" w:rsidRPr="00BB2872">
        <w:rPr>
          <w:rFonts w:ascii="Times New Roman" w:eastAsia="Times New Roman" w:hAnsi="Times New Roman" w:cs="Times New Roman"/>
          <w:sz w:val="24"/>
          <w:szCs w:val="24"/>
        </w:rPr>
        <w:t>sion</w:t>
      </w:r>
      <w:r w:rsidRPr="00BB2872">
        <w:rPr>
          <w:rFonts w:ascii="Times New Roman" w:eastAsia="Times New Roman" w:hAnsi="Times New Roman" w:cs="Times New Roman"/>
          <w:sz w:val="24"/>
          <w:szCs w:val="24"/>
        </w:rPr>
        <w:t xml:space="preserve"> at a robust pace. However, in 2007</w:t>
      </w:r>
      <w:r w:rsidR="009C20A2" w:rsidRPr="00BB2872">
        <w:rPr>
          <w:rFonts w:ascii="Times New Roman" w:eastAsia="Times New Roman" w:hAnsi="Times New Roman" w:cs="Times New Roman"/>
          <w:sz w:val="24"/>
          <w:szCs w:val="24"/>
        </w:rPr>
        <w:t>, the</w:t>
      </w:r>
      <w:r w:rsidRPr="00BB2872">
        <w:rPr>
          <w:rFonts w:ascii="Times New Roman" w:eastAsia="Times New Roman" w:hAnsi="Times New Roman" w:cs="Times New Roman"/>
          <w:sz w:val="24"/>
          <w:szCs w:val="24"/>
        </w:rPr>
        <w:t xml:space="preserve"> first signs of concerns about the outlook uncertainty were reflected. In 2008</w:t>
      </w:r>
      <w:r w:rsidR="009C20A2" w:rsidRPr="00BB2872">
        <w:rPr>
          <w:rFonts w:ascii="Times New Roman" w:eastAsia="Times New Roman" w:hAnsi="Times New Roman" w:cs="Times New Roman"/>
          <w:sz w:val="24"/>
          <w:szCs w:val="24"/>
        </w:rPr>
        <w:t>,</w:t>
      </w:r>
      <w:r w:rsidRPr="00BB2872">
        <w:rPr>
          <w:rFonts w:ascii="Times New Roman" w:eastAsia="Times New Roman" w:hAnsi="Times New Roman" w:cs="Times New Roman"/>
          <w:sz w:val="24"/>
          <w:szCs w:val="24"/>
        </w:rPr>
        <w:t xml:space="preserve"> all countries in the </w:t>
      </w:r>
      <w:r w:rsidR="00E22D39" w:rsidRPr="00BB2872">
        <w:rPr>
          <w:rFonts w:ascii="Times New Roman" w:eastAsia="Times New Roman" w:hAnsi="Times New Roman" w:cs="Times New Roman"/>
          <w:sz w:val="24"/>
          <w:szCs w:val="24"/>
        </w:rPr>
        <w:t>EA</w:t>
      </w:r>
      <w:r w:rsidRPr="00BB2872">
        <w:rPr>
          <w:rFonts w:ascii="Times New Roman" w:eastAsia="Times New Roman" w:hAnsi="Times New Roman" w:cs="Times New Roman"/>
          <w:sz w:val="24"/>
          <w:szCs w:val="24"/>
        </w:rPr>
        <w:t xml:space="preserve"> suffered from a strong slump in their economic activit</w:t>
      </w:r>
      <w:r w:rsidR="009C20A2" w:rsidRPr="00BB2872">
        <w:rPr>
          <w:rFonts w:ascii="Times New Roman" w:eastAsia="Times New Roman" w:hAnsi="Times New Roman" w:cs="Times New Roman"/>
          <w:sz w:val="24"/>
          <w:szCs w:val="24"/>
        </w:rPr>
        <w:t>ies</w:t>
      </w:r>
      <w:r w:rsidRPr="00BB2872">
        <w:rPr>
          <w:rFonts w:ascii="Times New Roman" w:eastAsia="Times New Roman" w:hAnsi="Times New Roman" w:cs="Times New Roman"/>
          <w:sz w:val="24"/>
          <w:szCs w:val="24"/>
        </w:rPr>
        <w:t xml:space="preserve">. </w:t>
      </w:r>
      <w:r w:rsidR="009C20A2" w:rsidRPr="00BB2872">
        <w:rPr>
          <w:rFonts w:ascii="Times New Roman" w:eastAsia="Times New Roman" w:hAnsi="Times New Roman" w:cs="Times New Roman"/>
          <w:sz w:val="24"/>
          <w:szCs w:val="24"/>
        </w:rPr>
        <w:t>T</w:t>
      </w:r>
      <w:r w:rsidRPr="00BB2872">
        <w:rPr>
          <w:rFonts w:ascii="Times New Roman" w:eastAsia="Times New Roman" w:hAnsi="Times New Roman" w:cs="Times New Roman"/>
          <w:sz w:val="24"/>
          <w:szCs w:val="24"/>
        </w:rPr>
        <w:t xml:space="preserve">his situation </w:t>
      </w:r>
      <w:r w:rsidR="009C20A2" w:rsidRPr="00BB2872">
        <w:rPr>
          <w:rFonts w:ascii="Times New Roman" w:eastAsia="Times New Roman" w:hAnsi="Times New Roman" w:cs="Times New Roman"/>
          <w:sz w:val="24"/>
          <w:szCs w:val="24"/>
        </w:rPr>
        <w:t xml:space="preserve">was also reflected </w:t>
      </w:r>
      <w:r w:rsidRPr="00BB2872">
        <w:rPr>
          <w:rFonts w:ascii="Times New Roman" w:eastAsia="Times New Roman" w:hAnsi="Times New Roman" w:cs="Times New Roman"/>
          <w:sz w:val="24"/>
          <w:szCs w:val="24"/>
        </w:rPr>
        <w:t xml:space="preserve">in </w:t>
      </w:r>
      <w:r w:rsidR="009C20A2" w:rsidRPr="00BB2872">
        <w:rPr>
          <w:rFonts w:ascii="Times New Roman" w:eastAsia="Times New Roman" w:hAnsi="Times New Roman" w:cs="Times New Roman"/>
          <w:sz w:val="24"/>
          <w:szCs w:val="24"/>
        </w:rPr>
        <w:t xml:space="preserve">the </w:t>
      </w:r>
      <w:r w:rsidRPr="00BB2872">
        <w:rPr>
          <w:rFonts w:ascii="Times New Roman" w:eastAsia="Times New Roman" w:hAnsi="Times New Roman" w:cs="Times New Roman"/>
          <w:sz w:val="24"/>
          <w:szCs w:val="24"/>
        </w:rPr>
        <w:t>V4 countries</w:t>
      </w:r>
      <w:r w:rsidR="009C20A2" w:rsidRPr="00BB2872">
        <w:rPr>
          <w:rFonts w:ascii="Times New Roman" w:eastAsia="Times New Roman" w:hAnsi="Times New Roman" w:cs="Times New Roman"/>
          <w:sz w:val="24"/>
          <w:szCs w:val="24"/>
        </w:rPr>
        <w:t xml:space="preserve">, </w:t>
      </w:r>
      <w:r w:rsidR="00A12939" w:rsidRPr="00BB2872">
        <w:rPr>
          <w:rFonts w:ascii="Times New Roman" w:eastAsia="Times New Roman" w:hAnsi="Times New Roman" w:cs="Times New Roman"/>
          <w:sz w:val="24"/>
          <w:szCs w:val="24"/>
        </w:rPr>
        <w:t xml:space="preserve">although </w:t>
      </w:r>
      <w:r w:rsidR="009C20A2" w:rsidRPr="00BB2872">
        <w:rPr>
          <w:rFonts w:ascii="Times New Roman" w:eastAsia="Times New Roman" w:hAnsi="Times New Roman" w:cs="Times New Roman"/>
          <w:sz w:val="24"/>
          <w:szCs w:val="24"/>
        </w:rPr>
        <w:t>with</w:t>
      </w:r>
      <w:r w:rsidRPr="00BB2872">
        <w:rPr>
          <w:rFonts w:ascii="Times New Roman" w:eastAsia="Times New Roman" w:hAnsi="Times New Roman" w:cs="Times New Roman"/>
          <w:sz w:val="24"/>
          <w:szCs w:val="24"/>
        </w:rPr>
        <w:t xml:space="preserve"> the Czech Republic and Slovakia </w:t>
      </w:r>
      <w:r w:rsidR="00A12939" w:rsidRPr="00BB2872">
        <w:rPr>
          <w:rFonts w:ascii="Times New Roman" w:eastAsia="Times New Roman" w:hAnsi="Times New Roman" w:cs="Times New Roman"/>
          <w:sz w:val="24"/>
          <w:szCs w:val="24"/>
        </w:rPr>
        <w:t xml:space="preserve">being </w:t>
      </w:r>
      <w:r w:rsidRPr="00BB2872">
        <w:rPr>
          <w:rFonts w:ascii="Times New Roman" w:eastAsia="Times New Roman" w:hAnsi="Times New Roman" w:cs="Times New Roman"/>
          <w:sz w:val="24"/>
          <w:szCs w:val="24"/>
        </w:rPr>
        <w:t>affected</w:t>
      </w:r>
      <w:r w:rsidR="00A12939" w:rsidRPr="00BB2872">
        <w:rPr>
          <w:rFonts w:ascii="Times New Roman" w:eastAsia="Times New Roman" w:hAnsi="Times New Roman" w:cs="Times New Roman"/>
          <w:sz w:val="24"/>
          <w:szCs w:val="24"/>
        </w:rPr>
        <w:t xml:space="preserve"> to a lesser degree</w:t>
      </w:r>
      <w:r w:rsidRPr="00BB2872">
        <w:rPr>
          <w:rFonts w:ascii="Times New Roman" w:eastAsia="Times New Roman" w:hAnsi="Times New Roman" w:cs="Times New Roman"/>
          <w:sz w:val="24"/>
          <w:szCs w:val="24"/>
        </w:rPr>
        <w:t xml:space="preserve"> </w:t>
      </w:r>
      <w:r w:rsidR="00A12939" w:rsidRPr="00BB2872">
        <w:rPr>
          <w:rFonts w:ascii="Times New Roman" w:eastAsia="Times New Roman" w:hAnsi="Times New Roman" w:cs="Times New Roman"/>
          <w:sz w:val="24"/>
          <w:szCs w:val="24"/>
        </w:rPr>
        <w:lastRenderedPageBreak/>
        <w:t>I</w:t>
      </w:r>
      <w:r w:rsidRPr="00BB2872">
        <w:rPr>
          <w:rFonts w:ascii="Times New Roman" w:eastAsia="Times New Roman" w:hAnsi="Times New Roman" w:cs="Times New Roman"/>
          <w:sz w:val="24"/>
          <w:szCs w:val="24"/>
        </w:rPr>
        <w:t>nterest</w:t>
      </w:r>
      <w:r w:rsidR="00E02BFF" w:rsidRPr="00BB2872">
        <w:rPr>
          <w:rFonts w:ascii="Times New Roman" w:eastAsia="Times New Roman" w:hAnsi="Times New Roman" w:cs="Times New Roman"/>
          <w:sz w:val="24"/>
          <w:szCs w:val="24"/>
        </w:rPr>
        <w:t xml:space="preserve"> </w:t>
      </w:r>
      <w:r w:rsidRPr="00BB2872">
        <w:rPr>
          <w:rFonts w:ascii="Times New Roman" w:eastAsia="Times New Roman" w:hAnsi="Times New Roman" w:cs="Times New Roman"/>
          <w:sz w:val="24"/>
          <w:szCs w:val="24"/>
        </w:rPr>
        <w:t>rate development</w:t>
      </w:r>
      <w:r w:rsidR="00A12939" w:rsidRPr="00BB2872">
        <w:rPr>
          <w:rFonts w:ascii="Times New Roman" w:eastAsia="Times New Roman" w:hAnsi="Times New Roman" w:cs="Times New Roman"/>
          <w:sz w:val="24"/>
          <w:szCs w:val="24"/>
        </w:rPr>
        <w:t>s</w:t>
      </w:r>
      <w:r w:rsidRPr="00BB2872">
        <w:rPr>
          <w:rFonts w:ascii="Times New Roman" w:eastAsia="Times New Roman" w:hAnsi="Times New Roman" w:cs="Times New Roman"/>
          <w:sz w:val="24"/>
          <w:szCs w:val="24"/>
        </w:rPr>
        <w:t xml:space="preserve"> </w:t>
      </w:r>
      <w:r w:rsidR="00A12939" w:rsidRPr="00BB2872">
        <w:rPr>
          <w:rFonts w:ascii="Times New Roman" w:eastAsia="Times New Roman" w:hAnsi="Times New Roman" w:cs="Times New Roman"/>
          <w:sz w:val="24"/>
          <w:szCs w:val="24"/>
        </w:rPr>
        <w:t>in</w:t>
      </w:r>
      <w:r w:rsidRPr="00BB2872">
        <w:rPr>
          <w:rFonts w:ascii="Times New Roman" w:eastAsia="Times New Roman" w:hAnsi="Times New Roman" w:cs="Times New Roman"/>
          <w:sz w:val="24"/>
          <w:szCs w:val="24"/>
        </w:rPr>
        <w:t xml:space="preserve"> </w:t>
      </w:r>
      <w:r w:rsidR="00A12939" w:rsidRPr="00BB2872">
        <w:rPr>
          <w:rFonts w:ascii="Times New Roman" w:eastAsia="Times New Roman" w:hAnsi="Times New Roman" w:cs="Times New Roman"/>
          <w:sz w:val="24"/>
          <w:szCs w:val="24"/>
        </w:rPr>
        <w:t xml:space="preserve">the </w:t>
      </w:r>
      <w:r w:rsidRPr="00BB2872">
        <w:rPr>
          <w:rFonts w:ascii="Times New Roman" w:eastAsia="Times New Roman" w:hAnsi="Times New Roman" w:cs="Times New Roman"/>
          <w:sz w:val="24"/>
          <w:szCs w:val="24"/>
        </w:rPr>
        <w:t xml:space="preserve">V4 countries and the </w:t>
      </w:r>
      <w:r w:rsidR="00E22D39" w:rsidRPr="00BB2872">
        <w:rPr>
          <w:rFonts w:ascii="Times New Roman" w:eastAsia="Times New Roman" w:hAnsi="Times New Roman" w:cs="Times New Roman"/>
          <w:sz w:val="24"/>
          <w:szCs w:val="24"/>
        </w:rPr>
        <w:t>EA</w:t>
      </w:r>
      <w:r w:rsidRPr="00BB2872">
        <w:rPr>
          <w:rFonts w:ascii="Times New Roman" w:eastAsia="Times New Roman" w:hAnsi="Times New Roman" w:cs="Times New Roman"/>
          <w:sz w:val="24"/>
          <w:szCs w:val="24"/>
        </w:rPr>
        <w:t xml:space="preserve"> </w:t>
      </w:r>
      <w:r w:rsidR="006E6FBC" w:rsidRPr="00BB2872">
        <w:rPr>
          <w:rFonts w:ascii="Times New Roman" w:eastAsia="Times New Roman" w:hAnsi="Times New Roman" w:cs="Times New Roman"/>
          <w:sz w:val="24"/>
          <w:szCs w:val="24"/>
        </w:rPr>
        <w:t>a</w:t>
      </w:r>
      <w:r w:rsidR="00A12939" w:rsidRPr="00BB2872">
        <w:rPr>
          <w:rFonts w:ascii="Times New Roman" w:eastAsia="Times New Roman" w:hAnsi="Times New Roman" w:cs="Times New Roman"/>
          <w:sz w:val="24"/>
          <w:szCs w:val="24"/>
        </w:rPr>
        <w:t>re</w:t>
      </w:r>
      <w:r w:rsidRPr="00BB2872">
        <w:rPr>
          <w:rFonts w:ascii="Times New Roman" w:eastAsia="Times New Roman" w:hAnsi="Times New Roman" w:cs="Times New Roman"/>
          <w:sz w:val="24"/>
          <w:szCs w:val="24"/>
        </w:rPr>
        <w:t xml:space="preserve"> shown in Appendi</w:t>
      </w:r>
      <w:r w:rsidR="0006097D" w:rsidRPr="00BB2872">
        <w:rPr>
          <w:rFonts w:ascii="Times New Roman" w:eastAsia="Times New Roman" w:hAnsi="Times New Roman" w:cs="Times New Roman"/>
          <w:sz w:val="24"/>
          <w:szCs w:val="24"/>
        </w:rPr>
        <w:t>ces</w:t>
      </w:r>
      <w:r w:rsidRPr="00BB2872">
        <w:rPr>
          <w:rFonts w:ascii="Times New Roman" w:eastAsia="Times New Roman" w:hAnsi="Times New Roman" w:cs="Times New Roman"/>
          <w:sz w:val="24"/>
          <w:szCs w:val="24"/>
        </w:rPr>
        <w:t xml:space="preserve"> </w:t>
      </w:r>
      <w:r w:rsidR="00822FCF">
        <w:rPr>
          <w:rFonts w:ascii="Times New Roman" w:eastAsia="Times New Roman" w:hAnsi="Times New Roman" w:cs="Times New Roman"/>
          <w:sz w:val="24"/>
          <w:szCs w:val="24"/>
        </w:rPr>
        <w:t>1</w:t>
      </w:r>
      <w:r w:rsidRPr="00BB2872">
        <w:rPr>
          <w:rFonts w:ascii="Times New Roman" w:eastAsia="Times New Roman" w:hAnsi="Times New Roman" w:cs="Times New Roman"/>
          <w:sz w:val="24"/>
          <w:szCs w:val="24"/>
        </w:rPr>
        <w:t xml:space="preserve"> and </w:t>
      </w:r>
      <w:r w:rsidR="00822FCF">
        <w:rPr>
          <w:rFonts w:ascii="Times New Roman" w:eastAsia="Times New Roman" w:hAnsi="Times New Roman" w:cs="Times New Roman"/>
          <w:sz w:val="24"/>
          <w:szCs w:val="24"/>
        </w:rPr>
        <w:t>2</w:t>
      </w:r>
      <w:r w:rsidRPr="00BB2872">
        <w:rPr>
          <w:rFonts w:ascii="Times New Roman" w:eastAsia="Times New Roman" w:hAnsi="Times New Roman" w:cs="Times New Roman"/>
          <w:sz w:val="24"/>
          <w:szCs w:val="24"/>
        </w:rPr>
        <w:t xml:space="preserve">, respectively. </w:t>
      </w:r>
      <w:r w:rsidR="00A12939" w:rsidRPr="00BB2872">
        <w:rPr>
          <w:rFonts w:ascii="Times New Roman" w:eastAsia="Times New Roman" w:hAnsi="Times New Roman" w:cs="Times New Roman"/>
          <w:sz w:val="24"/>
          <w:szCs w:val="24"/>
        </w:rPr>
        <w:t>Following</w:t>
      </w:r>
      <w:r w:rsidRPr="00BB2872">
        <w:rPr>
          <w:rFonts w:ascii="Times New Roman" w:eastAsia="Times New Roman" w:hAnsi="Times New Roman" w:cs="Times New Roman"/>
          <w:sz w:val="24"/>
          <w:szCs w:val="24"/>
        </w:rPr>
        <w:t xml:space="preserve"> the implementation of anti-crisis measures</w:t>
      </w:r>
      <w:r w:rsidR="00A12939" w:rsidRPr="00BB2872">
        <w:rPr>
          <w:rFonts w:ascii="Times New Roman" w:eastAsia="Times New Roman" w:hAnsi="Times New Roman" w:cs="Times New Roman"/>
          <w:sz w:val="24"/>
          <w:szCs w:val="24"/>
        </w:rPr>
        <w:t>,</w:t>
      </w:r>
      <w:r w:rsidRPr="00BB2872">
        <w:rPr>
          <w:rFonts w:ascii="Times New Roman" w:eastAsia="Times New Roman" w:hAnsi="Times New Roman" w:cs="Times New Roman"/>
          <w:sz w:val="24"/>
          <w:szCs w:val="24"/>
        </w:rPr>
        <w:t xml:space="preserve"> the decline in the first half of 2009 was replaced by </w:t>
      </w:r>
      <w:r w:rsidR="00A12939" w:rsidRPr="00BB2872">
        <w:rPr>
          <w:rFonts w:ascii="Times New Roman" w:eastAsia="Times New Roman" w:hAnsi="Times New Roman" w:cs="Times New Roman"/>
          <w:sz w:val="24"/>
          <w:szCs w:val="24"/>
        </w:rPr>
        <w:t xml:space="preserve">a </w:t>
      </w:r>
      <w:r w:rsidRPr="00BB2872">
        <w:rPr>
          <w:rFonts w:ascii="Times New Roman" w:eastAsia="Times New Roman" w:hAnsi="Times New Roman" w:cs="Times New Roman"/>
          <w:sz w:val="24"/>
          <w:szCs w:val="24"/>
        </w:rPr>
        <w:t xml:space="preserve">weak rise, </w:t>
      </w:r>
      <w:r w:rsidR="00A12939" w:rsidRPr="00BB2872">
        <w:rPr>
          <w:rFonts w:ascii="Times New Roman" w:eastAsia="Times New Roman" w:hAnsi="Times New Roman" w:cs="Times New Roman"/>
          <w:sz w:val="24"/>
          <w:szCs w:val="24"/>
        </w:rPr>
        <w:t xml:space="preserve">although </w:t>
      </w:r>
      <w:r w:rsidRPr="00BB2872">
        <w:rPr>
          <w:rFonts w:ascii="Times New Roman" w:eastAsia="Times New Roman" w:hAnsi="Times New Roman" w:cs="Times New Roman"/>
          <w:sz w:val="24"/>
          <w:szCs w:val="24"/>
        </w:rPr>
        <w:t xml:space="preserve">the economic situation in the </w:t>
      </w:r>
      <w:r w:rsidR="00E22D39" w:rsidRPr="00BB2872">
        <w:rPr>
          <w:rFonts w:ascii="Times New Roman" w:eastAsia="Times New Roman" w:hAnsi="Times New Roman" w:cs="Times New Roman"/>
          <w:sz w:val="24"/>
          <w:szCs w:val="24"/>
        </w:rPr>
        <w:t>EA</w:t>
      </w:r>
      <w:r w:rsidRPr="00BB2872">
        <w:rPr>
          <w:rFonts w:ascii="Times New Roman" w:eastAsia="Times New Roman" w:hAnsi="Times New Roman" w:cs="Times New Roman"/>
          <w:sz w:val="24"/>
          <w:szCs w:val="24"/>
        </w:rPr>
        <w:t xml:space="preserve"> was still </w:t>
      </w:r>
      <w:r w:rsidR="00A12939" w:rsidRPr="00BB2872">
        <w:rPr>
          <w:rFonts w:ascii="Times New Roman" w:eastAsia="Times New Roman" w:hAnsi="Times New Roman" w:cs="Times New Roman"/>
          <w:sz w:val="24"/>
          <w:szCs w:val="24"/>
        </w:rPr>
        <w:t>poor</w:t>
      </w:r>
      <w:r w:rsidRPr="00BB2872">
        <w:rPr>
          <w:rFonts w:ascii="Times New Roman" w:eastAsia="Times New Roman" w:hAnsi="Times New Roman" w:cs="Times New Roman"/>
          <w:sz w:val="24"/>
          <w:szCs w:val="24"/>
        </w:rPr>
        <w:t xml:space="preserve">. Among </w:t>
      </w:r>
      <w:r w:rsidR="00A12939" w:rsidRPr="00BB2872">
        <w:rPr>
          <w:rFonts w:ascii="Times New Roman" w:eastAsia="Times New Roman" w:hAnsi="Times New Roman" w:cs="Times New Roman"/>
          <w:sz w:val="24"/>
          <w:szCs w:val="24"/>
        </w:rPr>
        <w:t xml:space="preserve">the </w:t>
      </w:r>
      <w:r w:rsidRPr="00BB2872">
        <w:rPr>
          <w:rFonts w:ascii="Times New Roman" w:eastAsia="Times New Roman" w:hAnsi="Times New Roman" w:cs="Times New Roman"/>
          <w:sz w:val="24"/>
          <w:szCs w:val="24"/>
        </w:rPr>
        <w:t>V4 countries</w:t>
      </w:r>
      <w:r w:rsidR="00A12939" w:rsidRPr="00BB2872">
        <w:rPr>
          <w:rFonts w:ascii="Times New Roman" w:eastAsia="Times New Roman" w:hAnsi="Times New Roman" w:cs="Times New Roman"/>
          <w:sz w:val="24"/>
          <w:szCs w:val="24"/>
        </w:rPr>
        <w:t>,</w:t>
      </w:r>
      <w:r w:rsidRPr="00BB2872">
        <w:rPr>
          <w:rFonts w:ascii="Times New Roman" w:eastAsia="Times New Roman" w:hAnsi="Times New Roman" w:cs="Times New Roman"/>
          <w:sz w:val="24"/>
          <w:szCs w:val="24"/>
        </w:rPr>
        <w:t xml:space="preserve"> only the Czech Republic and Slovakia</w:t>
      </w:r>
      <w:r w:rsidR="00A12939" w:rsidRPr="00BB2872">
        <w:rPr>
          <w:rFonts w:ascii="Times New Roman" w:eastAsia="Times New Roman" w:hAnsi="Times New Roman" w:cs="Times New Roman"/>
          <w:sz w:val="24"/>
          <w:szCs w:val="24"/>
        </w:rPr>
        <w:t xml:space="preserve"> showed an easing in the recession</w:t>
      </w:r>
      <w:r w:rsidRPr="00BB2872">
        <w:rPr>
          <w:rFonts w:ascii="Times New Roman" w:eastAsia="Times New Roman" w:hAnsi="Times New Roman" w:cs="Times New Roman"/>
          <w:sz w:val="24"/>
          <w:szCs w:val="24"/>
        </w:rPr>
        <w:t>. However, in 2010</w:t>
      </w:r>
      <w:r w:rsidR="00A12939" w:rsidRPr="00BB2872">
        <w:rPr>
          <w:rFonts w:ascii="Times New Roman" w:eastAsia="Times New Roman" w:hAnsi="Times New Roman" w:cs="Times New Roman"/>
          <w:sz w:val="24"/>
          <w:szCs w:val="24"/>
        </w:rPr>
        <w:t>,</w:t>
      </w:r>
      <w:r w:rsidRPr="00BB2872">
        <w:rPr>
          <w:rFonts w:ascii="Times New Roman" w:eastAsia="Times New Roman" w:hAnsi="Times New Roman" w:cs="Times New Roman"/>
          <w:sz w:val="24"/>
          <w:szCs w:val="24"/>
        </w:rPr>
        <w:t xml:space="preserve"> all </w:t>
      </w:r>
      <w:r w:rsidR="00A12939" w:rsidRPr="00BB2872">
        <w:rPr>
          <w:rFonts w:ascii="Times New Roman" w:eastAsia="Times New Roman" w:hAnsi="Times New Roman" w:cs="Times New Roman"/>
          <w:sz w:val="24"/>
          <w:szCs w:val="24"/>
        </w:rPr>
        <w:t xml:space="preserve">the </w:t>
      </w:r>
      <w:r w:rsidRPr="00BB2872">
        <w:rPr>
          <w:rFonts w:ascii="Times New Roman" w:eastAsia="Times New Roman" w:hAnsi="Times New Roman" w:cs="Times New Roman"/>
          <w:sz w:val="24"/>
          <w:szCs w:val="24"/>
        </w:rPr>
        <w:t xml:space="preserve">V4 countries </w:t>
      </w:r>
      <w:r w:rsidR="00A12939" w:rsidRPr="00BB2872">
        <w:rPr>
          <w:rFonts w:ascii="Times New Roman" w:eastAsia="Times New Roman" w:hAnsi="Times New Roman" w:cs="Times New Roman"/>
          <w:sz w:val="24"/>
          <w:szCs w:val="24"/>
        </w:rPr>
        <w:t>experienced some</w:t>
      </w:r>
      <w:r w:rsidRPr="00BB2872">
        <w:rPr>
          <w:rFonts w:ascii="Times New Roman" w:eastAsia="Times New Roman" w:hAnsi="Times New Roman" w:cs="Times New Roman"/>
          <w:sz w:val="24"/>
          <w:szCs w:val="24"/>
        </w:rPr>
        <w:t xml:space="preserve"> recovery or </w:t>
      </w:r>
      <w:r w:rsidR="00A12939" w:rsidRPr="00BB2872">
        <w:rPr>
          <w:rFonts w:ascii="Times New Roman" w:eastAsia="Times New Roman" w:hAnsi="Times New Roman" w:cs="Times New Roman"/>
          <w:sz w:val="24"/>
          <w:szCs w:val="24"/>
        </w:rPr>
        <w:t xml:space="preserve">at least a </w:t>
      </w:r>
      <w:r w:rsidRPr="00BB2872">
        <w:rPr>
          <w:rFonts w:ascii="Times New Roman" w:eastAsia="Times New Roman" w:hAnsi="Times New Roman" w:cs="Times New Roman"/>
          <w:sz w:val="24"/>
          <w:szCs w:val="24"/>
        </w:rPr>
        <w:t>stabili</w:t>
      </w:r>
      <w:r w:rsidR="00A12939" w:rsidRPr="00BB2872">
        <w:rPr>
          <w:rFonts w:ascii="Times New Roman" w:eastAsia="Times New Roman" w:hAnsi="Times New Roman" w:cs="Times New Roman"/>
          <w:sz w:val="24"/>
          <w:szCs w:val="24"/>
        </w:rPr>
        <w:t>s</w:t>
      </w:r>
      <w:r w:rsidRPr="00BB2872">
        <w:rPr>
          <w:rFonts w:ascii="Times New Roman" w:eastAsia="Times New Roman" w:hAnsi="Times New Roman" w:cs="Times New Roman"/>
          <w:sz w:val="24"/>
          <w:szCs w:val="24"/>
        </w:rPr>
        <w:t xml:space="preserve">ation. </w:t>
      </w:r>
      <w:r w:rsidR="00585336" w:rsidRPr="00BB2872">
        <w:rPr>
          <w:rFonts w:ascii="Times New Roman" w:eastAsia="Times New Roman" w:hAnsi="Times New Roman" w:cs="Times New Roman"/>
          <w:sz w:val="24"/>
          <w:szCs w:val="24"/>
        </w:rPr>
        <w:t xml:space="preserve">In </w:t>
      </w:r>
      <w:r w:rsidRPr="00BB2872">
        <w:rPr>
          <w:rFonts w:ascii="Times New Roman" w:eastAsia="Times New Roman" w:hAnsi="Times New Roman" w:cs="Times New Roman"/>
          <w:sz w:val="24"/>
          <w:szCs w:val="24"/>
        </w:rPr>
        <w:t>2011</w:t>
      </w:r>
      <w:r w:rsidR="00A12939" w:rsidRPr="00BB2872">
        <w:rPr>
          <w:rFonts w:ascii="Times New Roman" w:eastAsia="Times New Roman" w:hAnsi="Times New Roman" w:cs="Times New Roman"/>
          <w:sz w:val="24"/>
          <w:szCs w:val="24"/>
        </w:rPr>
        <w:t>,</w:t>
      </w:r>
      <w:r w:rsidRPr="00BB2872">
        <w:rPr>
          <w:rFonts w:ascii="Times New Roman" w:eastAsia="Times New Roman" w:hAnsi="Times New Roman" w:cs="Times New Roman"/>
          <w:sz w:val="24"/>
          <w:szCs w:val="24"/>
        </w:rPr>
        <w:t xml:space="preserve"> economic activity varie</w:t>
      </w:r>
      <w:r w:rsidR="00A12939" w:rsidRPr="00BB2872">
        <w:rPr>
          <w:rFonts w:ascii="Times New Roman" w:eastAsia="Times New Roman" w:hAnsi="Times New Roman" w:cs="Times New Roman"/>
          <w:sz w:val="24"/>
          <w:szCs w:val="24"/>
        </w:rPr>
        <w:t>d</w:t>
      </w:r>
      <w:r w:rsidRPr="00BB2872">
        <w:rPr>
          <w:rFonts w:ascii="Times New Roman" w:eastAsia="Times New Roman" w:hAnsi="Times New Roman" w:cs="Times New Roman"/>
          <w:sz w:val="24"/>
          <w:szCs w:val="24"/>
        </w:rPr>
        <w:t xml:space="preserve"> among </w:t>
      </w:r>
      <w:r w:rsidR="00A12939" w:rsidRPr="00BB2872">
        <w:rPr>
          <w:rFonts w:ascii="Times New Roman" w:eastAsia="Times New Roman" w:hAnsi="Times New Roman" w:cs="Times New Roman"/>
          <w:sz w:val="24"/>
          <w:szCs w:val="24"/>
        </w:rPr>
        <w:t xml:space="preserve">the </w:t>
      </w:r>
      <w:r w:rsidR="00E22D39" w:rsidRPr="00BB2872">
        <w:rPr>
          <w:rFonts w:ascii="Times New Roman" w:eastAsia="Times New Roman" w:hAnsi="Times New Roman" w:cs="Times New Roman"/>
          <w:sz w:val="24"/>
          <w:szCs w:val="24"/>
        </w:rPr>
        <w:t>EA</w:t>
      </w:r>
      <w:r w:rsidRPr="00BB2872">
        <w:rPr>
          <w:rFonts w:ascii="Times New Roman" w:eastAsia="Times New Roman" w:hAnsi="Times New Roman" w:cs="Times New Roman"/>
          <w:sz w:val="24"/>
          <w:szCs w:val="24"/>
        </w:rPr>
        <w:t xml:space="preserve"> countries</w:t>
      </w:r>
      <w:r w:rsidR="00A12939" w:rsidRPr="00BB2872">
        <w:rPr>
          <w:rFonts w:ascii="Times New Roman" w:eastAsia="Times New Roman" w:hAnsi="Times New Roman" w:cs="Times New Roman"/>
          <w:sz w:val="24"/>
          <w:szCs w:val="24"/>
        </w:rPr>
        <w:t>,</w:t>
      </w:r>
      <w:r w:rsidRPr="00BB2872">
        <w:rPr>
          <w:rFonts w:ascii="Times New Roman" w:eastAsia="Times New Roman" w:hAnsi="Times New Roman" w:cs="Times New Roman"/>
          <w:sz w:val="24"/>
          <w:szCs w:val="24"/>
        </w:rPr>
        <w:t xml:space="preserve"> </w:t>
      </w:r>
      <w:r w:rsidR="00A12939" w:rsidRPr="00BB2872">
        <w:rPr>
          <w:rFonts w:ascii="Times New Roman" w:eastAsia="Times New Roman" w:hAnsi="Times New Roman" w:cs="Times New Roman"/>
          <w:sz w:val="24"/>
          <w:szCs w:val="24"/>
        </w:rPr>
        <w:t>continuing to be</w:t>
      </w:r>
      <w:r w:rsidRPr="00BB2872">
        <w:rPr>
          <w:rFonts w:ascii="Times New Roman" w:eastAsia="Times New Roman" w:hAnsi="Times New Roman" w:cs="Times New Roman"/>
          <w:sz w:val="24"/>
          <w:szCs w:val="24"/>
        </w:rPr>
        <w:t xml:space="preserve"> weak and </w:t>
      </w:r>
      <w:r w:rsidR="00A12939" w:rsidRPr="00BB2872">
        <w:rPr>
          <w:rFonts w:ascii="Times New Roman" w:eastAsia="Times New Roman" w:hAnsi="Times New Roman" w:cs="Times New Roman"/>
          <w:sz w:val="24"/>
          <w:szCs w:val="24"/>
        </w:rPr>
        <w:t xml:space="preserve">showing continued </w:t>
      </w:r>
      <w:r w:rsidRPr="00BB2872">
        <w:rPr>
          <w:rFonts w:ascii="Times New Roman" w:eastAsia="Times New Roman" w:hAnsi="Times New Roman" w:cs="Times New Roman"/>
          <w:sz w:val="24"/>
          <w:szCs w:val="24"/>
        </w:rPr>
        <w:t xml:space="preserve">recession, </w:t>
      </w:r>
      <w:r w:rsidR="00A12939" w:rsidRPr="00BB2872">
        <w:rPr>
          <w:rFonts w:ascii="Times New Roman" w:eastAsia="Times New Roman" w:hAnsi="Times New Roman" w:cs="Times New Roman"/>
          <w:sz w:val="24"/>
          <w:szCs w:val="24"/>
        </w:rPr>
        <w:t xml:space="preserve">and with </w:t>
      </w:r>
      <w:r w:rsidRPr="00BB2872">
        <w:rPr>
          <w:rFonts w:ascii="Times New Roman" w:eastAsia="Times New Roman" w:hAnsi="Times New Roman" w:cs="Times New Roman"/>
          <w:sz w:val="24"/>
          <w:szCs w:val="24"/>
        </w:rPr>
        <w:t xml:space="preserve">the Czech Republic and Hungary </w:t>
      </w:r>
      <w:r w:rsidR="00A12939" w:rsidRPr="00BB2872">
        <w:rPr>
          <w:rFonts w:ascii="Times New Roman" w:eastAsia="Times New Roman" w:hAnsi="Times New Roman" w:cs="Times New Roman"/>
          <w:sz w:val="24"/>
          <w:szCs w:val="24"/>
        </w:rPr>
        <w:t xml:space="preserve">showing significantly </w:t>
      </w:r>
      <w:r w:rsidRPr="00BB2872">
        <w:rPr>
          <w:rFonts w:ascii="Times New Roman" w:eastAsia="Times New Roman" w:hAnsi="Times New Roman" w:cs="Times New Roman"/>
          <w:sz w:val="24"/>
          <w:szCs w:val="24"/>
        </w:rPr>
        <w:t xml:space="preserve">decreased </w:t>
      </w:r>
      <w:r w:rsidR="00A12939" w:rsidRPr="00BB2872">
        <w:rPr>
          <w:rFonts w:ascii="Times New Roman" w:eastAsia="Times New Roman" w:hAnsi="Times New Roman" w:cs="Times New Roman"/>
          <w:sz w:val="24"/>
          <w:szCs w:val="24"/>
        </w:rPr>
        <w:t xml:space="preserve">output </w:t>
      </w:r>
      <w:r w:rsidRPr="00BB2872">
        <w:rPr>
          <w:rFonts w:ascii="Times New Roman" w:eastAsia="Times New Roman" w:hAnsi="Times New Roman" w:cs="Times New Roman"/>
          <w:sz w:val="24"/>
          <w:szCs w:val="24"/>
        </w:rPr>
        <w:t xml:space="preserve">among </w:t>
      </w:r>
      <w:r w:rsidR="00A12939" w:rsidRPr="00BB2872">
        <w:rPr>
          <w:rFonts w:ascii="Times New Roman" w:eastAsia="Times New Roman" w:hAnsi="Times New Roman" w:cs="Times New Roman"/>
          <w:sz w:val="24"/>
          <w:szCs w:val="24"/>
        </w:rPr>
        <w:t xml:space="preserve">the </w:t>
      </w:r>
      <w:r w:rsidRPr="00BB2872">
        <w:rPr>
          <w:rFonts w:ascii="Times New Roman" w:eastAsia="Times New Roman" w:hAnsi="Times New Roman" w:cs="Times New Roman"/>
          <w:sz w:val="24"/>
          <w:szCs w:val="24"/>
        </w:rPr>
        <w:t xml:space="preserve">V4 countries (ECB Annual </w:t>
      </w:r>
      <w:r w:rsidR="00A12939" w:rsidRPr="00BB2872">
        <w:rPr>
          <w:rFonts w:ascii="Times New Roman" w:eastAsia="Times New Roman" w:hAnsi="Times New Roman" w:cs="Times New Roman"/>
          <w:sz w:val="24"/>
          <w:szCs w:val="24"/>
        </w:rPr>
        <w:t>R</w:t>
      </w:r>
      <w:r w:rsidRPr="00BB2872">
        <w:rPr>
          <w:rFonts w:ascii="Times New Roman" w:eastAsia="Times New Roman" w:hAnsi="Times New Roman" w:cs="Times New Roman"/>
          <w:sz w:val="24"/>
          <w:szCs w:val="24"/>
        </w:rPr>
        <w:t xml:space="preserve">eport, 2011). In the case of the Czech Republic, </w:t>
      </w:r>
      <w:r w:rsidR="00585336" w:rsidRPr="00BB2872">
        <w:rPr>
          <w:rFonts w:ascii="Times New Roman" w:eastAsia="Times New Roman" w:hAnsi="Times New Roman" w:cs="Times New Roman"/>
          <w:sz w:val="24"/>
          <w:szCs w:val="24"/>
        </w:rPr>
        <w:t>this</w:t>
      </w:r>
      <w:r w:rsidRPr="00BB2872">
        <w:rPr>
          <w:rFonts w:ascii="Times New Roman" w:eastAsia="Times New Roman" w:hAnsi="Times New Roman" w:cs="Times New Roman"/>
          <w:sz w:val="24"/>
          <w:szCs w:val="24"/>
        </w:rPr>
        <w:t xml:space="preserve"> occurred because of fiscal tightening and limited external demand. Inflation measured using</w:t>
      </w:r>
      <w:r w:rsidR="0050635B" w:rsidRPr="00BB2872">
        <w:rPr>
          <w:rFonts w:ascii="Times New Roman" w:eastAsia="Times New Roman" w:hAnsi="Times New Roman" w:cs="Times New Roman"/>
          <w:sz w:val="24"/>
          <w:szCs w:val="24"/>
        </w:rPr>
        <w:t xml:space="preserve"> </w:t>
      </w:r>
      <w:r w:rsidR="00E27A89" w:rsidRPr="00BB2872">
        <w:rPr>
          <w:rFonts w:ascii="Times New Roman" w:eastAsia="Times New Roman" w:hAnsi="Times New Roman" w:cs="Times New Roman"/>
          <w:sz w:val="24"/>
          <w:szCs w:val="24"/>
        </w:rPr>
        <w:t xml:space="preserve">the </w:t>
      </w:r>
      <w:r w:rsidR="0050635B" w:rsidRPr="00BB2872">
        <w:rPr>
          <w:rFonts w:ascii="Times New Roman" w:eastAsia="Times New Roman" w:hAnsi="Times New Roman" w:cs="Times New Roman"/>
          <w:sz w:val="24"/>
          <w:szCs w:val="24"/>
        </w:rPr>
        <w:t>H</w:t>
      </w:r>
      <w:r w:rsidRPr="00BB2872">
        <w:rPr>
          <w:rFonts w:ascii="Times New Roman" w:eastAsia="Times New Roman" w:hAnsi="Times New Roman" w:cs="Times New Roman"/>
          <w:sz w:val="24"/>
          <w:szCs w:val="24"/>
        </w:rPr>
        <w:t>armoni</w:t>
      </w:r>
      <w:r w:rsidR="00C17035" w:rsidRPr="00BB2872">
        <w:rPr>
          <w:rFonts w:ascii="Times New Roman" w:eastAsia="Times New Roman" w:hAnsi="Times New Roman" w:cs="Times New Roman"/>
          <w:sz w:val="24"/>
          <w:szCs w:val="24"/>
        </w:rPr>
        <w:t>s</w:t>
      </w:r>
      <w:r w:rsidRPr="00BB2872">
        <w:rPr>
          <w:rFonts w:ascii="Times New Roman" w:eastAsia="Times New Roman" w:hAnsi="Times New Roman" w:cs="Times New Roman"/>
          <w:sz w:val="24"/>
          <w:szCs w:val="24"/>
        </w:rPr>
        <w:t>ed</w:t>
      </w:r>
      <w:r w:rsidR="00E27A89" w:rsidRPr="00BB2872">
        <w:rPr>
          <w:rFonts w:ascii="Times New Roman" w:eastAsia="Times New Roman" w:hAnsi="Times New Roman" w:cs="Times New Roman"/>
          <w:sz w:val="24"/>
          <w:szCs w:val="24"/>
        </w:rPr>
        <w:t xml:space="preserve"> Index of Consumer Prices</w:t>
      </w:r>
      <w:r w:rsidR="0050635B" w:rsidRPr="00BB2872">
        <w:rPr>
          <w:rFonts w:ascii="Times New Roman" w:eastAsia="Times New Roman" w:hAnsi="Times New Roman" w:cs="Times New Roman"/>
          <w:sz w:val="24"/>
          <w:szCs w:val="24"/>
        </w:rPr>
        <w:t xml:space="preserve"> (</w:t>
      </w:r>
      <w:r w:rsidRPr="00BB2872">
        <w:rPr>
          <w:rFonts w:ascii="Times New Roman" w:eastAsia="Times New Roman" w:hAnsi="Times New Roman" w:cs="Times New Roman"/>
          <w:sz w:val="24"/>
          <w:szCs w:val="24"/>
        </w:rPr>
        <w:t>H</w:t>
      </w:r>
      <w:r w:rsidR="0050635B" w:rsidRPr="00BB2872">
        <w:rPr>
          <w:rFonts w:ascii="Times New Roman" w:eastAsia="Times New Roman" w:hAnsi="Times New Roman" w:cs="Times New Roman"/>
          <w:sz w:val="24"/>
          <w:szCs w:val="24"/>
        </w:rPr>
        <w:t>I</w:t>
      </w:r>
      <w:r w:rsidRPr="00BB2872">
        <w:rPr>
          <w:rFonts w:ascii="Times New Roman" w:eastAsia="Times New Roman" w:hAnsi="Times New Roman" w:cs="Times New Roman"/>
          <w:sz w:val="24"/>
          <w:szCs w:val="24"/>
        </w:rPr>
        <w:t>CP</w:t>
      </w:r>
      <w:r w:rsidR="0050635B" w:rsidRPr="00BB2872">
        <w:rPr>
          <w:rFonts w:ascii="Times New Roman" w:eastAsia="Times New Roman" w:hAnsi="Times New Roman" w:cs="Times New Roman"/>
          <w:sz w:val="24"/>
          <w:szCs w:val="24"/>
        </w:rPr>
        <w:t>)</w:t>
      </w:r>
      <w:r w:rsidRPr="00BB2872">
        <w:rPr>
          <w:rFonts w:ascii="Times New Roman" w:eastAsia="Times New Roman" w:hAnsi="Times New Roman" w:cs="Times New Roman"/>
          <w:sz w:val="24"/>
          <w:szCs w:val="24"/>
        </w:rPr>
        <w:t xml:space="preserve"> </w:t>
      </w:r>
      <w:r w:rsidR="00C17035" w:rsidRPr="00BB2872">
        <w:rPr>
          <w:rFonts w:ascii="Times New Roman" w:eastAsia="Times New Roman" w:hAnsi="Times New Roman" w:cs="Times New Roman"/>
          <w:sz w:val="24"/>
          <w:szCs w:val="24"/>
        </w:rPr>
        <w:t>for</w:t>
      </w:r>
      <w:r w:rsidRPr="00BB2872">
        <w:rPr>
          <w:rFonts w:ascii="Times New Roman" w:eastAsia="Times New Roman" w:hAnsi="Times New Roman" w:cs="Times New Roman"/>
          <w:sz w:val="24"/>
          <w:szCs w:val="24"/>
        </w:rPr>
        <w:t xml:space="preserve"> the period 2007–2012 </w:t>
      </w:r>
      <w:r w:rsidR="00585336" w:rsidRPr="00BB2872">
        <w:rPr>
          <w:rFonts w:ascii="Times New Roman" w:eastAsia="Times New Roman" w:hAnsi="Times New Roman" w:cs="Times New Roman"/>
          <w:sz w:val="24"/>
          <w:szCs w:val="24"/>
        </w:rPr>
        <w:t xml:space="preserve">was </w:t>
      </w:r>
      <w:r w:rsidRPr="00BB2872">
        <w:rPr>
          <w:rFonts w:ascii="Times New Roman" w:eastAsia="Times New Roman" w:hAnsi="Times New Roman" w:cs="Times New Roman"/>
          <w:sz w:val="24"/>
          <w:szCs w:val="24"/>
        </w:rPr>
        <w:t xml:space="preserve">supported mostly by high energy and commodity prices (see Appendix </w:t>
      </w:r>
      <w:r w:rsidR="00822FCF">
        <w:rPr>
          <w:rFonts w:ascii="Times New Roman" w:eastAsia="Times New Roman" w:hAnsi="Times New Roman" w:cs="Times New Roman"/>
          <w:sz w:val="24"/>
          <w:szCs w:val="24"/>
        </w:rPr>
        <w:t>3</w:t>
      </w:r>
      <w:r w:rsidRPr="00BB2872">
        <w:rPr>
          <w:rFonts w:ascii="Times New Roman" w:eastAsia="Times New Roman" w:hAnsi="Times New Roman" w:cs="Times New Roman"/>
          <w:sz w:val="24"/>
          <w:szCs w:val="24"/>
        </w:rPr>
        <w:t xml:space="preserve">). </w:t>
      </w:r>
      <w:r w:rsidR="00585336" w:rsidRPr="00BB2872">
        <w:rPr>
          <w:rFonts w:ascii="Times New Roman" w:eastAsia="Times New Roman" w:hAnsi="Times New Roman" w:cs="Times New Roman"/>
          <w:sz w:val="24"/>
          <w:szCs w:val="24"/>
        </w:rPr>
        <w:t>Despite</w:t>
      </w:r>
      <w:r w:rsidRPr="00BB2872">
        <w:rPr>
          <w:rFonts w:ascii="Times New Roman" w:eastAsia="Times New Roman" w:hAnsi="Times New Roman" w:cs="Times New Roman"/>
          <w:sz w:val="24"/>
          <w:szCs w:val="24"/>
        </w:rPr>
        <w:t xml:space="preserve"> unfavourable macroeconomic conditions in 2012</w:t>
      </w:r>
      <w:r w:rsidR="00585336" w:rsidRPr="00BB2872">
        <w:rPr>
          <w:rFonts w:ascii="Times New Roman" w:eastAsia="Times New Roman" w:hAnsi="Times New Roman" w:cs="Times New Roman"/>
          <w:sz w:val="24"/>
          <w:szCs w:val="24"/>
        </w:rPr>
        <w:t>,</w:t>
      </w:r>
      <w:r w:rsidRPr="00BB2872">
        <w:rPr>
          <w:rFonts w:ascii="Times New Roman" w:eastAsia="Times New Roman" w:hAnsi="Times New Roman" w:cs="Times New Roman"/>
          <w:sz w:val="24"/>
          <w:szCs w:val="24"/>
        </w:rPr>
        <w:t xml:space="preserve"> inflation was still high, </w:t>
      </w:r>
      <w:r w:rsidR="00585336" w:rsidRPr="00BB2872">
        <w:rPr>
          <w:rFonts w:ascii="Times New Roman" w:eastAsia="Times New Roman" w:hAnsi="Times New Roman" w:cs="Times New Roman"/>
          <w:sz w:val="24"/>
          <w:szCs w:val="24"/>
        </w:rPr>
        <w:t xml:space="preserve">again </w:t>
      </w:r>
      <w:r w:rsidRPr="00BB2872">
        <w:rPr>
          <w:rFonts w:ascii="Times New Roman" w:eastAsia="Times New Roman" w:hAnsi="Times New Roman" w:cs="Times New Roman"/>
          <w:sz w:val="24"/>
          <w:szCs w:val="24"/>
        </w:rPr>
        <w:t>partly supported by high energy and commodity prices</w:t>
      </w:r>
      <w:r w:rsidR="00585336" w:rsidRPr="00BB2872">
        <w:rPr>
          <w:rFonts w:ascii="Times New Roman" w:eastAsia="Times New Roman" w:hAnsi="Times New Roman" w:cs="Times New Roman"/>
          <w:sz w:val="24"/>
          <w:szCs w:val="24"/>
        </w:rPr>
        <w:t>, but also</w:t>
      </w:r>
      <w:r w:rsidRPr="00BB2872">
        <w:rPr>
          <w:rFonts w:ascii="Times New Roman" w:eastAsia="Times New Roman" w:hAnsi="Times New Roman" w:cs="Times New Roman"/>
          <w:sz w:val="24"/>
          <w:szCs w:val="24"/>
        </w:rPr>
        <w:t xml:space="preserve"> partly because of indirect taxation in </w:t>
      </w:r>
      <w:r w:rsidR="00585336" w:rsidRPr="00BB2872">
        <w:rPr>
          <w:rFonts w:ascii="Times New Roman" w:eastAsia="Times New Roman" w:hAnsi="Times New Roman" w:cs="Times New Roman"/>
          <w:sz w:val="24"/>
          <w:szCs w:val="24"/>
        </w:rPr>
        <w:t>several</w:t>
      </w:r>
      <w:r w:rsidRPr="00BB2872">
        <w:rPr>
          <w:rFonts w:ascii="Times New Roman" w:eastAsia="Times New Roman" w:hAnsi="Times New Roman" w:cs="Times New Roman"/>
          <w:sz w:val="24"/>
          <w:szCs w:val="24"/>
        </w:rPr>
        <w:t xml:space="preserve"> European countries. In the period 2013–2016</w:t>
      </w:r>
      <w:r w:rsidR="00585336" w:rsidRPr="00BB2872">
        <w:rPr>
          <w:rFonts w:ascii="Times New Roman" w:eastAsia="Times New Roman" w:hAnsi="Times New Roman" w:cs="Times New Roman"/>
          <w:sz w:val="24"/>
          <w:szCs w:val="24"/>
        </w:rPr>
        <w:t>,</w:t>
      </w:r>
      <w:r w:rsidRPr="00BB2872">
        <w:rPr>
          <w:rFonts w:ascii="Times New Roman" w:eastAsia="Times New Roman" w:hAnsi="Times New Roman" w:cs="Times New Roman"/>
          <w:sz w:val="24"/>
          <w:szCs w:val="24"/>
        </w:rPr>
        <w:t xml:space="preserve"> </w:t>
      </w:r>
      <w:r w:rsidR="00585336" w:rsidRPr="00BB2872">
        <w:rPr>
          <w:rFonts w:ascii="Times New Roman" w:eastAsia="Times New Roman" w:hAnsi="Times New Roman" w:cs="Times New Roman"/>
          <w:sz w:val="24"/>
          <w:szCs w:val="24"/>
        </w:rPr>
        <w:t>a</w:t>
      </w:r>
      <w:r w:rsidRPr="00BB2872">
        <w:rPr>
          <w:rFonts w:ascii="Times New Roman" w:eastAsia="Times New Roman" w:hAnsi="Times New Roman" w:cs="Times New Roman"/>
          <w:sz w:val="24"/>
          <w:szCs w:val="24"/>
        </w:rPr>
        <w:t xml:space="preserve"> high pace </w:t>
      </w:r>
      <w:r w:rsidR="00585336" w:rsidRPr="00BB2872">
        <w:rPr>
          <w:rFonts w:ascii="Times New Roman" w:eastAsia="Times New Roman" w:hAnsi="Times New Roman" w:cs="Times New Roman"/>
          <w:sz w:val="24"/>
          <w:szCs w:val="24"/>
        </w:rPr>
        <w:t xml:space="preserve">in the growth </w:t>
      </w:r>
      <w:r w:rsidRPr="00BB2872">
        <w:rPr>
          <w:rFonts w:ascii="Times New Roman" w:eastAsia="Times New Roman" w:hAnsi="Times New Roman" w:cs="Times New Roman"/>
          <w:sz w:val="24"/>
          <w:szCs w:val="24"/>
        </w:rPr>
        <w:t xml:space="preserve">of economic activity was observed in the </w:t>
      </w:r>
      <w:r w:rsidR="00E22D39" w:rsidRPr="00BB2872">
        <w:rPr>
          <w:rFonts w:ascii="Times New Roman" w:eastAsia="Times New Roman" w:hAnsi="Times New Roman" w:cs="Times New Roman"/>
          <w:sz w:val="24"/>
          <w:szCs w:val="24"/>
        </w:rPr>
        <w:t>EA</w:t>
      </w:r>
      <w:r w:rsidRPr="00BB2872">
        <w:rPr>
          <w:rFonts w:ascii="Times New Roman" w:eastAsia="Times New Roman" w:hAnsi="Times New Roman" w:cs="Times New Roman"/>
          <w:sz w:val="24"/>
          <w:szCs w:val="24"/>
        </w:rPr>
        <w:t xml:space="preserve">, but this growth rate was </w:t>
      </w:r>
      <w:r w:rsidR="00585336" w:rsidRPr="00BB2872">
        <w:rPr>
          <w:rFonts w:ascii="Times New Roman" w:eastAsia="Times New Roman" w:hAnsi="Times New Roman" w:cs="Times New Roman"/>
          <w:sz w:val="24"/>
          <w:szCs w:val="24"/>
        </w:rPr>
        <w:t xml:space="preserve">still </w:t>
      </w:r>
      <w:r w:rsidRPr="00BB2872">
        <w:rPr>
          <w:rFonts w:ascii="Times New Roman" w:eastAsia="Times New Roman" w:hAnsi="Times New Roman" w:cs="Times New Roman"/>
          <w:sz w:val="24"/>
          <w:szCs w:val="24"/>
        </w:rPr>
        <w:t xml:space="preserve">below </w:t>
      </w:r>
      <w:r w:rsidR="00585336" w:rsidRPr="00BB2872">
        <w:rPr>
          <w:rFonts w:ascii="Times New Roman" w:eastAsia="Times New Roman" w:hAnsi="Times New Roman" w:cs="Times New Roman"/>
          <w:sz w:val="24"/>
          <w:szCs w:val="24"/>
        </w:rPr>
        <w:t xml:space="preserve">the </w:t>
      </w:r>
      <w:r w:rsidRPr="00BB2872">
        <w:rPr>
          <w:rFonts w:ascii="Times New Roman" w:eastAsia="Times New Roman" w:hAnsi="Times New Roman" w:cs="Times New Roman"/>
          <w:sz w:val="24"/>
          <w:szCs w:val="24"/>
        </w:rPr>
        <w:t xml:space="preserve">long-term average. In </w:t>
      </w:r>
      <w:r w:rsidR="00585336" w:rsidRPr="00BB2872">
        <w:rPr>
          <w:rFonts w:ascii="Times New Roman" w:eastAsia="Times New Roman" w:hAnsi="Times New Roman" w:cs="Times New Roman"/>
          <w:sz w:val="24"/>
          <w:szCs w:val="24"/>
        </w:rPr>
        <w:t xml:space="preserve">the </w:t>
      </w:r>
      <w:r w:rsidRPr="00BB2872">
        <w:rPr>
          <w:rFonts w:ascii="Times New Roman" w:eastAsia="Times New Roman" w:hAnsi="Times New Roman" w:cs="Times New Roman"/>
          <w:sz w:val="24"/>
          <w:szCs w:val="24"/>
        </w:rPr>
        <w:t>V4 countries</w:t>
      </w:r>
      <w:r w:rsidR="00585336" w:rsidRPr="00BB2872">
        <w:rPr>
          <w:rFonts w:ascii="Times New Roman" w:eastAsia="Times New Roman" w:hAnsi="Times New Roman" w:cs="Times New Roman"/>
          <w:sz w:val="24"/>
          <w:szCs w:val="24"/>
        </w:rPr>
        <w:t>,</w:t>
      </w:r>
      <w:r w:rsidRPr="00BB2872">
        <w:rPr>
          <w:rFonts w:ascii="Times New Roman" w:eastAsia="Times New Roman" w:hAnsi="Times New Roman" w:cs="Times New Roman"/>
          <w:sz w:val="24"/>
          <w:szCs w:val="24"/>
        </w:rPr>
        <w:t xml:space="preserve"> the recovery was weaker </w:t>
      </w:r>
      <w:r w:rsidR="00585336" w:rsidRPr="00BB2872">
        <w:rPr>
          <w:rFonts w:ascii="Times New Roman" w:eastAsia="Times New Roman" w:hAnsi="Times New Roman" w:cs="Times New Roman"/>
          <w:sz w:val="24"/>
          <w:szCs w:val="24"/>
        </w:rPr>
        <w:t xml:space="preserve">due to </w:t>
      </w:r>
      <w:r w:rsidRPr="00BB2872">
        <w:rPr>
          <w:rFonts w:ascii="Times New Roman" w:eastAsia="Times New Roman" w:hAnsi="Times New Roman" w:cs="Times New Roman"/>
          <w:sz w:val="24"/>
          <w:szCs w:val="24"/>
        </w:rPr>
        <w:t xml:space="preserve">low export growth, which </w:t>
      </w:r>
      <w:r w:rsidR="00585336" w:rsidRPr="00BB2872">
        <w:rPr>
          <w:rFonts w:ascii="Times New Roman" w:eastAsia="Times New Roman" w:hAnsi="Times New Roman" w:cs="Times New Roman"/>
          <w:sz w:val="24"/>
          <w:szCs w:val="24"/>
        </w:rPr>
        <w:t>wa</w:t>
      </w:r>
      <w:r w:rsidRPr="00BB2872">
        <w:rPr>
          <w:rFonts w:ascii="Times New Roman" w:eastAsia="Times New Roman" w:hAnsi="Times New Roman" w:cs="Times New Roman"/>
          <w:sz w:val="24"/>
          <w:szCs w:val="24"/>
        </w:rPr>
        <w:t xml:space="preserve">s the case </w:t>
      </w:r>
      <w:r w:rsidR="00585336" w:rsidRPr="00BB2872">
        <w:rPr>
          <w:rFonts w:ascii="Times New Roman" w:eastAsia="Times New Roman" w:hAnsi="Times New Roman" w:cs="Times New Roman"/>
          <w:sz w:val="24"/>
          <w:szCs w:val="24"/>
        </w:rPr>
        <w:t>in</w:t>
      </w:r>
      <w:r w:rsidRPr="00BB2872">
        <w:rPr>
          <w:rFonts w:ascii="Times New Roman" w:eastAsia="Times New Roman" w:hAnsi="Times New Roman" w:cs="Times New Roman"/>
          <w:sz w:val="24"/>
          <w:szCs w:val="24"/>
        </w:rPr>
        <w:t xml:space="preserve"> the Czech Republic. Inflation slowed in </w:t>
      </w:r>
      <w:r w:rsidR="00585336" w:rsidRPr="00BB2872">
        <w:rPr>
          <w:rFonts w:ascii="Times New Roman" w:eastAsia="Times New Roman" w:hAnsi="Times New Roman" w:cs="Times New Roman"/>
          <w:sz w:val="24"/>
          <w:szCs w:val="24"/>
        </w:rPr>
        <w:t xml:space="preserve">the </w:t>
      </w:r>
      <w:r w:rsidRPr="00BB2872">
        <w:rPr>
          <w:rFonts w:ascii="Times New Roman" w:eastAsia="Times New Roman" w:hAnsi="Times New Roman" w:cs="Times New Roman"/>
          <w:sz w:val="24"/>
          <w:szCs w:val="24"/>
        </w:rPr>
        <w:t>major non</w:t>
      </w:r>
      <w:r w:rsidR="00585336" w:rsidRPr="00BB2872">
        <w:rPr>
          <w:rFonts w:ascii="Times New Roman" w:eastAsia="Times New Roman" w:hAnsi="Times New Roman" w:cs="Times New Roman"/>
          <w:sz w:val="24"/>
          <w:szCs w:val="24"/>
        </w:rPr>
        <w:t>-</w:t>
      </w:r>
      <w:r w:rsidR="00E22D39" w:rsidRPr="00BB2872">
        <w:rPr>
          <w:rFonts w:ascii="Times New Roman" w:eastAsia="Times New Roman" w:hAnsi="Times New Roman" w:cs="Times New Roman"/>
          <w:sz w:val="24"/>
          <w:szCs w:val="24"/>
        </w:rPr>
        <w:t>EA</w:t>
      </w:r>
      <w:r w:rsidRPr="00BB2872">
        <w:rPr>
          <w:rFonts w:ascii="Times New Roman" w:eastAsia="Times New Roman" w:hAnsi="Times New Roman" w:cs="Times New Roman"/>
          <w:sz w:val="24"/>
          <w:szCs w:val="24"/>
        </w:rPr>
        <w:t xml:space="preserve"> countries</w:t>
      </w:r>
      <w:r w:rsidR="00585336" w:rsidRPr="00BB2872">
        <w:rPr>
          <w:rFonts w:ascii="Times New Roman" w:eastAsia="Times New Roman" w:hAnsi="Times New Roman" w:cs="Times New Roman"/>
          <w:sz w:val="24"/>
          <w:szCs w:val="24"/>
        </w:rPr>
        <w:t>,</w:t>
      </w:r>
      <w:r w:rsidRPr="00BB2872">
        <w:rPr>
          <w:rFonts w:ascii="Times New Roman" w:eastAsia="Times New Roman" w:hAnsi="Times New Roman" w:cs="Times New Roman"/>
          <w:sz w:val="24"/>
          <w:szCs w:val="24"/>
        </w:rPr>
        <w:t xml:space="preserve"> including the Czech Republic</w:t>
      </w:r>
      <w:r w:rsidR="00585336" w:rsidRPr="00BB2872">
        <w:rPr>
          <w:rFonts w:ascii="Times New Roman" w:eastAsia="Times New Roman" w:hAnsi="Times New Roman" w:cs="Times New Roman"/>
          <w:sz w:val="24"/>
          <w:szCs w:val="24"/>
        </w:rPr>
        <w:t>,</w:t>
      </w:r>
      <w:r w:rsidRPr="00BB2872">
        <w:rPr>
          <w:rFonts w:ascii="Times New Roman" w:eastAsia="Times New Roman" w:hAnsi="Times New Roman" w:cs="Times New Roman"/>
          <w:sz w:val="24"/>
          <w:szCs w:val="24"/>
        </w:rPr>
        <w:t xml:space="preserve"> in 2013</w:t>
      </w:r>
      <w:r w:rsidR="00585336" w:rsidRPr="00BB2872">
        <w:rPr>
          <w:rFonts w:ascii="Times New Roman" w:eastAsia="Times New Roman" w:hAnsi="Times New Roman" w:cs="Times New Roman"/>
          <w:sz w:val="24"/>
          <w:szCs w:val="24"/>
        </w:rPr>
        <w:t>,</w:t>
      </w:r>
      <w:r w:rsidRPr="00BB2872">
        <w:rPr>
          <w:rFonts w:ascii="Times New Roman" w:eastAsia="Times New Roman" w:hAnsi="Times New Roman" w:cs="Times New Roman"/>
          <w:sz w:val="24"/>
          <w:szCs w:val="24"/>
        </w:rPr>
        <w:t xml:space="preserve"> from 3</w:t>
      </w:r>
      <w:r w:rsidR="00585336" w:rsidRPr="00BB2872">
        <w:rPr>
          <w:rFonts w:ascii="Times New Roman" w:eastAsia="Times New Roman" w:hAnsi="Times New Roman" w:cs="Times New Roman"/>
          <w:sz w:val="24"/>
          <w:szCs w:val="24"/>
        </w:rPr>
        <w:t>%</w:t>
      </w:r>
      <w:r w:rsidRPr="00BB2872">
        <w:rPr>
          <w:rFonts w:ascii="Times New Roman" w:eastAsia="Times New Roman" w:hAnsi="Times New Roman" w:cs="Times New Roman"/>
          <w:sz w:val="24"/>
          <w:szCs w:val="24"/>
        </w:rPr>
        <w:t xml:space="preserve"> to 1.9</w:t>
      </w:r>
      <w:r w:rsidR="00585336" w:rsidRPr="00BB2872">
        <w:rPr>
          <w:rFonts w:ascii="Times New Roman" w:eastAsia="Times New Roman" w:hAnsi="Times New Roman" w:cs="Times New Roman"/>
          <w:sz w:val="24"/>
          <w:szCs w:val="24"/>
        </w:rPr>
        <w:t>%</w:t>
      </w:r>
      <w:r w:rsidRPr="00BB2872">
        <w:rPr>
          <w:rFonts w:ascii="Times New Roman" w:eastAsia="Times New Roman" w:hAnsi="Times New Roman" w:cs="Times New Roman"/>
          <w:sz w:val="24"/>
          <w:szCs w:val="24"/>
        </w:rPr>
        <w:t xml:space="preserve"> (ECB Annual </w:t>
      </w:r>
      <w:r w:rsidR="00585336" w:rsidRPr="00BB2872">
        <w:rPr>
          <w:rFonts w:ascii="Times New Roman" w:eastAsia="Times New Roman" w:hAnsi="Times New Roman" w:cs="Times New Roman"/>
          <w:sz w:val="24"/>
          <w:szCs w:val="24"/>
        </w:rPr>
        <w:t>R</w:t>
      </w:r>
      <w:r w:rsidRPr="00BB2872">
        <w:rPr>
          <w:rFonts w:ascii="Times New Roman" w:eastAsia="Times New Roman" w:hAnsi="Times New Roman" w:cs="Times New Roman"/>
          <w:sz w:val="24"/>
          <w:szCs w:val="24"/>
        </w:rPr>
        <w:t>eport, 2013)</w:t>
      </w:r>
      <w:r w:rsidR="00585336" w:rsidRPr="00BB2872">
        <w:rPr>
          <w:rFonts w:ascii="Times New Roman" w:eastAsia="Times New Roman" w:hAnsi="Times New Roman" w:cs="Times New Roman"/>
          <w:sz w:val="24"/>
          <w:szCs w:val="24"/>
        </w:rPr>
        <w:t>,</w:t>
      </w:r>
      <w:r w:rsidRPr="00BB2872">
        <w:rPr>
          <w:rFonts w:ascii="Times New Roman" w:eastAsia="Times New Roman" w:hAnsi="Times New Roman" w:cs="Times New Roman"/>
          <w:sz w:val="24"/>
          <w:szCs w:val="24"/>
        </w:rPr>
        <w:t xml:space="preserve"> reflecting </w:t>
      </w:r>
      <w:r w:rsidR="00585336" w:rsidRPr="00BB2872">
        <w:rPr>
          <w:rFonts w:ascii="Times New Roman" w:eastAsia="Times New Roman" w:hAnsi="Times New Roman" w:cs="Times New Roman"/>
          <w:sz w:val="24"/>
          <w:szCs w:val="24"/>
        </w:rPr>
        <w:t xml:space="preserve">the </w:t>
      </w:r>
      <w:r w:rsidRPr="00BB2872">
        <w:rPr>
          <w:rFonts w:ascii="Times New Roman" w:eastAsia="Times New Roman" w:hAnsi="Times New Roman" w:cs="Times New Roman"/>
          <w:sz w:val="24"/>
          <w:szCs w:val="24"/>
        </w:rPr>
        <w:t xml:space="preserve">easing of energy prices and fading </w:t>
      </w:r>
      <w:r w:rsidR="00585336" w:rsidRPr="00BB2872">
        <w:rPr>
          <w:rFonts w:ascii="Times New Roman" w:eastAsia="Times New Roman" w:hAnsi="Times New Roman" w:cs="Times New Roman"/>
          <w:sz w:val="24"/>
          <w:szCs w:val="24"/>
        </w:rPr>
        <w:t xml:space="preserve">out of </w:t>
      </w:r>
      <w:r w:rsidRPr="00BB2872">
        <w:rPr>
          <w:rFonts w:ascii="Times New Roman" w:eastAsia="Times New Roman" w:hAnsi="Times New Roman" w:cs="Times New Roman"/>
          <w:sz w:val="24"/>
          <w:szCs w:val="24"/>
        </w:rPr>
        <w:t>the effect of indirect tax</w:t>
      </w:r>
      <w:r w:rsidR="00585336" w:rsidRPr="00BB2872">
        <w:rPr>
          <w:rFonts w:ascii="Times New Roman" w:eastAsia="Times New Roman" w:hAnsi="Times New Roman" w:cs="Times New Roman"/>
          <w:sz w:val="24"/>
          <w:szCs w:val="24"/>
        </w:rPr>
        <w:t>es</w:t>
      </w:r>
      <w:r w:rsidRPr="00BB2872">
        <w:rPr>
          <w:rFonts w:ascii="Times New Roman" w:eastAsia="Times New Roman" w:hAnsi="Times New Roman" w:cs="Times New Roman"/>
          <w:sz w:val="24"/>
          <w:szCs w:val="24"/>
        </w:rPr>
        <w:t>.</w:t>
      </w:r>
    </w:p>
    <w:p w14:paraId="0000001D" w14:textId="6A2485C2" w:rsidR="00345220" w:rsidRPr="00BB2872" w:rsidRDefault="00D45E73" w:rsidP="00E27A89">
      <w:pPr>
        <w:spacing w:after="0" w:line="480" w:lineRule="auto"/>
        <w:ind w:firstLine="720"/>
        <w:rPr>
          <w:rFonts w:ascii="Times New Roman" w:eastAsia="Times New Roman" w:hAnsi="Times New Roman" w:cs="Times New Roman"/>
          <w:sz w:val="24"/>
          <w:szCs w:val="24"/>
        </w:rPr>
      </w:pPr>
      <w:r w:rsidRPr="00BB2872">
        <w:rPr>
          <w:rFonts w:ascii="Times New Roman" w:eastAsia="Times New Roman" w:hAnsi="Times New Roman" w:cs="Times New Roman"/>
          <w:sz w:val="24"/>
          <w:szCs w:val="24"/>
        </w:rPr>
        <w:t>In 2016</w:t>
      </w:r>
      <w:r w:rsidR="00855A0D" w:rsidRPr="00BB2872">
        <w:rPr>
          <w:rFonts w:ascii="Times New Roman" w:eastAsia="Times New Roman" w:hAnsi="Times New Roman" w:cs="Times New Roman"/>
          <w:sz w:val="24"/>
          <w:szCs w:val="24"/>
        </w:rPr>
        <w:t>,</w:t>
      </w:r>
      <w:r w:rsidRPr="00BB2872">
        <w:rPr>
          <w:rFonts w:ascii="Times New Roman" w:eastAsia="Times New Roman" w:hAnsi="Times New Roman" w:cs="Times New Roman"/>
          <w:sz w:val="24"/>
          <w:szCs w:val="24"/>
        </w:rPr>
        <w:t xml:space="preserve"> the growth rate </w:t>
      </w:r>
      <w:r w:rsidR="00855A0D" w:rsidRPr="00BB2872">
        <w:rPr>
          <w:rFonts w:ascii="Times New Roman" w:eastAsia="Times New Roman" w:hAnsi="Times New Roman" w:cs="Times New Roman"/>
          <w:sz w:val="24"/>
          <w:szCs w:val="24"/>
        </w:rPr>
        <w:t>in</w:t>
      </w:r>
      <w:r w:rsidRPr="00BB2872">
        <w:rPr>
          <w:rFonts w:ascii="Times New Roman" w:eastAsia="Times New Roman" w:hAnsi="Times New Roman" w:cs="Times New Roman"/>
          <w:sz w:val="24"/>
          <w:szCs w:val="24"/>
        </w:rPr>
        <w:t xml:space="preserve"> economic activity was moderate in the </w:t>
      </w:r>
      <w:r w:rsidR="00E22D39" w:rsidRPr="00BB2872">
        <w:rPr>
          <w:rFonts w:ascii="Times New Roman" w:eastAsia="Times New Roman" w:hAnsi="Times New Roman" w:cs="Times New Roman"/>
          <w:sz w:val="24"/>
          <w:szCs w:val="24"/>
        </w:rPr>
        <w:t>EA</w:t>
      </w:r>
      <w:r w:rsidR="00855A0D" w:rsidRPr="00BB2872">
        <w:rPr>
          <w:rFonts w:ascii="Times New Roman" w:eastAsia="Times New Roman" w:hAnsi="Times New Roman" w:cs="Times New Roman"/>
          <w:sz w:val="24"/>
          <w:szCs w:val="24"/>
        </w:rPr>
        <w:t>,</w:t>
      </w:r>
      <w:r w:rsidRPr="00BB2872">
        <w:rPr>
          <w:rFonts w:ascii="Times New Roman" w:eastAsia="Times New Roman" w:hAnsi="Times New Roman" w:cs="Times New Roman"/>
          <w:sz w:val="24"/>
          <w:szCs w:val="24"/>
        </w:rPr>
        <w:t xml:space="preserve"> but </w:t>
      </w:r>
      <w:r w:rsidR="00855A0D" w:rsidRPr="00BB2872">
        <w:rPr>
          <w:rFonts w:ascii="Times New Roman" w:eastAsia="Times New Roman" w:hAnsi="Times New Roman" w:cs="Times New Roman"/>
          <w:sz w:val="24"/>
          <w:szCs w:val="24"/>
        </w:rPr>
        <w:t xml:space="preserve">with an </w:t>
      </w:r>
      <w:r w:rsidRPr="00BB2872">
        <w:rPr>
          <w:rFonts w:ascii="Times New Roman" w:eastAsia="Times New Roman" w:hAnsi="Times New Roman" w:cs="Times New Roman"/>
          <w:sz w:val="24"/>
          <w:szCs w:val="24"/>
        </w:rPr>
        <w:t xml:space="preserve">uncertain economic outlook. The growth rate </w:t>
      </w:r>
      <w:r w:rsidR="00855A0D" w:rsidRPr="00BB2872">
        <w:rPr>
          <w:rFonts w:ascii="Times New Roman" w:eastAsia="Times New Roman" w:hAnsi="Times New Roman" w:cs="Times New Roman"/>
          <w:sz w:val="24"/>
          <w:szCs w:val="24"/>
        </w:rPr>
        <w:t>in</w:t>
      </w:r>
      <w:r w:rsidRPr="00BB2872">
        <w:rPr>
          <w:rFonts w:ascii="Times New Roman" w:eastAsia="Times New Roman" w:hAnsi="Times New Roman" w:cs="Times New Roman"/>
          <w:sz w:val="24"/>
          <w:szCs w:val="24"/>
        </w:rPr>
        <w:t xml:space="preserve"> the Czech Republic and Hungary </w:t>
      </w:r>
      <w:r w:rsidR="00855A0D" w:rsidRPr="00BB2872">
        <w:rPr>
          <w:rFonts w:ascii="Times New Roman" w:eastAsia="Times New Roman" w:hAnsi="Times New Roman" w:cs="Times New Roman"/>
          <w:sz w:val="24"/>
          <w:szCs w:val="24"/>
        </w:rPr>
        <w:t>was</w:t>
      </w:r>
      <w:r w:rsidRPr="00BB2872">
        <w:rPr>
          <w:rFonts w:ascii="Times New Roman" w:eastAsia="Times New Roman" w:hAnsi="Times New Roman" w:cs="Times New Roman"/>
          <w:sz w:val="24"/>
          <w:szCs w:val="24"/>
        </w:rPr>
        <w:t xml:space="preserve"> declining. Inflation was low</w:t>
      </w:r>
      <w:r w:rsidR="00855A0D" w:rsidRPr="00BB2872">
        <w:rPr>
          <w:rFonts w:ascii="Times New Roman" w:eastAsia="Times New Roman" w:hAnsi="Times New Roman" w:cs="Times New Roman"/>
          <w:sz w:val="24"/>
          <w:szCs w:val="24"/>
        </w:rPr>
        <w:t>,</w:t>
      </w:r>
      <w:r w:rsidRPr="00BB2872">
        <w:rPr>
          <w:rFonts w:ascii="Times New Roman" w:eastAsia="Times New Roman" w:hAnsi="Times New Roman" w:cs="Times New Roman"/>
          <w:sz w:val="24"/>
          <w:szCs w:val="24"/>
        </w:rPr>
        <w:t xml:space="preserve"> mainly reflect</w:t>
      </w:r>
      <w:r w:rsidR="00855A0D" w:rsidRPr="00BB2872">
        <w:rPr>
          <w:rFonts w:ascii="Times New Roman" w:eastAsia="Times New Roman" w:hAnsi="Times New Roman" w:cs="Times New Roman"/>
          <w:sz w:val="24"/>
          <w:szCs w:val="24"/>
        </w:rPr>
        <w:t>ing</w:t>
      </w:r>
      <w:r w:rsidRPr="00BB2872">
        <w:rPr>
          <w:rFonts w:ascii="Times New Roman" w:eastAsia="Times New Roman" w:hAnsi="Times New Roman" w:cs="Times New Roman"/>
          <w:sz w:val="24"/>
          <w:szCs w:val="24"/>
        </w:rPr>
        <w:t xml:space="preserve"> the influence of energy prices. In 2017–2018</w:t>
      </w:r>
      <w:r w:rsidR="00855A0D" w:rsidRPr="00BB2872">
        <w:rPr>
          <w:rFonts w:ascii="Times New Roman" w:eastAsia="Times New Roman" w:hAnsi="Times New Roman" w:cs="Times New Roman"/>
          <w:sz w:val="24"/>
          <w:szCs w:val="24"/>
        </w:rPr>
        <w:t>, the</w:t>
      </w:r>
      <w:r w:rsidRPr="00BB2872">
        <w:rPr>
          <w:rFonts w:ascii="Times New Roman" w:eastAsia="Times New Roman" w:hAnsi="Times New Roman" w:cs="Times New Roman"/>
          <w:sz w:val="24"/>
          <w:szCs w:val="24"/>
        </w:rPr>
        <w:t xml:space="preserve"> </w:t>
      </w:r>
      <w:r w:rsidR="00E22D39" w:rsidRPr="00BB2872">
        <w:rPr>
          <w:rFonts w:ascii="Times New Roman" w:eastAsia="Times New Roman" w:hAnsi="Times New Roman" w:cs="Times New Roman"/>
          <w:sz w:val="24"/>
          <w:szCs w:val="24"/>
        </w:rPr>
        <w:t>EA</w:t>
      </w:r>
      <w:r w:rsidRPr="00BB2872">
        <w:rPr>
          <w:rFonts w:ascii="Times New Roman" w:eastAsia="Times New Roman" w:hAnsi="Times New Roman" w:cs="Times New Roman"/>
          <w:sz w:val="24"/>
          <w:szCs w:val="24"/>
        </w:rPr>
        <w:t xml:space="preserve"> economy continue</w:t>
      </w:r>
      <w:r w:rsidR="00855A0D" w:rsidRPr="00BB2872">
        <w:rPr>
          <w:rFonts w:ascii="Times New Roman" w:eastAsia="Times New Roman" w:hAnsi="Times New Roman" w:cs="Times New Roman"/>
          <w:sz w:val="24"/>
          <w:szCs w:val="24"/>
        </w:rPr>
        <w:t>d to</w:t>
      </w:r>
      <w:r w:rsidRPr="00BB2872">
        <w:rPr>
          <w:rFonts w:ascii="Times New Roman" w:eastAsia="Times New Roman" w:hAnsi="Times New Roman" w:cs="Times New Roman"/>
          <w:sz w:val="24"/>
          <w:szCs w:val="24"/>
        </w:rPr>
        <w:t xml:space="preserve"> recover, but </w:t>
      </w:r>
      <w:r w:rsidR="00855A0D" w:rsidRPr="00BB2872">
        <w:rPr>
          <w:rFonts w:ascii="Times New Roman" w:eastAsia="Times New Roman" w:hAnsi="Times New Roman" w:cs="Times New Roman"/>
          <w:sz w:val="24"/>
          <w:szCs w:val="24"/>
        </w:rPr>
        <w:t xml:space="preserve">the </w:t>
      </w:r>
      <w:r w:rsidRPr="00BB2872">
        <w:rPr>
          <w:rFonts w:ascii="Times New Roman" w:eastAsia="Times New Roman" w:hAnsi="Times New Roman" w:cs="Times New Roman"/>
          <w:sz w:val="24"/>
          <w:szCs w:val="24"/>
        </w:rPr>
        <w:t>GDP was still lower than before the global financial crisis</w:t>
      </w:r>
      <w:r w:rsidR="00855A0D" w:rsidRPr="00BB2872">
        <w:rPr>
          <w:rFonts w:ascii="Times New Roman" w:eastAsia="Times New Roman" w:hAnsi="Times New Roman" w:cs="Times New Roman"/>
          <w:sz w:val="24"/>
          <w:szCs w:val="24"/>
        </w:rPr>
        <w:t>.</w:t>
      </w:r>
      <w:r w:rsidRPr="00BB2872">
        <w:rPr>
          <w:rFonts w:ascii="Times New Roman" w:eastAsia="Times New Roman" w:hAnsi="Times New Roman" w:cs="Times New Roman"/>
          <w:sz w:val="24"/>
          <w:szCs w:val="24"/>
        </w:rPr>
        <w:t xml:space="preserve"> </w:t>
      </w:r>
      <w:r w:rsidR="00855A0D" w:rsidRPr="00BB2872">
        <w:rPr>
          <w:rFonts w:ascii="Times New Roman" w:eastAsia="Times New Roman" w:hAnsi="Times New Roman" w:cs="Times New Roman"/>
          <w:sz w:val="24"/>
          <w:szCs w:val="24"/>
        </w:rPr>
        <w:t>N</w:t>
      </w:r>
      <w:r w:rsidRPr="00BB2872">
        <w:rPr>
          <w:rFonts w:ascii="Times New Roman" w:eastAsia="Times New Roman" w:hAnsi="Times New Roman" w:cs="Times New Roman"/>
          <w:sz w:val="24"/>
          <w:szCs w:val="24"/>
        </w:rPr>
        <w:t>evertheless</w:t>
      </w:r>
      <w:r w:rsidR="00855A0D" w:rsidRPr="00BB2872">
        <w:rPr>
          <w:rFonts w:ascii="Times New Roman" w:eastAsia="Times New Roman" w:hAnsi="Times New Roman" w:cs="Times New Roman"/>
          <w:sz w:val="24"/>
          <w:szCs w:val="24"/>
        </w:rPr>
        <w:t>, the</w:t>
      </w:r>
      <w:r w:rsidRPr="00BB2872">
        <w:rPr>
          <w:rFonts w:ascii="Times New Roman" w:eastAsia="Times New Roman" w:hAnsi="Times New Roman" w:cs="Times New Roman"/>
          <w:sz w:val="24"/>
          <w:szCs w:val="24"/>
        </w:rPr>
        <w:t xml:space="preserve"> V4 countries continu</w:t>
      </w:r>
      <w:r w:rsidR="00855A0D" w:rsidRPr="00BB2872">
        <w:rPr>
          <w:rFonts w:ascii="Times New Roman" w:eastAsia="Times New Roman" w:hAnsi="Times New Roman" w:cs="Times New Roman"/>
          <w:sz w:val="24"/>
          <w:szCs w:val="24"/>
        </w:rPr>
        <w:t>ed to experience</w:t>
      </w:r>
      <w:r w:rsidRPr="00BB2872">
        <w:rPr>
          <w:rFonts w:ascii="Times New Roman" w:eastAsia="Times New Roman" w:hAnsi="Times New Roman" w:cs="Times New Roman"/>
          <w:sz w:val="24"/>
          <w:szCs w:val="24"/>
        </w:rPr>
        <w:t xml:space="preserve"> a robust pace </w:t>
      </w:r>
      <w:r w:rsidR="00855A0D" w:rsidRPr="00BB2872">
        <w:rPr>
          <w:rFonts w:ascii="Times New Roman" w:eastAsia="Times New Roman" w:hAnsi="Times New Roman" w:cs="Times New Roman"/>
          <w:sz w:val="24"/>
          <w:szCs w:val="24"/>
        </w:rPr>
        <w:t>in</w:t>
      </w:r>
      <w:r w:rsidRPr="00BB2872">
        <w:rPr>
          <w:rFonts w:ascii="Times New Roman" w:eastAsia="Times New Roman" w:hAnsi="Times New Roman" w:cs="Times New Roman"/>
          <w:sz w:val="24"/>
          <w:szCs w:val="24"/>
        </w:rPr>
        <w:t xml:space="preserve"> growth. The end of 2019 was characterised by slow</w:t>
      </w:r>
      <w:r w:rsidR="00855A0D" w:rsidRPr="00BB2872">
        <w:rPr>
          <w:rFonts w:ascii="Times New Roman" w:eastAsia="Times New Roman" w:hAnsi="Times New Roman" w:cs="Times New Roman"/>
          <w:sz w:val="24"/>
          <w:szCs w:val="24"/>
        </w:rPr>
        <w:t>-</w:t>
      </w:r>
      <w:r w:rsidRPr="00BB2872">
        <w:rPr>
          <w:rFonts w:ascii="Times New Roman" w:eastAsia="Times New Roman" w:hAnsi="Times New Roman" w:cs="Times New Roman"/>
          <w:sz w:val="24"/>
          <w:szCs w:val="24"/>
        </w:rPr>
        <w:t>activity growth</w:t>
      </w:r>
      <w:r w:rsidR="00855A0D" w:rsidRPr="00BB2872">
        <w:rPr>
          <w:rFonts w:ascii="Times New Roman" w:eastAsia="Times New Roman" w:hAnsi="Times New Roman" w:cs="Times New Roman"/>
          <w:sz w:val="24"/>
          <w:szCs w:val="24"/>
        </w:rPr>
        <w:t>, with the</w:t>
      </w:r>
      <w:r w:rsidRPr="00BB2872">
        <w:rPr>
          <w:rFonts w:ascii="Times New Roman" w:eastAsia="Times New Roman" w:hAnsi="Times New Roman" w:cs="Times New Roman"/>
          <w:sz w:val="24"/>
          <w:szCs w:val="24"/>
        </w:rPr>
        <w:t xml:space="preserve"> GDP indicator </w:t>
      </w:r>
      <w:r w:rsidR="00855A0D" w:rsidRPr="00BB2872">
        <w:rPr>
          <w:rFonts w:ascii="Times New Roman" w:eastAsia="Times New Roman" w:hAnsi="Times New Roman" w:cs="Times New Roman"/>
          <w:sz w:val="24"/>
          <w:szCs w:val="24"/>
        </w:rPr>
        <w:lastRenderedPageBreak/>
        <w:t xml:space="preserve">increasing </w:t>
      </w:r>
      <w:r w:rsidRPr="00BB2872">
        <w:rPr>
          <w:rFonts w:ascii="Times New Roman" w:eastAsia="Times New Roman" w:hAnsi="Times New Roman" w:cs="Times New Roman"/>
          <w:sz w:val="24"/>
          <w:szCs w:val="24"/>
        </w:rPr>
        <w:t xml:space="preserve">slowly. </w:t>
      </w:r>
      <w:r w:rsidR="00855A0D" w:rsidRPr="00BB2872">
        <w:rPr>
          <w:rFonts w:ascii="Times New Roman" w:eastAsia="Times New Roman" w:hAnsi="Times New Roman" w:cs="Times New Roman"/>
          <w:sz w:val="24"/>
          <w:szCs w:val="24"/>
        </w:rPr>
        <w:t xml:space="preserve">The </w:t>
      </w:r>
      <w:r w:rsidRPr="00BB2872">
        <w:rPr>
          <w:rFonts w:ascii="Times New Roman" w:eastAsia="Times New Roman" w:hAnsi="Times New Roman" w:cs="Times New Roman"/>
          <w:sz w:val="24"/>
          <w:szCs w:val="24"/>
        </w:rPr>
        <w:t>V4 countries</w:t>
      </w:r>
      <w:r w:rsidR="004D35F8" w:rsidRPr="00BB2872">
        <w:rPr>
          <w:rFonts w:ascii="Times New Roman" w:eastAsia="Times New Roman" w:hAnsi="Times New Roman" w:cs="Times New Roman"/>
          <w:sz w:val="24"/>
          <w:szCs w:val="24"/>
        </w:rPr>
        <w:t>,</w:t>
      </w:r>
      <w:r w:rsidRPr="00BB2872">
        <w:rPr>
          <w:rFonts w:ascii="Times New Roman" w:eastAsia="Times New Roman" w:hAnsi="Times New Roman" w:cs="Times New Roman"/>
          <w:sz w:val="24"/>
          <w:szCs w:val="24"/>
        </w:rPr>
        <w:t xml:space="preserve"> including the Czech Republic</w:t>
      </w:r>
      <w:r w:rsidR="004D35F8" w:rsidRPr="00BB2872">
        <w:rPr>
          <w:rFonts w:ascii="Times New Roman" w:eastAsia="Times New Roman" w:hAnsi="Times New Roman" w:cs="Times New Roman"/>
          <w:sz w:val="24"/>
          <w:szCs w:val="24"/>
        </w:rPr>
        <w:t>,</w:t>
      </w:r>
      <w:r w:rsidRPr="00BB2872">
        <w:rPr>
          <w:rFonts w:ascii="Times New Roman" w:eastAsia="Times New Roman" w:hAnsi="Times New Roman" w:cs="Times New Roman"/>
          <w:sz w:val="24"/>
          <w:szCs w:val="24"/>
        </w:rPr>
        <w:t xml:space="preserve"> </w:t>
      </w:r>
      <w:proofErr w:type="gramStart"/>
      <w:r w:rsidRPr="00BB2872">
        <w:rPr>
          <w:rFonts w:ascii="Times New Roman" w:eastAsia="Times New Roman" w:hAnsi="Times New Roman" w:cs="Times New Roman"/>
          <w:sz w:val="24"/>
          <w:szCs w:val="24"/>
        </w:rPr>
        <w:t>lagg</w:t>
      </w:r>
      <w:r w:rsidR="004D35F8" w:rsidRPr="00BB2872">
        <w:rPr>
          <w:rFonts w:ascii="Times New Roman" w:eastAsia="Times New Roman" w:hAnsi="Times New Roman" w:cs="Times New Roman"/>
          <w:sz w:val="24"/>
          <w:szCs w:val="24"/>
        </w:rPr>
        <w:t>ed</w:t>
      </w:r>
      <w:r w:rsidRPr="00BB2872">
        <w:rPr>
          <w:rFonts w:ascii="Times New Roman" w:eastAsia="Times New Roman" w:hAnsi="Times New Roman" w:cs="Times New Roman"/>
          <w:sz w:val="24"/>
          <w:szCs w:val="24"/>
        </w:rPr>
        <w:t xml:space="preserve"> behind</w:t>
      </w:r>
      <w:proofErr w:type="gramEnd"/>
      <w:r w:rsidRPr="00BB2872">
        <w:rPr>
          <w:rFonts w:ascii="Times New Roman" w:eastAsia="Times New Roman" w:hAnsi="Times New Roman" w:cs="Times New Roman"/>
          <w:sz w:val="24"/>
          <w:szCs w:val="24"/>
        </w:rPr>
        <w:t xml:space="preserve"> the </w:t>
      </w:r>
      <w:r w:rsidR="00E22D39" w:rsidRPr="00BB2872">
        <w:rPr>
          <w:rFonts w:ascii="Times New Roman" w:eastAsia="Times New Roman" w:hAnsi="Times New Roman" w:cs="Times New Roman"/>
          <w:sz w:val="24"/>
          <w:szCs w:val="24"/>
        </w:rPr>
        <w:t>EA</w:t>
      </w:r>
      <w:r w:rsidRPr="00BB2872">
        <w:rPr>
          <w:rFonts w:ascii="Times New Roman" w:eastAsia="Times New Roman" w:hAnsi="Times New Roman" w:cs="Times New Roman"/>
          <w:sz w:val="24"/>
          <w:szCs w:val="24"/>
        </w:rPr>
        <w:t xml:space="preserve"> average</w:t>
      </w:r>
      <w:r w:rsidR="004D35F8" w:rsidRPr="00BB2872">
        <w:rPr>
          <w:rFonts w:ascii="Times New Roman" w:eastAsia="Times New Roman" w:hAnsi="Times New Roman" w:cs="Times New Roman"/>
          <w:sz w:val="24"/>
          <w:szCs w:val="24"/>
        </w:rPr>
        <w:t>, the</w:t>
      </w:r>
      <w:r w:rsidRPr="00BB2872">
        <w:rPr>
          <w:rFonts w:ascii="Times New Roman" w:eastAsia="Times New Roman" w:hAnsi="Times New Roman" w:cs="Times New Roman"/>
          <w:sz w:val="24"/>
          <w:szCs w:val="24"/>
        </w:rPr>
        <w:t xml:space="preserve"> data show</w:t>
      </w:r>
      <w:r w:rsidR="004D35F8" w:rsidRPr="00BB2872">
        <w:rPr>
          <w:rFonts w:ascii="Times New Roman" w:eastAsia="Times New Roman" w:hAnsi="Times New Roman" w:cs="Times New Roman"/>
          <w:sz w:val="24"/>
          <w:szCs w:val="24"/>
        </w:rPr>
        <w:t>ing</w:t>
      </w:r>
      <w:r w:rsidRPr="00BB2872">
        <w:rPr>
          <w:rFonts w:ascii="Times New Roman" w:eastAsia="Times New Roman" w:hAnsi="Times New Roman" w:cs="Times New Roman"/>
          <w:sz w:val="24"/>
          <w:szCs w:val="24"/>
        </w:rPr>
        <w:t xml:space="preserve"> weakening activity growth in the Czech Republic and Hungary. </w:t>
      </w:r>
      <w:r w:rsidR="004D35F8" w:rsidRPr="00BB2872">
        <w:rPr>
          <w:rFonts w:ascii="Times New Roman" w:eastAsia="Times New Roman" w:hAnsi="Times New Roman" w:cs="Times New Roman"/>
          <w:sz w:val="24"/>
          <w:szCs w:val="24"/>
        </w:rPr>
        <w:t>However</w:t>
      </w:r>
      <w:r w:rsidRPr="00BB2872">
        <w:rPr>
          <w:rFonts w:ascii="Times New Roman" w:eastAsia="Times New Roman" w:hAnsi="Times New Roman" w:cs="Times New Roman"/>
          <w:sz w:val="24"/>
          <w:szCs w:val="24"/>
        </w:rPr>
        <w:t>, the robust performance of the real economy in 2017 did not match the development of inflation</w:t>
      </w:r>
      <w:r w:rsidR="004D35F8" w:rsidRPr="00BB2872">
        <w:rPr>
          <w:rFonts w:ascii="Times New Roman" w:eastAsia="Times New Roman" w:hAnsi="Times New Roman" w:cs="Times New Roman"/>
          <w:sz w:val="24"/>
          <w:szCs w:val="24"/>
        </w:rPr>
        <w:t>,</w:t>
      </w:r>
      <w:r w:rsidRPr="00BB2872">
        <w:rPr>
          <w:rFonts w:ascii="Times New Roman" w:eastAsia="Times New Roman" w:hAnsi="Times New Roman" w:cs="Times New Roman"/>
          <w:sz w:val="24"/>
          <w:szCs w:val="24"/>
        </w:rPr>
        <w:t xml:space="preserve"> </w:t>
      </w:r>
      <w:r w:rsidR="004D35F8" w:rsidRPr="00BB2872">
        <w:rPr>
          <w:rFonts w:ascii="Times New Roman" w:eastAsia="Times New Roman" w:hAnsi="Times New Roman" w:cs="Times New Roman"/>
          <w:sz w:val="24"/>
          <w:szCs w:val="24"/>
        </w:rPr>
        <w:t>which</w:t>
      </w:r>
      <w:r w:rsidRPr="00BB2872">
        <w:rPr>
          <w:rFonts w:ascii="Times New Roman" w:eastAsia="Times New Roman" w:hAnsi="Times New Roman" w:cs="Times New Roman"/>
          <w:sz w:val="24"/>
          <w:szCs w:val="24"/>
        </w:rPr>
        <w:t xml:space="preserve"> lacked any sign of </w:t>
      </w:r>
      <w:r w:rsidR="004D35F8" w:rsidRPr="00BB2872">
        <w:rPr>
          <w:rFonts w:ascii="Times New Roman" w:eastAsia="Times New Roman" w:hAnsi="Times New Roman" w:cs="Times New Roman"/>
          <w:sz w:val="24"/>
          <w:szCs w:val="24"/>
        </w:rPr>
        <w:t xml:space="preserve">an </w:t>
      </w:r>
      <w:r w:rsidRPr="00BB2872">
        <w:rPr>
          <w:rFonts w:ascii="Times New Roman" w:eastAsia="Times New Roman" w:hAnsi="Times New Roman" w:cs="Times New Roman"/>
          <w:sz w:val="24"/>
          <w:szCs w:val="24"/>
        </w:rPr>
        <w:t xml:space="preserve">upward trend. </w:t>
      </w:r>
    </w:p>
    <w:p w14:paraId="0000001E" w14:textId="7FB63243" w:rsidR="00345220" w:rsidRPr="00BB2872" w:rsidRDefault="00D45E73">
      <w:pPr>
        <w:pStyle w:val="Nadpis1"/>
      </w:pPr>
      <w:r w:rsidRPr="00BB2872">
        <w:t xml:space="preserve">4 Data </w:t>
      </w:r>
      <w:r w:rsidR="005571BC" w:rsidRPr="00BB2872">
        <w:t>c</w:t>
      </w:r>
      <w:r w:rsidRPr="00BB2872">
        <w:t xml:space="preserve">haracteristics and </w:t>
      </w:r>
      <w:r w:rsidR="005571BC" w:rsidRPr="00BB2872">
        <w:t>m</w:t>
      </w:r>
      <w:r w:rsidRPr="00BB2872">
        <w:t>ethods</w:t>
      </w:r>
    </w:p>
    <w:p w14:paraId="0000001F" w14:textId="4BB26B96" w:rsidR="00345220" w:rsidRPr="00BB2872" w:rsidRDefault="00D45E73">
      <w:pPr>
        <w:widowControl w:val="0"/>
        <w:spacing w:before="240" w:after="0" w:line="480" w:lineRule="auto"/>
        <w:rPr>
          <w:rFonts w:ascii="Times New Roman" w:eastAsia="Times New Roman" w:hAnsi="Times New Roman" w:cs="Times New Roman"/>
          <w:sz w:val="24"/>
          <w:szCs w:val="24"/>
        </w:rPr>
      </w:pPr>
      <w:r w:rsidRPr="00BB2872">
        <w:rPr>
          <w:rFonts w:ascii="Times New Roman" w:eastAsia="Times New Roman" w:hAnsi="Times New Roman" w:cs="Times New Roman"/>
          <w:sz w:val="24"/>
          <w:szCs w:val="24"/>
        </w:rPr>
        <w:t xml:space="preserve">Aggregate banking and macroeconomic data on </w:t>
      </w:r>
      <w:r w:rsidR="00D42A8D" w:rsidRPr="00BB2872">
        <w:rPr>
          <w:rFonts w:ascii="Times New Roman" w:eastAsia="Times New Roman" w:hAnsi="Times New Roman" w:cs="Times New Roman"/>
          <w:sz w:val="24"/>
          <w:szCs w:val="24"/>
        </w:rPr>
        <w:t xml:space="preserve">a </w:t>
      </w:r>
      <w:r w:rsidRPr="00BB2872">
        <w:rPr>
          <w:rFonts w:ascii="Times New Roman" w:eastAsia="Times New Roman" w:hAnsi="Times New Roman" w:cs="Times New Roman"/>
          <w:sz w:val="24"/>
          <w:szCs w:val="24"/>
        </w:rPr>
        <w:t xml:space="preserve">monthly basis </w:t>
      </w:r>
      <w:r w:rsidR="00D42A8D" w:rsidRPr="00BB2872">
        <w:rPr>
          <w:rFonts w:ascii="Times New Roman" w:eastAsia="Times New Roman" w:hAnsi="Times New Roman" w:cs="Times New Roman"/>
          <w:sz w:val="24"/>
          <w:szCs w:val="24"/>
        </w:rPr>
        <w:t>we</w:t>
      </w:r>
      <w:r w:rsidRPr="00BB2872">
        <w:rPr>
          <w:rFonts w:ascii="Times New Roman" w:eastAsia="Times New Roman" w:hAnsi="Times New Roman" w:cs="Times New Roman"/>
          <w:sz w:val="24"/>
          <w:szCs w:val="24"/>
        </w:rPr>
        <w:t>re obtained from the CNB</w:t>
      </w:r>
      <w:r w:rsidR="00D42A8D" w:rsidRPr="00BB2872">
        <w:rPr>
          <w:rFonts w:ascii="Times New Roman" w:eastAsia="Times New Roman" w:hAnsi="Times New Roman" w:cs="Times New Roman"/>
          <w:sz w:val="24"/>
          <w:szCs w:val="24"/>
        </w:rPr>
        <w:t>’</w:t>
      </w:r>
      <w:r w:rsidRPr="00BB2872">
        <w:rPr>
          <w:rFonts w:ascii="Times New Roman" w:eastAsia="Times New Roman" w:hAnsi="Times New Roman" w:cs="Times New Roman"/>
          <w:sz w:val="24"/>
          <w:szCs w:val="24"/>
        </w:rPr>
        <w:t xml:space="preserve">s </w:t>
      </w:r>
      <w:r w:rsidR="00D42A8D" w:rsidRPr="00BB2872">
        <w:rPr>
          <w:rFonts w:ascii="Times New Roman" w:eastAsia="Times New Roman" w:hAnsi="Times New Roman" w:cs="Times New Roman"/>
          <w:sz w:val="24"/>
          <w:szCs w:val="24"/>
        </w:rPr>
        <w:t xml:space="preserve">ARAD </w:t>
      </w:r>
      <w:r w:rsidRPr="00BB2872">
        <w:rPr>
          <w:rFonts w:ascii="Times New Roman" w:eastAsia="Times New Roman" w:hAnsi="Times New Roman" w:cs="Times New Roman"/>
          <w:sz w:val="24"/>
          <w:szCs w:val="24"/>
        </w:rPr>
        <w:t>database (</w:t>
      </w:r>
      <w:r w:rsidR="00D42A8D" w:rsidRPr="00BB2872">
        <w:rPr>
          <w:rFonts w:ascii="Times New Roman" w:eastAsia="Times New Roman" w:hAnsi="Times New Roman" w:cs="Times New Roman"/>
          <w:sz w:val="24"/>
          <w:szCs w:val="24"/>
        </w:rPr>
        <w:t xml:space="preserve">which includes the </w:t>
      </w:r>
      <w:r w:rsidRPr="00BB2872">
        <w:rPr>
          <w:rFonts w:ascii="Times New Roman" w:eastAsia="Times New Roman" w:hAnsi="Times New Roman" w:cs="Times New Roman"/>
          <w:sz w:val="24"/>
          <w:szCs w:val="24"/>
        </w:rPr>
        <w:t xml:space="preserve">monetary policy, money market, commercial </w:t>
      </w:r>
      <w:r w:rsidR="00D42A8D" w:rsidRPr="00BB2872">
        <w:rPr>
          <w:rFonts w:ascii="Times New Roman" w:eastAsia="Times New Roman" w:hAnsi="Times New Roman" w:cs="Times New Roman"/>
          <w:sz w:val="24"/>
          <w:szCs w:val="24"/>
        </w:rPr>
        <w:t>and</w:t>
      </w:r>
      <w:r w:rsidRPr="00BB2872">
        <w:rPr>
          <w:rFonts w:ascii="Times New Roman" w:eastAsia="Times New Roman" w:hAnsi="Times New Roman" w:cs="Times New Roman"/>
          <w:sz w:val="24"/>
          <w:szCs w:val="24"/>
        </w:rPr>
        <w:t xml:space="preserve"> exchange rate</w:t>
      </w:r>
      <w:r w:rsidR="00D42A8D" w:rsidRPr="00BB2872">
        <w:rPr>
          <w:rFonts w:ascii="Times New Roman" w:eastAsia="Times New Roman" w:hAnsi="Times New Roman" w:cs="Times New Roman"/>
          <w:sz w:val="24"/>
          <w:szCs w:val="24"/>
        </w:rPr>
        <w:t>s</w:t>
      </w:r>
      <w:r w:rsidRPr="00BB2872">
        <w:rPr>
          <w:rFonts w:ascii="Times New Roman" w:eastAsia="Times New Roman" w:hAnsi="Times New Roman" w:cs="Times New Roman"/>
          <w:sz w:val="24"/>
          <w:szCs w:val="24"/>
        </w:rPr>
        <w:t xml:space="preserve">), </w:t>
      </w:r>
      <w:r w:rsidR="00D42A8D" w:rsidRPr="00BB2872">
        <w:rPr>
          <w:rFonts w:ascii="Times New Roman" w:eastAsia="Times New Roman" w:hAnsi="Times New Roman" w:cs="Times New Roman"/>
          <w:sz w:val="24"/>
          <w:szCs w:val="24"/>
        </w:rPr>
        <w:t xml:space="preserve">the </w:t>
      </w:r>
      <w:r w:rsidR="00DE4E56" w:rsidRPr="00BB2872">
        <w:rPr>
          <w:rFonts w:ascii="Times New Roman" w:eastAsia="Times New Roman" w:hAnsi="Times New Roman" w:cs="Times New Roman"/>
          <w:sz w:val="24"/>
          <w:szCs w:val="24"/>
        </w:rPr>
        <w:t>ECB</w:t>
      </w:r>
      <w:r w:rsidRPr="00BB2872">
        <w:rPr>
          <w:rFonts w:ascii="Times New Roman" w:eastAsia="Times New Roman" w:hAnsi="Times New Roman" w:cs="Times New Roman"/>
          <w:sz w:val="24"/>
          <w:szCs w:val="24"/>
        </w:rPr>
        <w:t xml:space="preserve"> (</w:t>
      </w:r>
      <w:r w:rsidR="00D42A8D" w:rsidRPr="00BB2872">
        <w:rPr>
          <w:rFonts w:ascii="Times New Roman" w:eastAsia="Times New Roman" w:hAnsi="Times New Roman" w:cs="Times New Roman"/>
          <w:sz w:val="24"/>
          <w:szCs w:val="24"/>
        </w:rPr>
        <w:t xml:space="preserve">the </w:t>
      </w:r>
      <w:r w:rsidRPr="00BB2872">
        <w:rPr>
          <w:rFonts w:ascii="Times New Roman" w:eastAsia="Times New Roman" w:hAnsi="Times New Roman" w:cs="Times New Roman"/>
          <w:sz w:val="24"/>
          <w:szCs w:val="24"/>
        </w:rPr>
        <w:t>EA money market reference rate), the Czech Statistical Office (</w:t>
      </w:r>
      <w:r w:rsidR="00D42A8D" w:rsidRPr="00BB2872">
        <w:rPr>
          <w:rFonts w:ascii="Times New Roman" w:eastAsia="Times New Roman" w:hAnsi="Times New Roman" w:cs="Times New Roman"/>
          <w:sz w:val="24"/>
          <w:szCs w:val="24"/>
        </w:rPr>
        <w:t xml:space="preserve">a </w:t>
      </w:r>
      <w:r w:rsidRPr="00BB2872">
        <w:rPr>
          <w:rFonts w:ascii="Times New Roman" w:eastAsia="Times New Roman" w:hAnsi="Times New Roman" w:cs="Times New Roman"/>
          <w:sz w:val="24"/>
          <w:szCs w:val="24"/>
        </w:rPr>
        <w:t>harmonised index of consumer prices)</w:t>
      </w:r>
      <w:r w:rsidR="001066DD" w:rsidRPr="00BB2872">
        <w:rPr>
          <w:rFonts w:ascii="Times New Roman" w:eastAsia="Times New Roman" w:hAnsi="Times New Roman" w:cs="Times New Roman"/>
          <w:sz w:val="24"/>
          <w:szCs w:val="24"/>
        </w:rPr>
        <w:t xml:space="preserve">, </w:t>
      </w:r>
      <w:r w:rsidRPr="00BB2872">
        <w:rPr>
          <w:rFonts w:ascii="Times New Roman" w:eastAsia="Times New Roman" w:hAnsi="Times New Roman" w:cs="Times New Roman"/>
          <w:sz w:val="24"/>
          <w:szCs w:val="24"/>
        </w:rPr>
        <w:t xml:space="preserve">the </w:t>
      </w:r>
      <w:r w:rsidR="009623FD" w:rsidRPr="00BB2872">
        <w:rPr>
          <w:rFonts w:ascii="Times New Roman" w:hAnsi="Times New Roman" w:cs="Times New Roman"/>
          <w:sz w:val="24"/>
          <w:szCs w:val="24"/>
          <w:lang w:val="en-US"/>
        </w:rPr>
        <w:t>Organization</w:t>
      </w:r>
      <w:r w:rsidR="00FC15BF" w:rsidRPr="00BB2872">
        <w:rPr>
          <w:rFonts w:ascii="Times New Roman" w:hAnsi="Times New Roman" w:cs="Times New Roman"/>
          <w:sz w:val="24"/>
          <w:szCs w:val="24"/>
          <w:lang w:val="en-US"/>
        </w:rPr>
        <w:t xml:space="preserve"> for Economic Co-operation and Development</w:t>
      </w:r>
      <w:r w:rsidR="00FC15BF" w:rsidRPr="00BB2872">
        <w:rPr>
          <w:rFonts w:ascii="Times New Roman" w:eastAsia="Times New Roman" w:hAnsi="Times New Roman" w:cs="Times New Roman"/>
          <w:sz w:val="24"/>
          <w:szCs w:val="24"/>
        </w:rPr>
        <w:t xml:space="preserve"> (</w:t>
      </w:r>
      <w:r w:rsidRPr="00BB2872">
        <w:rPr>
          <w:rFonts w:ascii="Times New Roman" w:eastAsia="Times New Roman" w:hAnsi="Times New Roman" w:cs="Times New Roman"/>
          <w:sz w:val="24"/>
          <w:szCs w:val="24"/>
        </w:rPr>
        <w:t>OECD</w:t>
      </w:r>
      <w:r w:rsidR="00FC15BF" w:rsidRPr="00BB2872">
        <w:rPr>
          <w:rFonts w:ascii="Times New Roman" w:eastAsia="Times New Roman" w:hAnsi="Times New Roman" w:cs="Times New Roman"/>
          <w:sz w:val="24"/>
          <w:szCs w:val="24"/>
        </w:rPr>
        <w:t>)</w:t>
      </w:r>
      <w:r w:rsidRPr="00BB2872">
        <w:rPr>
          <w:rFonts w:ascii="Times New Roman" w:eastAsia="Times New Roman" w:hAnsi="Times New Roman" w:cs="Times New Roman"/>
          <w:sz w:val="24"/>
          <w:szCs w:val="24"/>
        </w:rPr>
        <w:t xml:space="preserve"> database (</w:t>
      </w:r>
      <w:r w:rsidR="00D42A8D" w:rsidRPr="00BB2872">
        <w:rPr>
          <w:rFonts w:ascii="Times New Roman" w:eastAsia="Times New Roman" w:hAnsi="Times New Roman" w:cs="Times New Roman"/>
          <w:sz w:val="24"/>
          <w:szCs w:val="24"/>
        </w:rPr>
        <w:t xml:space="preserve">including </w:t>
      </w:r>
      <w:r w:rsidRPr="00BB2872">
        <w:rPr>
          <w:rFonts w:ascii="Times New Roman" w:eastAsia="Times New Roman" w:hAnsi="Times New Roman" w:cs="Times New Roman"/>
          <w:sz w:val="24"/>
          <w:szCs w:val="24"/>
        </w:rPr>
        <w:t>business and consumer confidence ind</w:t>
      </w:r>
      <w:r w:rsidR="00D42A8D" w:rsidRPr="00BB2872">
        <w:rPr>
          <w:rFonts w:ascii="Times New Roman" w:eastAsia="Times New Roman" w:hAnsi="Times New Roman" w:cs="Times New Roman"/>
          <w:sz w:val="24"/>
          <w:szCs w:val="24"/>
        </w:rPr>
        <w:t>ices</w:t>
      </w:r>
      <w:r w:rsidRPr="00BB2872">
        <w:rPr>
          <w:rFonts w:ascii="Times New Roman" w:eastAsia="Times New Roman" w:hAnsi="Times New Roman" w:cs="Times New Roman"/>
          <w:sz w:val="24"/>
          <w:szCs w:val="24"/>
        </w:rPr>
        <w:t>)</w:t>
      </w:r>
      <w:r w:rsidR="00B56CD7" w:rsidRPr="00BB2872">
        <w:rPr>
          <w:rFonts w:ascii="Times New Roman" w:eastAsia="Times New Roman" w:hAnsi="Times New Roman" w:cs="Times New Roman"/>
          <w:sz w:val="24"/>
          <w:szCs w:val="24"/>
        </w:rPr>
        <w:t xml:space="preserve"> and Bloomberg (</w:t>
      </w:r>
      <w:r w:rsidR="00FA759E" w:rsidRPr="00BB2872">
        <w:rPr>
          <w:rFonts w:ascii="Times New Roman" w:eastAsia="Times New Roman" w:hAnsi="Times New Roman" w:cs="Times New Roman"/>
          <w:sz w:val="24"/>
          <w:szCs w:val="24"/>
        </w:rPr>
        <w:t>official interest rates for the EA and the V4 countries</w:t>
      </w:r>
      <w:r w:rsidR="00B56CD7" w:rsidRPr="00BB2872">
        <w:rPr>
          <w:rFonts w:ascii="Times New Roman" w:eastAsia="Times New Roman" w:hAnsi="Times New Roman" w:cs="Times New Roman"/>
          <w:sz w:val="24"/>
          <w:szCs w:val="24"/>
        </w:rPr>
        <w:t>)</w:t>
      </w:r>
      <w:r w:rsidRPr="00BB2872">
        <w:rPr>
          <w:rFonts w:ascii="Times New Roman" w:eastAsia="Times New Roman" w:hAnsi="Times New Roman" w:cs="Times New Roman"/>
          <w:sz w:val="24"/>
          <w:szCs w:val="24"/>
        </w:rPr>
        <w:t xml:space="preserve">. </w:t>
      </w:r>
    </w:p>
    <w:p w14:paraId="00000020" w14:textId="49C9D2AA" w:rsidR="00345220" w:rsidRPr="00BB2872" w:rsidRDefault="00D45E73">
      <w:pPr>
        <w:spacing w:after="0" w:line="480" w:lineRule="auto"/>
        <w:ind w:firstLine="720"/>
        <w:rPr>
          <w:rFonts w:ascii="Times New Roman" w:eastAsia="Times New Roman" w:hAnsi="Times New Roman" w:cs="Times New Roman"/>
          <w:sz w:val="24"/>
          <w:szCs w:val="24"/>
        </w:rPr>
      </w:pPr>
      <w:r w:rsidRPr="00BB2872">
        <w:rPr>
          <w:rFonts w:ascii="Times New Roman" w:eastAsia="Times New Roman" w:hAnsi="Times New Roman" w:cs="Times New Roman"/>
          <w:sz w:val="24"/>
          <w:szCs w:val="24"/>
        </w:rPr>
        <w:t>The CNB provides the rates of newly originated household and non-financial corporation loans denominated in CZK. To identify certain characteristics of the interest</w:t>
      </w:r>
      <w:r w:rsidR="00815A39" w:rsidRPr="00BB2872">
        <w:rPr>
          <w:rFonts w:ascii="Times New Roman" w:eastAsia="Times New Roman" w:hAnsi="Times New Roman" w:cs="Times New Roman"/>
          <w:sz w:val="24"/>
          <w:szCs w:val="24"/>
        </w:rPr>
        <w:t xml:space="preserve"> </w:t>
      </w:r>
      <w:r w:rsidRPr="00BB2872">
        <w:rPr>
          <w:rFonts w:ascii="Times New Roman" w:eastAsia="Times New Roman" w:hAnsi="Times New Roman" w:cs="Times New Roman"/>
          <w:sz w:val="24"/>
          <w:szCs w:val="24"/>
        </w:rPr>
        <w:t>rate pass-through, we conduct</w:t>
      </w:r>
      <w:r w:rsidR="00D42A8D" w:rsidRPr="00BB2872">
        <w:rPr>
          <w:rFonts w:ascii="Times New Roman" w:eastAsia="Times New Roman" w:hAnsi="Times New Roman" w:cs="Times New Roman"/>
          <w:sz w:val="24"/>
          <w:szCs w:val="24"/>
        </w:rPr>
        <w:t>ed</w:t>
      </w:r>
      <w:r w:rsidRPr="00BB2872">
        <w:rPr>
          <w:rFonts w:ascii="Times New Roman" w:eastAsia="Times New Roman" w:hAnsi="Times New Roman" w:cs="Times New Roman"/>
          <w:sz w:val="24"/>
          <w:szCs w:val="24"/>
        </w:rPr>
        <w:t xml:space="preserve"> </w:t>
      </w:r>
      <w:r w:rsidR="00D42A8D" w:rsidRPr="00BB2872">
        <w:rPr>
          <w:rFonts w:ascii="Times New Roman" w:eastAsia="Times New Roman" w:hAnsi="Times New Roman" w:cs="Times New Roman"/>
          <w:sz w:val="24"/>
          <w:szCs w:val="24"/>
        </w:rPr>
        <w:t>separate</w:t>
      </w:r>
      <w:r w:rsidRPr="00BB2872">
        <w:rPr>
          <w:rFonts w:ascii="Times New Roman" w:eastAsia="Times New Roman" w:hAnsi="Times New Roman" w:cs="Times New Roman"/>
          <w:sz w:val="24"/>
          <w:szCs w:val="24"/>
        </w:rPr>
        <w:t xml:space="preserve"> analys</w:t>
      </w:r>
      <w:r w:rsidR="00D42A8D" w:rsidRPr="00BB2872">
        <w:rPr>
          <w:rFonts w:ascii="Times New Roman" w:eastAsia="Times New Roman" w:hAnsi="Times New Roman" w:cs="Times New Roman"/>
          <w:sz w:val="24"/>
          <w:szCs w:val="24"/>
        </w:rPr>
        <w:t>e</w:t>
      </w:r>
      <w:r w:rsidRPr="00BB2872">
        <w:rPr>
          <w:rFonts w:ascii="Times New Roman" w:eastAsia="Times New Roman" w:hAnsi="Times New Roman" w:cs="Times New Roman"/>
          <w:sz w:val="24"/>
          <w:szCs w:val="24"/>
        </w:rPr>
        <w:t>s for households and non-financial corporations. Our sample start</w:t>
      </w:r>
      <w:r w:rsidR="00D42A8D" w:rsidRPr="00BB2872">
        <w:rPr>
          <w:rFonts w:ascii="Times New Roman" w:eastAsia="Times New Roman" w:hAnsi="Times New Roman" w:cs="Times New Roman"/>
          <w:sz w:val="24"/>
          <w:szCs w:val="24"/>
        </w:rPr>
        <w:t>ed</w:t>
      </w:r>
      <w:r w:rsidRPr="00BB2872">
        <w:rPr>
          <w:rFonts w:ascii="Times New Roman" w:eastAsia="Times New Roman" w:hAnsi="Times New Roman" w:cs="Times New Roman"/>
          <w:sz w:val="24"/>
          <w:szCs w:val="24"/>
        </w:rPr>
        <w:t xml:space="preserve"> in April 2005 and end</w:t>
      </w:r>
      <w:r w:rsidR="00D42A8D" w:rsidRPr="00BB2872">
        <w:rPr>
          <w:rFonts w:ascii="Times New Roman" w:eastAsia="Times New Roman" w:hAnsi="Times New Roman" w:cs="Times New Roman"/>
          <w:sz w:val="24"/>
          <w:szCs w:val="24"/>
        </w:rPr>
        <w:t>ed</w:t>
      </w:r>
      <w:r w:rsidRPr="00BB2872">
        <w:rPr>
          <w:rFonts w:ascii="Times New Roman" w:eastAsia="Times New Roman" w:hAnsi="Times New Roman" w:cs="Times New Roman"/>
          <w:sz w:val="24"/>
          <w:szCs w:val="24"/>
        </w:rPr>
        <w:t xml:space="preserve"> in February 2020. To assess the role of monetary transmission during </w:t>
      </w:r>
      <w:r w:rsidR="00D42A8D" w:rsidRPr="00BB2872">
        <w:rPr>
          <w:rFonts w:ascii="Times New Roman" w:eastAsia="Times New Roman" w:hAnsi="Times New Roman" w:cs="Times New Roman"/>
          <w:sz w:val="24"/>
          <w:szCs w:val="24"/>
        </w:rPr>
        <w:t xml:space="preserve">the </w:t>
      </w:r>
      <w:r w:rsidRPr="00BB2872">
        <w:rPr>
          <w:rFonts w:ascii="Times New Roman" w:eastAsia="Times New Roman" w:hAnsi="Times New Roman" w:cs="Times New Roman"/>
          <w:sz w:val="24"/>
          <w:szCs w:val="24"/>
        </w:rPr>
        <w:t xml:space="preserve">different monetary policy stages, the </w:t>
      </w:r>
      <w:r w:rsidR="00D42A8D" w:rsidRPr="00BB2872">
        <w:rPr>
          <w:rFonts w:ascii="Times New Roman" w:eastAsia="Times New Roman" w:hAnsi="Times New Roman" w:cs="Times New Roman"/>
          <w:sz w:val="24"/>
          <w:szCs w:val="24"/>
        </w:rPr>
        <w:t xml:space="preserve">entire </w:t>
      </w:r>
      <w:r w:rsidRPr="00BB2872">
        <w:rPr>
          <w:rFonts w:ascii="Times New Roman" w:eastAsia="Times New Roman" w:hAnsi="Times New Roman" w:cs="Times New Roman"/>
          <w:sz w:val="24"/>
          <w:szCs w:val="24"/>
        </w:rPr>
        <w:t xml:space="preserve">sample period </w:t>
      </w:r>
      <w:r w:rsidR="00D42A8D" w:rsidRPr="00BB2872">
        <w:rPr>
          <w:rFonts w:ascii="Times New Roman" w:eastAsia="Times New Roman" w:hAnsi="Times New Roman" w:cs="Times New Roman"/>
          <w:sz w:val="24"/>
          <w:szCs w:val="24"/>
        </w:rPr>
        <w:t>wa</w:t>
      </w:r>
      <w:r w:rsidRPr="00BB2872">
        <w:rPr>
          <w:rFonts w:ascii="Times New Roman" w:eastAsia="Times New Roman" w:hAnsi="Times New Roman" w:cs="Times New Roman"/>
          <w:sz w:val="24"/>
          <w:szCs w:val="24"/>
        </w:rPr>
        <w:t>s divided into four sub-periods</w:t>
      </w:r>
      <w:r w:rsidR="00D42A8D" w:rsidRPr="00BB2872">
        <w:rPr>
          <w:rFonts w:ascii="Times New Roman" w:eastAsia="Times New Roman" w:hAnsi="Times New Roman" w:cs="Times New Roman"/>
          <w:sz w:val="24"/>
          <w:szCs w:val="24"/>
        </w:rPr>
        <w:t>,</w:t>
      </w:r>
      <w:r w:rsidRPr="00BB2872">
        <w:rPr>
          <w:rFonts w:ascii="Times New Roman" w:eastAsia="Times New Roman" w:hAnsi="Times New Roman" w:cs="Times New Roman"/>
          <w:sz w:val="24"/>
          <w:szCs w:val="24"/>
        </w:rPr>
        <w:t xml:space="preserve"> with different monetary policy stances. This division allow</w:t>
      </w:r>
      <w:r w:rsidR="00D42A8D" w:rsidRPr="00BB2872">
        <w:rPr>
          <w:rFonts w:ascii="Times New Roman" w:eastAsia="Times New Roman" w:hAnsi="Times New Roman" w:cs="Times New Roman"/>
          <w:sz w:val="24"/>
          <w:szCs w:val="24"/>
        </w:rPr>
        <w:t>ed</w:t>
      </w:r>
      <w:r w:rsidRPr="00BB2872">
        <w:rPr>
          <w:rFonts w:ascii="Times New Roman" w:eastAsia="Times New Roman" w:hAnsi="Times New Roman" w:cs="Times New Roman"/>
          <w:sz w:val="24"/>
          <w:szCs w:val="24"/>
        </w:rPr>
        <w:t xml:space="preserve"> us to demonstrate that the period for policy evaluation </w:t>
      </w:r>
      <w:r w:rsidR="00D42A8D" w:rsidRPr="00BB2872">
        <w:rPr>
          <w:rFonts w:ascii="Times New Roman" w:eastAsia="Times New Roman" w:hAnsi="Times New Roman" w:cs="Times New Roman"/>
          <w:sz w:val="24"/>
          <w:szCs w:val="24"/>
        </w:rPr>
        <w:t>w</w:t>
      </w:r>
      <w:r w:rsidRPr="00BB2872">
        <w:rPr>
          <w:rFonts w:ascii="Times New Roman" w:eastAsia="Times New Roman" w:hAnsi="Times New Roman" w:cs="Times New Roman"/>
          <w:sz w:val="24"/>
          <w:szCs w:val="24"/>
        </w:rPr>
        <w:t>as considered</w:t>
      </w:r>
      <w:r w:rsidR="00D42A8D" w:rsidRPr="00BB2872">
        <w:rPr>
          <w:rFonts w:ascii="Times New Roman" w:eastAsia="Times New Roman" w:hAnsi="Times New Roman" w:cs="Times New Roman"/>
          <w:sz w:val="24"/>
          <w:szCs w:val="24"/>
        </w:rPr>
        <w:t>, as</w:t>
      </w:r>
      <w:r w:rsidRPr="00BB2872">
        <w:rPr>
          <w:rFonts w:ascii="Times New Roman" w:eastAsia="Times New Roman" w:hAnsi="Times New Roman" w:cs="Times New Roman"/>
          <w:sz w:val="24"/>
          <w:szCs w:val="24"/>
        </w:rPr>
        <w:t xml:space="preserve"> in</w:t>
      </w:r>
      <w:r w:rsidR="00D42A8D" w:rsidRPr="00BB2872">
        <w:rPr>
          <w:rFonts w:ascii="Times New Roman" w:eastAsia="Times New Roman" w:hAnsi="Times New Roman" w:cs="Times New Roman"/>
          <w:sz w:val="24"/>
          <w:szCs w:val="24"/>
        </w:rPr>
        <w:t>, for example,</w:t>
      </w:r>
      <w:r w:rsidRPr="00BB2872">
        <w:rPr>
          <w:rFonts w:ascii="Times New Roman" w:eastAsia="Times New Roman" w:hAnsi="Times New Roman" w:cs="Times New Roman"/>
          <w:sz w:val="24"/>
          <w:szCs w:val="24"/>
        </w:rPr>
        <w:t xml:space="preserve"> </w:t>
      </w:r>
      <w:proofErr w:type="spellStart"/>
      <w:r w:rsidRPr="00BB2872">
        <w:rPr>
          <w:rFonts w:ascii="Times New Roman" w:eastAsia="Times New Roman" w:hAnsi="Times New Roman" w:cs="Times New Roman"/>
          <w:sz w:val="24"/>
          <w:szCs w:val="24"/>
        </w:rPr>
        <w:t>Pare</w:t>
      </w:r>
      <w:r w:rsidR="00471806" w:rsidRPr="00BB2872">
        <w:rPr>
          <w:rFonts w:ascii="Times New Roman" w:eastAsia="Times New Roman" w:hAnsi="Times New Roman" w:cs="Times New Roman"/>
          <w:sz w:val="24"/>
          <w:szCs w:val="24"/>
        </w:rPr>
        <w:t>i</w:t>
      </w:r>
      <w:r w:rsidRPr="00BB2872">
        <w:rPr>
          <w:rFonts w:ascii="Times New Roman" w:eastAsia="Times New Roman" w:hAnsi="Times New Roman" w:cs="Times New Roman"/>
          <w:sz w:val="24"/>
          <w:szCs w:val="24"/>
        </w:rPr>
        <w:t>s</w:t>
      </w:r>
      <w:proofErr w:type="spellEnd"/>
      <w:r w:rsidRPr="00BB2872">
        <w:rPr>
          <w:rFonts w:ascii="Times New Roman" w:eastAsia="Times New Roman" w:hAnsi="Times New Roman" w:cs="Times New Roman"/>
          <w:sz w:val="24"/>
          <w:szCs w:val="24"/>
        </w:rPr>
        <w:t xml:space="preserve"> et al. (2014) </w:t>
      </w:r>
      <w:r w:rsidR="00D42A8D" w:rsidRPr="00BB2872">
        <w:rPr>
          <w:rFonts w:ascii="Times New Roman" w:eastAsia="Times New Roman" w:hAnsi="Times New Roman" w:cs="Times New Roman"/>
          <w:sz w:val="24"/>
          <w:szCs w:val="24"/>
        </w:rPr>
        <w:t>and</w:t>
      </w:r>
      <w:r w:rsidRPr="00BB2872">
        <w:rPr>
          <w:rFonts w:ascii="Times New Roman" w:eastAsia="Times New Roman" w:hAnsi="Times New Roman" w:cs="Times New Roman"/>
          <w:sz w:val="24"/>
          <w:szCs w:val="24"/>
        </w:rPr>
        <w:t xml:space="preserve"> von </w:t>
      </w:r>
      <w:proofErr w:type="spellStart"/>
      <w:r w:rsidRPr="00BB2872">
        <w:rPr>
          <w:rFonts w:ascii="Times New Roman" w:eastAsia="Times New Roman" w:hAnsi="Times New Roman" w:cs="Times New Roman"/>
          <w:sz w:val="24"/>
          <w:szCs w:val="24"/>
        </w:rPr>
        <w:t>Borstel</w:t>
      </w:r>
      <w:proofErr w:type="spellEnd"/>
      <w:r w:rsidRPr="00BB2872">
        <w:rPr>
          <w:rFonts w:ascii="Times New Roman" w:eastAsia="Times New Roman" w:hAnsi="Times New Roman" w:cs="Times New Roman"/>
          <w:sz w:val="24"/>
          <w:szCs w:val="24"/>
        </w:rPr>
        <w:t xml:space="preserve"> et al. (2016). We c</w:t>
      </w:r>
      <w:r w:rsidR="00D42A8D" w:rsidRPr="00BB2872">
        <w:rPr>
          <w:rFonts w:ascii="Times New Roman" w:eastAsia="Times New Roman" w:hAnsi="Times New Roman" w:cs="Times New Roman"/>
          <w:sz w:val="24"/>
          <w:szCs w:val="24"/>
        </w:rPr>
        <w:t>ould</w:t>
      </w:r>
      <w:r w:rsidRPr="00BB2872">
        <w:rPr>
          <w:rFonts w:ascii="Times New Roman" w:eastAsia="Times New Roman" w:hAnsi="Times New Roman" w:cs="Times New Roman"/>
          <w:sz w:val="24"/>
          <w:szCs w:val="24"/>
        </w:rPr>
        <w:t xml:space="preserve"> therefore </w:t>
      </w:r>
      <w:r w:rsidR="00D42A8D" w:rsidRPr="00BB2872">
        <w:rPr>
          <w:rFonts w:ascii="Times New Roman" w:eastAsia="Times New Roman" w:hAnsi="Times New Roman" w:cs="Times New Roman"/>
          <w:sz w:val="24"/>
          <w:szCs w:val="24"/>
        </w:rPr>
        <w:t xml:space="preserve">view the </w:t>
      </w:r>
      <w:r w:rsidRPr="00BB2872">
        <w:rPr>
          <w:rFonts w:ascii="Times New Roman" w:eastAsia="Times New Roman" w:hAnsi="Times New Roman" w:cs="Times New Roman"/>
          <w:sz w:val="24"/>
          <w:szCs w:val="24"/>
        </w:rPr>
        <w:t xml:space="preserve">behaviour of </w:t>
      </w:r>
      <w:r w:rsidR="00D42A8D" w:rsidRPr="00BB2872">
        <w:rPr>
          <w:rFonts w:ascii="Times New Roman" w:eastAsia="Times New Roman" w:hAnsi="Times New Roman" w:cs="Times New Roman"/>
          <w:sz w:val="24"/>
          <w:szCs w:val="24"/>
        </w:rPr>
        <w:t xml:space="preserve">the </w:t>
      </w:r>
      <w:r w:rsidRPr="00BB2872">
        <w:rPr>
          <w:rFonts w:ascii="Times New Roman" w:eastAsia="Times New Roman" w:hAnsi="Times New Roman" w:cs="Times New Roman"/>
          <w:sz w:val="24"/>
          <w:szCs w:val="24"/>
        </w:rPr>
        <w:t>interest</w:t>
      </w:r>
      <w:r w:rsidR="00E02BFF" w:rsidRPr="00BB2872">
        <w:rPr>
          <w:rFonts w:ascii="Times New Roman" w:eastAsia="Times New Roman" w:hAnsi="Times New Roman" w:cs="Times New Roman"/>
          <w:sz w:val="24"/>
          <w:szCs w:val="24"/>
        </w:rPr>
        <w:t xml:space="preserve"> </w:t>
      </w:r>
      <w:r w:rsidRPr="00BB2872">
        <w:rPr>
          <w:rFonts w:ascii="Times New Roman" w:eastAsia="Times New Roman" w:hAnsi="Times New Roman" w:cs="Times New Roman"/>
          <w:sz w:val="24"/>
          <w:szCs w:val="24"/>
        </w:rPr>
        <w:t>rate pass-through during different monetary policy settings</w:t>
      </w:r>
      <w:r w:rsidR="00D42A8D" w:rsidRPr="00BB2872">
        <w:rPr>
          <w:rFonts w:ascii="Times New Roman" w:eastAsia="Times New Roman" w:hAnsi="Times New Roman" w:cs="Times New Roman"/>
          <w:sz w:val="24"/>
          <w:szCs w:val="24"/>
        </w:rPr>
        <w:t>,</w:t>
      </w:r>
      <w:r w:rsidRPr="00BB2872">
        <w:rPr>
          <w:rFonts w:ascii="Times New Roman" w:eastAsia="Times New Roman" w:hAnsi="Times New Roman" w:cs="Times New Roman"/>
          <w:sz w:val="24"/>
          <w:szCs w:val="24"/>
        </w:rPr>
        <w:t xml:space="preserve"> </w:t>
      </w:r>
      <w:r w:rsidR="00D42A8D" w:rsidRPr="00BB2872">
        <w:rPr>
          <w:rFonts w:ascii="Times New Roman" w:eastAsia="Times New Roman" w:hAnsi="Times New Roman" w:cs="Times New Roman"/>
          <w:sz w:val="24"/>
          <w:szCs w:val="24"/>
        </w:rPr>
        <w:t>thereby</w:t>
      </w:r>
      <w:r w:rsidRPr="00BB2872">
        <w:rPr>
          <w:rFonts w:ascii="Times New Roman" w:eastAsia="Times New Roman" w:hAnsi="Times New Roman" w:cs="Times New Roman"/>
          <w:sz w:val="24"/>
          <w:szCs w:val="24"/>
        </w:rPr>
        <w:t xml:space="preserve"> </w:t>
      </w:r>
      <w:r w:rsidR="00D42A8D" w:rsidRPr="00BB2872">
        <w:rPr>
          <w:rFonts w:ascii="Times New Roman" w:eastAsia="Times New Roman" w:hAnsi="Times New Roman" w:cs="Times New Roman"/>
          <w:sz w:val="24"/>
          <w:szCs w:val="24"/>
        </w:rPr>
        <w:t xml:space="preserve">providing </w:t>
      </w:r>
      <w:r w:rsidRPr="00BB2872">
        <w:rPr>
          <w:rFonts w:ascii="Times New Roman" w:eastAsia="Times New Roman" w:hAnsi="Times New Roman" w:cs="Times New Roman"/>
          <w:sz w:val="24"/>
          <w:szCs w:val="24"/>
        </w:rPr>
        <w:t xml:space="preserve">beneficial information </w:t>
      </w:r>
      <w:r w:rsidR="00D42A8D" w:rsidRPr="00BB2872">
        <w:rPr>
          <w:rFonts w:ascii="Times New Roman" w:eastAsia="Times New Roman" w:hAnsi="Times New Roman" w:cs="Times New Roman"/>
          <w:sz w:val="24"/>
          <w:szCs w:val="24"/>
        </w:rPr>
        <w:t>for</w:t>
      </w:r>
      <w:r w:rsidRPr="00BB2872">
        <w:rPr>
          <w:rFonts w:ascii="Times New Roman" w:eastAsia="Times New Roman" w:hAnsi="Times New Roman" w:cs="Times New Roman"/>
          <w:sz w:val="24"/>
          <w:szCs w:val="24"/>
        </w:rPr>
        <w:t xml:space="preserve"> </w:t>
      </w:r>
      <w:proofErr w:type="gramStart"/>
      <w:r w:rsidRPr="00BB2872">
        <w:rPr>
          <w:rFonts w:ascii="Times New Roman" w:eastAsia="Times New Roman" w:hAnsi="Times New Roman" w:cs="Times New Roman"/>
          <w:sz w:val="24"/>
          <w:szCs w:val="24"/>
        </w:rPr>
        <w:t>policy</w:t>
      </w:r>
      <w:r w:rsidR="00D42A8D" w:rsidRPr="00BB2872">
        <w:rPr>
          <w:rFonts w:ascii="Times New Roman" w:eastAsia="Times New Roman" w:hAnsi="Times New Roman" w:cs="Times New Roman"/>
          <w:sz w:val="24"/>
          <w:szCs w:val="24"/>
        </w:rPr>
        <w:t>-</w:t>
      </w:r>
      <w:r w:rsidRPr="00BB2872">
        <w:rPr>
          <w:rFonts w:ascii="Times New Roman" w:eastAsia="Times New Roman" w:hAnsi="Times New Roman" w:cs="Times New Roman"/>
          <w:sz w:val="24"/>
          <w:szCs w:val="24"/>
        </w:rPr>
        <w:t>makers</w:t>
      </w:r>
      <w:proofErr w:type="gramEnd"/>
      <w:r w:rsidRPr="00BB2872">
        <w:rPr>
          <w:rFonts w:ascii="Times New Roman" w:eastAsia="Times New Roman" w:hAnsi="Times New Roman" w:cs="Times New Roman"/>
          <w:sz w:val="24"/>
          <w:szCs w:val="24"/>
        </w:rPr>
        <w:t xml:space="preserve"> and other market participants. The following four periods were identified</w:t>
      </w:r>
      <w:r w:rsidR="00D42A8D" w:rsidRPr="00BB2872">
        <w:rPr>
          <w:rFonts w:ascii="Times New Roman" w:eastAsia="Times New Roman" w:hAnsi="Times New Roman" w:cs="Times New Roman"/>
          <w:sz w:val="24"/>
          <w:szCs w:val="24"/>
        </w:rPr>
        <w:t>,</w:t>
      </w:r>
      <w:r w:rsidRPr="00BB2872">
        <w:rPr>
          <w:rFonts w:ascii="Times New Roman" w:eastAsia="Times New Roman" w:hAnsi="Times New Roman" w:cs="Times New Roman"/>
          <w:sz w:val="24"/>
          <w:szCs w:val="24"/>
        </w:rPr>
        <w:t xml:space="preserve"> based on the development of </w:t>
      </w:r>
      <w:r w:rsidR="00D42A8D" w:rsidRPr="00BB2872">
        <w:rPr>
          <w:rFonts w:ascii="Times New Roman" w:eastAsia="Times New Roman" w:hAnsi="Times New Roman" w:cs="Times New Roman"/>
          <w:sz w:val="24"/>
          <w:szCs w:val="24"/>
        </w:rPr>
        <w:t xml:space="preserve">the </w:t>
      </w:r>
      <w:r w:rsidRPr="00BB2872">
        <w:rPr>
          <w:rFonts w:ascii="Times New Roman" w:eastAsia="Times New Roman" w:hAnsi="Times New Roman" w:cs="Times New Roman"/>
          <w:sz w:val="24"/>
          <w:szCs w:val="24"/>
        </w:rPr>
        <w:t>official monetary policy repo rate</w:t>
      </w:r>
      <w:r w:rsidR="00D42A8D" w:rsidRPr="00BB2872">
        <w:rPr>
          <w:rFonts w:ascii="Times New Roman" w:eastAsia="Times New Roman" w:hAnsi="Times New Roman" w:cs="Times New Roman"/>
          <w:sz w:val="24"/>
          <w:szCs w:val="24"/>
        </w:rPr>
        <w:t>,</w:t>
      </w:r>
      <w:r w:rsidRPr="00BB2872">
        <w:rPr>
          <w:rFonts w:ascii="Times New Roman" w:eastAsia="Times New Roman" w:hAnsi="Times New Roman" w:cs="Times New Roman"/>
          <w:sz w:val="24"/>
          <w:szCs w:val="24"/>
        </w:rPr>
        <w:t xml:space="preserve"> </w:t>
      </w:r>
      <w:r w:rsidR="00D42A8D" w:rsidRPr="00BB2872">
        <w:rPr>
          <w:rFonts w:ascii="Times New Roman" w:eastAsia="Times New Roman" w:hAnsi="Times New Roman" w:cs="Times New Roman"/>
          <w:sz w:val="24"/>
          <w:szCs w:val="24"/>
        </w:rPr>
        <w:t>using</w:t>
      </w:r>
      <w:r w:rsidRPr="00BB2872">
        <w:rPr>
          <w:rFonts w:ascii="Times New Roman" w:eastAsia="Times New Roman" w:hAnsi="Times New Roman" w:cs="Times New Roman"/>
          <w:sz w:val="24"/>
          <w:szCs w:val="24"/>
        </w:rPr>
        <w:t xml:space="preserve"> data from </w:t>
      </w:r>
      <w:r w:rsidR="00D42A8D" w:rsidRPr="00BB2872">
        <w:rPr>
          <w:rFonts w:ascii="Times New Roman" w:eastAsia="Times New Roman" w:hAnsi="Times New Roman" w:cs="Times New Roman"/>
          <w:sz w:val="24"/>
          <w:szCs w:val="24"/>
        </w:rPr>
        <w:t xml:space="preserve">the </w:t>
      </w:r>
      <w:r w:rsidRPr="00BB2872">
        <w:rPr>
          <w:rFonts w:ascii="Times New Roman" w:eastAsia="Times New Roman" w:hAnsi="Times New Roman" w:cs="Times New Roman"/>
          <w:sz w:val="24"/>
          <w:szCs w:val="24"/>
        </w:rPr>
        <w:t xml:space="preserve">ARAD database: </w:t>
      </w:r>
    </w:p>
    <w:p w14:paraId="00000021" w14:textId="066ACF9E" w:rsidR="00345220" w:rsidRPr="00BB2872" w:rsidRDefault="00D45E73">
      <w:pPr>
        <w:numPr>
          <w:ilvl w:val="0"/>
          <w:numId w:val="1"/>
        </w:numPr>
        <w:spacing w:before="240" w:after="0" w:line="480" w:lineRule="auto"/>
      </w:pPr>
      <w:r w:rsidRPr="00BB2872">
        <w:rPr>
          <w:rFonts w:ascii="Times New Roman" w:eastAsia="Times New Roman" w:hAnsi="Times New Roman" w:cs="Times New Roman"/>
          <w:sz w:val="24"/>
          <w:szCs w:val="24"/>
        </w:rPr>
        <w:t>1st period: April 2005–July 2008 (monetary restriction</w:t>
      </w:r>
      <w:proofErr w:type="gramStart"/>
      <w:r w:rsidRPr="00BB2872">
        <w:rPr>
          <w:rFonts w:ascii="Times New Roman" w:eastAsia="Times New Roman" w:hAnsi="Times New Roman" w:cs="Times New Roman"/>
          <w:sz w:val="24"/>
          <w:szCs w:val="24"/>
        </w:rPr>
        <w:t>)</w:t>
      </w:r>
      <w:r w:rsidR="00D42A8D" w:rsidRPr="00BB2872">
        <w:rPr>
          <w:rFonts w:ascii="Times New Roman" w:eastAsia="Times New Roman" w:hAnsi="Times New Roman" w:cs="Times New Roman"/>
          <w:sz w:val="24"/>
          <w:szCs w:val="24"/>
        </w:rPr>
        <w:t>;</w:t>
      </w:r>
      <w:proofErr w:type="gramEnd"/>
    </w:p>
    <w:p w14:paraId="00000022" w14:textId="4AAB8F14" w:rsidR="00345220" w:rsidRPr="00BB2872" w:rsidRDefault="00D45E73">
      <w:pPr>
        <w:numPr>
          <w:ilvl w:val="0"/>
          <w:numId w:val="1"/>
        </w:numPr>
        <w:spacing w:after="0" w:line="480" w:lineRule="auto"/>
      </w:pPr>
      <w:r w:rsidRPr="00BB2872">
        <w:rPr>
          <w:rFonts w:ascii="Times New Roman" w:eastAsia="Times New Roman" w:hAnsi="Times New Roman" w:cs="Times New Roman"/>
          <w:sz w:val="24"/>
          <w:szCs w:val="24"/>
        </w:rPr>
        <w:lastRenderedPageBreak/>
        <w:t>2nd period: August 2008–October 2012 (monetary expansion</w:t>
      </w:r>
      <w:proofErr w:type="gramStart"/>
      <w:r w:rsidRPr="00BB2872">
        <w:rPr>
          <w:rFonts w:ascii="Times New Roman" w:eastAsia="Times New Roman" w:hAnsi="Times New Roman" w:cs="Times New Roman"/>
          <w:sz w:val="24"/>
          <w:szCs w:val="24"/>
        </w:rPr>
        <w:t>)</w:t>
      </w:r>
      <w:r w:rsidR="00D42A8D" w:rsidRPr="00BB2872">
        <w:rPr>
          <w:rFonts w:ascii="Times New Roman" w:eastAsia="Times New Roman" w:hAnsi="Times New Roman" w:cs="Times New Roman"/>
          <w:sz w:val="24"/>
          <w:szCs w:val="24"/>
        </w:rPr>
        <w:t>;</w:t>
      </w:r>
      <w:proofErr w:type="gramEnd"/>
    </w:p>
    <w:p w14:paraId="00000023" w14:textId="69999DCC" w:rsidR="00345220" w:rsidRPr="00BB2872" w:rsidRDefault="00D45E73">
      <w:pPr>
        <w:numPr>
          <w:ilvl w:val="0"/>
          <w:numId w:val="1"/>
        </w:numPr>
        <w:spacing w:after="0" w:line="480" w:lineRule="auto"/>
      </w:pPr>
      <w:r w:rsidRPr="00BB2872">
        <w:rPr>
          <w:rFonts w:ascii="Times New Roman" w:eastAsia="Times New Roman" w:hAnsi="Times New Roman" w:cs="Times New Roman"/>
          <w:sz w:val="24"/>
          <w:szCs w:val="24"/>
        </w:rPr>
        <w:t>3rd period: November 2012–July 2017 (monetary expansion</w:t>
      </w:r>
      <w:r w:rsidR="00D42A8D" w:rsidRPr="00BB2872">
        <w:rPr>
          <w:rFonts w:ascii="Times New Roman" w:eastAsia="Times New Roman" w:hAnsi="Times New Roman" w:cs="Times New Roman"/>
          <w:sz w:val="24"/>
          <w:szCs w:val="24"/>
        </w:rPr>
        <w:t>––</w:t>
      </w:r>
      <w:r w:rsidRPr="00BB2872">
        <w:rPr>
          <w:rFonts w:ascii="Times New Roman" w:eastAsia="Times New Roman" w:hAnsi="Times New Roman" w:cs="Times New Roman"/>
          <w:sz w:val="24"/>
          <w:szCs w:val="24"/>
        </w:rPr>
        <w:t>ZLB)</w:t>
      </w:r>
      <w:r w:rsidR="00D42A8D" w:rsidRPr="00BB2872">
        <w:rPr>
          <w:rFonts w:ascii="Times New Roman" w:eastAsia="Times New Roman" w:hAnsi="Times New Roman" w:cs="Times New Roman"/>
          <w:sz w:val="24"/>
          <w:szCs w:val="24"/>
        </w:rPr>
        <w:t>; and</w:t>
      </w:r>
    </w:p>
    <w:p w14:paraId="00000024" w14:textId="62B150F5" w:rsidR="00345220" w:rsidRPr="00BB2872" w:rsidRDefault="00D45E73">
      <w:pPr>
        <w:numPr>
          <w:ilvl w:val="0"/>
          <w:numId w:val="1"/>
        </w:numPr>
        <w:spacing w:after="240" w:line="480" w:lineRule="auto"/>
      </w:pPr>
      <w:r w:rsidRPr="00BB2872">
        <w:rPr>
          <w:rFonts w:ascii="Times New Roman" w:eastAsia="Times New Roman" w:hAnsi="Times New Roman" w:cs="Times New Roman"/>
          <w:sz w:val="24"/>
          <w:szCs w:val="24"/>
        </w:rPr>
        <w:t>4th period: August 2017–February 2020 (monetary restriction)</w:t>
      </w:r>
      <w:r w:rsidR="00D42A8D" w:rsidRPr="00BB2872">
        <w:rPr>
          <w:rFonts w:ascii="Times New Roman" w:eastAsia="Times New Roman" w:hAnsi="Times New Roman" w:cs="Times New Roman"/>
          <w:sz w:val="24"/>
          <w:szCs w:val="24"/>
        </w:rPr>
        <w:t>.</w:t>
      </w:r>
    </w:p>
    <w:p w14:paraId="00000025" w14:textId="2E33AD50" w:rsidR="00345220" w:rsidRPr="00BB2872" w:rsidRDefault="00D45E73">
      <w:pPr>
        <w:widowControl w:val="0"/>
        <w:spacing w:before="240" w:after="0" w:line="480" w:lineRule="auto"/>
        <w:rPr>
          <w:rFonts w:ascii="Times New Roman" w:eastAsia="Times New Roman" w:hAnsi="Times New Roman" w:cs="Times New Roman"/>
          <w:sz w:val="24"/>
          <w:szCs w:val="24"/>
        </w:rPr>
      </w:pPr>
      <w:r w:rsidRPr="00BB2872">
        <w:rPr>
          <w:rFonts w:ascii="Times New Roman" w:eastAsia="Times New Roman" w:hAnsi="Times New Roman" w:cs="Times New Roman"/>
          <w:sz w:val="24"/>
          <w:szCs w:val="24"/>
        </w:rPr>
        <w:t xml:space="preserve">The pass-through </w:t>
      </w:r>
      <w:r w:rsidR="00B91A5E" w:rsidRPr="00BB2872">
        <w:rPr>
          <w:rFonts w:ascii="Times New Roman" w:eastAsia="Times New Roman" w:hAnsi="Times New Roman" w:cs="Times New Roman"/>
          <w:sz w:val="24"/>
          <w:szCs w:val="24"/>
        </w:rPr>
        <w:t>wa</w:t>
      </w:r>
      <w:r w:rsidRPr="00BB2872">
        <w:rPr>
          <w:rFonts w:ascii="Times New Roman" w:eastAsia="Times New Roman" w:hAnsi="Times New Roman" w:cs="Times New Roman"/>
          <w:sz w:val="24"/>
          <w:szCs w:val="24"/>
        </w:rPr>
        <w:t>s investigated from its beginning</w:t>
      </w:r>
      <w:r w:rsidR="008C15A4" w:rsidRPr="00BB2872">
        <w:rPr>
          <w:rFonts w:ascii="Times New Roman" w:eastAsia="Times New Roman" w:hAnsi="Times New Roman" w:cs="Times New Roman"/>
          <w:sz w:val="24"/>
          <w:szCs w:val="24"/>
        </w:rPr>
        <w:t>,</w:t>
      </w:r>
      <w:r w:rsidRPr="00BB2872">
        <w:rPr>
          <w:rFonts w:ascii="Times New Roman" w:eastAsia="Times New Roman" w:hAnsi="Times New Roman" w:cs="Times New Roman"/>
          <w:sz w:val="24"/>
          <w:szCs w:val="24"/>
        </w:rPr>
        <w:t xml:space="preserve"> </w:t>
      </w:r>
      <w:r w:rsidR="008C15A4" w:rsidRPr="00BB2872">
        <w:rPr>
          <w:rFonts w:ascii="Times New Roman" w:eastAsia="Times New Roman" w:hAnsi="Times New Roman" w:cs="Times New Roman"/>
          <w:sz w:val="24"/>
          <w:szCs w:val="24"/>
        </w:rPr>
        <w:t>with</w:t>
      </w:r>
      <w:r w:rsidRPr="00BB2872">
        <w:rPr>
          <w:rFonts w:ascii="Times New Roman" w:eastAsia="Times New Roman" w:hAnsi="Times New Roman" w:cs="Times New Roman"/>
          <w:sz w:val="24"/>
          <w:szCs w:val="24"/>
        </w:rPr>
        <w:t xml:space="preserve"> the change </w:t>
      </w:r>
      <w:r w:rsidR="008C15A4" w:rsidRPr="00BB2872">
        <w:rPr>
          <w:rFonts w:ascii="Times New Roman" w:eastAsia="Times New Roman" w:hAnsi="Times New Roman" w:cs="Times New Roman"/>
          <w:sz w:val="24"/>
          <w:szCs w:val="24"/>
        </w:rPr>
        <w:t>in the</w:t>
      </w:r>
      <w:r w:rsidRPr="00BB2872">
        <w:rPr>
          <w:rFonts w:ascii="Times New Roman" w:eastAsia="Times New Roman" w:hAnsi="Times New Roman" w:cs="Times New Roman"/>
          <w:sz w:val="24"/>
          <w:szCs w:val="24"/>
        </w:rPr>
        <w:t xml:space="preserve"> official interest rate represented by </w:t>
      </w:r>
      <w:r w:rsidR="008C15A4" w:rsidRPr="00BB2872">
        <w:rPr>
          <w:rFonts w:ascii="Times New Roman" w:eastAsia="Times New Roman" w:hAnsi="Times New Roman" w:cs="Times New Roman"/>
          <w:sz w:val="24"/>
          <w:szCs w:val="24"/>
        </w:rPr>
        <w:t xml:space="preserve">a </w:t>
      </w:r>
      <w:r w:rsidRPr="00BB2872">
        <w:rPr>
          <w:rFonts w:ascii="Times New Roman" w:eastAsia="Times New Roman" w:hAnsi="Times New Roman" w:cs="Times New Roman"/>
          <w:sz w:val="24"/>
          <w:szCs w:val="24"/>
        </w:rPr>
        <w:t xml:space="preserve">two-week </w:t>
      </w:r>
      <w:r w:rsidR="008C15A4" w:rsidRPr="00BB2872">
        <w:rPr>
          <w:rFonts w:ascii="Times New Roman" w:eastAsia="Times New Roman" w:hAnsi="Times New Roman" w:cs="Times New Roman"/>
          <w:sz w:val="24"/>
          <w:szCs w:val="24"/>
        </w:rPr>
        <w:t>r</w:t>
      </w:r>
      <w:r w:rsidRPr="00BB2872">
        <w:rPr>
          <w:rFonts w:ascii="Times New Roman" w:eastAsia="Times New Roman" w:hAnsi="Times New Roman" w:cs="Times New Roman"/>
          <w:sz w:val="24"/>
          <w:szCs w:val="24"/>
        </w:rPr>
        <w:t>epo rate</w:t>
      </w:r>
      <w:r w:rsidR="008C15A4" w:rsidRPr="00BB2872">
        <w:rPr>
          <w:rFonts w:ascii="Times New Roman" w:eastAsia="Times New Roman" w:hAnsi="Times New Roman" w:cs="Times New Roman"/>
          <w:sz w:val="24"/>
          <w:szCs w:val="24"/>
        </w:rPr>
        <w:t>,</w:t>
      </w:r>
      <w:r w:rsidRPr="00BB2872">
        <w:rPr>
          <w:rFonts w:ascii="Times New Roman" w:eastAsia="Times New Roman" w:hAnsi="Times New Roman" w:cs="Times New Roman"/>
          <w:sz w:val="24"/>
          <w:szCs w:val="24"/>
        </w:rPr>
        <w:t xml:space="preserve"> to </w:t>
      </w:r>
      <w:r w:rsidR="008C15A4" w:rsidRPr="00BB2872">
        <w:rPr>
          <w:rFonts w:ascii="Times New Roman" w:eastAsia="Times New Roman" w:hAnsi="Times New Roman" w:cs="Times New Roman"/>
          <w:sz w:val="24"/>
          <w:szCs w:val="24"/>
        </w:rPr>
        <w:t xml:space="preserve">the </w:t>
      </w:r>
      <w:r w:rsidRPr="00BB2872">
        <w:rPr>
          <w:rFonts w:ascii="Times New Roman" w:eastAsia="Times New Roman" w:hAnsi="Times New Roman" w:cs="Times New Roman"/>
          <w:sz w:val="24"/>
          <w:szCs w:val="24"/>
        </w:rPr>
        <w:t xml:space="preserve">money market </w:t>
      </w:r>
      <w:r w:rsidRPr="005A6D8C">
        <w:rPr>
          <w:rFonts w:ascii="Times New Roman" w:eastAsia="Times New Roman" w:hAnsi="Times New Roman" w:cs="Times New Roman"/>
          <w:sz w:val="24"/>
          <w:szCs w:val="24"/>
        </w:rPr>
        <w:t>rate PRIBOR</w:t>
      </w:r>
      <w:r w:rsidR="00FE3807" w:rsidRPr="005A6D8C">
        <w:rPr>
          <w:rFonts w:ascii="Times New Roman" w:eastAsia="Times New Roman" w:hAnsi="Times New Roman" w:cs="Times New Roman"/>
          <w:sz w:val="24"/>
          <w:szCs w:val="24"/>
        </w:rPr>
        <w:t xml:space="preserve"> with a maturity of 1 year</w:t>
      </w:r>
      <w:r w:rsidRPr="005A6D8C">
        <w:rPr>
          <w:rFonts w:ascii="Times New Roman" w:eastAsia="Times New Roman" w:hAnsi="Times New Roman" w:cs="Times New Roman"/>
          <w:sz w:val="24"/>
          <w:szCs w:val="24"/>
        </w:rPr>
        <w:t xml:space="preserve"> and</w:t>
      </w:r>
      <w:r w:rsidR="008C15A4" w:rsidRPr="005A6D8C">
        <w:rPr>
          <w:rFonts w:ascii="Times New Roman" w:eastAsia="Times New Roman" w:hAnsi="Times New Roman" w:cs="Times New Roman"/>
          <w:sz w:val="24"/>
          <w:szCs w:val="24"/>
        </w:rPr>
        <w:t>,</w:t>
      </w:r>
      <w:r w:rsidRPr="005A6D8C">
        <w:rPr>
          <w:rFonts w:ascii="Times New Roman" w:eastAsia="Times New Roman" w:hAnsi="Times New Roman" w:cs="Times New Roman"/>
          <w:sz w:val="24"/>
          <w:szCs w:val="24"/>
        </w:rPr>
        <w:t xml:space="preserve"> consequently</w:t>
      </w:r>
      <w:r w:rsidR="008C15A4" w:rsidRPr="005A6D8C">
        <w:rPr>
          <w:rFonts w:ascii="Times New Roman" w:eastAsia="Times New Roman" w:hAnsi="Times New Roman" w:cs="Times New Roman"/>
          <w:sz w:val="24"/>
          <w:szCs w:val="24"/>
        </w:rPr>
        <w:t>,</w:t>
      </w:r>
      <w:r w:rsidRPr="005A6D8C">
        <w:rPr>
          <w:rFonts w:ascii="Times New Roman" w:eastAsia="Times New Roman" w:hAnsi="Times New Roman" w:cs="Times New Roman"/>
          <w:sz w:val="24"/>
          <w:szCs w:val="24"/>
        </w:rPr>
        <w:t xml:space="preserve"> to the commercial loan rates. Several interest rates for</w:t>
      </w:r>
      <w:r w:rsidRPr="00BB2872">
        <w:rPr>
          <w:rFonts w:ascii="Times New Roman" w:eastAsia="Times New Roman" w:hAnsi="Times New Roman" w:cs="Times New Roman"/>
          <w:sz w:val="24"/>
          <w:szCs w:val="24"/>
        </w:rPr>
        <w:t xml:space="preserve"> households and non-financial corporate loans </w:t>
      </w:r>
      <w:r w:rsidR="008C15A4" w:rsidRPr="00BB2872">
        <w:rPr>
          <w:rFonts w:ascii="Times New Roman" w:eastAsia="Times New Roman" w:hAnsi="Times New Roman" w:cs="Times New Roman"/>
          <w:sz w:val="24"/>
          <w:szCs w:val="24"/>
        </w:rPr>
        <w:t>we</w:t>
      </w:r>
      <w:r w:rsidRPr="00BB2872">
        <w:rPr>
          <w:rFonts w:ascii="Times New Roman" w:eastAsia="Times New Roman" w:hAnsi="Times New Roman" w:cs="Times New Roman"/>
          <w:sz w:val="24"/>
          <w:szCs w:val="24"/>
        </w:rPr>
        <w:t xml:space="preserve">re chosen </w:t>
      </w:r>
      <w:proofErr w:type="gramStart"/>
      <w:r w:rsidR="008C15A4" w:rsidRPr="00BB2872">
        <w:rPr>
          <w:rFonts w:ascii="Times New Roman" w:eastAsia="Times New Roman" w:hAnsi="Times New Roman" w:cs="Times New Roman"/>
          <w:sz w:val="24"/>
          <w:szCs w:val="24"/>
        </w:rPr>
        <w:t xml:space="preserve">in order </w:t>
      </w:r>
      <w:r w:rsidRPr="00BB2872">
        <w:rPr>
          <w:rFonts w:ascii="Times New Roman" w:eastAsia="Times New Roman" w:hAnsi="Times New Roman" w:cs="Times New Roman"/>
          <w:sz w:val="24"/>
          <w:szCs w:val="24"/>
        </w:rPr>
        <w:t>to</w:t>
      </w:r>
      <w:proofErr w:type="gramEnd"/>
      <w:r w:rsidRPr="00BB2872">
        <w:rPr>
          <w:rFonts w:ascii="Times New Roman" w:eastAsia="Times New Roman" w:hAnsi="Times New Roman" w:cs="Times New Roman"/>
          <w:sz w:val="24"/>
          <w:szCs w:val="24"/>
        </w:rPr>
        <w:t xml:space="preserve"> investigate the interest</w:t>
      </w:r>
      <w:r w:rsidR="00E02BFF" w:rsidRPr="00BB2872">
        <w:rPr>
          <w:rFonts w:ascii="Times New Roman" w:eastAsia="Times New Roman" w:hAnsi="Times New Roman" w:cs="Times New Roman"/>
          <w:sz w:val="24"/>
          <w:szCs w:val="24"/>
        </w:rPr>
        <w:t xml:space="preserve"> </w:t>
      </w:r>
      <w:r w:rsidRPr="00BB2872">
        <w:rPr>
          <w:rFonts w:ascii="Times New Roman" w:eastAsia="Times New Roman" w:hAnsi="Times New Roman" w:cs="Times New Roman"/>
          <w:sz w:val="24"/>
          <w:szCs w:val="24"/>
        </w:rPr>
        <w:t>rate pass-through in Czechia. Specifically, for household loans, we chose the rate</w:t>
      </w:r>
      <w:r w:rsidR="008C15A4" w:rsidRPr="00BB2872">
        <w:rPr>
          <w:rFonts w:ascii="Times New Roman" w:eastAsia="Times New Roman" w:hAnsi="Times New Roman" w:cs="Times New Roman"/>
          <w:sz w:val="24"/>
          <w:szCs w:val="24"/>
        </w:rPr>
        <w:t>s</w:t>
      </w:r>
      <w:r w:rsidRPr="00BB2872">
        <w:rPr>
          <w:rFonts w:ascii="Times New Roman" w:eastAsia="Times New Roman" w:hAnsi="Times New Roman" w:cs="Times New Roman"/>
          <w:sz w:val="24"/>
          <w:szCs w:val="24"/>
        </w:rPr>
        <w:t xml:space="preserve"> for house purchase</w:t>
      </w:r>
      <w:r w:rsidR="008C15A4" w:rsidRPr="00BB2872">
        <w:rPr>
          <w:rFonts w:ascii="Times New Roman" w:eastAsia="Times New Roman" w:hAnsi="Times New Roman" w:cs="Times New Roman"/>
          <w:sz w:val="24"/>
          <w:szCs w:val="24"/>
        </w:rPr>
        <w:t>s</w:t>
      </w:r>
      <w:r w:rsidRPr="00BB2872">
        <w:rPr>
          <w:rFonts w:ascii="Times New Roman" w:eastAsia="Times New Roman" w:hAnsi="Times New Roman" w:cs="Times New Roman"/>
          <w:sz w:val="24"/>
          <w:szCs w:val="24"/>
        </w:rPr>
        <w:t xml:space="preserve"> and consumer credit. For non-financial corporate loans, the rate</w:t>
      </w:r>
      <w:r w:rsidR="008C15A4" w:rsidRPr="00BB2872">
        <w:rPr>
          <w:rFonts w:ascii="Times New Roman" w:eastAsia="Times New Roman" w:hAnsi="Times New Roman" w:cs="Times New Roman"/>
          <w:sz w:val="24"/>
          <w:szCs w:val="24"/>
        </w:rPr>
        <w:t>s</w:t>
      </w:r>
      <w:r w:rsidRPr="00BB2872">
        <w:rPr>
          <w:rFonts w:ascii="Times New Roman" w:eastAsia="Times New Roman" w:hAnsi="Times New Roman" w:cs="Times New Roman"/>
          <w:sz w:val="24"/>
          <w:szCs w:val="24"/>
        </w:rPr>
        <w:t xml:space="preserve"> for loans up to 30 million CZK and over 30 million CZK </w:t>
      </w:r>
      <w:r w:rsidR="008C15A4" w:rsidRPr="00BB2872">
        <w:rPr>
          <w:rFonts w:ascii="Times New Roman" w:eastAsia="Times New Roman" w:hAnsi="Times New Roman" w:cs="Times New Roman"/>
          <w:sz w:val="24"/>
          <w:szCs w:val="24"/>
        </w:rPr>
        <w:t>we</w:t>
      </w:r>
      <w:r w:rsidRPr="00BB2872">
        <w:rPr>
          <w:rFonts w:ascii="Times New Roman" w:eastAsia="Times New Roman" w:hAnsi="Times New Roman" w:cs="Times New Roman"/>
          <w:sz w:val="24"/>
          <w:szCs w:val="24"/>
        </w:rPr>
        <w:t xml:space="preserve">re chosen. The development of all </w:t>
      </w:r>
      <w:r w:rsidR="008C15A4" w:rsidRPr="00BB2872">
        <w:rPr>
          <w:rFonts w:ascii="Times New Roman" w:eastAsia="Times New Roman" w:hAnsi="Times New Roman" w:cs="Times New Roman"/>
          <w:sz w:val="24"/>
          <w:szCs w:val="24"/>
        </w:rPr>
        <w:t xml:space="preserve">the examined </w:t>
      </w:r>
      <w:r w:rsidRPr="00BB2872">
        <w:rPr>
          <w:rFonts w:ascii="Times New Roman" w:eastAsia="Times New Roman" w:hAnsi="Times New Roman" w:cs="Times New Roman"/>
          <w:sz w:val="24"/>
          <w:szCs w:val="24"/>
        </w:rPr>
        <w:t xml:space="preserve">interest rates is presented in Appendix </w:t>
      </w:r>
      <w:r w:rsidR="00822FCF">
        <w:rPr>
          <w:rFonts w:ascii="Times New Roman" w:eastAsia="Times New Roman" w:hAnsi="Times New Roman" w:cs="Times New Roman"/>
          <w:sz w:val="24"/>
          <w:szCs w:val="24"/>
        </w:rPr>
        <w:t>4</w:t>
      </w:r>
      <w:r w:rsidRPr="00BB2872">
        <w:rPr>
          <w:rFonts w:ascii="Times New Roman" w:eastAsia="Times New Roman" w:hAnsi="Times New Roman" w:cs="Times New Roman"/>
          <w:sz w:val="24"/>
          <w:szCs w:val="24"/>
        </w:rPr>
        <w:t xml:space="preserve">. </w:t>
      </w:r>
    </w:p>
    <w:p w14:paraId="00000026" w14:textId="1AE4810B" w:rsidR="00345220" w:rsidRPr="00BB2872" w:rsidRDefault="00D45E73">
      <w:pPr>
        <w:spacing w:after="0" w:line="480" w:lineRule="auto"/>
        <w:ind w:firstLine="720"/>
        <w:rPr>
          <w:rFonts w:ascii="Times New Roman" w:eastAsia="Times New Roman" w:hAnsi="Times New Roman" w:cs="Times New Roman"/>
          <w:sz w:val="24"/>
          <w:szCs w:val="24"/>
        </w:rPr>
      </w:pPr>
      <w:r w:rsidRPr="00BB2872">
        <w:rPr>
          <w:rFonts w:ascii="Times New Roman" w:eastAsia="Times New Roman" w:hAnsi="Times New Roman" w:cs="Times New Roman"/>
          <w:sz w:val="24"/>
          <w:szCs w:val="24"/>
        </w:rPr>
        <w:t>We also consider</w:t>
      </w:r>
      <w:r w:rsidR="009C02D1" w:rsidRPr="00BB2872">
        <w:rPr>
          <w:rFonts w:ascii="Times New Roman" w:eastAsia="Times New Roman" w:hAnsi="Times New Roman" w:cs="Times New Roman"/>
          <w:sz w:val="24"/>
          <w:szCs w:val="24"/>
        </w:rPr>
        <w:t>ed</w:t>
      </w:r>
      <w:r w:rsidRPr="00BB2872">
        <w:rPr>
          <w:rFonts w:ascii="Times New Roman" w:eastAsia="Times New Roman" w:hAnsi="Times New Roman" w:cs="Times New Roman"/>
          <w:sz w:val="24"/>
          <w:szCs w:val="24"/>
        </w:rPr>
        <w:t xml:space="preserve"> other macroeconomic variables in our estimation </w:t>
      </w:r>
      <w:r w:rsidR="009C02D1" w:rsidRPr="00BB2872">
        <w:rPr>
          <w:rFonts w:ascii="Times New Roman" w:eastAsia="Times New Roman" w:hAnsi="Times New Roman" w:cs="Times New Roman"/>
          <w:sz w:val="24"/>
          <w:szCs w:val="24"/>
        </w:rPr>
        <w:t xml:space="preserve">because </w:t>
      </w:r>
      <w:r w:rsidRPr="00BB2872">
        <w:rPr>
          <w:rFonts w:ascii="Times New Roman" w:eastAsia="Times New Roman" w:hAnsi="Times New Roman" w:cs="Times New Roman"/>
          <w:sz w:val="24"/>
          <w:szCs w:val="24"/>
        </w:rPr>
        <w:t xml:space="preserve">they should not be omitted if we want to </w:t>
      </w:r>
      <w:proofErr w:type="gramStart"/>
      <w:r w:rsidRPr="00BB2872">
        <w:rPr>
          <w:rFonts w:ascii="Times New Roman" w:eastAsia="Times New Roman" w:hAnsi="Times New Roman" w:cs="Times New Roman"/>
          <w:sz w:val="24"/>
          <w:szCs w:val="24"/>
        </w:rPr>
        <w:t xml:space="preserve">take </w:t>
      </w:r>
      <w:r w:rsidR="009C02D1" w:rsidRPr="00BB2872">
        <w:rPr>
          <w:rFonts w:ascii="Times New Roman" w:eastAsia="Times New Roman" w:hAnsi="Times New Roman" w:cs="Times New Roman"/>
          <w:sz w:val="24"/>
          <w:szCs w:val="24"/>
        </w:rPr>
        <w:t xml:space="preserve">into </w:t>
      </w:r>
      <w:r w:rsidRPr="00BB2872">
        <w:rPr>
          <w:rFonts w:ascii="Times New Roman" w:eastAsia="Times New Roman" w:hAnsi="Times New Roman" w:cs="Times New Roman"/>
          <w:sz w:val="24"/>
          <w:szCs w:val="24"/>
        </w:rPr>
        <w:t>account</w:t>
      </w:r>
      <w:proofErr w:type="gramEnd"/>
      <w:r w:rsidRPr="00BB2872">
        <w:rPr>
          <w:rFonts w:ascii="Times New Roman" w:eastAsia="Times New Roman" w:hAnsi="Times New Roman" w:cs="Times New Roman"/>
          <w:sz w:val="24"/>
          <w:szCs w:val="24"/>
        </w:rPr>
        <w:t xml:space="preserve"> other possible factors that can affect the economy and interact with each other. Because our data for all </w:t>
      </w:r>
      <w:r w:rsidR="009C02D1" w:rsidRPr="00BB2872">
        <w:rPr>
          <w:rFonts w:ascii="Times New Roman" w:eastAsia="Times New Roman" w:hAnsi="Times New Roman" w:cs="Times New Roman"/>
          <w:sz w:val="24"/>
          <w:szCs w:val="24"/>
        </w:rPr>
        <w:t xml:space="preserve">the </w:t>
      </w:r>
      <w:r w:rsidRPr="00BB2872">
        <w:rPr>
          <w:rFonts w:ascii="Times New Roman" w:eastAsia="Times New Roman" w:hAnsi="Times New Roman" w:cs="Times New Roman"/>
          <w:sz w:val="24"/>
          <w:szCs w:val="24"/>
        </w:rPr>
        <w:t xml:space="preserve">interest rates </w:t>
      </w:r>
      <w:r w:rsidR="009C02D1" w:rsidRPr="00BB2872">
        <w:rPr>
          <w:rFonts w:ascii="Times New Roman" w:eastAsia="Times New Roman" w:hAnsi="Times New Roman" w:cs="Times New Roman"/>
          <w:sz w:val="24"/>
          <w:szCs w:val="24"/>
        </w:rPr>
        <w:t>we</w:t>
      </w:r>
      <w:r w:rsidRPr="00BB2872">
        <w:rPr>
          <w:rFonts w:ascii="Times New Roman" w:eastAsia="Times New Roman" w:hAnsi="Times New Roman" w:cs="Times New Roman"/>
          <w:sz w:val="24"/>
          <w:szCs w:val="24"/>
        </w:rPr>
        <w:t xml:space="preserve">re </w:t>
      </w:r>
      <w:proofErr w:type="gramStart"/>
      <w:r w:rsidRPr="00BB2872">
        <w:rPr>
          <w:rFonts w:ascii="Times New Roman" w:eastAsia="Times New Roman" w:hAnsi="Times New Roman" w:cs="Times New Roman"/>
          <w:sz w:val="24"/>
          <w:szCs w:val="24"/>
        </w:rPr>
        <w:t xml:space="preserve">on </w:t>
      </w:r>
      <w:r w:rsidR="009C02D1" w:rsidRPr="00BB2872">
        <w:rPr>
          <w:rFonts w:ascii="Times New Roman" w:eastAsia="Times New Roman" w:hAnsi="Times New Roman" w:cs="Times New Roman"/>
          <w:sz w:val="24"/>
          <w:szCs w:val="24"/>
        </w:rPr>
        <w:t xml:space="preserve">a </w:t>
      </w:r>
      <w:r w:rsidRPr="00BB2872">
        <w:rPr>
          <w:rFonts w:ascii="Times New Roman" w:eastAsia="Times New Roman" w:hAnsi="Times New Roman" w:cs="Times New Roman"/>
          <w:sz w:val="24"/>
          <w:szCs w:val="24"/>
        </w:rPr>
        <w:t>monthly basis</w:t>
      </w:r>
      <w:proofErr w:type="gramEnd"/>
      <w:r w:rsidRPr="00BB2872">
        <w:rPr>
          <w:rFonts w:ascii="Times New Roman" w:eastAsia="Times New Roman" w:hAnsi="Times New Roman" w:cs="Times New Roman"/>
          <w:sz w:val="24"/>
          <w:szCs w:val="24"/>
        </w:rPr>
        <w:t xml:space="preserve">, we included variables </w:t>
      </w:r>
      <w:r w:rsidR="009C02D1" w:rsidRPr="00BB2872">
        <w:rPr>
          <w:rFonts w:ascii="Times New Roman" w:eastAsia="Times New Roman" w:hAnsi="Times New Roman" w:cs="Times New Roman"/>
          <w:sz w:val="24"/>
          <w:szCs w:val="24"/>
        </w:rPr>
        <w:t>at</w:t>
      </w:r>
      <w:r w:rsidRPr="00BB2872">
        <w:rPr>
          <w:rFonts w:ascii="Times New Roman" w:eastAsia="Times New Roman" w:hAnsi="Times New Roman" w:cs="Times New Roman"/>
          <w:sz w:val="24"/>
          <w:szCs w:val="24"/>
        </w:rPr>
        <w:t xml:space="preserve"> the same frequency. The price level, CZK/EUR exchange rate, </w:t>
      </w:r>
      <w:r w:rsidR="009C02D1" w:rsidRPr="00BB2872">
        <w:rPr>
          <w:rFonts w:ascii="Times New Roman" w:eastAsia="Times New Roman" w:hAnsi="Times New Roman" w:cs="Times New Roman"/>
          <w:sz w:val="24"/>
          <w:szCs w:val="24"/>
        </w:rPr>
        <w:t xml:space="preserve">and </w:t>
      </w:r>
      <w:r w:rsidRPr="00BB2872">
        <w:rPr>
          <w:rFonts w:ascii="Times New Roman" w:eastAsia="Times New Roman" w:hAnsi="Times New Roman" w:cs="Times New Roman"/>
          <w:sz w:val="24"/>
          <w:szCs w:val="24"/>
        </w:rPr>
        <w:t xml:space="preserve">the indicators of confidence </w:t>
      </w:r>
      <w:r w:rsidR="009C02D1" w:rsidRPr="00BB2872">
        <w:rPr>
          <w:rFonts w:ascii="Times New Roman" w:eastAsia="Times New Roman" w:hAnsi="Times New Roman" w:cs="Times New Roman"/>
          <w:sz w:val="24"/>
          <w:szCs w:val="24"/>
        </w:rPr>
        <w:t>we</w:t>
      </w:r>
      <w:r w:rsidRPr="00BB2872">
        <w:rPr>
          <w:rFonts w:ascii="Times New Roman" w:eastAsia="Times New Roman" w:hAnsi="Times New Roman" w:cs="Times New Roman"/>
          <w:sz w:val="24"/>
          <w:szCs w:val="24"/>
        </w:rPr>
        <w:t xml:space="preserve">re added to the dataset </w:t>
      </w:r>
      <w:r w:rsidR="009C02D1" w:rsidRPr="00BB2872">
        <w:rPr>
          <w:rFonts w:ascii="Times New Roman" w:eastAsia="Times New Roman" w:hAnsi="Times New Roman" w:cs="Times New Roman"/>
          <w:sz w:val="24"/>
          <w:szCs w:val="24"/>
        </w:rPr>
        <w:t xml:space="preserve">because </w:t>
      </w:r>
      <w:r w:rsidRPr="00BB2872">
        <w:rPr>
          <w:rFonts w:ascii="Times New Roman" w:eastAsia="Times New Roman" w:hAnsi="Times New Roman" w:cs="Times New Roman"/>
          <w:sz w:val="24"/>
          <w:szCs w:val="24"/>
        </w:rPr>
        <w:t xml:space="preserve">they have important roles in the system. The role of confidence is important </w:t>
      </w:r>
      <w:r w:rsidR="009C02D1" w:rsidRPr="00BB2872">
        <w:rPr>
          <w:rFonts w:ascii="Times New Roman" w:eastAsia="Times New Roman" w:hAnsi="Times New Roman" w:cs="Times New Roman"/>
          <w:sz w:val="24"/>
          <w:szCs w:val="24"/>
        </w:rPr>
        <w:t xml:space="preserve">concerning </w:t>
      </w:r>
      <w:r w:rsidRPr="00BB2872">
        <w:rPr>
          <w:rFonts w:ascii="Times New Roman" w:eastAsia="Times New Roman" w:hAnsi="Times New Roman" w:cs="Times New Roman"/>
          <w:sz w:val="24"/>
          <w:szCs w:val="24"/>
        </w:rPr>
        <w:t xml:space="preserve">monetary policy reactions </w:t>
      </w:r>
      <w:r w:rsidR="009C02D1" w:rsidRPr="00BB2872">
        <w:rPr>
          <w:rFonts w:ascii="Times New Roman" w:eastAsia="Times New Roman" w:hAnsi="Times New Roman" w:cs="Times New Roman"/>
          <w:sz w:val="24"/>
          <w:szCs w:val="24"/>
        </w:rPr>
        <w:t>(</w:t>
      </w:r>
      <w:proofErr w:type="gramStart"/>
      <w:r w:rsidRPr="00BB2872">
        <w:rPr>
          <w:rFonts w:ascii="Times New Roman" w:eastAsia="Times New Roman" w:hAnsi="Times New Roman" w:cs="Times New Roman"/>
          <w:sz w:val="24"/>
          <w:szCs w:val="24"/>
        </w:rPr>
        <w:t>e.g.</w:t>
      </w:r>
      <w:proofErr w:type="gramEnd"/>
      <w:r w:rsidRPr="00BB2872">
        <w:rPr>
          <w:rFonts w:ascii="Times New Roman" w:eastAsia="Times New Roman" w:hAnsi="Times New Roman" w:cs="Times New Roman"/>
          <w:sz w:val="24"/>
          <w:szCs w:val="24"/>
        </w:rPr>
        <w:t xml:space="preserve"> see Federal Reserve Bank of Richmond</w:t>
      </w:r>
      <w:r w:rsidR="009C02D1" w:rsidRPr="00BB2872">
        <w:rPr>
          <w:rFonts w:ascii="Times New Roman" w:eastAsia="Times New Roman" w:hAnsi="Times New Roman" w:cs="Times New Roman"/>
          <w:sz w:val="24"/>
          <w:szCs w:val="24"/>
        </w:rPr>
        <w:t>,</w:t>
      </w:r>
      <w:r w:rsidRPr="00BB2872">
        <w:rPr>
          <w:rFonts w:ascii="Times New Roman" w:eastAsia="Times New Roman" w:hAnsi="Times New Roman" w:cs="Times New Roman"/>
          <w:sz w:val="24"/>
          <w:szCs w:val="24"/>
        </w:rPr>
        <w:t xml:space="preserve"> 2019</w:t>
      </w:r>
      <w:r w:rsidR="009C02D1" w:rsidRPr="00BB2872">
        <w:rPr>
          <w:rFonts w:ascii="Times New Roman" w:eastAsia="Times New Roman" w:hAnsi="Times New Roman" w:cs="Times New Roman"/>
          <w:sz w:val="24"/>
          <w:szCs w:val="24"/>
        </w:rPr>
        <w:t>;</w:t>
      </w:r>
      <w:r w:rsidRPr="00BB2872">
        <w:rPr>
          <w:rFonts w:ascii="Times New Roman" w:eastAsia="Times New Roman" w:hAnsi="Times New Roman" w:cs="Times New Roman"/>
          <w:sz w:val="24"/>
          <w:szCs w:val="24"/>
        </w:rPr>
        <w:t xml:space="preserve"> Lien et al</w:t>
      </w:r>
      <w:r w:rsidR="00B56951" w:rsidRPr="00BB2872">
        <w:rPr>
          <w:rFonts w:ascii="Times New Roman" w:eastAsia="Times New Roman" w:hAnsi="Times New Roman" w:cs="Times New Roman"/>
          <w:sz w:val="24"/>
          <w:szCs w:val="24"/>
        </w:rPr>
        <w:t>.</w:t>
      </w:r>
      <w:r w:rsidR="009C02D1" w:rsidRPr="00BB2872">
        <w:rPr>
          <w:rFonts w:ascii="Times New Roman" w:eastAsia="Times New Roman" w:hAnsi="Times New Roman" w:cs="Times New Roman"/>
          <w:sz w:val="24"/>
          <w:szCs w:val="24"/>
        </w:rPr>
        <w:t xml:space="preserve">, </w:t>
      </w:r>
      <w:r w:rsidRPr="00BB2872">
        <w:rPr>
          <w:rFonts w:ascii="Times New Roman" w:eastAsia="Times New Roman" w:hAnsi="Times New Roman" w:cs="Times New Roman"/>
          <w:sz w:val="24"/>
          <w:szCs w:val="24"/>
        </w:rPr>
        <w:t>2019</w:t>
      </w:r>
      <w:r w:rsidR="009C02D1" w:rsidRPr="00BB2872">
        <w:rPr>
          <w:rFonts w:ascii="Times New Roman" w:eastAsia="Times New Roman" w:hAnsi="Times New Roman" w:cs="Times New Roman"/>
          <w:sz w:val="24"/>
          <w:szCs w:val="24"/>
        </w:rPr>
        <w:t>;</w:t>
      </w:r>
      <w:r w:rsidRPr="00BB2872">
        <w:rPr>
          <w:rFonts w:ascii="Times New Roman" w:eastAsia="Times New Roman" w:hAnsi="Times New Roman" w:cs="Times New Roman"/>
          <w:sz w:val="24"/>
          <w:szCs w:val="24"/>
        </w:rPr>
        <w:t xml:space="preserve"> Zhang et al</w:t>
      </w:r>
      <w:r w:rsidR="00B56951" w:rsidRPr="00BB2872">
        <w:rPr>
          <w:rFonts w:ascii="Times New Roman" w:eastAsia="Times New Roman" w:hAnsi="Times New Roman" w:cs="Times New Roman"/>
          <w:sz w:val="24"/>
          <w:szCs w:val="24"/>
        </w:rPr>
        <w:t>.</w:t>
      </w:r>
      <w:r w:rsidR="009C02D1" w:rsidRPr="00BB2872">
        <w:rPr>
          <w:rFonts w:ascii="Times New Roman" w:eastAsia="Times New Roman" w:hAnsi="Times New Roman" w:cs="Times New Roman"/>
          <w:sz w:val="24"/>
          <w:szCs w:val="24"/>
        </w:rPr>
        <w:t>,</w:t>
      </w:r>
      <w:r w:rsidRPr="00BB2872">
        <w:rPr>
          <w:rFonts w:ascii="Times New Roman" w:eastAsia="Times New Roman" w:hAnsi="Times New Roman" w:cs="Times New Roman"/>
          <w:sz w:val="24"/>
          <w:szCs w:val="24"/>
        </w:rPr>
        <w:t xml:space="preserve"> 2019</w:t>
      </w:r>
      <w:r w:rsidR="009C02D1" w:rsidRPr="00BB2872">
        <w:rPr>
          <w:rFonts w:ascii="Times New Roman" w:eastAsia="Times New Roman" w:hAnsi="Times New Roman" w:cs="Times New Roman"/>
          <w:sz w:val="24"/>
          <w:szCs w:val="24"/>
        </w:rPr>
        <w:t>;</w:t>
      </w:r>
      <w:r w:rsidRPr="00BB2872">
        <w:rPr>
          <w:rFonts w:ascii="Times New Roman" w:eastAsia="Times New Roman" w:hAnsi="Times New Roman" w:cs="Times New Roman"/>
          <w:sz w:val="24"/>
          <w:szCs w:val="24"/>
        </w:rPr>
        <w:t xml:space="preserve"> </w:t>
      </w:r>
      <w:proofErr w:type="spellStart"/>
      <w:r w:rsidRPr="00BB2872">
        <w:rPr>
          <w:rFonts w:ascii="Times New Roman" w:eastAsia="Times New Roman" w:hAnsi="Times New Roman" w:cs="Times New Roman"/>
          <w:sz w:val="24"/>
          <w:szCs w:val="24"/>
        </w:rPr>
        <w:t>Funashima</w:t>
      </w:r>
      <w:proofErr w:type="spellEnd"/>
      <w:r w:rsidR="009C02D1" w:rsidRPr="00BB2872">
        <w:rPr>
          <w:rFonts w:ascii="Times New Roman" w:eastAsia="Times New Roman" w:hAnsi="Times New Roman" w:cs="Times New Roman"/>
          <w:sz w:val="24"/>
          <w:szCs w:val="24"/>
        </w:rPr>
        <w:t>,</w:t>
      </w:r>
      <w:r w:rsidRPr="00BB2872">
        <w:rPr>
          <w:rFonts w:ascii="Times New Roman" w:eastAsia="Times New Roman" w:hAnsi="Times New Roman" w:cs="Times New Roman"/>
          <w:sz w:val="24"/>
          <w:szCs w:val="24"/>
        </w:rPr>
        <w:t xml:space="preserve"> 2021)</w:t>
      </w:r>
      <w:r w:rsidR="009C02D1" w:rsidRPr="00BB2872">
        <w:rPr>
          <w:rFonts w:ascii="Times New Roman" w:eastAsia="Times New Roman" w:hAnsi="Times New Roman" w:cs="Times New Roman"/>
          <w:sz w:val="24"/>
          <w:szCs w:val="24"/>
        </w:rPr>
        <w:t>,</w:t>
      </w:r>
      <w:r w:rsidRPr="00BB2872">
        <w:rPr>
          <w:rFonts w:ascii="Times New Roman" w:eastAsia="Times New Roman" w:hAnsi="Times New Roman" w:cs="Times New Roman"/>
          <w:sz w:val="24"/>
          <w:szCs w:val="24"/>
        </w:rPr>
        <w:t xml:space="preserve"> and we believe that it </w:t>
      </w:r>
      <w:r w:rsidR="009C02D1" w:rsidRPr="00BB2872">
        <w:rPr>
          <w:rFonts w:ascii="Times New Roman" w:eastAsia="Times New Roman" w:hAnsi="Times New Roman" w:cs="Times New Roman"/>
          <w:sz w:val="24"/>
          <w:szCs w:val="24"/>
        </w:rPr>
        <w:t>must be included</w:t>
      </w:r>
      <w:r w:rsidRPr="00BB2872">
        <w:rPr>
          <w:rFonts w:ascii="Times New Roman" w:eastAsia="Times New Roman" w:hAnsi="Times New Roman" w:cs="Times New Roman"/>
          <w:sz w:val="24"/>
          <w:szCs w:val="24"/>
        </w:rPr>
        <w:t xml:space="preserve"> in any current research on </w:t>
      </w:r>
      <w:r w:rsidR="009C02D1" w:rsidRPr="00BB2872">
        <w:rPr>
          <w:rFonts w:ascii="Times New Roman" w:eastAsia="Times New Roman" w:hAnsi="Times New Roman" w:cs="Times New Roman"/>
          <w:sz w:val="24"/>
          <w:szCs w:val="24"/>
        </w:rPr>
        <w:t xml:space="preserve">the </w:t>
      </w:r>
      <w:r w:rsidRPr="00BB2872">
        <w:rPr>
          <w:rFonts w:ascii="Times New Roman" w:eastAsia="Times New Roman" w:hAnsi="Times New Roman" w:cs="Times New Roman"/>
          <w:sz w:val="24"/>
          <w:szCs w:val="24"/>
        </w:rPr>
        <w:t xml:space="preserve">behaviour of agents in the economy. According to </w:t>
      </w:r>
      <w:r w:rsidR="009C02D1" w:rsidRPr="00BB2872">
        <w:rPr>
          <w:rFonts w:ascii="Times New Roman" w:eastAsia="Times New Roman" w:hAnsi="Times New Roman" w:cs="Times New Roman"/>
          <w:sz w:val="24"/>
          <w:szCs w:val="24"/>
        </w:rPr>
        <w:t xml:space="preserve">the </w:t>
      </w:r>
      <w:r w:rsidRPr="00BB2872">
        <w:rPr>
          <w:rFonts w:ascii="Times New Roman" w:eastAsia="Times New Roman" w:hAnsi="Times New Roman" w:cs="Times New Roman"/>
          <w:sz w:val="24"/>
          <w:szCs w:val="24"/>
        </w:rPr>
        <w:t>OECD (2020a</w:t>
      </w:r>
      <w:r w:rsidR="00B56951" w:rsidRPr="00BB2872">
        <w:rPr>
          <w:rFonts w:ascii="Times New Roman" w:eastAsia="Times New Roman" w:hAnsi="Times New Roman" w:cs="Times New Roman"/>
          <w:sz w:val="24"/>
          <w:szCs w:val="24"/>
        </w:rPr>
        <w:t xml:space="preserve">, </w:t>
      </w:r>
      <w:r w:rsidRPr="00BB2872">
        <w:rPr>
          <w:rFonts w:ascii="Times New Roman" w:eastAsia="Times New Roman" w:hAnsi="Times New Roman" w:cs="Times New Roman"/>
          <w:sz w:val="24"/>
          <w:szCs w:val="24"/>
        </w:rPr>
        <w:t>b)</w:t>
      </w:r>
      <w:r w:rsidR="009C02D1" w:rsidRPr="00BB2872">
        <w:rPr>
          <w:rFonts w:ascii="Times New Roman" w:eastAsia="Times New Roman" w:hAnsi="Times New Roman" w:cs="Times New Roman"/>
          <w:sz w:val="24"/>
          <w:szCs w:val="24"/>
        </w:rPr>
        <w:t>,</w:t>
      </w:r>
      <w:r w:rsidRPr="00BB2872">
        <w:rPr>
          <w:rFonts w:ascii="Times New Roman" w:eastAsia="Times New Roman" w:hAnsi="Times New Roman" w:cs="Times New Roman"/>
          <w:sz w:val="24"/>
          <w:szCs w:val="24"/>
        </w:rPr>
        <w:t xml:space="preserve"> </w:t>
      </w:r>
      <w:r w:rsidR="009C02D1" w:rsidRPr="00BB2872">
        <w:rPr>
          <w:rFonts w:ascii="Times New Roman" w:eastAsia="Times New Roman" w:hAnsi="Times New Roman" w:cs="Times New Roman"/>
          <w:sz w:val="24"/>
          <w:szCs w:val="24"/>
        </w:rPr>
        <w:t xml:space="preserve">the </w:t>
      </w:r>
      <w:r w:rsidRPr="00BB2872">
        <w:rPr>
          <w:rFonts w:ascii="Times New Roman" w:eastAsia="Times New Roman" w:hAnsi="Times New Roman" w:cs="Times New Roman"/>
          <w:sz w:val="24"/>
          <w:szCs w:val="24"/>
        </w:rPr>
        <w:t>consumer confidence index represents the attitude of households to future development</w:t>
      </w:r>
      <w:r w:rsidR="009C02D1" w:rsidRPr="00BB2872">
        <w:rPr>
          <w:rFonts w:ascii="Times New Roman" w:eastAsia="Times New Roman" w:hAnsi="Times New Roman" w:cs="Times New Roman"/>
          <w:sz w:val="24"/>
          <w:szCs w:val="24"/>
        </w:rPr>
        <w:t>s</w:t>
      </w:r>
      <w:r w:rsidRPr="00BB2872">
        <w:rPr>
          <w:rFonts w:ascii="Times New Roman" w:eastAsia="Times New Roman" w:hAnsi="Times New Roman" w:cs="Times New Roman"/>
          <w:sz w:val="24"/>
          <w:szCs w:val="24"/>
        </w:rPr>
        <w:t xml:space="preserve"> in the economy and </w:t>
      </w:r>
      <w:r w:rsidR="009C02D1" w:rsidRPr="00BB2872">
        <w:rPr>
          <w:rFonts w:ascii="Times New Roman" w:eastAsia="Times New Roman" w:hAnsi="Times New Roman" w:cs="Times New Roman"/>
          <w:sz w:val="24"/>
          <w:szCs w:val="24"/>
        </w:rPr>
        <w:t xml:space="preserve">the </w:t>
      </w:r>
      <w:r w:rsidRPr="00BB2872">
        <w:rPr>
          <w:rFonts w:ascii="Times New Roman" w:eastAsia="Times New Roman" w:hAnsi="Times New Roman" w:cs="Times New Roman"/>
          <w:sz w:val="24"/>
          <w:szCs w:val="24"/>
        </w:rPr>
        <w:t>tendenc</w:t>
      </w:r>
      <w:r w:rsidR="009C02D1" w:rsidRPr="00BB2872">
        <w:rPr>
          <w:rFonts w:ascii="Times New Roman" w:eastAsia="Times New Roman" w:hAnsi="Times New Roman" w:cs="Times New Roman"/>
          <w:sz w:val="24"/>
          <w:szCs w:val="24"/>
        </w:rPr>
        <w:t>y</w:t>
      </w:r>
      <w:r w:rsidRPr="00BB2872">
        <w:rPr>
          <w:rFonts w:ascii="Times New Roman" w:eastAsia="Times New Roman" w:hAnsi="Times New Roman" w:cs="Times New Roman"/>
          <w:sz w:val="24"/>
          <w:szCs w:val="24"/>
        </w:rPr>
        <w:t xml:space="preserve"> for saving. </w:t>
      </w:r>
      <w:r w:rsidR="009C02D1" w:rsidRPr="00BB2872">
        <w:rPr>
          <w:rFonts w:ascii="Times New Roman" w:eastAsia="Times New Roman" w:hAnsi="Times New Roman" w:cs="Times New Roman"/>
          <w:sz w:val="24"/>
          <w:szCs w:val="24"/>
        </w:rPr>
        <w:t>The b</w:t>
      </w:r>
      <w:r w:rsidRPr="00BB2872">
        <w:rPr>
          <w:rFonts w:ascii="Times New Roman" w:eastAsia="Times New Roman" w:hAnsi="Times New Roman" w:cs="Times New Roman"/>
          <w:sz w:val="24"/>
          <w:szCs w:val="24"/>
        </w:rPr>
        <w:t xml:space="preserve">usiness confidence index informs </w:t>
      </w:r>
      <w:r w:rsidR="009C02D1" w:rsidRPr="00BB2872">
        <w:rPr>
          <w:rFonts w:ascii="Times New Roman" w:eastAsia="Times New Roman" w:hAnsi="Times New Roman" w:cs="Times New Roman"/>
          <w:sz w:val="24"/>
          <w:szCs w:val="24"/>
        </w:rPr>
        <w:t xml:space="preserve">on </w:t>
      </w:r>
      <w:r w:rsidRPr="00BB2872">
        <w:rPr>
          <w:rFonts w:ascii="Times New Roman" w:eastAsia="Times New Roman" w:hAnsi="Times New Roman" w:cs="Times New Roman"/>
          <w:sz w:val="24"/>
          <w:szCs w:val="24"/>
        </w:rPr>
        <w:t xml:space="preserve">future business performance. </w:t>
      </w:r>
      <w:r w:rsidR="009C02D1" w:rsidRPr="00BB2872">
        <w:rPr>
          <w:rFonts w:ascii="Times New Roman" w:eastAsia="Times New Roman" w:hAnsi="Times New Roman" w:cs="Times New Roman"/>
          <w:sz w:val="24"/>
          <w:szCs w:val="24"/>
        </w:rPr>
        <w:t>T</w:t>
      </w:r>
      <w:r w:rsidRPr="00BB2872">
        <w:rPr>
          <w:rFonts w:ascii="Times New Roman" w:eastAsia="Times New Roman" w:hAnsi="Times New Roman" w:cs="Times New Roman"/>
          <w:sz w:val="24"/>
          <w:szCs w:val="24"/>
        </w:rPr>
        <w:t xml:space="preserve">hese are also </w:t>
      </w:r>
      <w:r w:rsidR="009C02D1" w:rsidRPr="00BB2872">
        <w:rPr>
          <w:rFonts w:ascii="Times New Roman" w:eastAsia="Times New Roman" w:hAnsi="Times New Roman" w:cs="Times New Roman"/>
          <w:sz w:val="24"/>
          <w:szCs w:val="24"/>
        </w:rPr>
        <w:t xml:space="preserve">all </w:t>
      </w:r>
      <w:r w:rsidRPr="00BB2872">
        <w:rPr>
          <w:rFonts w:ascii="Times New Roman" w:eastAsia="Times New Roman" w:hAnsi="Times New Roman" w:cs="Times New Roman"/>
          <w:sz w:val="24"/>
          <w:szCs w:val="24"/>
        </w:rPr>
        <w:t xml:space="preserve">connected to </w:t>
      </w:r>
      <w:r w:rsidR="009C02D1" w:rsidRPr="00BB2872">
        <w:rPr>
          <w:rFonts w:ascii="Times New Roman" w:eastAsia="Times New Roman" w:hAnsi="Times New Roman" w:cs="Times New Roman"/>
          <w:sz w:val="24"/>
          <w:szCs w:val="24"/>
        </w:rPr>
        <w:t xml:space="preserve">the </w:t>
      </w:r>
      <w:r w:rsidRPr="00BB2872">
        <w:rPr>
          <w:rFonts w:ascii="Times New Roman" w:eastAsia="Times New Roman" w:hAnsi="Times New Roman" w:cs="Times New Roman"/>
          <w:sz w:val="24"/>
          <w:szCs w:val="24"/>
        </w:rPr>
        <w:t xml:space="preserve">demand for credit. These indices </w:t>
      </w:r>
      <w:r w:rsidR="009C02D1" w:rsidRPr="00BB2872">
        <w:rPr>
          <w:rFonts w:ascii="Times New Roman" w:eastAsia="Times New Roman" w:hAnsi="Times New Roman" w:cs="Times New Roman"/>
          <w:sz w:val="24"/>
          <w:szCs w:val="24"/>
        </w:rPr>
        <w:t>represent</w:t>
      </w:r>
      <w:r w:rsidRPr="00BB2872">
        <w:rPr>
          <w:rFonts w:ascii="Times New Roman" w:eastAsia="Times New Roman" w:hAnsi="Times New Roman" w:cs="Times New Roman"/>
          <w:sz w:val="24"/>
          <w:szCs w:val="24"/>
        </w:rPr>
        <w:t xml:space="preserve"> the main economic indicators</w:t>
      </w:r>
      <w:r w:rsidR="009C02D1" w:rsidRPr="00BB2872">
        <w:rPr>
          <w:rFonts w:ascii="Times New Roman" w:eastAsia="Times New Roman" w:hAnsi="Times New Roman" w:cs="Times New Roman"/>
          <w:sz w:val="24"/>
          <w:szCs w:val="24"/>
        </w:rPr>
        <w:t>,</w:t>
      </w:r>
      <w:r w:rsidRPr="00BB2872">
        <w:rPr>
          <w:rFonts w:ascii="Times New Roman" w:eastAsia="Times New Roman" w:hAnsi="Times New Roman" w:cs="Times New Roman"/>
          <w:sz w:val="24"/>
          <w:szCs w:val="24"/>
        </w:rPr>
        <w:t xml:space="preserve"> according to the OECD (2021). </w:t>
      </w:r>
      <w:r w:rsidR="009C02D1" w:rsidRPr="00BB2872">
        <w:rPr>
          <w:rFonts w:ascii="Times New Roman" w:eastAsia="Times New Roman" w:hAnsi="Times New Roman" w:cs="Times New Roman"/>
          <w:sz w:val="24"/>
          <w:szCs w:val="24"/>
        </w:rPr>
        <w:t>Because</w:t>
      </w:r>
      <w:r w:rsidRPr="00BB2872">
        <w:rPr>
          <w:rFonts w:ascii="Times New Roman" w:eastAsia="Times New Roman" w:hAnsi="Times New Roman" w:cs="Times New Roman"/>
          <w:sz w:val="24"/>
          <w:szCs w:val="24"/>
        </w:rPr>
        <w:t xml:space="preserve"> Czechia is a small</w:t>
      </w:r>
      <w:r w:rsidR="009C02D1" w:rsidRPr="00BB2872">
        <w:rPr>
          <w:rFonts w:ascii="Times New Roman" w:eastAsia="Times New Roman" w:hAnsi="Times New Roman" w:cs="Times New Roman"/>
          <w:sz w:val="24"/>
          <w:szCs w:val="24"/>
        </w:rPr>
        <w:t>,</w:t>
      </w:r>
      <w:r w:rsidRPr="00BB2872">
        <w:rPr>
          <w:rFonts w:ascii="Times New Roman" w:eastAsia="Times New Roman" w:hAnsi="Times New Roman" w:cs="Times New Roman"/>
          <w:sz w:val="24"/>
          <w:szCs w:val="24"/>
        </w:rPr>
        <w:t xml:space="preserve"> open economy and a part of the European Union, we also included the EA money market </w:t>
      </w:r>
      <w:r w:rsidRPr="00BB2872">
        <w:rPr>
          <w:rFonts w:ascii="Times New Roman" w:eastAsia="Times New Roman" w:hAnsi="Times New Roman" w:cs="Times New Roman"/>
          <w:sz w:val="24"/>
          <w:szCs w:val="24"/>
        </w:rPr>
        <w:lastRenderedPageBreak/>
        <w:t xml:space="preserve">reference rate </w:t>
      </w:r>
      <w:r w:rsidR="009C02D1" w:rsidRPr="00BB2872">
        <w:rPr>
          <w:rFonts w:ascii="Times New Roman" w:eastAsia="Times New Roman" w:hAnsi="Times New Roman" w:cs="Times New Roman"/>
          <w:sz w:val="24"/>
          <w:szCs w:val="24"/>
        </w:rPr>
        <w:t xml:space="preserve">(the </w:t>
      </w:r>
      <w:r w:rsidR="00B210BD" w:rsidRPr="00BB2872">
        <w:rPr>
          <w:rFonts w:ascii="Times New Roman" w:hAnsi="Times New Roman" w:cs="Times New Roman"/>
          <w:sz w:val="24"/>
          <w:szCs w:val="24"/>
          <w:lang w:val="en-US"/>
        </w:rPr>
        <w:t>Eur</w:t>
      </w:r>
      <w:r w:rsidR="009C02D1" w:rsidRPr="00BB2872">
        <w:rPr>
          <w:rFonts w:ascii="Times New Roman" w:hAnsi="Times New Roman" w:cs="Times New Roman"/>
          <w:sz w:val="24"/>
          <w:szCs w:val="24"/>
          <w:lang w:val="en-US"/>
        </w:rPr>
        <w:t>o Interbank Offer</w:t>
      </w:r>
      <w:r w:rsidR="00B210BD" w:rsidRPr="00BB2872">
        <w:rPr>
          <w:rFonts w:ascii="Times New Roman" w:hAnsi="Times New Roman" w:cs="Times New Roman"/>
          <w:sz w:val="24"/>
          <w:szCs w:val="24"/>
          <w:lang w:val="en-US"/>
        </w:rPr>
        <w:t xml:space="preserve"> Rate</w:t>
      </w:r>
      <w:r w:rsidR="009C02D1" w:rsidRPr="00BB2872">
        <w:rPr>
          <w:rFonts w:ascii="Times New Roman" w:hAnsi="Times New Roman" w:cs="Times New Roman"/>
          <w:sz w:val="24"/>
          <w:szCs w:val="24"/>
          <w:lang w:val="en-US"/>
        </w:rPr>
        <w:t>,</w:t>
      </w:r>
      <w:r w:rsidR="00B210BD" w:rsidRPr="00BB2872">
        <w:rPr>
          <w:rFonts w:ascii="Times New Roman" w:eastAsia="Times New Roman" w:hAnsi="Times New Roman" w:cs="Times New Roman"/>
          <w:sz w:val="24"/>
          <w:szCs w:val="24"/>
        </w:rPr>
        <w:t xml:space="preserve"> </w:t>
      </w:r>
      <w:r w:rsidRPr="00BB2872">
        <w:rPr>
          <w:rFonts w:ascii="Times New Roman" w:eastAsia="Times New Roman" w:hAnsi="Times New Roman" w:cs="Times New Roman"/>
          <w:sz w:val="24"/>
          <w:szCs w:val="24"/>
        </w:rPr>
        <w:t>EURIBOR</w:t>
      </w:r>
      <w:r w:rsidR="00B210BD" w:rsidRPr="005A6D8C">
        <w:rPr>
          <w:rFonts w:ascii="Times New Roman" w:eastAsia="Times New Roman" w:hAnsi="Times New Roman" w:cs="Times New Roman"/>
          <w:sz w:val="24"/>
          <w:szCs w:val="24"/>
        </w:rPr>
        <w:t>)</w:t>
      </w:r>
      <w:r w:rsidRPr="005A6D8C">
        <w:rPr>
          <w:rFonts w:ascii="Times New Roman" w:eastAsia="Times New Roman" w:hAnsi="Times New Roman" w:cs="Times New Roman"/>
          <w:sz w:val="24"/>
          <w:szCs w:val="24"/>
        </w:rPr>
        <w:t xml:space="preserve"> </w:t>
      </w:r>
      <w:r w:rsidR="001C3512" w:rsidRPr="005A6D8C">
        <w:rPr>
          <w:rFonts w:ascii="Times New Roman" w:eastAsia="Times New Roman" w:hAnsi="Times New Roman" w:cs="Times New Roman"/>
          <w:sz w:val="24"/>
          <w:szCs w:val="24"/>
        </w:rPr>
        <w:t>with</w:t>
      </w:r>
      <w:r w:rsidR="008D24EC" w:rsidRPr="005A6D8C">
        <w:rPr>
          <w:rFonts w:ascii="Times New Roman" w:eastAsia="Times New Roman" w:hAnsi="Times New Roman" w:cs="Times New Roman"/>
          <w:sz w:val="24"/>
          <w:szCs w:val="24"/>
        </w:rPr>
        <w:t xml:space="preserve"> a maturity </w:t>
      </w:r>
      <w:r w:rsidR="00D31274" w:rsidRPr="005A6D8C">
        <w:rPr>
          <w:rFonts w:ascii="Times New Roman" w:eastAsia="Times New Roman" w:hAnsi="Times New Roman" w:cs="Times New Roman"/>
          <w:sz w:val="24"/>
          <w:szCs w:val="24"/>
        </w:rPr>
        <w:t>of</w:t>
      </w:r>
      <w:r w:rsidR="001C3512" w:rsidRPr="005A6D8C">
        <w:rPr>
          <w:rFonts w:ascii="Times New Roman" w:eastAsia="Times New Roman" w:hAnsi="Times New Roman" w:cs="Times New Roman"/>
          <w:sz w:val="24"/>
          <w:szCs w:val="24"/>
        </w:rPr>
        <w:t xml:space="preserve"> 12 months</w:t>
      </w:r>
      <w:r w:rsidR="001C3512">
        <w:rPr>
          <w:rFonts w:ascii="Times New Roman" w:eastAsia="Times New Roman" w:hAnsi="Times New Roman" w:cs="Times New Roman"/>
          <w:sz w:val="24"/>
          <w:szCs w:val="24"/>
        </w:rPr>
        <w:t xml:space="preserve"> </w:t>
      </w:r>
      <w:r w:rsidRPr="00BB2872">
        <w:rPr>
          <w:rFonts w:ascii="Times New Roman" w:eastAsia="Times New Roman" w:hAnsi="Times New Roman" w:cs="Times New Roman"/>
          <w:sz w:val="24"/>
          <w:szCs w:val="24"/>
        </w:rPr>
        <w:t xml:space="preserve">to our estimation </w:t>
      </w:r>
      <w:r w:rsidR="009C02D1" w:rsidRPr="00BB2872">
        <w:rPr>
          <w:rFonts w:ascii="Times New Roman" w:eastAsia="Times New Roman" w:hAnsi="Times New Roman" w:cs="Times New Roman"/>
          <w:sz w:val="24"/>
          <w:szCs w:val="24"/>
        </w:rPr>
        <w:t xml:space="preserve">in order </w:t>
      </w:r>
      <w:r w:rsidRPr="00BB2872">
        <w:rPr>
          <w:rFonts w:ascii="Times New Roman" w:eastAsia="Times New Roman" w:hAnsi="Times New Roman" w:cs="Times New Roman"/>
          <w:sz w:val="24"/>
          <w:szCs w:val="24"/>
        </w:rPr>
        <w:t xml:space="preserve">to </w:t>
      </w:r>
      <w:r w:rsidR="009C02D1" w:rsidRPr="00BB2872">
        <w:rPr>
          <w:rFonts w:ascii="Times New Roman" w:eastAsia="Times New Roman" w:hAnsi="Times New Roman" w:cs="Times New Roman"/>
          <w:sz w:val="24"/>
          <w:szCs w:val="24"/>
        </w:rPr>
        <w:t>determine</w:t>
      </w:r>
      <w:r w:rsidRPr="00BB2872">
        <w:rPr>
          <w:rFonts w:ascii="Times New Roman" w:eastAsia="Times New Roman" w:hAnsi="Times New Roman" w:cs="Times New Roman"/>
          <w:sz w:val="24"/>
          <w:szCs w:val="24"/>
        </w:rPr>
        <w:t xml:space="preserve"> its possible effects in </w:t>
      </w:r>
      <w:r w:rsidR="009C02D1" w:rsidRPr="00BB2872">
        <w:rPr>
          <w:rFonts w:ascii="Times New Roman" w:eastAsia="Times New Roman" w:hAnsi="Times New Roman" w:cs="Times New Roman"/>
          <w:sz w:val="24"/>
          <w:szCs w:val="24"/>
        </w:rPr>
        <w:t xml:space="preserve">the </w:t>
      </w:r>
      <w:r w:rsidRPr="00BB2872">
        <w:rPr>
          <w:rFonts w:ascii="Times New Roman" w:eastAsia="Times New Roman" w:hAnsi="Times New Roman" w:cs="Times New Roman"/>
          <w:sz w:val="24"/>
          <w:szCs w:val="24"/>
        </w:rPr>
        <w:t xml:space="preserve">defined SVAR system </w:t>
      </w:r>
      <w:r w:rsidR="009C02D1" w:rsidRPr="00BB2872">
        <w:rPr>
          <w:rFonts w:ascii="Times New Roman" w:eastAsia="Times New Roman" w:hAnsi="Times New Roman" w:cs="Times New Roman"/>
          <w:sz w:val="24"/>
          <w:szCs w:val="24"/>
        </w:rPr>
        <w:t xml:space="preserve">because </w:t>
      </w:r>
      <w:proofErr w:type="spellStart"/>
      <w:r w:rsidRPr="00BB2872">
        <w:rPr>
          <w:rFonts w:ascii="Times New Roman" w:eastAsia="Times New Roman" w:hAnsi="Times New Roman" w:cs="Times New Roman"/>
          <w:sz w:val="24"/>
          <w:szCs w:val="24"/>
        </w:rPr>
        <w:t>spillovers</w:t>
      </w:r>
      <w:proofErr w:type="spellEnd"/>
      <w:r w:rsidRPr="00BB2872">
        <w:rPr>
          <w:rFonts w:ascii="Times New Roman" w:eastAsia="Times New Roman" w:hAnsi="Times New Roman" w:cs="Times New Roman"/>
          <w:sz w:val="24"/>
          <w:szCs w:val="24"/>
        </w:rPr>
        <w:t xml:space="preserve"> can be expected, </w:t>
      </w:r>
      <w:r w:rsidR="009C02D1" w:rsidRPr="00BB2872">
        <w:rPr>
          <w:rFonts w:ascii="Times New Roman" w:eastAsia="Times New Roman" w:hAnsi="Times New Roman" w:cs="Times New Roman"/>
          <w:sz w:val="24"/>
          <w:szCs w:val="24"/>
        </w:rPr>
        <w:t>(</w:t>
      </w:r>
      <w:proofErr w:type="gramStart"/>
      <w:r w:rsidRPr="00BB2872">
        <w:rPr>
          <w:rFonts w:ascii="Times New Roman" w:eastAsia="Times New Roman" w:hAnsi="Times New Roman" w:cs="Times New Roman"/>
          <w:sz w:val="24"/>
          <w:szCs w:val="24"/>
        </w:rPr>
        <w:t>e.g.</w:t>
      </w:r>
      <w:proofErr w:type="gramEnd"/>
      <w:r w:rsidRPr="00BB2872">
        <w:rPr>
          <w:rFonts w:ascii="Times New Roman" w:eastAsia="Times New Roman" w:hAnsi="Times New Roman" w:cs="Times New Roman"/>
          <w:sz w:val="24"/>
          <w:szCs w:val="24"/>
        </w:rPr>
        <w:t xml:space="preserve"> see Keppel and </w:t>
      </w:r>
      <w:proofErr w:type="spellStart"/>
      <w:r w:rsidRPr="00BB2872">
        <w:rPr>
          <w:rFonts w:ascii="Times New Roman" w:eastAsia="Times New Roman" w:hAnsi="Times New Roman" w:cs="Times New Roman"/>
          <w:sz w:val="24"/>
          <w:szCs w:val="24"/>
        </w:rPr>
        <w:t>Prettner</w:t>
      </w:r>
      <w:proofErr w:type="spellEnd"/>
      <w:r w:rsidR="009C02D1" w:rsidRPr="00BB2872">
        <w:rPr>
          <w:rFonts w:ascii="Times New Roman" w:eastAsia="Times New Roman" w:hAnsi="Times New Roman" w:cs="Times New Roman"/>
          <w:sz w:val="24"/>
          <w:szCs w:val="24"/>
        </w:rPr>
        <w:t>,</w:t>
      </w:r>
      <w:r w:rsidRPr="00BB2872">
        <w:rPr>
          <w:rFonts w:ascii="Times New Roman" w:eastAsia="Times New Roman" w:hAnsi="Times New Roman" w:cs="Times New Roman"/>
          <w:sz w:val="24"/>
          <w:szCs w:val="24"/>
        </w:rPr>
        <w:t xml:space="preserve"> 2015</w:t>
      </w:r>
      <w:r w:rsidR="009C02D1" w:rsidRPr="00BB2872">
        <w:rPr>
          <w:rFonts w:ascii="Times New Roman" w:eastAsia="Times New Roman" w:hAnsi="Times New Roman" w:cs="Times New Roman"/>
          <w:sz w:val="24"/>
          <w:szCs w:val="24"/>
        </w:rPr>
        <w:t>;</w:t>
      </w:r>
      <w:r w:rsidRPr="00BB2872">
        <w:rPr>
          <w:rFonts w:ascii="Times New Roman" w:eastAsia="Times New Roman" w:hAnsi="Times New Roman" w:cs="Times New Roman"/>
          <w:sz w:val="24"/>
          <w:szCs w:val="24"/>
        </w:rPr>
        <w:t xml:space="preserve"> </w:t>
      </w:r>
      <w:proofErr w:type="spellStart"/>
      <w:r w:rsidRPr="00BB2872">
        <w:rPr>
          <w:rFonts w:ascii="Times New Roman" w:eastAsia="Times New Roman" w:hAnsi="Times New Roman" w:cs="Times New Roman"/>
          <w:sz w:val="24"/>
          <w:szCs w:val="24"/>
        </w:rPr>
        <w:t>Hájek</w:t>
      </w:r>
      <w:proofErr w:type="spellEnd"/>
      <w:r w:rsidRPr="00BB2872">
        <w:rPr>
          <w:rFonts w:ascii="Times New Roman" w:eastAsia="Times New Roman" w:hAnsi="Times New Roman" w:cs="Times New Roman"/>
          <w:sz w:val="24"/>
          <w:szCs w:val="24"/>
        </w:rPr>
        <w:t xml:space="preserve"> and Horv</w:t>
      </w:r>
      <w:r w:rsidR="00A4495D" w:rsidRPr="00BB2872">
        <w:rPr>
          <w:rFonts w:ascii="Times New Roman" w:eastAsia="Times New Roman" w:hAnsi="Times New Roman" w:cs="Times New Roman"/>
          <w:sz w:val="24"/>
          <w:szCs w:val="24"/>
        </w:rPr>
        <w:t>a</w:t>
      </w:r>
      <w:r w:rsidRPr="00BB2872">
        <w:rPr>
          <w:rFonts w:ascii="Times New Roman" w:eastAsia="Times New Roman" w:hAnsi="Times New Roman" w:cs="Times New Roman"/>
          <w:sz w:val="24"/>
          <w:szCs w:val="24"/>
        </w:rPr>
        <w:t>th</w:t>
      </w:r>
      <w:r w:rsidR="009C02D1" w:rsidRPr="00BB2872">
        <w:rPr>
          <w:rFonts w:ascii="Times New Roman" w:eastAsia="Times New Roman" w:hAnsi="Times New Roman" w:cs="Times New Roman"/>
          <w:sz w:val="24"/>
          <w:szCs w:val="24"/>
        </w:rPr>
        <w:t>,</w:t>
      </w:r>
      <w:r w:rsidRPr="00BB2872">
        <w:rPr>
          <w:rFonts w:ascii="Times New Roman" w:eastAsia="Times New Roman" w:hAnsi="Times New Roman" w:cs="Times New Roman"/>
          <w:sz w:val="24"/>
          <w:szCs w:val="24"/>
        </w:rPr>
        <w:t xml:space="preserve"> 2016</w:t>
      </w:r>
      <w:r w:rsidR="009C02D1" w:rsidRPr="00BB2872">
        <w:rPr>
          <w:rFonts w:ascii="Times New Roman" w:eastAsia="Times New Roman" w:hAnsi="Times New Roman" w:cs="Times New Roman"/>
          <w:sz w:val="24"/>
          <w:szCs w:val="24"/>
        </w:rPr>
        <w:t>;</w:t>
      </w:r>
      <w:r w:rsidRPr="00BB2872">
        <w:rPr>
          <w:rFonts w:ascii="Times New Roman" w:eastAsia="Times New Roman" w:hAnsi="Times New Roman" w:cs="Times New Roman"/>
          <w:sz w:val="24"/>
          <w:szCs w:val="24"/>
        </w:rPr>
        <w:t xml:space="preserve"> </w:t>
      </w:r>
      <w:proofErr w:type="spellStart"/>
      <w:r w:rsidRPr="00BB2872">
        <w:rPr>
          <w:rFonts w:ascii="Times New Roman" w:eastAsia="Times New Roman" w:hAnsi="Times New Roman" w:cs="Times New Roman"/>
          <w:sz w:val="24"/>
          <w:szCs w:val="24"/>
        </w:rPr>
        <w:t>ter</w:t>
      </w:r>
      <w:proofErr w:type="spellEnd"/>
      <w:r w:rsidRPr="00BB2872">
        <w:rPr>
          <w:rFonts w:ascii="Times New Roman" w:eastAsia="Times New Roman" w:hAnsi="Times New Roman" w:cs="Times New Roman"/>
          <w:sz w:val="24"/>
          <w:szCs w:val="24"/>
        </w:rPr>
        <w:t xml:space="preserve"> Ellen et al.</w:t>
      </w:r>
      <w:r w:rsidR="009C02D1" w:rsidRPr="00BB2872">
        <w:rPr>
          <w:rFonts w:ascii="Times New Roman" w:eastAsia="Times New Roman" w:hAnsi="Times New Roman" w:cs="Times New Roman"/>
          <w:sz w:val="24"/>
          <w:szCs w:val="24"/>
        </w:rPr>
        <w:t xml:space="preserve">, </w:t>
      </w:r>
      <w:r w:rsidRPr="00BB2872">
        <w:rPr>
          <w:rFonts w:ascii="Times New Roman" w:eastAsia="Times New Roman" w:hAnsi="Times New Roman" w:cs="Times New Roman"/>
          <w:sz w:val="24"/>
          <w:szCs w:val="24"/>
        </w:rPr>
        <w:t>2020). All the time</w:t>
      </w:r>
      <w:r w:rsidR="009C02D1" w:rsidRPr="00BB2872">
        <w:rPr>
          <w:rFonts w:ascii="Times New Roman" w:eastAsia="Times New Roman" w:hAnsi="Times New Roman" w:cs="Times New Roman"/>
          <w:sz w:val="24"/>
          <w:szCs w:val="24"/>
        </w:rPr>
        <w:t>-</w:t>
      </w:r>
      <w:r w:rsidRPr="00BB2872">
        <w:rPr>
          <w:rFonts w:ascii="Times New Roman" w:eastAsia="Times New Roman" w:hAnsi="Times New Roman" w:cs="Times New Roman"/>
          <w:sz w:val="24"/>
          <w:szCs w:val="24"/>
        </w:rPr>
        <w:t xml:space="preserve">series </w:t>
      </w:r>
      <w:r w:rsidR="009C02D1" w:rsidRPr="00BB2872">
        <w:rPr>
          <w:rFonts w:ascii="Times New Roman" w:eastAsia="Times New Roman" w:hAnsi="Times New Roman" w:cs="Times New Roman"/>
          <w:sz w:val="24"/>
          <w:szCs w:val="24"/>
        </w:rPr>
        <w:t>we</w:t>
      </w:r>
      <w:r w:rsidRPr="00BB2872">
        <w:rPr>
          <w:rFonts w:ascii="Times New Roman" w:eastAsia="Times New Roman" w:hAnsi="Times New Roman" w:cs="Times New Roman"/>
          <w:sz w:val="24"/>
          <w:szCs w:val="24"/>
        </w:rPr>
        <w:t xml:space="preserve">re transformed into differences to ensure their stationarity. The results of </w:t>
      </w:r>
      <w:r w:rsidR="009C02D1" w:rsidRPr="00BB2872">
        <w:rPr>
          <w:rFonts w:ascii="Times New Roman" w:eastAsia="Times New Roman" w:hAnsi="Times New Roman" w:cs="Times New Roman"/>
          <w:sz w:val="24"/>
          <w:szCs w:val="24"/>
        </w:rPr>
        <w:t xml:space="preserve">the </w:t>
      </w:r>
      <w:r w:rsidRPr="00BB2872">
        <w:rPr>
          <w:rFonts w:ascii="Times New Roman" w:eastAsia="Times New Roman" w:hAnsi="Times New Roman" w:cs="Times New Roman"/>
          <w:sz w:val="24"/>
          <w:szCs w:val="24"/>
        </w:rPr>
        <w:t xml:space="preserve">descriptive statistics are presented in Appendix </w:t>
      </w:r>
      <w:r w:rsidR="00822FCF">
        <w:rPr>
          <w:rFonts w:ascii="Times New Roman" w:eastAsia="Times New Roman" w:hAnsi="Times New Roman" w:cs="Times New Roman"/>
          <w:sz w:val="24"/>
          <w:szCs w:val="24"/>
        </w:rPr>
        <w:t>5</w:t>
      </w:r>
      <w:r w:rsidR="009C02D1" w:rsidRPr="00BB2872">
        <w:rPr>
          <w:rFonts w:ascii="Times New Roman" w:eastAsia="Times New Roman" w:hAnsi="Times New Roman" w:cs="Times New Roman"/>
          <w:sz w:val="24"/>
          <w:szCs w:val="24"/>
        </w:rPr>
        <w:t>,</w:t>
      </w:r>
      <w:r w:rsidRPr="00BB2872">
        <w:rPr>
          <w:rFonts w:ascii="Times New Roman" w:eastAsia="Times New Roman" w:hAnsi="Times New Roman" w:cs="Times New Roman"/>
          <w:sz w:val="24"/>
          <w:szCs w:val="24"/>
        </w:rPr>
        <w:t xml:space="preserve"> </w:t>
      </w:r>
      <w:r w:rsidR="009C02D1" w:rsidRPr="00BB2872">
        <w:rPr>
          <w:rFonts w:ascii="Times New Roman" w:eastAsia="Times New Roman" w:hAnsi="Times New Roman" w:cs="Times New Roman"/>
          <w:sz w:val="24"/>
          <w:szCs w:val="24"/>
        </w:rPr>
        <w:t xml:space="preserve">while </w:t>
      </w:r>
      <w:r w:rsidRPr="00BB2872">
        <w:rPr>
          <w:rFonts w:ascii="Times New Roman" w:eastAsia="Times New Roman" w:hAnsi="Times New Roman" w:cs="Times New Roman"/>
          <w:sz w:val="24"/>
          <w:szCs w:val="24"/>
        </w:rPr>
        <w:t xml:space="preserve">the results of </w:t>
      </w:r>
      <w:r w:rsidR="009C02D1" w:rsidRPr="00BB2872">
        <w:rPr>
          <w:rFonts w:ascii="Times New Roman" w:eastAsia="Times New Roman" w:hAnsi="Times New Roman" w:cs="Times New Roman"/>
          <w:sz w:val="24"/>
          <w:szCs w:val="24"/>
        </w:rPr>
        <w:t xml:space="preserve">the </w:t>
      </w:r>
      <w:r w:rsidRPr="00BB2872">
        <w:rPr>
          <w:rFonts w:ascii="Times New Roman" w:eastAsia="Times New Roman" w:hAnsi="Times New Roman" w:cs="Times New Roman"/>
          <w:sz w:val="24"/>
          <w:szCs w:val="24"/>
        </w:rPr>
        <w:t xml:space="preserve">correlation analysis are included in Appendix </w:t>
      </w:r>
      <w:r w:rsidR="00822FCF">
        <w:rPr>
          <w:rFonts w:ascii="Times New Roman" w:eastAsia="Times New Roman" w:hAnsi="Times New Roman" w:cs="Times New Roman"/>
          <w:sz w:val="24"/>
          <w:szCs w:val="24"/>
        </w:rPr>
        <w:t>6</w:t>
      </w:r>
      <w:r w:rsidRPr="00BB2872">
        <w:rPr>
          <w:rFonts w:ascii="Times New Roman" w:eastAsia="Times New Roman" w:hAnsi="Times New Roman" w:cs="Times New Roman"/>
          <w:sz w:val="24"/>
          <w:szCs w:val="24"/>
        </w:rPr>
        <w:t xml:space="preserve">. </w:t>
      </w:r>
    </w:p>
    <w:p w14:paraId="00000027" w14:textId="406BAE2B" w:rsidR="00345220" w:rsidRPr="00BB2872" w:rsidRDefault="00843B1A">
      <w:pPr>
        <w:spacing w:after="0" w:line="480" w:lineRule="auto"/>
        <w:ind w:firstLine="720"/>
        <w:rPr>
          <w:rFonts w:ascii="Times New Roman" w:eastAsia="Times New Roman" w:hAnsi="Times New Roman" w:cs="Times New Roman"/>
          <w:sz w:val="24"/>
          <w:szCs w:val="24"/>
        </w:rPr>
      </w:pPr>
      <w:r w:rsidRPr="00BB2872">
        <w:rPr>
          <w:rFonts w:ascii="Times New Roman" w:eastAsia="Times New Roman" w:hAnsi="Times New Roman" w:cs="Times New Roman"/>
          <w:sz w:val="24"/>
          <w:szCs w:val="24"/>
        </w:rPr>
        <w:t xml:space="preserve">Because </w:t>
      </w:r>
      <w:r w:rsidR="00D45E73" w:rsidRPr="00BB2872">
        <w:rPr>
          <w:rFonts w:ascii="Times New Roman" w:eastAsia="Times New Roman" w:hAnsi="Times New Roman" w:cs="Times New Roman"/>
          <w:sz w:val="24"/>
          <w:szCs w:val="24"/>
        </w:rPr>
        <w:t xml:space="preserve">monetary policy reacts to movements </w:t>
      </w:r>
      <w:r w:rsidRPr="00BB2872">
        <w:rPr>
          <w:rFonts w:ascii="Times New Roman" w:eastAsia="Times New Roman" w:hAnsi="Times New Roman" w:cs="Times New Roman"/>
          <w:sz w:val="24"/>
          <w:szCs w:val="24"/>
        </w:rPr>
        <w:t>in</w:t>
      </w:r>
      <w:r w:rsidR="00D45E73" w:rsidRPr="00BB2872">
        <w:rPr>
          <w:rFonts w:ascii="Times New Roman" w:eastAsia="Times New Roman" w:hAnsi="Times New Roman" w:cs="Times New Roman"/>
          <w:sz w:val="24"/>
          <w:szCs w:val="24"/>
        </w:rPr>
        <w:t xml:space="preserve"> other variables in the economy, its impact can be </w:t>
      </w:r>
      <w:r w:rsidR="001E6B0B" w:rsidRPr="00BB2872">
        <w:rPr>
          <w:rFonts w:ascii="Times New Roman" w:eastAsia="Times New Roman" w:hAnsi="Times New Roman" w:cs="Times New Roman"/>
          <w:sz w:val="24"/>
          <w:szCs w:val="24"/>
        </w:rPr>
        <w:t xml:space="preserve">difficult </w:t>
      </w:r>
      <w:r w:rsidR="00D45E73" w:rsidRPr="00BB2872">
        <w:rPr>
          <w:rFonts w:ascii="Times New Roman" w:eastAsia="Times New Roman" w:hAnsi="Times New Roman" w:cs="Times New Roman"/>
          <w:sz w:val="24"/>
          <w:szCs w:val="24"/>
        </w:rPr>
        <w:t>to measure directly. Therefore, we decided to employ the SVAR model</w:t>
      </w:r>
      <w:r w:rsidR="001E6B0B" w:rsidRPr="00BB2872">
        <w:rPr>
          <w:rFonts w:ascii="Times New Roman" w:eastAsia="Times New Roman" w:hAnsi="Times New Roman" w:cs="Times New Roman"/>
          <w:sz w:val="24"/>
          <w:szCs w:val="24"/>
        </w:rPr>
        <w:t>,</w:t>
      </w:r>
      <w:r w:rsidR="00D45E73" w:rsidRPr="00BB2872">
        <w:rPr>
          <w:rFonts w:ascii="Times New Roman" w:eastAsia="Times New Roman" w:hAnsi="Times New Roman" w:cs="Times New Roman"/>
          <w:sz w:val="24"/>
          <w:szCs w:val="24"/>
        </w:rPr>
        <w:t xml:space="preserve"> which allow</w:t>
      </w:r>
      <w:r w:rsidR="001E6B0B" w:rsidRPr="00BB2872">
        <w:rPr>
          <w:rFonts w:ascii="Times New Roman" w:eastAsia="Times New Roman" w:hAnsi="Times New Roman" w:cs="Times New Roman"/>
          <w:sz w:val="24"/>
          <w:szCs w:val="24"/>
        </w:rPr>
        <w:t>ed</w:t>
      </w:r>
      <w:r w:rsidR="00D45E73" w:rsidRPr="00BB2872">
        <w:rPr>
          <w:rFonts w:ascii="Times New Roman" w:eastAsia="Times New Roman" w:hAnsi="Times New Roman" w:cs="Times New Roman"/>
          <w:sz w:val="24"/>
          <w:szCs w:val="24"/>
        </w:rPr>
        <w:t xml:space="preserve"> us to treat our variables in one economic system in which they c</w:t>
      </w:r>
      <w:r w:rsidR="001E6B0B" w:rsidRPr="00BB2872">
        <w:rPr>
          <w:rFonts w:ascii="Times New Roman" w:eastAsia="Times New Roman" w:hAnsi="Times New Roman" w:cs="Times New Roman"/>
          <w:sz w:val="24"/>
          <w:szCs w:val="24"/>
        </w:rPr>
        <w:t>ould</w:t>
      </w:r>
      <w:r w:rsidR="00D45E73" w:rsidRPr="00BB2872">
        <w:rPr>
          <w:rFonts w:ascii="Times New Roman" w:eastAsia="Times New Roman" w:hAnsi="Times New Roman" w:cs="Times New Roman"/>
          <w:sz w:val="24"/>
          <w:szCs w:val="24"/>
        </w:rPr>
        <w:t xml:space="preserve"> interact with each other. In the SVAR</w:t>
      </w:r>
      <w:r w:rsidR="001E6B0B" w:rsidRPr="00BB2872">
        <w:rPr>
          <w:rFonts w:ascii="Times New Roman" w:eastAsia="Times New Roman" w:hAnsi="Times New Roman" w:cs="Times New Roman"/>
          <w:sz w:val="24"/>
          <w:szCs w:val="24"/>
        </w:rPr>
        <w:t xml:space="preserve"> model</w:t>
      </w:r>
      <w:r w:rsidR="00D45E73" w:rsidRPr="00BB2872">
        <w:rPr>
          <w:rFonts w:ascii="Times New Roman" w:eastAsia="Times New Roman" w:hAnsi="Times New Roman" w:cs="Times New Roman"/>
          <w:sz w:val="24"/>
          <w:szCs w:val="24"/>
        </w:rPr>
        <w:t xml:space="preserve">, the exogenous effects are identified </w:t>
      </w:r>
      <w:proofErr w:type="gramStart"/>
      <w:r w:rsidR="001E6B0B" w:rsidRPr="00BB2872">
        <w:rPr>
          <w:rFonts w:ascii="Times New Roman" w:eastAsia="Times New Roman" w:hAnsi="Times New Roman" w:cs="Times New Roman"/>
          <w:sz w:val="24"/>
          <w:szCs w:val="24"/>
        </w:rPr>
        <w:t xml:space="preserve">in order </w:t>
      </w:r>
      <w:r w:rsidR="00D45E73" w:rsidRPr="00BB2872">
        <w:rPr>
          <w:rFonts w:ascii="Times New Roman" w:eastAsia="Times New Roman" w:hAnsi="Times New Roman" w:cs="Times New Roman"/>
          <w:sz w:val="24"/>
          <w:szCs w:val="24"/>
        </w:rPr>
        <w:t>to</w:t>
      </w:r>
      <w:proofErr w:type="gramEnd"/>
      <w:r w:rsidR="00D45E73" w:rsidRPr="00BB2872">
        <w:rPr>
          <w:rFonts w:ascii="Times New Roman" w:eastAsia="Times New Roman" w:hAnsi="Times New Roman" w:cs="Times New Roman"/>
          <w:sz w:val="24"/>
          <w:szCs w:val="24"/>
        </w:rPr>
        <w:t xml:space="preserve"> observe </w:t>
      </w:r>
      <w:r w:rsidR="001E6B0B" w:rsidRPr="00BB2872">
        <w:rPr>
          <w:rFonts w:ascii="Times New Roman" w:eastAsia="Times New Roman" w:hAnsi="Times New Roman" w:cs="Times New Roman"/>
          <w:sz w:val="24"/>
          <w:szCs w:val="24"/>
        </w:rPr>
        <w:t xml:space="preserve">the </w:t>
      </w:r>
      <w:r w:rsidR="00D45E73" w:rsidRPr="00BB2872">
        <w:rPr>
          <w:rFonts w:ascii="Times New Roman" w:eastAsia="Times New Roman" w:hAnsi="Times New Roman" w:cs="Times New Roman"/>
          <w:sz w:val="24"/>
          <w:szCs w:val="24"/>
        </w:rPr>
        <w:t xml:space="preserve">dynamic </w:t>
      </w:r>
      <w:r w:rsidR="00D45E73" w:rsidRPr="005A6D8C">
        <w:rPr>
          <w:rFonts w:ascii="Times New Roman" w:eastAsia="Times New Roman" w:hAnsi="Times New Roman" w:cs="Times New Roman"/>
          <w:sz w:val="24"/>
          <w:szCs w:val="24"/>
        </w:rPr>
        <w:t>effects</w:t>
      </w:r>
      <w:r w:rsidR="00B71E08" w:rsidRPr="005A6D8C">
        <w:rPr>
          <w:rFonts w:ascii="Times New Roman" w:eastAsia="Times New Roman" w:hAnsi="Times New Roman" w:cs="Times New Roman"/>
          <w:sz w:val="24"/>
          <w:szCs w:val="24"/>
        </w:rPr>
        <w:t xml:space="preserve"> (see Sims (1986))</w:t>
      </w:r>
      <w:r w:rsidR="00D45E73" w:rsidRPr="005A6D8C">
        <w:rPr>
          <w:rFonts w:ascii="Times New Roman" w:eastAsia="Times New Roman" w:hAnsi="Times New Roman" w:cs="Times New Roman"/>
          <w:i/>
          <w:sz w:val="24"/>
          <w:szCs w:val="24"/>
        </w:rPr>
        <w:t>.</w:t>
      </w:r>
      <w:r w:rsidR="00D45E73" w:rsidRPr="005A6D8C">
        <w:rPr>
          <w:rFonts w:ascii="Times New Roman" w:eastAsia="Times New Roman" w:hAnsi="Times New Roman" w:cs="Times New Roman"/>
          <w:sz w:val="24"/>
          <w:szCs w:val="24"/>
        </w:rPr>
        <w:t xml:space="preserve"> Respecting</w:t>
      </w:r>
      <w:r w:rsidR="00D45E73" w:rsidRPr="00BB2872">
        <w:rPr>
          <w:rFonts w:ascii="Times New Roman" w:eastAsia="Times New Roman" w:hAnsi="Times New Roman" w:cs="Times New Roman"/>
          <w:sz w:val="24"/>
          <w:szCs w:val="24"/>
        </w:rPr>
        <w:t xml:space="preserve"> that, the effect</w:t>
      </w:r>
      <w:r w:rsidR="00270F33" w:rsidRPr="00BB2872">
        <w:rPr>
          <w:rFonts w:ascii="Times New Roman" w:eastAsia="Times New Roman" w:hAnsi="Times New Roman" w:cs="Times New Roman"/>
          <w:sz w:val="24"/>
          <w:szCs w:val="24"/>
        </w:rPr>
        <w:t>s</w:t>
      </w:r>
      <w:r w:rsidR="00D45E73" w:rsidRPr="00BB2872">
        <w:rPr>
          <w:rFonts w:ascii="Times New Roman" w:eastAsia="Times New Roman" w:hAnsi="Times New Roman" w:cs="Times New Roman"/>
          <w:sz w:val="24"/>
          <w:szCs w:val="24"/>
        </w:rPr>
        <w:t xml:space="preserve"> of the shocks on </w:t>
      </w:r>
      <w:r w:rsidR="00270F33" w:rsidRPr="00BB2872">
        <w:rPr>
          <w:rFonts w:ascii="Times New Roman" w:eastAsia="Times New Roman" w:hAnsi="Times New Roman" w:cs="Times New Roman"/>
          <w:sz w:val="24"/>
          <w:szCs w:val="24"/>
        </w:rPr>
        <w:t xml:space="preserve">the </w:t>
      </w:r>
      <w:r w:rsidR="00D45E73" w:rsidRPr="00BB2872">
        <w:rPr>
          <w:rFonts w:ascii="Times New Roman" w:eastAsia="Times New Roman" w:hAnsi="Times New Roman" w:cs="Times New Roman"/>
          <w:sz w:val="24"/>
          <w:szCs w:val="24"/>
        </w:rPr>
        <w:t xml:space="preserve">variables can be predicted in the system. The effect of monetary policy using a SVAR model </w:t>
      </w:r>
      <w:r w:rsidR="00270F33" w:rsidRPr="00BB2872">
        <w:rPr>
          <w:rFonts w:ascii="Times New Roman" w:eastAsia="Times New Roman" w:hAnsi="Times New Roman" w:cs="Times New Roman"/>
          <w:sz w:val="24"/>
          <w:szCs w:val="24"/>
        </w:rPr>
        <w:t>h</w:t>
      </w:r>
      <w:r w:rsidR="00D45E73" w:rsidRPr="00BB2872">
        <w:rPr>
          <w:rFonts w:ascii="Times New Roman" w:eastAsia="Times New Roman" w:hAnsi="Times New Roman" w:cs="Times New Roman"/>
          <w:sz w:val="24"/>
          <w:szCs w:val="24"/>
        </w:rPr>
        <w:t xml:space="preserve">as </w:t>
      </w:r>
      <w:r w:rsidR="00270F33" w:rsidRPr="00BB2872">
        <w:rPr>
          <w:rFonts w:ascii="Times New Roman" w:eastAsia="Times New Roman" w:hAnsi="Times New Roman" w:cs="Times New Roman"/>
          <w:sz w:val="24"/>
          <w:szCs w:val="24"/>
        </w:rPr>
        <w:t xml:space="preserve">been reported </w:t>
      </w:r>
      <w:r w:rsidR="00D45E73" w:rsidRPr="00BB2872">
        <w:rPr>
          <w:rFonts w:ascii="Times New Roman" w:eastAsia="Times New Roman" w:hAnsi="Times New Roman" w:cs="Times New Roman"/>
          <w:sz w:val="24"/>
          <w:szCs w:val="24"/>
        </w:rPr>
        <w:t xml:space="preserve">by </w:t>
      </w:r>
      <w:proofErr w:type="spellStart"/>
      <w:r w:rsidR="00D45E73" w:rsidRPr="00BB2872">
        <w:rPr>
          <w:rFonts w:ascii="Times New Roman" w:eastAsia="Times New Roman" w:hAnsi="Times New Roman" w:cs="Times New Roman"/>
          <w:sz w:val="24"/>
          <w:szCs w:val="24"/>
        </w:rPr>
        <w:t>Koluk</w:t>
      </w:r>
      <w:proofErr w:type="spellEnd"/>
      <w:r w:rsidR="00D45E73" w:rsidRPr="00BB2872">
        <w:rPr>
          <w:rFonts w:ascii="Times New Roman" w:eastAsia="Times New Roman" w:hAnsi="Times New Roman" w:cs="Times New Roman"/>
          <w:sz w:val="24"/>
          <w:szCs w:val="24"/>
        </w:rPr>
        <w:t xml:space="preserve"> and Mehrotra (2009) for East and South-East Asia</w:t>
      </w:r>
      <w:r w:rsidR="00270F33" w:rsidRPr="00BB2872">
        <w:rPr>
          <w:rFonts w:ascii="Times New Roman" w:eastAsia="Times New Roman" w:hAnsi="Times New Roman" w:cs="Times New Roman"/>
          <w:sz w:val="24"/>
          <w:szCs w:val="24"/>
        </w:rPr>
        <w:t>,</w:t>
      </w:r>
      <w:r w:rsidR="00D45E73" w:rsidRPr="00BB2872">
        <w:rPr>
          <w:rFonts w:ascii="Times New Roman" w:eastAsia="Times New Roman" w:hAnsi="Times New Roman" w:cs="Times New Roman"/>
          <w:sz w:val="24"/>
          <w:szCs w:val="24"/>
        </w:rPr>
        <w:t xml:space="preserve"> by </w:t>
      </w:r>
      <w:proofErr w:type="spellStart"/>
      <w:r w:rsidR="00D45E73" w:rsidRPr="00BB2872">
        <w:rPr>
          <w:rFonts w:ascii="Times New Roman" w:eastAsia="Times New Roman" w:hAnsi="Times New Roman" w:cs="Times New Roman"/>
          <w:sz w:val="24"/>
          <w:szCs w:val="24"/>
        </w:rPr>
        <w:t>Schenkelberg</w:t>
      </w:r>
      <w:proofErr w:type="spellEnd"/>
      <w:r w:rsidR="00D45E73" w:rsidRPr="00BB2872">
        <w:rPr>
          <w:rFonts w:ascii="Times New Roman" w:eastAsia="Times New Roman" w:hAnsi="Times New Roman" w:cs="Times New Roman"/>
          <w:sz w:val="24"/>
          <w:szCs w:val="24"/>
        </w:rPr>
        <w:t xml:space="preserve"> and </w:t>
      </w:r>
      <w:proofErr w:type="spellStart"/>
      <w:r w:rsidR="00D45E73" w:rsidRPr="00BB2872">
        <w:rPr>
          <w:rFonts w:ascii="Times New Roman" w:eastAsia="Times New Roman" w:hAnsi="Times New Roman" w:cs="Times New Roman"/>
          <w:sz w:val="24"/>
          <w:szCs w:val="24"/>
        </w:rPr>
        <w:t>Watzka</w:t>
      </w:r>
      <w:proofErr w:type="spellEnd"/>
      <w:r w:rsidR="00D45E73" w:rsidRPr="00BB2872">
        <w:rPr>
          <w:rFonts w:ascii="Times New Roman" w:eastAsia="Times New Roman" w:hAnsi="Times New Roman" w:cs="Times New Roman"/>
          <w:sz w:val="24"/>
          <w:szCs w:val="24"/>
        </w:rPr>
        <w:t xml:space="preserve"> (2013) </w:t>
      </w:r>
      <w:r w:rsidR="00270F33" w:rsidRPr="00BB2872">
        <w:rPr>
          <w:rFonts w:ascii="Times New Roman" w:eastAsia="Times New Roman" w:hAnsi="Times New Roman" w:cs="Times New Roman"/>
          <w:sz w:val="24"/>
          <w:szCs w:val="24"/>
        </w:rPr>
        <w:t>for</w:t>
      </w:r>
      <w:r w:rsidR="00D45E73" w:rsidRPr="00BB2872">
        <w:rPr>
          <w:rFonts w:ascii="Times New Roman" w:eastAsia="Times New Roman" w:hAnsi="Times New Roman" w:cs="Times New Roman"/>
          <w:sz w:val="24"/>
          <w:szCs w:val="24"/>
        </w:rPr>
        <w:t xml:space="preserve"> Japan</w:t>
      </w:r>
      <w:r w:rsidR="00270F33" w:rsidRPr="00BB2872">
        <w:rPr>
          <w:rFonts w:ascii="Times New Roman" w:eastAsia="Times New Roman" w:hAnsi="Times New Roman" w:cs="Times New Roman"/>
          <w:sz w:val="24"/>
          <w:szCs w:val="24"/>
        </w:rPr>
        <w:t>,</w:t>
      </w:r>
      <w:r w:rsidR="00D45E73" w:rsidRPr="00BB2872">
        <w:rPr>
          <w:rFonts w:ascii="Times New Roman" w:eastAsia="Times New Roman" w:hAnsi="Times New Roman" w:cs="Times New Roman"/>
          <w:sz w:val="24"/>
          <w:szCs w:val="24"/>
        </w:rPr>
        <w:t xml:space="preserve"> by Can et al. (2020) for Turkey</w:t>
      </w:r>
      <w:r w:rsidR="00270F33" w:rsidRPr="00BB2872">
        <w:rPr>
          <w:rFonts w:ascii="Times New Roman" w:eastAsia="Times New Roman" w:hAnsi="Times New Roman" w:cs="Times New Roman"/>
          <w:sz w:val="24"/>
          <w:szCs w:val="24"/>
        </w:rPr>
        <w:t>, and by</w:t>
      </w:r>
      <w:r w:rsidR="00D45E73" w:rsidRPr="00BB2872">
        <w:rPr>
          <w:rFonts w:ascii="Times New Roman" w:eastAsia="Times New Roman" w:hAnsi="Times New Roman" w:cs="Times New Roman"/>
          <w:sz w:val="24"/>
          <w:szCs w:val="24"/>
        </w:rPr>
        <w:t xml:space="preserve"> </w:t>
      </w:r>
      <w:proofErr w:type="spellStart"/>
      <w:r w:rsidR="00D45E73" w:rsidRPr="00BB2872">
        <w:rPr>
          <w:rFonts w:ascii="Times New Roman" w:eastAsia="Times New Roman" w:hAnsi="Times New Roman" w:cs="Times New Roman"/>
          <w:sz w:val="24"/>
          <w:szCs w:val="24"/>
        </w:rPr>
        <w:t>Zabala</w:t>
      </w:r>
      <w:proofErr w:type="spellEnd"/>
      <w:r w:rsidR="00D45E73" w:rsidRPr="00BB2872">
        <w:rPr>
          <w:rFonts w:ascii="Times New Roman" w:eastAsia="Times New Roman" w:hAnsi="Times New Roman" w:cs="Times New Roman"/>
          <w:sz w:val="24"/>
          <w:szCs w:val="24"/>
        </w:rPr>
        <w:t xml:space="preserve"> and Prats (2020) for the EA countries</w:t>
      </w:r>
      <w:r w:rsidR="00270F33" w:rsidRPr="00BB2872">
        <w:rPr>
          <w:rFonts w:ascii="Times New Roman" w:eastAsia="Times New Roman" w:hAnsi="Times New Roman" w:cs="Times New Roman"/>
          <w:sz w:val="24"/>
          <w:szCs w:val="24"/>
        </w:rPr>
        <w:t>, for example</w:t>
      </w:r>
      <w:r w:rsidR="00D45E73" w:rsidRPr="00BB2872">
        <w:rPr>
          <w:rFonts w:ascii="Times New Roman" w:eastAsia="Times New Roman" w:hAnsi="Times New Roman" w:cs="Times New Roman"/>
          <w:sz w:val="24"/>
          <w:szCs w:val="24"/>
        </w:rPr>
        <w:t>.</w:t>
      </w:r>
    </w:p>
    <w:p w14:paraId="00000028" w14:textId="414D2A09" w:rsidR="00345220" w:rsidRPr="00BB2872" w:rsidRDefault="00D45E73">
      <w:pPr>
        <w:spacing w:after="0" w:line="480" w:lineRule="auto"/>
        <w:ind w:firstLine="720"/>
        <w:rPr>
          <w:rFonts w:ascii="Times New Roman" w:eastAsia="Times New Roman" w:hAnsi="Times New Roman" w:cs="Times New Roman"/>
          <w:sz w:val="24"/>
          <w:szCs w:val="24"/>
        </w:rPr>
      </w:pPr>
      <w:r w:rsidRPr="00BB2872">
        <w:rPr>
          <w:rFonts w:ascii="Times New Roman" w:eastAsia="Times New Roman" w:hAnsi="Times New Roman" w:cs="Times New Roman"/>
          <w:sz w:val="24"/>
          <w:szCs w:val="24"/>
        </w:rPr>
        <w:t>Our final SVAR model include</w:t>
      </w:r>
      <w:r w:rsidR="00E71882" w:rsidRPr="00BB2872">
        <w:rPr>
          <w:rFonts w:ascii="Times New Roman" w:eastAsia="Times New Roman" w:hAnsi="Times New Roman" w:cs="Times New Roman"/>
          <w:sz w:val="24"/>
          <w:szCs w:val="24"/>
        </w:rPr>
        <w:t>d</w:t>
      </w:r>
      <w:r w:rsidRPr="00BB2872">
        <w:rPr>
          <w:rFonts w:ascii="Times New Roman" w:eastAsia="Times New Roman" w:hAnsi="Times New Roman" w:cs="Times New Roman"/>
          <w:sz w:val="24"/>
          <w:szCs w:val="24"/>
        </w:rPr>
        <w:t xml:space="preserve"> seven variables. Following the SVAR methodology (</w:t>
      </w:r>
      <w:proofErr w:type="gramStart"/>
      <w:r w:rsidRPr="00BB2872">
        <w:rPr>
          <w:rFonts w:ascii="Times New Roman" w:eastAsia="Times New Roman" w:hAnsi="Times New Roman" w:cs="Times New Roman"/>
          <w:sz w:val="24"/>
          <w:szCs w:val="24"/>
        </w:rPr>
        <w:t>e.g.</w:t>
      </w:r>
      <w:proofErr w:type="gramEnd"/>
      <w:r w:rsidRPr="00BB2872">
        <w:rPr>
          <w:rFonts w:ascii="Times New Roman" w:eastAsia="Times New Roman" w:hAnsi="Times New Roman" w:cs="Times New Roman"/>
          <w:sz w:val="24"/>
          <w:szCs w:val="24"/>
        </w:rPr>
        <w:t xml:space="preserve"> Killian, 2011), certain restrictions </w:t>
      </w:r>
      <w:r w:rsidR="00E71882" w:rsidRPr="00BB2872">
        <w:rPr>
          <w:rFonts w:ascii="Times New Roman" w:eastAsia="Times New Roman" w:hAnsi="Times New Roman" w:cs="Times New Roman"/>
          <w:sz w:val="24"/>
          <w:szCs w:val="24"/>
        </w:rPr>
        <w:t xml:space="preserve">have to </w:t>
      </w:r>
      <w:r w:rsidRPr="00BB2872">
        <w:rPr>
          <w:rFonts w:ascii="Times New Roman" w:eastAsia="Times New Roman" w:hAnsi="Times New Roman" w:cs="Times New Roman"/>
          <w:sz w:val="24"/>
          <w:szCs w:val="24"/>
        </w:rPr>
        <w:t xml:space="preserve">be imposed on the parameters of the model. The minimal number of restrictions </w:t>
      </w:r>
      <w:proofErr w:type="gramStart"/>
      <w:r w:rsidRPr="00BB2872">
        <w:rPr>
          <w:rFonts w:ascii="Times New Roman" w:eastAsia="Times New Roman" w:hAnsi="Times New Roman" w:cs="Times New Roman"/>
          <w:sz w:val="24"/>
          <w:szCs w:val="24"/>
        </w:rPr>
        <w:t>has to</w:t>
      </w:r>
      <w:proofErr w:type="gramEnd"/>
      <w:r w:rsidRPr="00BB2872">
        <w:rPr>
          <w:rFonts w:ascii="Times New Roman" w:eastAsia="Times New Roman" w:hAnsi="Times New Roman" w:cs="Times New Roman"/>
          <w:sz w:val="24"/>
          <w:szCs w:val="24"/>
        </w:rPr>
        <w:t xml:space="preserve"> be imposed as </w:t>
      </w:r>
      <m:oMath>
        <m:r>
          <w:rPr>
            <w:rFonts w:ascii="Cambria Math" w:eastAsia="Cambria Math" w:hAnsi="Cambria Math" w:cs="Cambria Math"/>
            <w:sz w:val="24"/>
            <w:szCs w:val="24"/>
          </w:rPr>
          <m:t>n</m:t>
        </m:r>
        <m:d>
          <m:dPr>
            <m:ctrlPr>
              <w:rPr>
                <w:rFonts w:ascii="Cambria Math" w:eastAsia="Cambria Math" w:hAnsi="Cambria Math" w:cs="Cambria Math"/>
                <w:sz w:val="24"/>
                <w:szCs w:val="24"/>
              </w:rPr>
            </m:ctrlPr>
          </m:dPr>
          <m:e>
            <m:r>
              <w:rPr>
                <w:rFonts w:ascii="Cambria Math" w:eastAsia="Cambria Math" w:hAnsi="Cambria Math" w:cs="Cambria Math"/>
                <w:sz w:val="24"/>
                <w:szCs w:val="24"/>
              </w:rPr>
              <m:t>n-1</m:t>
            </m:r>
          </m:e>
        </m:d>
        <m:r>
          <w:rPr>
            <w:rFonts w:ascii="Cambria Math" w:eastAsia="Cambria Math" w:hAnsi="Cambria Math" w:cs="Cambria Math"/>
            <w:sz w:val="24"/>
            <w:szCs w:val="24"/>
          </w:rPr>
          <m:t>/2</m:t>
        </m:r>
      </m:oMath>
      <w:r w:rsidR="00E71882" w:rsidRPr="00BB2872">
        <w:rPr>
          <w:rFonts w:ascii="Times New Roman" w:eastAsia="Times New Roman" w:hAnsi="Times New Roman" w:cs="Times New Roman"/>
          <w:sz w:val="24"/>
          <w:szCs w:val="24"/>
        </w:rPr>
        <w:t>,</w:t>
      </w:r>
      <w:r w:rsidRPr="00BB2872">
        <w:rPr>
          <w:rFonts w:ascii="Times New Roman" w:eastAsia="Times New Roman" w:hAnsi="Times New Roman" w:cs="Times New Roman"/>
          <w:sz w:val="24"/>
          <w:szCs w:val="24"/>
        </w:rPr>
        <w:t xml:space="preserve"> where </w:t>
      </w:r>
      <w:r w:rsidRPr="00BB2872">
        <w:rPr>
          <w:rFonts w:ascii="Times New Roman" w:eastAsia="Times New Roman" w:hAnsi="Times New Roman" w:cs="Times New Roman"/>
          <w:i/>
          <w:sz w:val="24"/>
          <w:szCs w:val="24"/>
        </w:rPr>
        <w:t>n</w:t>
      </w:r>
      <w:r w:rsidRPr="00BB2872">
        <w:rPr>
          <w:rFonts w:ascii="Times New Roman" w:eastAsia="Times New Roman" w:hAnsi="Times New Roman" w:cs="Times New Roman"/>
          <w:sz w:val="24"/>
          <w:szCs w:val="24"/>
        </w:rPr>
        <w:t xml:space="preserve"> is the number of variables, which means that we have to impose 21 restrictions</w:t>
      </w:r>
      <w:r w:rsidR="00E71882" w:rsidRPr="00BB2872">
        <w:rPr>
          <w:rFonts w:ascii="Times New Roman" w:eastAsia="Times New Roman" w:hAnsi="Times New Roman" w:cs="Times New Roman"/>
          <w:sz w:val="24"/>
          <w:szCs w:val="24"/>
        </w:rPr>
        <w:t>,</w:t>
      </w:r>
      <w:r w:rsidRPr="00BB2872">
        <w:rPr>
          <w:rFonts w:ascii="Times New Roman" w:eastAsia="Times New Roman" w:hAnsi="Times New Roman" w:cs="Times New Roman"/>
          <w:sz w:val="24"/>
          <w:szCs w:val="24"/>
        </w:rPr>
        <w:t xml:space="preserve"> at </w:t>
      </w:r>
      <w:r w:rsidR="00E71882" w:rsidRPr="00BB2872">
        <w:rPr>
          <w:rFonts w:ascii="Times New Roman" w:eastAsia="Times New Roman" w:hAnsi="Times New Roman" w:cs="Times New Roman"/>
          <w:sz w:val="24"/>
          <w:szCs w:val="24"/>
        </w:rPr>
        <w:t xml:space="preserve">a </w:t>
      </w:r>
      <w:r w:rsidRPr="00BB2872">
        <w:rPr>
          <w:rFonts w:ascii="Times New Roman" w:eastAsia="Times New Roman" w:hAnsi="Times New Roman" w:cs="Times New Roman"/>
          <w:sz w:val="24"/>
          <w:szCs w:val="24"/>
        </w:rPr>
        <w:t>minimum</w:t>
      </w:r>
      <w:r w:rsidR="00E71882" w:rsidRPr="00BB2872">
        <w:rPr>
          <w:rFonts w:ascii="Times New Roman" w:eastAsia="Times New Roman" w:hAnsi="Times New Roman" w:cs="Times New Roman"/>
          <w:sz w:val="24"/>
          <w:szCs w:val="24"/>
        </w:rPr>
        <w:t>,</w:t>
      </w:r>
      <w:r w:rsidRPr="00BB2872">
        <w:rPr>
          <w:rFonts w:ascii="Times New Roman" w:eastAsia="Times New Roman" w:hAnsi="Times New Roman" w:cs="Times New Roman"/>
          <w:sz w:val="24"/>
          <w:szCs w:val="24"/>
        </w:rPr>
        <w:t xml:space="preserve"> in matrix A. A restriction means that a selected coefficient equals 0 </w:t>
      </w:r>
      <w:r w:rsidR="00E71882" w:rsidRPr="00BB2872">
        <w:rPr>
          <w:rFonts w:ascii="Times New Roman" w:eastAsia="Times New Roman" w:hAnsi="Times New Roman" w:cs="Times New Roman"/>
          <w:sz w:val="24"/>
          <w:szCs w:val="24"/>
        </w:rPr>
        <w:t xml:space="preserve">because </w:t>
      </w:r>
      <w:r w:rsidRPr="00BB2872">
        <w:rPr>
          <w:rFonts w:ascii="Times New Roman" w:eastAsia="Times New Roman" w:hAnsi="Times New Roman" w:cs="Times New Roman"/>
          <w:sz w:val="24"/>
          <w:szCs w:val="24"/>
        </w:rPr>
        <w:t xml:space="preserve">a variable is not immediately affected by any other variable in the system. The coefficients that are estimated show the immediate reaction of a variable to a shock in any other variable in the system. The shock can be caused by each variable included in the system. </w:t>
      </w:r>
    </w:p>
    <w:p w14:paraId="367572B5" w14:textId="77777777" w:rsidR="00B2111B" w:rsidRDefault="00B2111B" w:rsidP="007446D3">
      <w:pPr>
        <w:spacing w:after="0" w:line="480" w:lineRule="auto"/>
        <w:ind w:firstLine="720"/>
        <w:rPr>
          <w:rFonts w:ascii="Times New Roman" w:eastAsia="Times New Roman" w:hAnsi="Times New Roman" w:cs="Times New Roman"/>
          <w:sz w:val="24"/>
          <w:szCs w:val="24"/>
        </w:rPr>
      </w:pPr>
    </w:p>
    <w:p w14:paraId="697618A0" w14:textId="77777777" w:rsidR="00B2111B" w:rsidRDefault="00B2111B" w:rsidP="007446D3">
      <w:pPr>
        <w:spacing w:after="0" w:line="480" w:lineRule="auto"/>
        <w:ind w:firstLine="720"/>
        <w:rPr>
          <w:rFonts w:ascii="Times New Roman" w:eastAsia="Times New Roman" w:hAnsi="Times New Roman" w:cs="Times New Roman"/>
          <w:sz w:val="24"/>
          <w:szCs w:val="24"/>
        </w:rPr>
      </w:pPr>
    </w:p>
    <w:p w14:paraId="642F9F25" w14:textId="52BE4BFD" w:rsidR="00923D17" w:rsidRPr="00BB2872" w:rsidRDefault="00D45E73" w:rsidP="007446D3">
      <w:pPr>
        <w:spacing w:after="0" w:line="480" w:lineRule="auto"/>
        <w:ind w:firstLine="720"/>
        <w:rPr>
          <w:rFonts w:ascii="Times New Roman" w:eastAsia="Times New Roman" w:hAnsi="Times New Roman" w:cs="Times New Roman"/>
          <w:sz w:val="24"/>
          <w:szCs w:val="24"/>
        </w:rPr>
      </w:pPr>
      <w:r w:rsidRPr="00BB2872">
        <w:rPr>
          <w:rFonts w:ascii="Times New Roman" w:eastAsia="Times New Roman" w:hAnsi="Times New Roman" w:cs="Times New Roman"/>
          <w:sz w:val="24"/>
          <w:szCs w:val="24"/>
        </w:rPr>
        <w:lastRenderedPageBreak/>
        <w:t xml:space="preserve">The final form of the SVAR model </w:t>
      </w:r>
      <w:r w:rsidR="00E71882" w:rsidRPr="00BB2872">
        <w:rPr>
          <w:rFonts w:ascii="Times New Roman" w:eastAsia="Times New Roman" w:hAnsi="Times New Roman" w:cs="Times New Roman"/>
          <w:sz w:val="24"/>
          <w:szCs w:val="24"/>
        </w:rPr>
        <w:t>wa</w:t>
      </w:r>
      <w:r w:rsidRPr="00BB2872">
        <w:rPr>
          <w:rFonts w:ascii="Times New Roman" w:eastAsia="Times New Roman" w:hAnsi="Times New Roman" w:cs="Times New Roman"/>
          <w:sz w:val="24"/>
          <w:szCs w:val="24"/>
        </w:rPr>
        <w:t xml:space="preserve">s </w:t>
      </w:r>
      <w:r w:rsidR="00E71882" w:rsidRPr="00BB2872">
        <w:rPr>
          <w:rFonts w:ascii="Times New Roman" w:eastAsia="Times New Roman" w:hAnsi="Times New Roman" w:cs="Times New Roman"/>
          <w:sz w:val="24"/>
          <w:szCs w:val="24"/>
        </w:rPr>
        <w:t xml:space="preserve">as </w:t>
      </w:r>
      <w:r w:rsidRPr="00BB2872">
        <w:rPr>
          <w:rFonts w:ascii="Times New Roman" w:eastAsia="Times New Roman" w:hAnsi="Times New Roman" w:cs="Times New Roman"/>
          <w:sz w:val="24"/>
          <w:szCs w:val="24"/>
        </w:rPr>
        <w:t>follow</w:t>
      </w:r>
      <w:r w:rsidR="00E71882" w:rsidRPr="00BB2872">
        <w:rPr>
          <w:rFonts w:ascii="Times New Roman" w:eastAsia="Times New Roman" w:hAnsi="Times New Roman" w:cs="Times New Roman"/>
          <w:sz w:val="24"/>
          <w:szCs w:val="24"/>
        </w:rPr>
        <w:t>s</w:t>
      </w:r>
      <w:r w:rsidRPr="00BB2872">
        <w:rPr>
          <w:rFonts w:ascii="Times New Roman" w:eastAsia="Times New Roman" w:hAnsi="Times New Roman" w:cs="Times New Roman"/>
          <w:sz w:val="24"/>
          <w:szCs w:val="24"/>
        </w:rPr>
        <w:t>:</w:t>
      </w:r>
      <w:r w:rsidR="009B1B8F" w:rsidRPr="00BB2872">
        <w:rPr>
          <w:rFonts w:eastAsiaTheme="minorEastAsia"/>
          <w:noProof/>
        </w:rPr>
        <mc:AlternateContent>
          <mc:Choice Requires="wps">
            <w:drawing>
              <wp:anchor distT="0" distB="0" distL="114300" distR="114300" simplePos="0" relativeHeight="251658240" behindDoc="0" locked="0" layoutInCell="1" allowOverlap="1" wp14:anchorId="32E1FB92" wp14:editId="2754D9BD">
                <wp:simplePos x="0" y="0"/>
                <wp:positionH relativeFrom="column">
                  <wp:posOffset>2734611</wp:posOffset>
                </wp:positionH>
                <wp:positionV relativeFrom="paragraph">
                  <wp:posOffset>505460</wp:posOffset>
                </wp:positionV>
                <wp:extent cx="45719" cy="973889"/>
                <wp:effectExtent l="12700" t="12700" r="18415" b="29845"/>
                <wp:wrapNone/>
                <wp:docPr id="8" name="Levá hranatá závorka 8"/>
                <wp:cNvGraphicFramePr/>
                <a:graphic xmlns:a="http://schemas.openxmlformats.org/drawingml/2006/main">
                  <a:graphicData uri="http://schemas.microsoft.com/office/word/2010/wordprocessingShape">
                    <wps:wsp>
                      <wps:cNvSpPr/>
                      <wps:spPr>
                        <a:xfrm flipH="1">
                          <a:off x="0" y="0"/>
                          <a:ext cx="45719" cy="973889"/>
                        </a:xfrm>
                        <a:prstGeom prst="leftBracket">
                          <a:avLst/>
                        </a:prstGeom>
                        <a:ln w="12700" cap="sq">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727C08"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vá hranatá závorka 8" o:spid="_x0000_s1026" type="#_x0000_t85" style="position:absolute;margin-left:215.3pt;margin-top:39.8pt;width:3.6pt;height:76.7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" adj="84" strokecolor="black [3213]" strokeweight="1pt">
                <v:stroke endcap="square"/>
              </v:shape>
            </w:pict>
          </mc:Fallback>
        </mc:AlternateContent>
      </w:r>
      <w:r w:rsidR="009B1B8F" w:rsidRPr="00BB2872">
        <w:rPr>
          <w:rFonts w:eastAsiaTheme="minorEastAsia"/>
          <w:noProof/>
        </w:rPr>
        <mc:AlternateContent>
          <mc:Choice Requires="wps">
            <w:drawing>
              <wp:anchor distT="0" distB="0" distL="114300" distR="114300" simplePos="0" relativeHeight="251658241" behindDoc="0" locked="0" layoutInCell="1" allowOverlap="1" wp14:anchorId="7927338D" wp14:editId="29248ADC">
                <wp:simplePos x="0" y="0"/>
                <wp:positionH relativeFrom="column">
                  <wp:posOffset>433137</wp:posOffset>
                </wp:positionH>
                <wp:positionV relativeFrom="paragraph">
                  <wp:posOffset>505994</wp:posOffset>
                </wp:positionV>
                <wp:extent cx="45719" cy="973889"/>
                <wp:effectExtent l="0" t="12700" r="31115" b="29845"/>
                <wp:wrapNone/>
                <wp:docPr id="1" name="Levá hranatá závorka 1"/>
                <wp:cNvGraphicFramePr/>
                <a:graphic xmlns:a="http://schemas.openxmlformats.org/drawingml/2006/main">
                  <a:graphicData uri="http://schemas.microsoft.com/office/word/2010/wordprocessingShape">
                    <wps:wsp>
                      <wps:cNvSpPr/>
                      <wps:spPr>
                        <a:xfrm rot="10800000" flipH="1">
                          <a:off x="0" y="0"/>
                          <a:ext cx="45719" cy="973889"/>
                        </a:xfrm>
                        <a:prstGeom prst="leftBracket">
                          <a:avLst/>
                        </a:prstGeom>
                        <a:ln w="12700" cap="sq">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8B40BF" id="Levá hranatá závorka 1" o:spid="_x0000_s1026" type="#_x0000_t85" style="position:absolute;margin-left:34.1pt;margin-top:39.85pt;width:3.6pt;height:76.7pt;rotation:180;flip:x;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" adj="84" strokecolor="black [3213]" strokeweight="1pt">
                <v:stroke endcap="square"/>
              </v:shape>
            </w:pict>
          </mc:Fallback>
        </mc:AlternateContent>
      </w:r>
    </w:p>
    <w:p w14:paraId="00000029" w14:textId="469108E0" w:rsidR="00923D17" w:rsidRPr="00BB2872" w:rsidRDefault="001F66E4" w:rsidP="009F10CF">
      <w:pPr>
        <w:rPr>
          <w:rFonts w:eastAsiaTheme="minorEastAsia"/>
        </w:rPr>
        <w:sectPr w:rsidR="00923D17" w:rsidRPr="00BB2872">
          <w:headerReference w:type="default" r:id="rId9"/>
          <w:footerReference w:type="default" r:id="rId10"/>
          <w:pgSz w:w="11906" w:h="16838"/>
          <w:pgMar w:top="1417" w:right="1417" w:bottom="1417" w:left="1417" w:header="709" w:footer="709" w:gutter="0"/>
          <w:pgNumType w:start="1"/>
          <w:cols w:space="708"/>
        </w:sectPr>
      </w:pPr>
      <m:oMath>
        <m:m>
          <m:mPr>
            <m:mcs>
              <m:mc>
                <m:mcPr>
                  <m:count m:val="8"/>
                  <m:mcJc m:val="center"/>
                </m:mcPr>
              </m:mc>
            </m:mcs>
            <m:ctrlPr>
              <w:rPr>
                <w:rFonts w:ascii="Cambria Math" w:hAnsi="Cambria Math"/>
                <w:i/>
                <w:sz w:val="19"/>
                <w:szCs w:val="19"/>
              </w:rPr>
            </m:ctrlPr>
          </m:mPr>
          <m:mr>
            <m:e>
              <m:r>
                <w:rPr>
                  <w:rFonts w:ascii="Cambria Math" w:hAnsi="Cambria Math"/>
                  <w:color w:val="FFFFFF" w:themeColor="background1"/>
                  <w:sz w:val="19"/>
                  <w:szCs w:val="19"/>
                </w:rPr>
                <m:t>xx</m:t>
              </m:r>
              <m:ctrlPr>
                <w:rPr>
                  <w:rFonts w:ascii="Cambria Math" w:eastAsia="Cambria Math" w:hAnsi="Cambria Math" w:cs="Cambria Math"/>
                  <w:i/>
                  <w:sz w:val="19"/>
                  <w:szCs w:val="19"/>
                </w:rPr>
              </m:ctrlPr>
            </m:e>
            <m:e>
              <m:r>
                <w:rPr>
                  <w:rFonts w:ascii="Cambria Math" w:eastAsia="Cambria Math" w:hAnsi="Cambria Math" w:cs="Cambria Math"/>
                  <w:sz w:val="19"/>
                  <w:szCs w:val="19"/>
                </w:rPr>
                <m:t>EA</m:t>
              </m:r>
              <m:ctrlPr>
                <w:rPr>
                  <w:rFonts w:ascii="Cambria Math" w:eastAsia="Cambria Math" w:hAnsi="Cambria Math" w:cs="Cambria Math"/>
                  <w:i/>
                  <w:sz w:val="19"/>
                  <w:szCs w:val="19"/>
                </w:rPr>
              </m:ctrlPr>
            </m:e>
            <m:e>
              <m:r>
                <w:rPr>
                  <w:rFonts w:ascii="Cambria Math" w:eastAsia="Cambria Math" w:hAnsi="Cambria Math" w:cs="Cambria Math"/>
                  <w:sz w:val="19"/>
                  <w:szCs w:val="19"/>
                </w:rPr>
                <m:t>MP</m:t>
              </m:r>
              <m:ctrlPr>
                <w:rPr>
                  <w:rFonts w:ascii="Cambria Math" w:eastAsia="Cambria Math" w:hAnsi="Cambria Math" w:cs="Cambria Math"/>
                  <w:i/>
                  <w:sz w:val="19"/>
                  <w:szCs w:val="19"/>
                </w:rPr>
              </m:ctrlPr>
            </m:e>
            <m:e>
              <m:r>
                <w:rPr>
                  <w:rFonts w:ascii="Cambria Math" w:eastAsia="Cambria Math" w:hAnsi="Cambria Math" w:cs="Cambria Math"/>
                  <w:sz w:val="19"/>
                  <w:szCs w:val="19"/>
                </w:rPr>
                <m:t>MM</m:t>
              </m:r>
              <m:ctrlPr>
                <w:rPr>
                  <w:rFonts w:ascii="Cambria Math" w:eastAsia="Cambria Math" w:hAnsi="Cambria Math" w:cs="Cambria Math"/>
                  <w:i/>
                  <w:sz w:val="19"/>
                  <w:szCs w:val="19"/>
                </w:rPr>
              </m:ctrlPr>
            </m:e>
            <m:e>
              <m:r>
                <w:rPr>
                  <w:rFonts w:ascii="Cambria Math" w:eastAsia="Cambria Math" w:hAnsi="Cambria Math" w:cs="Cambria Math"/>
                  <w:sz w:val="19"/>
                  <w:szCs w:val="19"/>
                </w:rPr>
                <m:t>c_rate</m:t>
              </m:r>
              <m:ctrlPr>
                <w:rPr>
                  <w:rFonts w:ascii="Cambria Math" w:eastAsia="Cambria Math" w:hAnsi="Cambria Math" w:cs="Cambria Math"/>
                  <w:i/>
                  <w:sz w:val="19"/>
                  <w:szCs w:val="19"/>
                </w:rPr>
              </m:ctrlPr>
            </m:e>
            <m:e>
              <m:r>
                <w:rPr>
                  <w:rFonts w:ascii="Cambria Math" w:eastAsia="Cambria Math" w:hAnsi="Cambria Math" w:cs="Cambria Math"/>
                  <w:sz w:val="19"/>
                  <w:szCs w:val="19"/>
                </w:rPr>
                <m:t>er</m:t>
              </m:r>
              <m:ctrlPr>
                <w:rPr>
                  <w:rFonts w:ascii="Cambria Math" w:eastAsia="Cambria Math" w:hAnsi="Cambria Math" w:cs="Cambria Math"/>
                  <w:i/>
                  <w:sz w:val="19"/>
                  <w:szCs w:val="19"/>
                </w:rPr>
              </m:ctrlPr>
            </m:e>
            <m:e>
              <m:r>
                <w:rPr>
                  <w:rFonts w:ascii="Cambria Math" w:eastAsia="Cambria Math" w:hAnsi="Cambria Math" w:cs="Cambria Math"/>
                  <w:sz w:val="19"/>
                  <w:szCs w:val="19"/>
                </w:rPr>
                <m:t>prices</m:t>
              </m:r>
              <m:ctrlPr>
                <w:rPr>
                  <w:rFonts w:ascii="Cambria Math" w:eastAsia="Cambria Math" w:hAnsi="Cambria Math" w:cs="Cambria Math"/>
                  <w:i/>
                  <w:sz w:val="19"/>
                  <w:szCs w:val="19"/>
                </w:rPr>
              </m:ctrlPr>
            </m:e>
            <m:e>
              <m:r>
                <w:rPr>
                  <w:rFonts w:ascii="Cambria Math" w:eastAsia="Cambria Math" w:hAnsi="Cambria Math" w:cs="Cambria Math"/>
                  <w:sz w:val="19"/>
                  <w:szCs w:val="19"/>
                </w:rPr>
                <m:t>conf</m:t>
              </m:r>
              <m:ctrlPr>
                <w:rPr>
                  <w:rFonts w:ascii="Cambria Math" w:eastAsia="Cambria Math" w:hAnsi="Cambria Math" w:cs="Cambria Math"/>
                  <w:i/>
                  <w:sz w:val="19"/>
                  <w:szCs w:val="19"/>
                </w:rPr>
              </m:ctrlPr>
            </m:e>
          </m:mr>
          <m:mr>
            <m:e>
              <m:r>
                <w:rPr>
                  <w:rFonts w:ascii="Cambria Math" w:eastAsia="Cambria Math" w:hAnsi="Cambria Math" w:cs="Cambria Math"/>
                  <w:sz w:val="19"/>
                  <w:szCs w:val="19"/>
                </w:rPr>
                <m:t>EA</m:t>
              </m:r>
              <m:ctrlPr>
                <w:rPr>
                  <w:rFonts w:ascii="Cambria Math" w:eastAsia="Cambria Math" w:hAnsi="Cambria Math" w:cs="Cambria Math"/>
                  <w:i/>
                  <w:sz w:val="19"/>
                  <w:szCs w:val="19"/>
                </w:rPr>
              </m:ctrlPr>
            </m:e>
            <m:e>
              <m:r>
                <w:rPr>
                  <w:rFonts w:ascii="Cambria Math" w:eastAsia="Cambria Math" w:hAnsi="Cambria Math" w:cs="Cambria Math"/>
                  <w:sz w:val="19"/>
                  <w:szCs w:val="19"/>
                </w:rPr>
                <m:t>1</m:t>
              </m:r>
              <m:ctrlPr>
                <w:rPr>
                  <w:rFonts w:ascii="Cambria Math" w:eastAsia="Cambria Math" w:hAnsi="Cambria Math" w:cs="Cambria Math"/>
                  <w:i/>
                  <w:sz w:val="19"/>
                  <w:szCs w:val="19"/>
                </w:rPr>
              </m:ctrlPr>
            </m:e>
            <m:e>
              <m:r>
                <w:rPr>
                  <w:rFonts w:ascii="Cambria Math" w:eastAsia="Cambria Math" w:hAnsi="Cambria Math" w:cs="Cambria Math"/>
                  <w:sz w:val="19"/>
                  <w:szCs w:val="19"/>
                </w:rPr>
                <m:t>0</m:t>
              </m:r>
              <m:ctrlPr>
                <w:rPr>
                  <w:rFonts w:ascii="Cambria Math" w:eastAsia="Cambria Math" w:hAnsi="Cambria Math" w:cs="Cambria Math"/>
                  <w:i/>
                  <w:sz w:val="19"/>
                  <w:szCs w:val="19"/>
                </w:rPr>
              </m:ctrlPr>
            </m:e>
            <m:e>
              <m:r>
                <w:rPr>
                  <w:rFonts w:ascii="Cambria Math" w:eastAsia="Cambria Math" w:hAnsi="Cambria Math" w:cs="Cambria Math"/>
                  <w:sz w:val="19"/>
                  <w:szCs w:val="19"/>
                </w:rPr>
                <m:t>0</m:t>
              </m:r>
              <m:ctrlPr>
                <w:rPr>
                  <w:rFonts w:ascii="Cambria Math" w:eastAsia="Cambria Math" w:hAnsi="Cambria Math" w:cs="Cambria Math"/>
                  <w:i/>
                  <w:sz w:val="19"/>
                  <w:szCs w:val="19"/>
                </w:rPr>
              </m:ctrlPr>
            </m:e>
            <m:e>
              <m:r>
                <w:rPr>
                  <w:rFonts w:ascii="Cambria Math" w:eastAsia="Cambria Math" w:hAnsi="Cambria Math" w:cs="Cambria Math"/>
                  <w:sz w:val="19"/>
                  <w:szCs w:val="19"/>
                </w:rPr>
                <m:t>0</m:t>
              </m:r>
              <m:ctrlPr>
                <w:rPr>
                  <w:rFonts w:ascii="Cambria Math" w:eastAsia="Cambria Math" w:hAnsi="Cambria Math" w:cs="Cambria Math"/>
                  <w:i/>
                  <w:sz w:val="19"/>
                  <w:szCs w:val="19"/>
                </w:rPr>
              </m:ctrlPr>
            </m:e>
            <m:e>
              <m:r>
                <w:rPr>
                  <w:rFonts w:ascii="Cambria Math" w:eastAsia="Cambria Math" w:hAnsi="Cambria Math" w:cs="Cambria Math"/>
                  <w:sz w:val="19"/>
                  <w:szCs w:val="19"/>
                </w:rPr>
                <m:t>0</m:t>
              </m:r>
              <m:ctrlPr>
                <w:rPr>
                  <w:rFonts w:ascii="Cambria Math" w:eastAsia="Cambria Math" w:hAnsi="Cambria Math" w:cs="Cambria Math"/>
                  <w:i/>
                  <w:sz w:val="19"/>
                  <w:szCs w:val="19"/>
                </w:rPr>
              </m:ctrlPr>
            </m:e>
            <m:e>
              <m:r>
                <w:rPr>
                  <w:rFonts w:ascii="Cambria Math" w:eastAsia="Cambria Math" w:hAnsi="Cambria Math" w:cs="Cambria Math"/>
                  <w:sz w:val="19"/>
                  <w:szCs w:val="19"/>
                </w:rPr>
                <m:t>0</m:t>
              </m:r>
              <m:ctrlPr>
                <w:rPr>
                  <w:rFonts w:ascii="Cambria Math" w:eastAsia="Cambria Math" w:hAnsi="Cambria Math" w:cs="Cambria Math"/>
                  <w:i/>
                  <w:sz w:val="19"/>
                  <w:szCs w:val="19"/>
                </w:rPr>
              </m:ctrlPr>
            </m:e>
            <m:e>
              <m:r>
                <w:rPr>
                  <w:rFonts w:ascii="Cambria Math" w:eastAsia="Cambria Math" w:hAnsi="Cambria Math" w:cs="Cambria Math"/>
                  <w:sz w:val="19"/>
                  <w:szCs w:val="19"/>
                </w:rPr>
                <m:t>0</m:t>
              </m:r>
              <m:ctrlPr>
                <w:rPr>
                  <w:rFonts w:ascii="Cambria Math" w:eastAsia="Cambria Math" w:hAnsi="Cambria Math" w:cs="Cambria Math"/>
                  <w:i/>
                  <w:sz w:val="19"/>
                  <w:szCs w:val="19"/>
                </w:rPr>
              </m:ctrlPr>
            </m:e>
          </m:mr>
          <m:mr>
            <m:e>
              <m:r>
                <w:rPr>
                  <w:rFonts w:ascii="Cambria Math" w:eastAsia="Cambria Math" w:hAnsi="Cambria Math" w:cs="Cambria Math"/>
                  <w:sz w:val="19"/>
                  <w:szCs w:val="19"/>
                </w:rPr>
                <m:t>MP</m:t>
              </m:r>
              <m:ctrlPr>
                <w:rPr>
                  <w:rFonts w:ascii="Cambria Math" w:eastAsia="Cambria Math" w:hAnsi="Cambria Math" w:cs="Cambria Math"/>
                  <w:i/>
                  <w:sz w:val="19"/>
                  <w:szCs w:val="19"/>
                </w:rPr>
              </m:ctrlPr>
            </m:e>
            <m:e>
              <m:r>
                <w:rPr>
                  <w:rFonts w:ascii="Cambria Math" w:eastAsia="Cambria Math" w:hAnsi="Cambria Math" w:cs="Cambria Math"/>
                  <w:sz w:val="19"/>
                  <w:szCs w:val="19"/>
                </w:rPr>
                <m:t>0</m:t>
              </m:r>
              <m:ctrlPr>
                <w:rPr>
                  <w:rFonts w:ascii="Cambria Math" w:eastAsia="Cambria Math" w:hAnsi="Cambria Math" w:cs="Cambria Math"/>
                  <w:i/>
                  <w:sz w:val="19"/>
                  <w:szCs w:val="19"/>
                </w:rPr>
              </m:ctrlPr>
            </m:e>
            <m:e>
              <m:r>
                <w:rPr>
                  <w:rFonts w:ascii="Cambria Math" w:eastAsia="Cambria Math" w:hAnsi="Cambria Math" w:cs="Cambria Math"/>
                  <w:sz w:val="19"/>
                  <w:szCs w:val="19"/>
                </w:rPr>
                <m:t>1</m:t>
              </m:r>
              <m:ctrlPr>
                <w:rPr>
                  <w:rFonts w:ascii="Cambria Math" w:eastAsia="Cambria Math" w:hAnsi="Cambria Math" w:cs="Cambria Math"/>
                  <w:i/>
                  <w:sz w:val="19"/>
                  <w:szCs w:val="19"/>
                </w:rPr>
              </m:ctrlPr>
            </m:e>
            <m:e>
              <m:r>
                <w:rPr>
                  <w:rFonts w:ascii="Cambria Math" w:eastAsia="Cambria Math" w:hAnsi="Cambria Math" w:cs="Cambria Math"/>
                  <w:sz w:val="19"/>
                  <w:szCs w:val="19"/>
                </w:rPr>
                <m:t>0</m:t>
              </m:r>
              <m:ctrlPr>
                <w:rPr>
                  <w:rFonts w:ascii="Cambria Math" w:eastAsia="Cambria Math" w:hAnsi="Cambria Math" w:cs="Cambria Math"/>
                  <w:i/>
                  <w:sz w:val="19"/>
                  <w:szCs w:val="19"/>
                </w:rPr>
              </m:ctrlPr>
            </m:e>
            <m:e>
              <m:r>
                <w:rPr>
                  <w:rFonts w:ascii="Cambria Math" w:eastAsia="Cambria Math" w:hAnsi="Cambria Math" w:cs="Cambria Math"/>
                  <w:sz w:val="19"/>
                  <w:szCs w:val="19"/>
                </w:rPr>
                <m:t>0</m:t>
              </m:r>
              <m:ctrlPr>
                <w:rPr>
                  <w:rFonts w:ascii="Cambria Math" w:eastAsia="Cambria Math" w:hAnsi="Cambria Math" w:cs="Cambria Math"/>
                  <w:i/>
                  <w:sz w:val="19"/>
                  <w:szCs w:val="19"/>
                </w:rPr>
              </m:ctrlPr>
            </m:e>
            <m:e>
              <m:r>
                <w:rPr>
                  <w:rFonts w:ascii="Cambria Math" w:eastAsia="Cambria Math" w:hAnsi="Cambria Math" w:cs="Cambria Math"/>
                  <w:sz w:val="19"/>
                  <w:szCs w:val="19"/>
                </w:rPr>
                <m:t>0</m:t>
              </m:r>
              <m:ctrlPr>
                <w:rPr>
                  <w:rFonts w:ascii="Cambria Math" w:eastAsia="Cambria Math" w:hAnsi="Cambria Math" w:cs="Cambria Math"/>
                  <w:i/>
                  <w:sz w:val="19"/>
                  <w:szCs w:val="19"/>
                </w:rPr>
              </m:ctrlPr>
            </m:e>
            <m:e>
              <m:r>
                <w:rPr>
                  <w:rFonts w:ascii="Cambria Math" w:eastAsia="Cambria Math" w:hAnsi="Cambria Math" w:cs="Cambria Math"/>
                  <w:sz w:val="19"/>
                  <w:szCs w:val="19"/>
                </w:rPr>
                <m:t>0</m:t>
              </m:r>
              <m:ctrlPr>
                <w:rPr>
                  <w:rFonts w:ascii="Cambria Math" w:eastAsia="Cambria Math" w:hAnsi="Cambria Math" w:cs="Cambria Math"/>
                  <w:i/>
                  <w:sz w:val="19"/>
                  <w:szCs w:val="19"/>
                </w:rPr>
              </m:ctrlPr>
            </m:e>
            <m:e>
              <m:r>
                <w:rPr>
                  <w:rFonts w:ascii="Cambria Math" w:eastAsia="Cambria Math" w:hAnsi="Cambria Math" w:cs="Cambria Math"/>
                  <w:sz w:val="19"/>
                  <w:szCs w:val="19"/>
                </w:rPr>
                <m:t>0</m:t>
              </m:r>
              <m:ctrlPr>
                <w:rPr>
                  <w:rFonts w:ascii="Cambria Math" w:eastAsia="Cambria Math" w:hAnsi="Cambria Math" w:cs="Cambria Math"/>
                  <w:i/>
                  <w:sz w:val="19"/>
                  <w:szCs w:val="19"/>
                </w:rPr>
              </m:ctrlPr>
            </m:e>
          </m:mr>
          <m:mr>
            <m:e>
              <m:r>
                <w:rPr>
                  <w:rFonts w:ascii="Cambria Math" w:eastAsia="Cambria Math" w:hAnsi="Cambria Math" w:cs="Cambria Math"/>
                  <w:sz w:val="19"/>
                  <w:szCs w:val="19"/>
                </w:rPr>
                <m:t>MM</m:t>
              </m:r>
              <m:ctrlPr>
                <w:rPr>
                  <w:rFonts w:ascii="Cambria Math" w:eastAsia="Cambria Math" w:hAnsi="Cambria Math" w:cs="Cambria Math"/>
                  <w:i/>
                  <w:sz w:val="19"/>
                  <w:szCs w:val="19"/>
                </w:rPr>
              </m:ctrlPr>
            </m:e>
            <m:e>
              <m:sSub>
                <m:sSubPr>
                  <m:ctrlPr>
                    <w:rPr>
                      <w:rFonts w:ascii="Cambria Math" w:eastAsia="Cambria Math" w:hAnsi="Cambria Math" w:cs="Cambria Math"/>
                      <w:i/>
                      <w:sz w:val="19"/>
                      <w:szCs w:val="19"/>
                    </w:rPr>
                  </m:ctrlPr>
                </m:sSubPr>
                <m:e>
                  <m:r>
                    <w:rPr>
                      <w:rFonts w:ascii="Cambria Math" w:eastAsia="Cambria Math" w:hAnsi="Cambria Math" w:cs="Cambria Math"/>
                      <w:sz w:val="19"/>
                      <w:szCs w:val="19"/>
                    </w:rPr>
                    <m:t>a</m:t>
                  </m:r>
                </m:e>
                <m:sub>
                  <m:r>
                    <w:rPr>
                      <w:rFonts w:ascii="Cambria Math" w:eastAsia="Cambria Math" w:hAnsi="Cambria Math" w:cs="Cambria Math"/>
                      <w:sz w:val="19"/>
                      <w:szCs w:val="19"/>
                    </w:rPr>
                    <m:t>31</m:t>
                  </m:r>
                </m:sub>
              </m:sSub>
              <m:ctrlPr>
                <w:rPr>
                  <w:rFonts w:ascii="Cambria Math" w:eastAsia="Cambria Math" w:hAnsi="Cambria Math" w:cs="Cambria Math"/>
                  <w:i/>
                  <w:sz w:val="19"/>
                  <w:szCs w:val="19"/>
                </w:rPr>
              </m:ctrlPr>
            </m:e>
            <m:e>
              <m:sSub>
                <m:sSubPr>
                  <m:ctrlPr>
                    <w:rPr>
                      <w:rFonts w:ascii="Cambria Math" w:eastAsia="Cambria Math" w:hAnsi="Cambria Math" w:cs="Cambria Math"/>
                      <w:i/>
                      <w:sz w:val="19"/>
                      <w:szCs w:val="19"/>
                    </w:rPr>
                  </m:ctrlPr>
                </m:sSubPr>
                <m:e>
                  <m:r>
                    <w:rPr>
                      <w:rFonts w:ascii="Cambria Math" w:eastAsia="Cambria Math" w:hAnsi="Cambria Math" w:cs="Cambria Math"/>
                      <w:sz w:val="19"/>
                      <w:szCs w:val="19"/>
                    </w:rPr>
                    <m:t>a</m:t>
                  </m:r>
                </m:e>
                <m:sub>
                  <m:r>
                    <w:rPr>
                      <w:rFonts w:ascii="Cambria Math" w:eastAsia="Cambria Math" w:hAnsi="Cambria Math" w:cs="Cambria Math"/>
                      <w:sz w:val="19"/>
                      <w:szCs w:val="19"/>
                    </w:rPr>
                    <m:t>32</m:t>
                  </m:r>
                </m:sub>
              </m:sSub>
              <m:ctrlPr>
                <w:rPr>
                  <w:rFonts w:ascii="Cambria Math" w:eastAsia="Cambria Math" w:hAnsi="Cambria Math" w:cs="Cambria Math"/>
                  <w:i/>
                  <w:sz w:val="19"/>
                  <w:szCs w:val="19"/>
                </w:rPr>
              </m:ctrlPr>
            </m:e>
            <m:e>
              <m:r>
                <w:rPr>
                  <w:rFonts w:ascii="Cambria Math" w:eastAsia="Cambria Math" w:hAnsi="Cambria Math" w:cs="Cambria Math"/>
                  <w:sz w:val="19"/>
                  <w:szCs w:val="19"/>
                </w:rPr>
                <m:t>1</m:t>
              </m:r>
              <m:ctrlPr>
                <w:rPr>
                  <w:rFonts w:ascii="Cambria Math" w:eastAsia="Cambria Math" w:hAnsi="Cambria Math" w:cs="Cambria Math"/>
                  <w:i/>
                  <w:sz w:val="19"/>
                  <w:szCs w:val="19"/>
                </w:rPr>
              </m:ctrlPr>
            </m:e>
            <m:e>
              <m:r>
                <w:rPr>
                  <w:rFonts w:ascii="Cambria Math" w:eastAsia="Cambria Math" w:hAnsi="Cambria Math" w:cs="Cambria Math"/>
                  <w:sz w:val="19"/>
                  <w:szCs w:val="19"/>
                </w:rPr>
                <m:t>0</m:t>
              </m:r>
              <m:ctrlPr>
                <w:rPr>
                  <w:rFonts w:ascii="Cambria Math" w:eastAsia="Cambria Math" w:hAnsi="Cambria Math" w:cs="Cambria Math"/>
                  <w:i/>
                  <w:sz w:val="19"/>
                  <w:szCs w:val="19"/>
                </w:rPr>
              </m:ctrlPr>
            </m:e>
            <m:e>
              <m:r>
                <w:rPr>
                  <w:rFonts w:ascii="Cambria Math" w:eastAsia="Cambria Math" w:hAnsi="Cambria Math" w:cs="Cambria Math"/>
                  <w:sz w:val="19"/>
                  <w:szCs w:val="19"/>
                </w:rPr>
                <m:t>0</m:t>
              </m:r>
              <m:ctrlPr>
                <w:rPr>
                  <w:rFonts w:ascii="Cambria Math" w:eastAsia="Cambria Math" w:hAnsi="Cambria Math" w:cs="Cambria Math"/>
                  <w:i/>
                  <w:sz w:val="19"/>
                  <w:szCs w:val="19"/>
                </w:rPr>
              </m:ctrlPr>
            </m:e>
            <m:e>
              <m:r>
                <w:rPr>
                  <w:rFonts w:ascii="Cambria Math" w:eastAsia="Cambria Math" w:hAnsi="Cambria Math" w:cs="Cambria Math"/>
                  <w:sz w:val="19"/>
                  <w:szCs w:val="19"/>
                </w:rPr>
                <m:t>0</m:t>
              </m:r>
              <m:ctrlPr>
                <w:rPr>
                  <w:rFonts w:ascii="Cambria Math" w:eastAsia="Cambria Math" w:hAnsi="Cambria Math" w:cs="Cambria Math"/>
                  <w:i/>
                  <w:sz w:val="19"/>
                  <w:szCs w:val="19"/>
                </w:rPr>
              </m:ctrlPr>
            </m:e>
            <m:e>
              <m:sSub>
                <m:sSubPr>
                  <m:ctrlPr>
                    <w:rPr>
                      <w:rFonts w:ascii="Cambria Math" w:eastAsia="Cambria Math" w:hAnsi="Cambria Math" w:cs="Cambria Math"/>
                      <w:i/>
                      <w:sz w:val="19"/>
                      <w:szCs w:val="19"/>
                    </w:rPr>
                  </m:ctrlPr>
                </m:sSubPr>
                <m:e>
                  <m:r>
                    <w:rPr>
                      <w:rFonts w:ascii="Cambria Math" w:eastAsia="Cambria Math" w:hAnsi="Cambria Math" w:cs="Cambria Math"/>
                      <w:sz w:val="19"/>
                      <w:szCs w:val="19"/>
                    </w:rPr>
                    <m:t>a</m:t>
                  </m:r>
                </m:e>
                <m:sub>
                  <m:r>
                    <w:rPr>
                      <w:rFonts w:ascii="Cambria Math" w:eastAsia="Cambria Math" w:hAnsi="Cambria Math" w:cs="Cambria Math"/>
                      <w:sz w:val="19"/>
                      <w:szCs w:val="19"/>
                    </w:rPr>
                    <m:t>37</m:t>
                  </m:r>
                </m:sub>
              </m:sSub>
              <m:ctrlPr>
                <w:rPr>
                  <w:rFonts w:ascii="Cambria Math" w:eastAsia="Cambria Math" w:hAnsi="Cambria Math" w:cs="Cambria Math"/>
                  <w:i/>
                  <w:sz w:val="19"/>
                  <w:szCs w:val="19"/>
                </w:rPr>
              </m:ctrlPr>
            </m:e>
          </m:mr>
          <m:mr>
            <m:e>
              <m:r>
                <w:rPr>
                  <w:rFonts w:ascii="Cambria Math" w:eastAsia="Cambria Math" w:hAnsi="Cambria Math" w:cs="Cambria Math"/>
                  <w:sz w:val="19"/>
                  <w:szCs w:val="19"/>
                </w:rPr>
                <m:t>c_rate</m:t>
              </m:r>
              <m:ctrlPr>
                <w:rPr>
                  <w:rFonts w:ascii="Cambria Math" w:eastAsia="Cambria Math" w:hAnsi="Cambria Math" w:cs="Cambria Math"/>
                  <w:i/>
                  <w:sz w:val="19"/>
                  <w:szCs w:val="19"/>
                </w:rPr>
              </m:ctrlPr>
            </m:e>
            <m:e>
              <m:r>
                <w:rPr>
                  <w:rFonts w:ascii="Cambria Math" w:eastAsia="Cambria Math" w:hAnsi="Cambria Math" w:cs="Cambria Math"/>
                  <w:sz w:val="19"/>
                  <w:szCs w:val="19"/>
                </w:rPr>
                <m:t>0</m:t>
              </m:r>
              <m:ctrlPr>
                <w:rPr>
                  <w:rFonts w:ascii="Cambria Math" w:eastAsia="Cambria Math" w:hAnsi="Cambria Math" w:cs="Cambria Math"/>
                  <w:i/>
                  <w:sz w:val="19"/>
                  <w:szCs w:val="19"/>
                </w:rPr>
              </m:ctrlPr>
            </m:e>
            <m:e>
              <m:r>
                <w:rPr>
                  <w:rFonts w:ascii="Cambria Math" w:eastAsia="Cambria Math" w:hAnsi="Cambria Math" w:cs="Cambria Math"/>
                  <w:sz w:val="19"/>
                  <w:szCs w:val="19"/>
                </w:rPr>
                <m:t>0</m:t>
              </m:r>
              <m:ctrlPr>
                <w:rPr>
                  <w:rFonts w:ascii="Cambria Math" w:eastAsia="Cambria Math" w:hAnsi="Cambria Math" w:cs="Cambria Math"/>
                  <w:i/>
                  <w:sz w:val="19"/>
                  <w:szCs w:val="19"/>
                </w:rPr>
              </m:ctrlPr>
            </m:e>
            <m:e>
              <m:sSub>
                <m:sSubPr>
                  <m:ctrlPr>
                    <w:rPr>
                      <w:rFonts w:ascii="Cambria Math" w:eastAsia="Cambria Math" w:hAnsi="Cambria Math" w:cs="Cambria Math"/>
                      <w:i/>
                      <w:sz w:val="19"/>
                      <w:szCs w:val="19"/>
                    </w:rPr>
                  </m:ctrlPr>
                </m:sSubPr>
                <m:e>
                  <m:r>
                    <w:rPr>
                      <w:rFonts w:ascii="Cambria Math" w:eastAsia="Cambria Math" w:hAnsi="Cambria Math" w:cs="Cambria Math"/>
                      <w:sz w:val="19"/>
                      <w:szCs w:val="19"/>
                    </w:rPr>
                    <m:t>a</m:t>
                  </m:r>
                </m:e>
                <m:sub>
                  <m:r>
                    <w:rPr>
                      <w:rFonts w:ascii="Cambria Math" w:eastAsia="Cambria Math" w:hAnsi="Cambria Math" w:cs="Cambria Math"/>
                      <w:sz w:val="19"/>
                      <w:szCs w:val="19"/>
                    </w:rPr>
                    <m:t>43</m:t>
                  </m:r>
                </m:sub>
              </m:sSub>
              <m:ctrlPr>
                <w:rPr>
                  <w:rFonts w:ascii="Cambria Math" w:eastAsia="Cambria Math" w:hAnsi="Cambria Math" w:cs="Cambria Math"/>
                  <w:i/>
                  <w:sz w:val="19"/>
                  <w:szCs w:val="19"/>
                </w:rPr>
              </m:ctrlPr>
            </m:e>
            <m:e>
              <m:r>
                <w:rPr>
                  <w:rFonts w:ascii="Cambria Math" w:eastAsia="Cambria Math" w:hAnsi="Cambria Math" w:cs="Cambria Math"/>
                  <w:sz w:val="19"/>
                  <w:szCs w:val="19"/>
                </w:rPr>
                <m:t>1</m:t>
              </m:r>
              <m:ctrlPr>
                <w:rPr>
                  <w:rFonts w:ascii="Cambria Math" w:eastAsia="Cambria Math" w:hAnsi="Cambria Math" w:cs="Cambria Math"/>
                  <w:i/>
                  <w:sz w:val="19"/>
                  <w:szCs w:val="19"/>
                </w:rPr>
              </m:ctrlPr>
            </m:e>
            <m:e>
              <m:r>
                <w:rPr>
                  <w:rFonts w:ascii="Cambria Math" w:eastAsia="Cambria Math" w:hAnsi="Cambria Math" w:cs="Cambria Math"/>
                  <w:sz w:val="19"/>
                  <w:szCs w:val="19"/>
                </w:rPr>
                <m:t>0</m:t>
              </m:r>
              <m:ctrlPr>
                <w:rPr>
                  <w:rFonts w:ascii="Cambria Math" w:eastAsia="Cambria Math" w:hAnsi="Cambria Math" w:cs="Cambria Math"/>
                  <w:i/>
                  <w:sz w:val="19"/>
                  <w:szCs w:val="19"/>
                </w:rPr>
              </m:ctrlPr>
            </m:e>
            <m:e>
              <m:sSub>
                <m:sSubPr>
                  <m:ctrlPr>
                    <w:rPr>
                      <w:rFonts w:ascii="Cambria Math" w:eastAsia="Cambria Math" w:hAnsi="Cambria Math" w:cs="Cambria Math"/>
                      <w:i/>
                      <w:sz w:val="19"/>
                      <w:szCs w:val="19"/>
                    </w:rPr>
                  </m:ctrlPr>
                </m:sSubPr>
                <m:e>
                  <m:r>
                    <w:rPr>
                      <w:rFonts w:ascii="Cambria Math" w:eastAsia="Cambria Math" w:hAnsi="Cambria Math" w:cs="Cambria Math"/>
                      <w:sz w:val="19"/>
                      <w:szCs w:val="19"/>
                    </w:rPr>
                    <m:t>a</m:t>
                  </m:r>
                </m:e>
                <m:sub>
                  <m:r>
                    <w:rPr>
                      <w:rFonts w:ascii="Cambria Math" w:eastAsia="Cambria Math" w:hAnsi="Cambria Math" w:cs="Cambria Math"/>
                      <w:sz w:val="19"/>
                      <w:szCs w:val="19"/>
                    </w:rPr>
                    <m:t>46</m:t>
                  </m:r>
                </m:sub>
              </m:sSub>
              <m:ctrlPr>
                <w:rPr>
                  <w:rFonts w:ascii="Cambria Math" w:eastAsia="Cambria Math" w:hAnsi="Cambria Math" w:cs="Cambria Math"/>
                  <w:i/>
                  <w:sz w:val="19"/>
                  <w:szCs w:val="19"/>
                </w:rPr>
              </m:ctrlPr>
            </m:e>
            <m:e>
              <m:sSub>
                <m:sSubPr>
                  <m:ctrlPr>
                    <w:rPr>
                      <w:rFonts w:ascii="Cambria Math" w:eastAsia="Cambria Math" w:hAnsi="Cambria Math" w:cs="Cambria Math"/>
                      <w:i/>
                      <w:sz w:val="19"/>
                      <w:szCs w:val="19"/>
                    </w:rPr>
                  </m:ctrlPr>
                </m:sSubPr>
                <m:e>
                  <m:r>
                    <w:rPr>
                      <w:rFonts w:ascii="Cambria Math" w:eastAsia="Cambria Math" w:hAnsi="Cambria Math" w:cs="Cambria Math"/>
                      <w:sz w:val="19"/>
                      <w:szCs w:val="19"/>
                    </w:rPr>
                    <m:t>a</m:t>
                  </m:r>
                </m:e>
                <m:sub>
                  <m:r>
                    <w:rPr>
                      <w:rFonts w:ascii="Cambria Math" w:eastAsia="Cambria Math" w:hAnsi="Cambria Math" w:cs="Cambria Math"/>
                      <w:sz w:val="19"/>
                      <w:szCs w:val="19"/>
                    </w:rPr>
                    <m:t>47</m:t>
                  </m:r>
                </m:sub>
              </m:sSub>
              <m:ctrlPr>
                <w:rPr>
                  <w:rFonts w:ascii="Cambria Math" w:eastAsia="Cambria Math" w:hAnsi="Cambria Math" w:cs="Cambria Math"/>
                  <w:i/>
                  <w:sz w:val="19"/>
                  <w:szCs w:val="19"/>
                </w:rPr>
              </m:ctrlPr>
            </m:e>
          </m:mr>
          <m:mr>
            <m:e>
              <m:r>
                <w:rPr>
                  <w:rFonts w:ascii="Cambria Math" w:eastAsia="Cambria Math" w:hAnsi="Cambria Math" w:cs="Cambria Math"/>
                  <w:sz w:val="19"/>
                  <w:szCs w:val="19"/>
                </w:rPr>
                <m:t>er</m:t>
              </m:r>
            </m:e>
            <m:e>
              <m:sSub>
                <m:sSubPr>
                  <m:ctrlPr>
                    <w:rPr>
                      <w:rFonts w:ascii="Cambria Math" w:hAnsi="Cambria Math"/>
                      <w:i/>
                      <w:sz w:val="19"/>
                      <w:szCs w:val="19"/>
                    </w:rPr>
                  </m:ctrlPr>
                </m:sSubPr>
                <m:e>
                  <m:r>
                    <w:rPr>
                      <w:rFonts w:ascii="Cambria Math" w:hAnsi="Cambria Math"/>
                      <w:sz w:val="19"/>
                      <w:szCs w:val="19"/>
                    </w:rPr>
                    <m:t>a</m:t>
                  </m:r>
                </m:e>
                <m:sub>
                  <m:r>
                    <w:rPr>
                      <w:rFonts w:ascii="Cambria Math" w:hAnsi="Cambria Math"/>
                      <w:sz w:val="19"/>
                      <w:szCs w:val="19"/>
                    </w:rPr>
                    <m:t>51</m:t>
                  </m:r>
                </m:sub>
              </m:sSub>
              <m:ctrlPr>
                <w:rPr>
                  <w:rFonts w:ascii="Cambria Math" w:eastAsia="Cambria Math" w:hAnsi="Cambria Math" w:cs="Cambria Math"/>
                  <w:i/>
                  <w:sz w:val="19"/>
                  <w:szCs w:val="19"/>
                </w:rPr>
              </m:ctrlPr>
            </m:e>
            <m:e>
              <m:sSub>
                <m:sSubPr>
                  <m:ctrlPr>
                    <w:rPr>
                      <w:rFonts w:ascii="Cambria Math" w:eastAsia="Cambria Math" w:hAnsi="Cambria Math" w:cs="Cambria Math"/>
                      <w:i/>
                      <w:sz w:val="19"/>
                      <w:szCs w:val="19"/>
                    </w:rPr>
                  </m:ctrlPr>
                </m:sSubPr>
                <m:e>
                  <m:r>
                    <w:rPr>
                      <w:rFonts w:ascii="Cambria Math" w:eastAsia="Cambria Math" w:hAnsi="Cambria Math" w:cs="Cambria Math"/>
                      <w:sz w:val="19"/>
                      <w:szCs w:val="19"/>
                    </w:rPr>
                    <m:t>a</m:t>
                  </m:r>
                </m:e>
                <m:sub>
                  <m:r>
                    <w:rPr>
                      <w:rFonts w:ascii="Cambria Math" w:eastAsia="Cambria Math" w:hAnsi="Cambria Math" w:cs="Cambria Math"/>
                      <w:sz w:val="19"/>
                      <w:szCs w:val="19"/>
                    </w:rPr>
                    <m:t>52</m:t>
                  </m:r>
                </m:sub>
              </m:sSub>
              <m:ctrlPr>
                <w:rPr>
                  <w:rFonts w:ascii="Cambria Math" w:eastAsia="Cambria Math" w:hAnsi="Cambria Math" w:cs="Cambria Math"/>
                  <w:i/>
                  <w:sz w:val="19"/>
                  <w:szCs w:val="19"/>
                </w:rPr>
              </m:ctrlPr>
            </m:e>
            <m:e>
              <m:sSub>
                <m:sSubPr>
                  <m:ctrlPr>
                    <w:rPr>
                      <w:rFonts w:ascii="Cambria Math" w:eastAsia="Cambria Math" w:hAnsi="Cambria Math" w:cs="Cambria Math"/>
                      <w:i/>
                      <w:sz w:val="19"/>
                      <w:szCs w:val="19"/>
                    </w:rPr>
                  </m:ctrlPr>
                </m:sSubPr>
                <m:e>
                  <m:r>
                    <w:rPr>
                      <w:rFonts w:ascii="Cambria Math" w:eastAsia="Cambria Math" w:hAnsi="Cambria Math" w:cs="Cambria Math"/>
                      <w:sz w:val="19"/>
                      <w:szCs w:val="19"/>
                    </w:rPr>
                    <m:t>a</m:t>
                  </m:r>
                </m:e>
                <m:sub>
                  <m:r>
                    <w:rPr>
                      <w:rFonts w:ascii="Cambria Math" w:eastAsia="Cambria Math" w:hAnsi="Cambria Math" w:cs="Cambria Math"/>
                      <w:sz w:val="19"/>
                      <w:szCs w:val="19"/>
                    </w:rPr>
                    <m:t>53</m:t>
                  </m:r>
                </m:sub>
              </m:sSub>
              <m:ctrlPr>
                <w:rPr>
                  <w:rFonts w:ascii="Cambria Math" w:eastAsia="Cambria Math" w:hAnsi="Cambria Math" w:cs="Cambria Math"/>
                  <w:i/>
                  <w:sz w:val="19"/>
                  <w:szCs w:val="19"/>
                </w:rPr>
              </m:ctrlPr>
            </m:e>
            <m:e>
              <m:r>
                <w:rPr>
                  <w:rFonts w:ascii="Cambria Math" w:eastAsia="Cambria Math" w:hAnsi="Cambria Math" w:cs="Cambria Math"/>
                  <w:sz w:val="19"/>
                  <w:szCs w:val="19"/>
                </w:rPr>
                <m:t>0</m:t>
              </m:r>
              <m:ctrlPr>
                <w:rPr>
                  <w:rFonts w:ascii="Cambria Math" w:eastAsia="Cambria Math" w:hAnsi="Cambria Math" w:cs="Cambria Math"/>
                  <w:i/>
                  <w:sz w:val="19"/>
                  <w:szCs w:val="19"/>
                </w:rPr>
              </m:ctrlPr>
            </m:e>
            <m:e>
              <m:r>
                <w:rPr>
                  <w:rFonts w:ascii="Cambria Math" w:eastAsia="Cambria Math" w:hAnsi="Cambria Math" w:cs="Cambria Math"/>
                  <w:sz w:val="19"/>
                  <w:szCs w:val="19"/>
                </w:rPr>
                <m:t>1</m:t>
              </m:r>
              <m:ctrlPr>
                <w:rPr>
                  <w:rFonts w:ascii="Cambria Math" w:eastAsia="Cambria Math" w:hAnsi="Cambria Math" w:cs="Cambria Math"/>
                  <w:i/>
                  <w:sz w:val="19"/>
                  <w:szCs w:val="19"/>
                </w:rPr>
              </m:ctrlPr>
            </m:e>
            <m:e>
              <m:sSub>
                <m:sSubPr>
                  <m:ctrlPr>
                    <w:rPr>
                      <w:rFonts w:ascii="Cambria Math" w:eastAsia="Cambria Math" w:hAnsi="Cambria Math" w:cs="Cambria Math"/>
                      <w:i/>
                      <w:sz w:val="19"/>
                      <w:szCs w:val="19"/>
                    </w:rPr>
                  </m:ctrlPr>
                </m:sSubPr>
                <m:e>
                  <m:r>
                    <w:rPr>
                      <w:rFonts w:ascii="Cambria Math" w:eastAsia="Cambria Math" w:hAnsi="Cambria Math" w:cs="Cambria Math"/>
                      <w:sz w:val="19"/>
                      <w:szCs w:val="19"/>
                    </w:rPr>
                    <m:t>a</m:t>
                  </m:r>
                </m:e>
                <m:sub>
                  <m:r>
                    <w:rPr>
                      <w:rFonts w:ascii="Cambria Math" w:eastAsia="Cambria Math" w:hAnsi="Cambria Math" w:cs="Cambria Math"/>
                      <w:sz w:val="19"/>
                      <w:szCs w:val="19"/>
                    </w:rPr>
                    <m:t>56</m:t>
                  </m:r>
                </m:sub>
              </m:sSub>
              <m:ctrlPr>
                <w:rPr>
                  <w:rFonts w:ascii="Cambria Math" w:eastAsia="Cambria Math" w:hAnsi="Cambria Math" w:cs="Cambria Math"/>
                  <w:i/>
                  <w:sz w:val="19"/>
                  <w:szCs w:val="19"/>
                </w:rPr>
              </m:ctrlPr>
            </m:e>
            <m:e>
              <m:sSub>
                <m:sSubPr>
                  <m:ctrlPr>
                    <w:rPr>
                      <w:rFonts w:ascii="Cambria Math" w:eastAsia="Cambria Math" w:hAnsi="Cambria Math" w:cs="Cambria Math"/>
                      <w:i/>
                      <w:sz w:val="19"/>
                      <w:szCs w:val="19"/>
                    </w:rPr>
                  </m:ctrlPr>
                </m:sSubPr>
                <m:e>
                  <m:r>
                    <w:rPr>
                      <w:rFonts w:ascii="Cambria Math" w:eastAsia="Cambria Math" w:hAnsi="Cambria Math" w:cs="Cambria Math"/>
                      <w:sz w:val="19"/>
                      <w:szCs w:val="19"/>
                    </w:rPr>
                    <m:t>a</m:t>
                  </m:r>
                </m:e>
                <m:sub>
                  <m:r>
                    <w:rPr>
                      <w:rFonts w:ascii="Cambria Math" w:eastAsia="Cambria Math" w:hAnsi="Cambria Math" w:cs="Cambria Math"/>
                      <w:sz w:val="19"/>
                      <w:szCs w:val="19"/>
                    </w:rPr>
                    <m:t>57</m:t>
                  </m:r>
                </m:sub>
              </m:sSub>
            </m:e>
          </m:mr>
          <m:mr>
            <m:e>
              <m:r>
                <w:rPr>
                  <w:rFonts w:ascii="Cambria Math" w:hAnsi="Cambria Math"/>
                  <w:sz w:val="19"/>
                  <w:szCs w:val="19"/>
                </w:rPr>
                <m:t>prices</m:t>
              </m:r>
            </m:e>
            <m:e>
              <m:r>
                <w:rPr>
                  <w:rFonts w:ascii="Cambria Math" w:hAnsi="Cambria Math"/>
                  <w:sz w:val="19"/>
                  <w:szCs w:val="19"/>
                </w:rPr>
                <m:t>0</m:t>
              </m:r>
              <m:ctrlPr>
                <w:rPr>
                  <w:rFonts w:ascii="Cambria Math" w:eastAsia="Cambria Math" w:hAnsi="Cambria Math" w:cs="Cambria Math"/>
                  <w:i/>
                  <w:sz w:val="19"/>
                  <w:szCs w:val="19"/>
                </w:rPr>
              </m:ctrlPr>
            </m:e>
            <m:e>
              <m:r>
                <w:rPr>
                  <w:rFonts w:ascii="Cambria Math" w:eastAsia="Cambria Math" w:hAnsi="Cambria Math" w:cs="Cambria Math"/>
                  <w:sz w:val="19"/>
                  <w:szCs w:val="19"/>
                </w:rPr>
                <m:t>0</m:t>
              </m:r>
              <m:ctrlPr>
                <w:rPr>
                  <w:rFonts w:ascii="Cambria Math" w:eastAsia="Cambria Math" w:hAnsi="Cambria Math" w:cs="Cambria Math"/>
                  <w:i/>
                  <w:sz w:val="19"/>
                  <w:szCs w:val="19"/>
                </w:rPr>
              </m:ctrlPr>
            </m:e>
            <m:e>
              <m:r>
                <w:rPr>
                  <w:rFonts w:ascii="Cambria Math" w:eastAsia="Cambria Math" w:hAnsi="Cambria Math" w:cs="Cambria Math"/>
                  <w:sz w:val="19"/>
                  <w:szCs w:val="19"/>
                </w:rPr>
                <m:t>0</m:t>
              </m:r>
              <m:ctrlPr>
                <w:rPr>
                  <w:rFonts w:ascii="Cambria Math" w:eastAsia="Cambria Math" w:hAnsi="Cambria Math" w:cs="Cambria Math"/>
                  <w:i/>
                  <w:sz w:val="19"/>
                  <w:szCs w:val="19"/>
                </w:rPr>
              </m:ctrlPr>
            </m:e>
            <m:e>
              <m:r>
                <w:rPr>
                  <w:rFonts w:ascii="Cambria Math" w:eastAsia="Cambria Math" w:hAnsi="Cambria Math" w:cs="Cambria Math"/>
                  <w:sz w:val="19"/>
                  <w:szCs w:val="19"/>
                </w:rPr>
                <m:t>0</m:t>
              </m:r>
              <m:ctrlPr>
                <w:rPr>
                  <w:rFonts w:ascii="Cambria Math" w:eastAsia="Cambria Math" w:hAnsi="Cambria Math" w:cs="Cambria Math"/>
                  <w:i/>
                  <w:sz w:val="19"/>
                  <w:szCs w:val="19"/>
                </w:rPr>
              </m:ctrlPr>
            </m:e>
            <m:e>
              <m:r>
                <w:rPr>
                  <w:rFonts w:ascii="Cambria Math" w:eastAsia="Cambria Math" w:hAnsi="Cambria Math" w:cs="Cambria Math"/>
                  <w:sz w:val="19"/>
                  <w:szCs w:val="19"/>
                </w:rPr>
                <m:t>0</m:t>
              </m:r>
              <m:ctrlPr>
                <w:rPr>
                  <w:rFonts w:ascii="Cambria Math" w:eastAsia="Cambria Math" w:hAnsi="Cambria Math" w:cs="Cambria Math"/>
                  <w:i/>
                  <w:sz w:val="19"/>
                  <w:szCs w:val="19"/>
                </w:rPr>
              </m:ctrlPr>
            </m:e>
            <m:e>
              <m:r>
                <w:rPr>
                  <w:rFonts w:ascii="Cambria Math" w:eastAsia="Cambria Math" w:hAnsi="Cambria Math" w:cs="Cambria Math"/>
                  <w:sz w:val="19"/>
                  <w:szCs w:val="19"/>
                </w:rPr>
                <m:t>1</m:t>
              </m:r>
              <m:ctrlPr>
                <w:rPr>
                  <w:rFonts w:ascii="Cambria Math" w:eastAsia="Cambria Math" w:hAnsi="Cambria Math" w:cs="Cambria Math"/>
                  <w:i/>
                  <w:sz w:val="19"/>
                  <w:szCs w:val="19"/>
                </w:rPr>
              </m:ctrlPr>
            </m:e>
            <m:e>
              <m:r>
                <w:rPr>
                  <w:rFonts w:ascii="Cambria Math" w:eastAsia="Cambria Math" w:hAnsi="Cambria Math" w:cs="Cambria Math"/>
                  <w:sz w:val="19"/>
                  <w:szCs w:val="19"/>
                </w:rPr>
                <m:t>0</m:t>
              </m:r>
              <m:ctrlPr>
                <w:rPr>
                  <w:rFonts w:ascii="Cambria Math" w:eastAsia="Cambria Math" w:hAnsi="Cambria Math" w:cs="Cambria Math"/>
                  <w:i/>
                  <w:sz w:val="19"/>
                  <w:szCs w:val="19"/>
                </w:rPr>
              </m:ctrlPr>
            </m:e>
          </m:mr>
          <m:mr>
            <m:e>
              <m:r>
                <w:rPr>
                  <w:rFonts w:ascii="Cambria Math" w:eastAsia="Cambria Math" w:hAnsi="Cambria Math" w:cs="Cambria Math"/>
                  <w:sz w:val="19"/>
                  <w:szCs w:val="19"/>
                </w:rPr>
                <m:t>conf</m:t>
              </m:r>
              <m:ctrlPr>
                <w:rPr>
                  <w:rFonts w:ascii="Cambria Math" w:eastAsia="Cambria Math" w:hAnsi="Cambria Math" w:cs="Cambria Math"/>
                  <w:i/>
                  <w:sz w:val="19"/>
                  <w:szCs w:val="19"/>
                </w:rPr>
              </m:ctrlPr>
            </m:e>
            <m:e>
              <m:sSub>
                <m:sSubPr>
                  <m:ctrlPr>
                    <w:rPr>
                      <w:rFonts w:ascii="Cambria Math" w:eastAsia="Cambria Math" w:hAnsi="Cambria Math" w:cs="Cambria Math"/>
                      <w:i/>
                      <w:sz w:val="19"/>
                      <w:szCs w:val="19"/>
                    </w:rPr>
                  </m:ctrlPr>
                </m:sSubPr>
                <m:e>
                  <m:r>
                    <w:rPr>
                      <w:rFonts w:ascii="Cambria Math" w:eastAsia="Cambria Math" w:hAnsi="Cambria Math" w:cs="Cambria Math"/>
                      <w:sz w:val="19"/>
                      <w:szCs w:val="19"/>
                    </w:rPr>
                    <m:t>a</m:t>
                  </m:r>
                </m:e>
                <m:sub>
                  <m:r>
                    <w:rPr>
                      <w:rFonts w:ascii="Cambria Math" w:eastAsia="Cambria Math" w:hAnsi="Cambria Math" w:cs="Cambria Math"/>
                      <w:sz w:val="19"/>
                      <w:szCs w:val="19"/>
                    </w:rPr>
                    <m:t>71</m:t>
                  </m:r>
                </m:sub>
              </m:sSub>
              <m:ctrlPr>
                <w:rPr>
                  <w:rFonts w:ascii="Cambria Math" w:eastAsia="Cambria Math" w:hAnsi="Cambria Math" w:cs="Cambria Math"/>
                  <w:i/>
                  <w:sz w:val="19"/>
                  <w:szCs w:val="19"/>
                </w:rPr>
              </m:ctrlPr>
            </m:e>
            <m:e>
              <m:r>
                <w:rPr>
                  <w:rFonts w:ascii="Cambria Math" w:eastAsia="Cambria Math" w:hAnsi="Cambria Math" w:cs="Cambria Math"/>
                  <w:sz w:val="19"/>
                  <w:szCs w:val="19"/>
                </w:rPr>
                <m:t>0</m:t>
              </m:r>
              <m:ctrlPr>
                <w:rPr>
                  <w:rFonts w:ascii="Cambria Math" w:eastAsia="Cambria Math" w:hAnsi="Cambria Math" w:cs="Cambria Math"/>
                  <w:i/>
                  <w:sz w:val="19"/>
                  <w:szCs w:val="19"/>
                </w:rPr>
              </m:ctrlPr>
            </m:e>
            <m:e>
              <m:r>
                <w:rPr>
                  <w:rFonts w:ascii="Cambria Math" w:eastAsia="Cambria Math" w:hAnsi="Cambria Math" w:cs="Cambria Math"/>
                  <w:sz w:val="19"/>
                  <w:szCs w:val="19"/>
                </w:rPr>
                <m:t>0</m:t>
              </m:r>
              <m:ctrlPr>
                <w:rPr>
                  <w:rFonts w:ascii="Cambria Math" w:eastAsia="Cambria Math" w:hAnsi="Cambria Math" w:cs="Cambria Math"/>
                  <w:i/>
                  <w:sz w:val="19"/>
                  <w:szCs w:val="19"/>
                </w:rPr>
              </m:ctrlPr>
            </m:e>
            <m:e>
              <m:r>
                <w:rPr>
                  <w:rFonts w:ascii="Cambria Math" w:eastAsia="Cambria Math" w:hAnsi="Cambria Math" w:cs="Cambria Math"/>
                  <w:sz w:val="19"/>
                  <w:szCs w:val="19"/>
                </w:rPr>
                <m:t>0</m:t>
              </m:r>
              <m:ctrlPr>
                <w:rPr>
                  <w:rFonts w:ascii="Cambria Math" w:eastAsia="Cambria Math" w:hAnsi="Cambria Math" w:cs="Cambria Math"/>
                  <w:i/>
                  <w:sz w:val="19"/>
                  <w:szCs w:val="19"/>
                </w:rPr>
              </m:ctrlPr>
            </m:e>
            <m:e>
              <m:r>
                <w:rPr>
                  <w:rFonts w:ascii="Cambria Math" w:eastAsia="Cambria Math" w:hAnsi="Cambria Math" w:cs="Cambria Math"/>
                  <w:sz w:val="19"/>
                  <w:szCs w:val="19"/>
                </w:rPr>
                <m:t>0</m:t>
              </m:r>
              <m:ctrlPr>
                <w:rPr>
                  <w:rFonts w:ascii="Cambria Math" w:eastAsia="Cambria Math" w:hAnsi="Cambria Math" w:cs="Cambria Math"/>
                  <w:i/>
                  <w:sz w:val="19"/>
                  <w:szCs w:val="19"/>
                </w:rPr>
              </m:ctrlPr>
            </m:e>
            <m:e>
              <m:r>
                <w:rPr>
                  <w:rFonts w:ascii="Cambria Math" w:eastAsia="Cambria Math" w:hAnsi="Cambria Math" w:cs="Cambria Math"/>
                  <w:sz w:val="19"/>
                  <w:szCs w:val="19"/>
                </w:rPr>
                <m:t>0</m:t>
              </m:r>
              <m:ctrlPr>
                <w:rPr>
                  <w:rFonts w:ascii="Cambria Math" w:eastAsia="Cambria Math" w:hAnsi="Cambria Math" w:cs="Cambria Math"/>
                  <w:i/>
                  <w:sz w:val="19"/>
                  <w:szCs w:val="19"/>
                </w:rPr>
              </m:ctrlPr>
            </m:e>
            <m:e>
              <m:r>
                <w:rPr>
                  <w:rFonts w:ascii="Cambria Math" w:eastAsia="Cambria Math" w:hAnsi="Cambria Math" w:cs="Cambria Math"/>
                  <w:sz w:val="19"/>
                  <w:szCs w:val="19"/>
                </w:rPr>
                <m:t>1</m:t>
              </m:r>
            </m:e>
          </m:mr>
        </m:m>
        <m:d>
          <m:dPr>
            <m:begChr m:val="["/>
            <m:endChr m:val="]"/>
            <m:ctrlPr>
              <w:rPr>
                <w:rFonts w:ascii="Cambria Math" w:hAnsi="Cambria Math"/>
                <w:i/>
                <w:sz w:val="19"/>
                <w:szCs w:val="19"/>
              </w:rPr>
            </m:ctrlPr>
          </m:dPr>
          <m:e>
            <m:m>
              <m:mPr>
                <m:mcs>
                  <m:mc>
                    <m:mcPr>
                      <m:count m:val="1"/>
                      <m:mcJc m:val="center"/>
                    </m:mcPr>
                  </m:mc>
                </m:mcs>
                <m:ctrlPr>
                  <w:rPr>
                    <w:rFonts w:ascii="Cambria Math" w:hAnsi="Cambria Math"/>
                    <w:i/>
                    <w:sz w:val="19"/>
                    <w:szCs w:val="19"/>
                  </w:rPr>
                </m:ctrlPr>
              </m:mPr>
              <m:mr>
                <m:e>
                  <m:sSub>
                    <m:sSubPr>
                      <m:ctrlPr>
                        <w:rPr>
                          <w:rFonts w:ascii="Cambria Math" w:hAnsi="Cambria Math"/>
                          <w:i/>
                          <w:sz w:val="19"/>
                          <w:szCs w:val="19"/>
                        </w:rPr>
                      </m:ctrlPr>
                    </m:sSubPr>
                    <m:e>
                      <m:r>
                        <w:rPr>
                          <w:rFonts w:ascii="Cambria Math" w:hAnsi="Cambria Math"/>
                          <w:sz w:val="19"/>
                          <w:szCs w:val="19"/>
                        </w:rPr>
                        <m:t>u</m:t>
                      </m:r>
                    </m:e>
                    <m:sub>
                      <m:r>
                        <w:rPr>
                          <w:rFonts w:ascii="Cambria Math" w:hAnsi="Cambria Math"/>
                          <w:sz w:val="19"/>
                          <w:szCs w:val="19"/>
                        </w:rPr>
                        <m:t>1t</m:t>
                      </m:r>
                    </m:sub>
                  </m:sSub>
                </m:e>
              </m:mr>
              <m:mr>
                <m:e>
                  <m:sSub>
                    <m:sSubPr>
                      <m:ctrlPr>
                        <w:rPr>
                          <w:rFonts w:ascii="Cambria Math" w:hAnsi="Cambria Math"/>
                          <w:i/>
                          <w:sz w:val="19"/>
                          <w:szCs w:val="19"/>
                        </w:rPr>
                      </m:ctrlPr>
                    </m:sSubPr>
                    <m:e>
                      <m:r>
                        <w:rPr>
                          <w:rFonts w:ascii="Cambria Math" w:hAnsi="Cambria Math"/>
                          <w:sz w:val="19"/>
                          <w:szCs w:val="19"/>
                        </w:rPr>
                        <m:t>u</m:t>
                      </m:r>
                    </m:e>
                    <m:sub>
                      <m:r>
                        <w:rPr>
                          <w:rFonts w:ascii="Cambria Math" w:hAnsi="Cambria Math"/>
                          <w:sz w:val="19"/>
                          <w:szCs w:val="19"/>
                        </w:rPr>
                        <m:t>2t</m:t>
                      </m:r>
                    </m:sub>
                  </m:sSub>
                  <m:ctrlPr>
                    <w:rPr>
                      <w:rFonts w:ascii="Cambria Math" w:eastAsia="Cambria Math" w:hAnsi="Cambria Math" w:cs="Cambria Math"/>
                      <w:i/>
                      <w:sz w:val="19"/>
                      <w:szCs w:val="19"/>
                    </w:rPr>
                  </m:ctrlPr>
                </m:e>
              </m:mr>
              <m:mr>
                <m:e>
                  <m:sSub>
                    <m:sSubPr>
                      <m:ctrlPr>
                        <w:rPr>
                          <w:rFonts w:ascii="Cambria Math" w:eastAsia="Cambria Math" w:hAnsi="Cambria Math" w:cs="Cambria Math"/>
                          <w:i/>
                          <w:sz w:val="19"/>
                          <w:szCs w:val="19"/>
                        </w:rPr>
                      </m:ctrlPr>
                    </m:sSubPr>
                    <m:e>
                      <m:r>
                        <w:rPr>
                          <w:rFonts w:ascii="Cambria Math" w:eastAsia="Cambria Math" w:hAnsi="Cambria Math" w:cs="Cambria Math"/>
                          <w:sz w:val="19"/>
                          <w:szCs w:val="19"/>
                        </w:rPr>
                        <m:t>u</m:t>
                      </m:r>
                    </m:e>
                    <m:sub>
                      <m:r>
                        <w:rPr>
                          <w:rFonts w:ascii="Cambria Math" w:eastAsia="Cambria Math" w:hAnsi="Cambria Math" w:cs="Cambria Math"/>
                          <w:sz w:val="19"/>
                          <w:szCs w:val="19"/>
                        </w:rPr>
                        <m:t>3t</m:t>
                      </m:r>
                    </m:sub>
                  </m:sSub>
                  <m:ctrlPr>
                    <w:rPr>
                      <w:rFonts w:ascii="Cambria Math" w:eastAsia="Cambria Math" w:hAnsi="Cambria Math" w:cs="Cambria Math"/>
                      <w:i/>
                      <w:sz w:val="19"/>
                      <w:szCs w:val="19"/>
                    </w:rPr>
                  </m:ctrlPr>
                </m:e>
              </m:mr>
              <m:mr>
                <m:e>
                  <m:sSub>
                    <m:sSubPr>
                      <m:ctrlPr>
                        <w:rPr>
                          <w:rFonts w:ascii="Cambria Math" w:eastAsia="Cambria Math" w:hAnsi="Cambria Math" w:cs="Cambria Math"/>
                          <w:i/>
                          <w:sz w:val="19"/>
                          <w:szCs w:val="19"/>
                        </w:rPr>
                      </m:ctrlPr>
                    </m:sSubPr>
                    <m:e>
                      <m:r>
                        <w:rPr>
                          <w:rFonts w:ascii="Cambria Math" w:eastAsia="Cambria Math" w:hAnsi="Cambria Math" w:cs="Cambria Math"/>
                          <w:sz w:val="19"/>
                          <w:szCs w:val="19"/>
                        </w:rPr>
                        <m:t>u</m:t>
                      </m:r>
                    </m:e>
                    <m:sub>
                      <m:r>
                        <w:rPr>
                          <w:rFonts w:ascii="Cambria Math" w:eastAsia="Cambria Math" w:hAnsi="Cambria Math" w:cs="Cambria Math"/>
                          <w:sz w:val="19"/>
                          <w:szCs w:val="19"/>
                        </w:rPr>
                        <m:t>4t</m:t>
                      </m:r>
                    </m:sub>
                  </m:sSub>
                  <m:ctrlPr>
                    <w:rPr>
                      <w:rFonts w:ascii="Cambria Math" w:eastAsia="Cambria Math" w:hAnsi="Cambria Math" w:cs="Cambria Math"/>
                      <w:i/>
                      <w:sz w:val="19"/>
                      <w:szCs w:val="19"/>
                    </w:rPr>
                  </m:ctrlPr>
                </m:e>
              </m:mr>
              <m:mr>
                <m:e>
                  <m:sSub>
                    <m:sSubPr>
                      <m:ctrlPr>
                        <w:rPr>
                          <w:rFonts w:ascii="Cambria Math" w:eastAsia="Cambria Math" w:hAnsi="Cambria Math" w:cs="Cambria Math"/>
                          <w:i/>
                          <w:sz w:val="19"/>
                          <w:szCs w:val="19"/>
                        </w:rPr>
                      </m:ctrlPr>
                    </m:sSubPr>
                    <m:e>
                      <m:r>
                        <w:rPr>
                          <w:rFonts w:ascii="Cambria Math" w:eastAsia="Cambria Math" w:hAnsi="Cambria Math" w:cs="Cambria Math"/>
                          <w:sz w:val="19"/>
                          <w:szCs w:val="19"/>
                        </w:rPr>
                        <m:t>u</m:t>
                      </m:r>
                    </m:e>
                    <m:sub>
                      <m:r>
                        <w:rPr>
                          <w:rFonts w:ascii="Cambria Math" w:eastAsia="Cambria Math" w:hAnsi="Cambria Math" w:cs="Cambria Math"/>
                          <w:sz w:val="19"/>
                          <w:szCs w:val="19"/>
                        </w:rPr>
                        <m:t>5t</m:t>
                      </m:r>
                    </m:sub>
                  </m:sSub>
                  <m:ctrlPr>
                    <w:rPr>
                      <w:rFonts w:ascii="Cambria Math" w:eastAsia="Cambria Math" w:hAnsi="Cambria Math" w:cs="Cambria Math"/>
                      <w:i/>
                      <w:sz w:val="19"/>
                      <w:szCs w:val="19"/>
                    </w:rPr>
                  </m:ctrlPr>
                </m:e>
              </m:mr>
              <m:mr>
                <m:e>
                  <m:sSub>
                    <m:sSubPr>
                      <m:ctrlPr>
                        <w:rPr>
                          <w:rFonts w:ascii="Cambria Math" w:eastAsia="Cambria Math" w:hAnsi="Cambria Math" w:cs="Cambria Math"/>
                          <w:i/>
                          <w:sz w:val="19"/>
                          <w:szCs w:val="19"/>
                        </w:rPr>
                      </m:ctrlPr>
                    </m:sSubPr>
                    <m:e>
                      <m:r>
                        <w:rPr>
                          <w:rFonts w:ascii="Cambria Math" w:eastAsia="Cambria Math" w:hAnsi="Cambria Math" w:cs="Cambria Math"/>
                          <w:sz w:val="19"/>
                          <w:szCs w:val="19"/>
                        </w:rPr>
                        <m:t>u</m:t>
                      </m:r>
                    </m:e>
                    <m:sub>
                      <m:r>
                        <w:rPr>
                          <w:rFonts w:ascii="Cambria Math" w:eastAsia="Cambria Math" w:hAnsi="Cambria Math" w:cs="Cambria Math"/>
                          <w:sz w:val="19"/>
                          <w:szCs w:val="19"/>
                        </w:rPr>
                        <m:t>6t</m:t>
                      </m:r>
                    </m:sub>
                  </m:sSub>
                  <m:ctrlPr>
                    <w:rPr>
                      <w:rFonts w:ascii="Cambria Math" w:eastAsia="Cambria Math" w:hAnsi="Cambria Math" w:cs="Cambria Math"/>
                      <w:i/>
                      <w:sz w:val="19"/>
                      <w:szCs w:val="19"/>
                    </w:rPr>
                  </m:ctrlPr>
                </m:e>
              </m:mr>
              <m:mr>
                <m:e>
                  <m:sSub>
                    <m:sSubPr>
                      <m:ctrlPr>
                        <w:rPr>
                          <w:rFonts w:ascii="Cambria Math" w:eastAsia="Cambria Math" w:hAnsi="Cambria Math" w:cs="Cambria Math"/>
                          <w:i/>
                          <w:sz w:val="19"/>
                          <w:szCs w:val="19"/>
                        </w:rPr>
                      </m:ctrlPr>
                    </m:sSubPr>
                    <m:e>
                      <m:r>
                        <w:rPr>
                          <w:rFonts w:ascii="Cambria Math" w:eastAsia="Cambria Math" w:hAnsi="Cambria Math" w:cs="Cambria Math"/>
                          <w:sz w:val="19"/>
                          <w:szCs w:val="19"/>
                        </w:rPr>
                        <m:t>u</m:t>
                      </m:r>
                    </m:e>
                    <m:sub>
                      <m:r>
                        <w:rPr>
                          <w:rFonts w:ascii="Cambria Math" w:eastAsia="Cambria Math" w:hAnsi="Cambria Math" w:cs="Cambria Math"/>
                          <w:sz w:val="19"/>
                          <w:szCs w:val="19"/>
                        </w:rPr>
                        <m:t>7t</m:t>
                      </m:r>
                    </m:sub>
                  </m:sSub>
                </m:e>
              </m:mr>
            </m:m>
          </m:e>
        </m:d>
        <m:r>
          <w:rPr>
            <w:rFonts w:ascii="Cambria Math" w:eastAsia="Cambria Math" w:hAnsi="Cambria Math" w:cs="Cambria Math"/>
            <w:sz w:val="19"/>
            <w:szCs w:val="19"/>
          </w:rPr>
          <m:t>=</m:t>
        </m:r>
        <m:d>
          <m:dPr>
            <m:begChr m:val="["/>
            <m:endChr m:val="]"/>
            <m:ctrlPr>
              <w:rPr>
                <w:rFonts w:ascii="Cambria Math" w:eastAsiaTheme="minorHAnsi" w:hAnsi="Cambria Math" w:cstheme="minorBidi"/>
                <w:i/>
                <w:sz w:val="19"/>
                <w:szCs w:val="19"/>
                <w:lang w:val="cs-CZ" w:eastAsia="en-US"/>
              </w:rPr>
            </m:ctrlPr>
          </m:dPr>
          <m:e>
            <m:m>
              <m:mPr>
                <m:mcs>
                  <m:mc>
                    <m:mcPr>
                      <m:count m:val="7"/>
                      <m:mcJc m:val="center"/>
                    </m:mcPr>
                  </m:mc>
                </m:mcs>
                <m:ctrlPr>
                  <w:rPr>
                    <w:rFonts w:ascii="Cambria Math" w:hAnsi="Cambria Math"/>
                    <w:i/>
                    <w:sz w:val="19"/>
                    <w:szCs w:val="19"/>
                  </w:rPr>
                </m:ctrlPr>
              </m:mPr>
              <m:mr>
                <m:e>
                  <m:sSub>
                    <m:sSubPr>
                      <m:ctrlPr>
                        <w:rPr>
                          <w:rFonts w:ascii="Cambria Math" w:eastAsia="Cambria Math" w:hAnsi="Cambria Math" w:cs="Cambria Math"/>
                          <w:i/>
                          <w:sz w:val="19"/>
                          <w:szCs w:val="19"/>
                        </w:rPr>
                      </m:ctrlPr>
                    </m:sSubPr>
                    <m:e>
                      <m:r>
                        <w:rPr>
                          <w:rFonts w:ascii="Cambria Math" w:eastAsia="Cambria Math" w:hAnsi="Cambria Math" w:cs="Cambria Math"/>
                          <w:sz w:val="19"/>
                          <w:szCs w:val="19"/>
                        </w:rPr>
                        <m:t>b</m:t>
                      </m:r>
                      <m:ctrlPr>
                        <w:rPr>
                          <w:rFonts w:ascii="Cambria Math" w:hAnsi="Cambria Math"/>
                          <w:i/>
                          <w:sz w:val="19"/>
                          <w:szCs w:val="19"/>
                        </w:rPr>
                      </m:ctrlPr>
                    </m:e>
                    <m:sub>
                      <m:r>
                        <w:rPr>
                          <w:rFonts w:ascii="Cambria Math" w:eastAsia="Cambria Math" w:hAnsi="Cambria Math" w:cs="Cambria Math"/>
                          <w:sz w:val="19"/>
                          <w:szCs w:val="19"/>
                        </w:rPr>
                        <m:t>11</m:t>
                      </m:r>
                    </m:sub>
                  </m:sSub>
                  <m:ctrlPr>
                    <w:rPr>
                      <w:rFonts w:ascii="Cambria Math" w:eastAsia="Cambria Math" w:hAnsi="Cambria Math" w:cs="Cambria Math"/>
                      <w:i/>
                      <w:sz w:val="19"/>
                      <w:szCs w:val="19"/>
                    </w:rPr>
                  </m:ctrlPr>
                </m:e>
                <m:e>
                  <m:r>
                    <w:rPr>
                      <w:rFonts w:ascii="Cambria Math" w:eastAsia="Cambria Math" w:hAnsi="Cambria Math" w:cs="Cambria Math"/>
                      <w:sz w:val="19"/>
                      <w:szCs w:val="19"/>
                    </w:rPr>
                    <m:t>0</m:t>
                  </m:r>
                  <m:ctrlPr>
                    <w:rPr>
                      <w:rFonts w:ascii="Cambria Math" w:eastAsia="Cambria Math" w:hAnsi="Cambria Math" w:cs="Cambria Math"/>
                      <w:i/>
                      <w:sz w:val="19"/>
                      <w:szCs w:val="19"/>
                    </w:rPr>
                  </m:ctrlPr>
                </m:e>
                <m:e>
                  <m:r>
                    <w:rPr>
                      <w:rFonts w:ascii="Cambria Math" w:eastAsia="Cambria Math" w:hAnsi="Cambria Math" w:cs="Cambria Math"/>
                      <w:sz w:val="19"/>
                      <w:szCs w:val="19"/>
                    </w:rPr>
                    <m:t>0</m:t>
                  </m:r>
                  <m:ctrlPr>
                    <w:rPr>
                      <w:rFonts w:ascii="Cambria Math" w:eastAsia="Cambria Math" w:hAnsi="Cambria Math" w:cs="Cambria Math"/>
                      <w:i/>
                      <w:sz w:val="19"/>
                      <w:szCs w:val="19"/>
                    </w:rPr>
                  </m:ctrlPr>
                </m:e>
                <m:e>
                  <m:r>
                    <w:rPr>
                      <w:rFonts w:ascii="Cambria Math" w:eastAsia="Cambria Math" w:hAnsi="Cambria Math" w:cs="Cambria Math"/>
                      <w:sz w:val="19"/>
                      <w:szCs w:val="19"/>
                    </w:rPr>
                    <m:t>0</m:t>
                  </m:r>
                  <m:ctrlPr>
                    <w:rPr>
                      <w:rFonts w:ascii="Cambria Math" w:eastAsia="Cambria Math" w:hAnsi="Cambria Math" w:cs="Cambria Math"/>
                      <w:i/>
                      <w:sz w:val="19"/>
                      <w:szCs w:val="19"/>
                    </w:rPr>
                  </m:ctrlPr>
                </m:e>
                <m:e>
                  <m:r>
                    <w:rPr>
                      <w:rFonts w:ascii="Cambria Math" w:eastAsia="Cambria Math" w:hAnsi="Cambria Math" w:cs="Cambria Math"/>
                      <w:sz w:val="19"/>
                      <w:szCs w:val="19"/>
                    </w:rPr>
                    <m:t>0</m:t>
                  </m:r>
                  <m:ctrlPr>
                    <w:rPr>
                      <w:rFonts w:ascii="Cambria Math" w:eastAsia="Cambria Math" w:hAnsi="Cambria Math" w:cs="Cambria Math"/>
                      <w:i/>
                      <w:sz w:val="19"/>
                      <w:szCs w:val="19"/>
                    </w:rPr>
                  </m:ctrlPr>
                </m:e>
                <m:e>
                  <m:r>
                    <w:rPr>
                      <w:rFonts w:ascii="Cambria Math" w:eastAsia="Cambria Math" w:hAnsi="Cambria Math" w:cs="Cambria Math"/>
                      <w:sz w:val="19"/>
                      <w:szCs w:val="19"/>
                    </w:rPr>
                    <m:t>0</m:t>
                  </m:r>
                  <m:ctrlPr>
                    <w:rPr>
                      <w:rFonts w:ascii="Cambria Math" w:eastAsia="Cambria Math" w:hAnsi="Cambria Math" w:cs="Cambria Math"/>
                      <w:i/>
                      <w:sz w:val="19"/>
                      <w:szCs w:val="19"/>
                    </w:rPr>
                  </m:ctrlPr>
                </m:e>
                <m:e>
                  <m:r>
                    <w:rPr>
                      <w:rFonts w:ascii="Cambria Math" w:eastAsia="Cambria Math" w:hAnsi="Cambria Math" w:cs="Cambria Math"/>
                      <w:sz w:val="19"/>
                      <w:szCs w:val="19"/>
                    </w:rPr>
                    <m:t>0</m:t>
                  </m:r>
                  <m:ctrlPr>
                    <w:rPr>
                      <w:rFonts w:ascii="Cambria Math" w:eastAsia="Cambria Math" w:hAnsi="Cambria Math" w:cs="Cambria Math"/>
                      <w:i/>
                      <w:sz w:val="19"/>
                      <w:szCs w:val="19"/>
                    </w:rPr>
                  </m:ctrlPr>
                </m:e>
              </m:mr>
              <m:mr>
                <m:e>
                  <m:r>
                    <w:rPr>
                      <w:rFonts w:ascii="Cambria Math" w:eastAsia="Cambria Math" w:hAnsi="Cambria Math" w:cs="Cambria Math"/>
                      <w:sz w:val="19"/>
                      <w:szCs w:val="19"/>
                    </w:rPr>
                    <m:t>0</m:t>
                  </m:r>
                  <m:ctrlPr>
                    <w:rPr>
                      <w:rFonts w:ascii="Cambria Math" w:eastAsia="Cambria Math" w:hAnsi="Cambria Math" w:cs="Cambria Math"/>
                      <w:i/>
                      <w:sz w:val="19"/>
                      <w:szCs w:val="19"/>
                    </w:rPr>
                  </m:ctrlPr>
                </m:e>
                <m:e>
                  <m:sSub>
                    <m:sSubPr>
                      <m:ctrlPr>
                        <w:rPr>
                          <w:rFonts w:ascii="Cambria Math" w:eastAsia="Cambria Math" w:hAnsi="Cambria Math" w:cs="Cambria Math"/>
                          <w:i/>
                          <w:sz w:val="19"/>
                          <w:szCs w:val="19"/>
                        </w:rPr>
                      </m:ctrlPr>
                    </m:sSubPr>
                    <m:e>
                      <m:r>
                        <w:rPr>
                          <w:rFonts w:ascii="Cambria Math" w:eastAsia="Cambria Math" w:hAnsi="Cambria Math" w:cs="Cambria Math"/>
                          <w:sz w:val="19"/>
                          <w:szCs w:val="19"/>
                        </w:rPr>
                        <m:t>b</m:t>
                      </m:r>
                    </m:e>
                    <m:sub>
                      <m:r>
                        <w:rPr>
                          <w:rFonts w:ascii="Cambria Math" w:eastAsia="Cambria Math" w:hAnsi="Cambria Math" w:cs="Cambria Math"/>
                          <w:sz w:val="19"/>
                          <w:szCs w:val="19"/>
                        </w:rPr>
                        <m:t>22</m:t>
                      </m:r>
                    </m:sub>
                  </m:sSub>
                  <m:ctrlPr>
                    <w:rPr>
                      <w:rFonts w:ascii="Cambria Math" w:eastAsia="Cambria Math" w:hAnsi="Cambria Math" w:cs="Cambria Math"/>
                      <w:i/>
                      <w:sz w:val="19"/>
                      <w:szCs w:val="19"/>
                    </w:rPr>
                  </m:ctrlPr>
                </m:e>
                <m:e>
                  <m:r>
                    <w:rPr>
                      <w:rFonts w:ascii="Cambria Math" w:eastAsia="Cambria Math" w:hAnsi="Cambria Math" w:cs="Cambria Math"/>
                      <w:sz w:val="19"/>
                      <w:szCs w:val="19"/>
                    </w:rPr>
                    <m:t>0</m:t>
                  </m:r>
                  <m:ctrlPr>
                    <w:rPr>
                      <w:rFonts w:ascii="Cambria Math" w:eastAsia="Cambria Math" w:hAnsi="Cambria Math" w:cs="Cambria Math"/>
                      <w:i/>
                      <w:sz w:val="19"/>
                      <w:szCs w:val="19"/>
                    </w:rPr>
                  </m:ctrlPr>
                </m:e>
                <m:e>
                  <m:r>
                    <w:rPr>
                      <w:rFonts w:ascii="Cambria Math" w:eastAsia="Cambria Math" w:hAnsi="Cambria Math" w:cs="Cambria Math"/>
                      <w:sz w:val="19"/>
                      <w:szCs w:val="19"/>
                    </w:rPr>
                    <m:t>0</m:t>
                  </m:r>
                  <m:ctrlPr>
                    <w:rPr>
                      <w:rFonts w:ascii="Cambria Math" w:eastAsia="Cambria Math" w:hAnsi="Cambria Math" w:cs="Cambria Math"/>
                      <w:i/>
                      <w:sz w:val="19"/>
                      <w:szCs w:val="19"/>
                    </w:rPr>
                  </m:ctrlPr>
                </m:e>
                <m:e>
                  <m:r>
                    <w:rPr>
                      <w:rFonts w:ascii="Cambria Math" w:eastAsia="Cambria Math" w:hAnsi="Cambria Math" w:cs="Cambria Math"/>
                      <w:sz w:val="19"/>
                      <w:szCs w:val="19"/>
                    </w:rPr>
                    <m:t>0</m:t>
                  </m:r>
                  <m:ctrlPr>
                    <w:rPr>
                      <w:rFonts w:ascii="Cambria Math" w:eastAsia="Cambria Math" w:hAnsi="Cambria Math" w:cs="Cambria Math"/>
                      <w:i/>
                      <w:sz w:val="19"/>
                      <w:szCs w:val="19"/>
                    </w:rPr>
                  </m:ctrlPr>
                </m:e>
                <m:e>
                  <m:r>
                    <w:rPr>
                      <w:rFonts w:ascii="Cambria Math" w:eastAsia="Cambria Math" w:hAnsi="Cambria Math" w:cs="Cambria Math"/>
                      <w:sz w:val="19"/>
                      <w:szCs w:val="19"/>
                    </w:rPr>
                    <m:t>0</m:t>
                  </m:r>
                  <m:ctrlPr>
                    <w:rPr>
                      <w:rFonts w:ascii="Cambria Math" w:eastAsia="Cambria Math" w:hAnsi="Cambria Math" w:cs="Cambria Math"/>
                      <w:i/>
                      <w:sz w:val="19"/>
                      <w:szCs w:val="19"/>
                    </w:rPr>
                  </m:ctrlPr>
                </m:e>
                <m:e>
                  <m:r>
                    <w:rPr>
                      <w:rFonts w:ascii="Cambria Math" w:eastAsia="Cambria Math" w:hAnsi="Cambria Math" w:cs="Cambria Math"/>
                      <w:sz w:val="19"/>
                      <w:szCs w:val="19"/>
                    </w:rPr>
                    <m:t>0</m:t>
                  </m:r>
                  <m:ctrlPr>
                    <w:rPr>
                      <w:rFonts w:ascii="Cambria Math" w:eastAsia="Cambria Math" w:hAnsi="Cambria Math" w:cs="Cambria Math"/>
                      <w:i/>
                      <w:sz w:val="19"/>
                      <w:szCs w:val="19"/>
                    </w:rPr>
                  </m:ctrlPr>
                </m:e>
              </m:mr>
              <m:mr>
                <m:e>
                  <m:r>
                    <w:rPr>
                      <w:rFonts w:ascii="Cambria Math" w:eastAsia="Cambria Math" w:hAnsi="Cambria Math" w:cs="Cambria Math"/>
                      <w:sz w:val="19"/>
                      <w:szCs w:val="19"/>
                    </w:rPr>
                    <m:t>0</m:t>
                  </m:r>
                  <m:ctrlPr>
                    <w:rPr>
                      <w:rFonts w:ascii="Cambria Math" w:eastAsia="Cambria Math" w:hAnsi="Cambria Math" w:cs="Cambria Math"/>
                      <w:i/>
                      <w:sz w:val="19"/>
                      <w:szCs w:val="19"/>
                    </w:rPr>
                  </m:ctrlPr>
                </m:e>
                <m:e>
                  <m:r>
                    <w:rPr>
                      <w:rFonts w:ascii="Cambria Math" w:eastAsia="Cambria Math" w:hAnsi="Cambria Math" w:cs="Cambria Math"/>
                      <w:sz w:val="19"/>
                      <w:szCs w:val="19"/>
                    </w:rPr>
                    <m:t>0</m:t>
                  </m:r>
                  <m:ctrlPr>
                    <w:rPr>
                      <w:rFonts w:ascii="Cambria Math" w:eastAsia="Cambria Math" w:hAnsi="Cambria Math" w:cs="Cambria Math"/>
                      <w:i/>
                      <w:sz w:val="19"/>
                      <w:szCs w:val="19"/>
                    </w:rPr>
                  </m:ctrlPr>
                </m:e>
                <m:e>
                  <m:sSub>
                    <m:sSubPr>
                      <m:ctrlPr>
                        <w:rPr>
                          <w:rFonts w:ascii="Cambria Math" w:eastAsia="Cambria Math" w:hAnsi="Cambria Math" w:cs="Cambria Math"/>
                          <w:i/>
                          <w:sz w:val="19"/>
                          <w:szCs w:val="19"/>
                        </w:rPr>
                      </m:ctrlPr>
                    </m:sSubPr>
                    <m:e>
                      <m:r>
                        <w:rPr>
                          <w:rFonts w:ascii="Cambria Math" w:eastAsia="Cambria Math" w:hAnsi="Cambria Math" w:cs="Cambria Math"/>
                          <w:sz w:val="19"/>
                          <w:szCs w:val="19"/>
                        </w:rPr>
                        <m:t>b</m:t>
                      </m:r>
                    </m:e>
                    <m:sub>
                      <m:r>
                        <w:rPr>
                          <w:rFonts w:ascii="Cambria Math" w:eastAsia="Cambria Math" w:hAnsi="Cambria Math" w:cs="Cambria Math"/>
                          <w:sz w:val="19"/>
                          <w:szCs w:val="19"/>
                        </w:rPr>
                        <m:t>33</m:t>
                      </m:r>
                    </m:sub>
                  </m:sSub>
                  <m:ctrlPr>
                    <w:rPr>
                      <w:rFonts w:ascii="Cambria Math" w:eastAsia="Cambria Math" w:hAnsi="Cambria Math" w:cs="Cambria Math"/>
                      <w:i/>
                      <w:sz w:val="19"/>
                      <w:szCs w:val="19"/>
                    </w:rPr>
                  </m:ctrlPr>
                </m:e>
                <m:e>
                  <m:r>
                    <w:rPr>
                      <w:rFonts w:ascii="Cambria Math" w:eastAsia="Cambria Math" w:hAnsi="Cambria Math" w:cs="Cambria Math"/>
                      <w:sz w:val="19"/>
                      <w:szCs w:val="19"/>
                    </w:rPr>
                    <m:t>0</m:t>
                  </m:r>
                  <m:ctrlPr>
                    <w:rPr>
                      <w:rFonts w:ascii="Cambria Math" w:eastAsia="Cambria Math" w:hAnsi="Cambria Math" w:cs="Cambria Math"/>
                      <w:i/>
                      <w:sz w:val="19"/>
                      <w:szCs w:val="19"/>
                    </w:rPr>
                  </m:ctrlPr>
                </m:e>
                <m:e>
                  <m:r>
                    <w:rPr>
                      <w:rFonts w:ascii="Cambria Math" w:eastAsia="Cambria Math" w:hAnsi="Cambria Math" w:cs="Cambria Math"/>
                      <w:sz w:val="19"/>
                      <w:szCs w:val="19"/>
                    </w:rPr>
                    <m:t>0</m:t>
                  </m:r>
                  <m:ctrlPr>
                    <w:rPr>
                      <w:rFonts w:ascii="Cambria Math" w:eastAsia="Cambria Math" w:hAnsi="Cambria Math" w:cs="Cambria Math"/>
                      <w:i/>
                      <w:sz w:val="19"/>
                      <w:szCs w:val="19"/>
                    </w:rPr>
                  </m:ctrlPr>
                </m:e>
                <m:e>
                  <m:r>
                    <w:rPr>
                      <w:rFonts w:ascii="Cambria Math" w:eastAsia="Cambria Math" w:hAnsi="Cambria Math" w:cs="Cambria Math"/>
                      <w:sz w:val="19"/>
                      <w:szCs w:val="19"/>
                    </w:rPr>
                    <m:t>0</m:t>
                  </m:r>
                  <m:ctrlPr>
                    <w:rPr>
                      <w:rFonts w:ascii="Cambria Math" w:eastAsia="Cambria Math" w:hAnsi="Cambria Math" w:cs="Cambria Math"/>
                      <w:i/>
                      <w:sz w:val="19"/>
                      <w:szCs w:val="19"/>
                    </w:rPr>
                  </m:ctrlPr>
                </m:e>
                <m:e>
                  <m:r>
                    <w:rPr>
                      <w:rFonts w:ascii="Cambria Math" w:eastAsia="Cambria Math" w:hAnsi="Cambria Math" w:cs="Cambria Math"/>
                      <w:sz w:val="19"/>
                      <w:szCs w:val="19"/>
                    </w:rPr>
                    <m:t>0</m:t>
                  </m:r>
                  <m:ctrlPr>
                    <w:rPr>
                      <w:rFonts w:ascii="Cambria Math" w:eastAsia="Cambria Math" w:hAnsi="Cambria Math" w:cs="Cambria Math"/>
                      <w:i/>
                      <w:sz w:val="19"/>
                      <w:szCs w:val="19"/>
                    </w:rPr>
                  </m:ctrlPr>
                </m:e>
              </m:mr>
              <m:mr>
                <m:e>
                  <m:r>
                    <w:rPr>
                      <w:rFonts w:ascii="Cambria Math" w:eastAsia="Cambria Math" w:hAnsi="Cambria Math" w:cs="Cambria Math"/>
                      <w:sz w:val="19"/>
                      <w:szCs w:val="19"/>
                    </w:rPr>
                    <m:t>0</m:t>
                  </m:r>
                  <m:ctrlPr>
                    <w:rPr>
                      <w:rFonts w:ascii="Cambria Math" w:eastAsia="Cambria Math" w:hAnsi="Cambria Math" w:cs="Cambria Math"/>
                      <w:i/>
                      <w:sz w:val="19"/>
                      <w:szCs w:val="19"/>
                    </w:rPr>
                  </m:ctrlPr>
                </m:e>
                <m:e>
                  <m:r>
                    <w:rPr>
                      <w:rFonts w:ascii="Cambria Math" w:eastAsia="Cambria Math" w:hAnsi="Cambria Math" w:cs="Cambria Math"/>
                      <w:sz w:val="19"/>
                      <w:szCs w:val="19"/>
                    </w:rPr>
                    <m:t>0</m:t>
                  </m:r>
                  <m:ctrlPr>
                    <w:rPr>
                      <w:rFonts w:ascii="Cambria Math" w:eastAsia="Cambria Math" w:hAnsi="Cambria Math" w:cs="Cambria Math"/>
                      <w:i/>
                      <w:sz w:val="19"/>
                      <w:szCs w:val="19"/>
                    </w:rPr>
                  </m:ctrlPr>
                </m:e>
                <m:e>
                  <m:r>
                    <w:rPr>
                      <w:rFonts w:ascii="Cambria Math" w:eastAsia="Cambria Math" w:hAnsi="Cambria Math" w:cs="Cambria Math"/>
                      <w:sz w:val="19"/>
                      <w:szCs w:val="19"/>
                    </w:rPr>
                    <m:t>0</m:t>
                  </m:r>
                  <m:ctrlPr>
                    <w:rPr>
                      <w:rFonts w:ascii="Cambria Math" w:eastAsia="Cambria Math" w:hAnsi="Cambria Math" w:cs="Cambria Math"/>
                      <w:i/>
                      <w:sz w:val="19"/>
                      <w:szCs w:val="19"/>
                    </w:rPr>
                  </m:ctrlPr>
                </m:e>
                <m:e>
                  <m:sSub>
                    <m:sSubPr>
                      <m:ctrlPr>
                        <w:rPr>
                          <w:rFonts w:ascii="Cambria Math" w:eastAsia="Cambria Math" w:hAnsi="Cambria Math" w:cs="Cambria Math"/>
                          <w:i/>
                          <w:sz w:val="19"/>
                          <w:szCs w:val="19"/>
                        </w:rPr>
                      </m:ctrlPr>
                    </m:sSubPr>
                    <m:e>
                      <m:r>
                        <w:rPr>
                          <w:rFonts w:ascii="Cambria Math" w:eastAsia="Cambria Math" w:hAnsi="Cambria Math" w:cs="Cambria Math"/>
                          <w:sz w:val="19"/>
                          <w:szCs w:val="19"/>
                        </w:rPr>
                        <m:t>b</m:t>
                      </m:r>
                    </m:e>
                    <m:sub>
                      <m:r>
                        <w:rPr>
                          <w:rFonts w:ascii="Cambria Math" w:eastAsia="Cambria Math" w:hAnsi="Cambria Math" w:cs="Cambria Math"/>
                          <w:sz w:val="19"/>
                          <w:szCs w:val="19"/>
                        </w:rPr>
                        <m:t>44</m:t>
                      </m:r>
                    </m:sub>
                  </m:sSub>
                  <m:ctrlPr>
                    <w:rPr>
                      <w:rFonts w:ascii="Cambria Math" w:eastAsia="Cambria Math" w:hAnsi="Cambria Math" w:cs="Cambria Math"/>
                      <w:i/>
                      <w:sz w:val="19"/>
                      <w:szCs w:val="19"/>
                    </w:rPr>
                  </m:ctrlPr>
                </m:e>
                <m:e>
                  <m:r>
                    <w:rPr>
                      <w:rFonts w:ascii="Cambria Math" w:eastAsia="Cambria Math" w:hAnsi="Cambria Math" w:cs="Cambria Math"/>
                      <w:sz w:val="19"/>
                      <w:szCs w:val="19"/>
                    </w:rPr>
                    <m:t>0</m:t>
                  </m:r>
                  <m:ctrlPr>
                    <w:rPr>
                      <w:rFonts w:ascii="Cambria Math" w:eastAsia="Cambria Math" w:hAnsi="Cambria Math" w:cs="Cambria Math"/>
                      <w:i/>
                      <w:sz w:val="19"/>
                      <w:szCs w:val="19"/>
                    </w:rPr>
                  </m:ctrlPr>
                </m:e>
                <m:e>
                  <m:r>
                    <w:rPr>
                      <w:rFonts w:ascii="Cambria Math" w:eastAsia="Cambria Math" w:hAnsi="Cambria Math" w:cs="Cambria Math"/>
                      <w:sz w:val="19"/>
                      <w:szCs w:val="19"/>
                    </w:rPr>
                    <m:t>0</m:t>
                  </m:r>
                  <m:ctrlPr>
                    <w:rPr>
                      <w:rFonts w:ascii="Cambria Math" w:eastAsia="Cambria Math" w:hAnsi="Cambria Math" w:cs="Cambria Math"/>
                      <w:i/>
                      <w:sz w:val="19"/>
                      <w:szCs w:val="19"/>
                    </w:rPr>
                  </m:ctrlPr>
                </m:e>
                <m:e>
                  <m:r>
                    <w:rPr>
                      <w:rFonts w:ascii="Cambria Math" w:eastAsia="Cambria Math" w:hAnsi="Cambria Math" w:cs="Cambria Math"/>
                      <w:sz w:val="19"/>
                      <w:szCs w:val="19"/>
                    </w:rPr>
                    <m:t>0</m:t>
                  </m:r>
                  <m:ctrlPr>
                    <w:rPr>
                      <w:rFonts w:ascii="Cambria Math" w:eastAsia="Cambria Math" w:hAnsi="Cambria Math" w:cs="Cambria Math"/>
                      <w:i/>
                      <w:sz w:val="19"/>
                      <w:szCs w:val="19"/>
                    </w:rPr>
                  </m:ctrlPr>
                </m:e>
              </m:mr>
              <m:mr>
                <m:e>
                  <m:r>
                    <w:rPr>
                      <w:rFonts w:ascii="Cambria Math" w:hAnsi="Cambria Math"/>
                      <w:sz w:val="19"/>
                      <w:szCs w:val="19"/>
                    </w:rPr>
                    <m:t>0</m:t>
                  </m:r>
                  <m:ctrlPr>
                    <w:rPr>
                      <w:rFonts w:ascii="Cambria Math" w:eastAsia="Cambria Math" w:hAnsi="Cambria Math" w:cs="Cambria Math"/>
                      <w:i/>
                      <w:sz w:val="19"/>
                      <w:szCs w:val="19"/>
                    </w:rPr>
                  </m:ctrlPr>
                </m:e>
                <m:e>
                  <m:r>
                    <w:rPr>
                      <w:rFonts w:ascii="Cambria Math" w:eastAsia="Cambria Math" w:hAnsi="Cambria Math" w:cs="Cambria Math"/>
                      <w:sz w:val="19"/>
                      <w:szCs w:val="19"/>
                    </w:rPr>
                    <m:t>0</m:t>
                  </m:r>
                  <m:ctrlPr>
                    <w:rPr>
                      <w:rFonts w:ascii="Cambria Math" w:eastAsia="Cambria Math" w:hAnsi="Cambria Math" w:cs="Cambria Math"/>
                      <w:i/>
                      <w:sz w:val="19"/>
                      <w:szCs w:val="19"/>
                    </w:rPr>
                  </m:ctrlPr>
                </m:e>
                <m:e>
                  <m:r>
                    <w:rPr>
                      <w:rFonts w:ascii="Cambria Math" w:eastAsia="Cambria Math" w:hAnsi="Cambria Math" w:cs="Cambria Math"/>
                      <w:sz w:val="19"/>
                      <w:szCs w:val="19"/>
                    </w:rPr>
                    <m:t>0</m:t>
                  </m:r>
                  <m:ctrlPr>
                    <w:rPr>
                      <w:rFonts w:ascii="Cambria Math" w:eastAsia="Cambria Math" w:hAnsi="Cambria Math" w:cs="Cambria Math"/>
                      <w:i/>
                      <w:sz w:val="19"/>
                      <w:szCs w:val="19"/>
                    </w:rPr>
                  </m:ctrlPr>
                </m:e>
                <m:e>
                  <m:r>
                    <w:rPr>
                      <w:rFonts w:ascii="Cambria Math" w:eastAsia="Cambria Math" w:hAnsi="Cambria Math" w:cs="Cambria Math"/>
                      <w:sz w:val="19"/>
                      <w:szCs w:val="19"/>
                    </w:rPr>
                    <m:t>0</m:t>
                  </m:r>
                  <m:ctrlPr>
                    <w:rPr>
                      <w:rFonts w:ascii="Cambria Math" w:eastAsia="Cambria Math" w:hAnsi="Cambria Math" w:cs="Cambria Math"/>
                      <w:i/>
                      <w:sz w:val="19"/>
                      <w:szCs w:val="19"/>
                    </w:rPr>
                  </m:ctrlPr>
                </m:e>
                <m:e>
                  <m:sSub>
                    <m:sSubPr>
                      <m:ctrlPr>
                        <w:rPr>
                          <w:rFonts w:ascii="Cambria Math" w:eastAsia="Cambria Math" w:hAnsi="Cambria Math" w:cs="Cambria Math"/>
                          <w:i/>
                          <w:sz w:val="19"/>
                          <w:szCs w:val="19"/>
                        </w:rPr>
                      </m:ctrlPr>
                    </m:sSubPr>
                    <m:e>
                      <m:r>
                        <w:rPr>
                          <w:rFonts w:ascii="Cambria Math" w:eastAsia="Cambria Math" w:hAnsi="Cambria Math" w:cs="Cambria Math"/>
                          <w:sz w:val="19"/>
                          <w:szCs w:val="19"/>
                        </w:rPr>
                        <m:t>b</m:t>
                      </m:r>
                    </m:e>
                    <m:sub>
                      <m:r>
                        <w:rPr>
                          <w:rFonts w:ascii="Cambria Math" w:eastAsia="Cambria Math" w:hAnsi="Cambria Math" w:cs="Cambria Math"/>
                          <w:sz w:val="19"/>
                          <w:szCs w:val="19"/>
                        </w:rPr>
                        <m:t>55</m:t>
                      </m:r>
                    </m:sub>
                  </m:sSub>
                  <m:ctrlPr>
                    <w:rPr>
                      <w:rFonts w:ascii="Cambria Math" w:eastAsia="Cambria Math" w:hAnsi="Cambria Math" w:cs="Cambria Math"/>
                      <w:i/>
                      <w:sz w:val="19"/>
                      <w:szCs w:val="19"/>
                    </w:rPr>
                  </m:ctrlPr>
                </m:e>
                <m:e>
                  <m:r>
                    <w:rPr>
                      <w:rFonts w:ascii="Cambria Math" w:eastAsia="Cambria Math" w:hAnsi="Cambria Math" w:cs="Cambria Math"/>
                      <w:sz w:val="19"/>
                      <w:szCs w:val="19"/>
                    </w:rPr>
                    <m:t>0</m:t>
                  </m:r>
                  <m:ctrlPr>
                    <w:rPr>
                      <w:rFonts w:ascii="Cambria Math" w:eastAsia="Cambria Math" w:hAnsi="Cambria Math" w:cs="Cambria Math"/>
                      <w:i/>
                      <w:sz w:val="19"/>
                      <w:szCs w:val="19"/>
                    </w:rPr>
                  </m:ctrlPr>
                </m:e>
                <m:e>
                  <m:r>
                    <w:rPr>
                      <w:rFonts w:ascii="Cambria Math" w:eastAsia="Cambria Math" w:hAnsi="Cambria Math" w:cs="Cambria Math"/>
                      <w:sz w:val="19"/>
                      <w:szCs w:val="19"/>
                    </w:rPr>
                    <m:t>0</m:t>
                  </m:r>
                </m:e>
              </m:mr>
              <m:mr>
                <m:e>
                  <m:r>
                    <w:rPr>
                      <w:rFonts w:ascii="Cambria Math" w:hAnsi="Cambria Math"/>
                      <w:sz w:val="19"/>
                      <w:szCs w:val="19"/>
                    </w:rPr>
                    <m:t>0</m:t>
                  </m:r>
                  <m:ctrlPr>
                    <w:rPr>
                      <w:rFonts w:ascii="Cambria Math" w:eastAsia="Cambria Math" w:hAnsi="Cambria Math" w:cs="Cambria Math"/>
                      <w:i/>
                      <w:sz w:val="19"/>
                      <w:szCs w:val="19"/>
                    </w:rPr>
                  </m:ctrlPr>
                </m:e>
                <m:e>
                  <m:r>
                    <w:rPr>
                      <w:rFonts w:ascii="Cambria Math" w:eastAsia="Cambria Math" w:hAnsi="Cambria Math" w:cs="Cambria Math"/>
                      <w:sz w:val="19"/>
                      <w:szCs w:val="19"/>
                    </w:rPr>
                    <m:t>0</m:t>
                  </m:r>
                  <m:ctrlPr>
                    <w:rPr>
                      <w:rFonts w:ascii="Cambria Math" w:eastAsia="Cambria Math" w:hAnsi="Cambria Math" w:cs="Cambria Math"/>
                      <w:i/>
                      <w:sz w:val="19"/>
                      <w:szCs w:val="19"/>
                    </w:rPr>
                  </m:ctrlPr>
                </m:e>
                <m:e>
                  <m:r>
                    <w:rPr>
                      <w:rFonts w:ascii="Cambria Math" w:eastAsia="Cambria Math" w:hAnsi="Cambria Math" w:cs="Cambria Math"/>
                      <w:sz w:val="19"/>
                      <w:szCs w:val="19"/>
                    </w:rPr>
                    <m:t>0</m:t>
                  </m:r>
                  <m:ctrlPr>
                    <w:rPr>
                      <w:rFonts w:ascii="Cambria Math" w:eastAsia="Cambria Math" w:hAnsi="Cambria Math" w:cs="Cambria Math"/>
                      <w:i/>
                      <w:sz w:val="19"/>
                      <w:szCs w:val="19"/>
                    </w:rPr>
                  </m:ctrlPr>
                </m:e>
                <m:e>
                  <m:r>
                    <w:rPr>
                      <w:rFonts w:ascii="Cambria Math" w:eastAsia="Cambria Math" w:hAnsi="Cambria Math" w:cs="Cambria Math"/>
                      <w:sz w:val="19"/>
                      <w:szCs w:val="19"/>
                    </w:rPr>
                    <m:t>0</m:t>
                  </m:r>
                  <m:ctrlPr>
                    <w:rPr>
                      <w:rFonts w:ascii="Cambria Math" w:eastAsia="Cambria Math" w:hAnsi="Cambria Math" w:cs="Cambria Math"/>
                      <w:i/>
                      <w:sz w:val="19"/>
                      <w:szCs w:val="19"/>
                    </w:rPr>
                  </m:ctrlPr>
                </m:e>
                <m:e>
                  <m:r>
                    <w:rPr>
                      <w:rFonts w:ascii="Cambria Math" w:eastAsia="Cambria Math" w:hAnsi="Cambria Math" w:cs="Cambria Math"/>
                      <w:sz w:val="19"/>
                      <w:szCs w:val="19"/>
                    </w:rPr>
                    <m:t>0</m:t>
                  </m:r>
                  <m:ctrlPr>
                    <w:rPr>
                      <w:rFonts w:ascii="Cambria Math" w:eastAsia="Cambria Math" w:hAnsi="Cambria Math" w:cs="Cambria Math"/>
                      <w:i/>
                      <w:sz w:val="19"/>
                      <w:szCs w:val="19"/>
                    </w:rPr>
                  </m:ctrlPr>
                </m:e>
                <m:e>
                  <m:sSub>
                    <m:sSubPr>
                      <m:ctrlPr>
                        <w:rPr>
                          <w:rFonts w:ascii="Cambria Math" w:eastAsia="Cambria Math" w:hAnsi="Cambria Math" w:cs="Cambria Math"/>
                          <w:i/>
                          <w:sz w:val="19"/>
                          <w:szCs w:val="19"/>
                        </w:rPr>
                      </m:ctrlPr>
                    </m:sSubPr>
                    <m:e>
                      <m:r>
                        <w:rPr>
                          <w:rFonts w:ascii="Cambria Math" w:eastAsia="Cambria Math" w:hAnsi="Cambria Math" w:cs="Cambria Math"/>
                          <w:sz w:val="19"/>
                          <w:szCs w:val="19"/>
                        </w:rPr>
                        <m:t>b</m:t>
                      </m:r>
                    </m:e>
                    <m:sub>
                      <m:r>
                        <w:rPr>
                          <w:rFonts w:ascii="Cambria Math" w:eastAsia="Cambria Math" w:hAnsi="Cambria Math" w:cs="Cambria Math"/>
                          <w:sz w:val="19"/>
                          <w:szCs w:val="19"/>
                        </w:rPr>
                        <m:t>66</m:t>
                      </m:r>
                    </m:sub>
                  </m:sSub>
                  <m:ctrlPr>
                    <w:rPr>
                      <w:rFonts w:ascii="Cambria Math" w:eastAsia="Cambria Math" w:hAnsi="Cambria Math" w:cs="Cambria Math"/>
                      <w:i/>
                      <w:sz w:val="19"/>
                      <w:szCs w:val="19"/>
                    </w:rPr>
                  </m:ctrlPr>
                </m:e>
                <m:e>
                  <m:r>
                    <w:rPr>
                      <w:rFonts w:ascii="Cambria Math" w:eastAsia="Cambria Math" w:hAnsi="Cambria Math" w:cs="Cambria Math"/>
                      <w:sz w:val="19"/>
                      <w:szCs w:val="19"/>
                    </w:rPr>
                    <m:t>0</m:t>
                  </m:r>
                  <m:ctrlPr>
                    <w:rPr>
                      <w:rFonts w:ascii="Cambria Math" w:eastAsia="Cambria Math" w:hAnsi="Cambria Math" w:cs="Cambria Math"/>
                      <w:i/>
                      <w:sz w:val="19"/>
                      <w:szCs w:val="19"/>
                    </w:rPr>
                  </m:ctrlPr>
                </m:e>
              </m:mr>
              <m:mr>
                <m:e>
                  <m:r>
                    <w:rPr>
                      <w:rFonts w:ascii="Cambria Math" w:eastAsia="Cambria Math" w:hAnsi="Cambria Math" w:cs="Cambria Math"/>
                      <w:sz w:val="19"/>
                      <w:szCs w:val="19"/>
                    </w:rPr>
                    <m:t>0</m:t>
                  </m:r>
                  <m:ctrlPr>
                    <w:rPr>
                      <w:rFonts w:ascii="Cambria Math" w:eastAsia="Cambria Math" w:hAnsi="Cambria Math" w:cs="Cambria Math"/>
                      <w:i/>
                      <w:sz w:val="19"/>
                      <w:szCs w:val="19"/>
                    </w:rPr>
                  </m:ctrlPr>
                </m:e>
                <m:e>
                  <m:r>
                    <w:rPr>
                      <w:rFonts w:ascii="Cambria Math" w:eastAsia="Cambria Math" w:hAnsi="Cambria Math" w:cs="Cambria Math"/>
                      <w:sz w:val="19"/>
                      <w:szCs w:val="19"/>
                    </w:rPr>
                    <m:t>0</m:t>
                  </m:r>
                  <m:ctrlPr>
                    <w:rPr>
                      <w:rFonts w:ascii="Cambria Math" w:eastAsia="Cambria Math" w:hAnsi="Cambria Math" w:cs="Cambria Math"/>
                      <w:i/>
                      <w:sz w:val="19"/>
                      <w:szCs w:val="19"/>
                    </w:rPr>
                  </m:ctrlPr>
                </m:e>
                <m:e>
                  <m:r>
                    <w:rPr>
                      <w:rFonts w:ascii="Cambria Math" w:eastAsia="Cambria Math" w:hAnsi="Cambria Math" w:cs="Cambria Math"/>
                      <w:sz w:val="19"/>
                      <w:szCs w:val="19"/>
                    </w:rPr>
                    <m:t>0</m:t>
                  </m:r>
                  <m:ctrlPr>
                    <w:rPr>
                      <w:rFonts w:ascii="Cambria Math" w:eastAsia="Cambria Math" w:hAnsi="Cambria Math" w:cs="Cambria Math"/>
                      <w:i/>
                      <w:sz w:val="19"/>
                      <w:szCs w:val="19"/>
                    </w:rPr>
                  </m:ctrlPr>
                </m:e>
                <m:e>
                  <m:r>
                    <w:rPr>
                      <w:rFonts w:ascii="Cambria Math" w:eastAsia="Cambria Math" w:hAnsi="Cambria Math" w:cs="Cambria Math"/>
                      <w:sz w:val="19"/>
                      <w:szCs w:val="19"/>
                    </w:rPr>
                    <m:t>0</m:t>
                  </m:r>
                  <m:ctrlPr>
                    <w:rPr>
                      <w:rFonts w:ascii="Cambria Math" w:eastAsia="Cambria Math" w:hAnsi="Cambria Math" w:cs="Cambria Math"/>
                      <w:i/>
                      <w:sz w:val="19"/>
                      <w:szCs w:val="19"/>
                    </w:rPr>
                  </m:ctrlPr>
                </m:e>
                <m:e>
                  <m:r>
                    <w:rPr>
                      <w:rFonts w:ascii="Cambria Math" w:eastAsia="Cambria Math" w:hAnsi="Cambria Math" w:cs="Cambria Math"/>
                      <w:sz w:val="19"/>
                      <w:szCs w:val="19"/>
                    </w:rPr>
                    <m:t>0</m:t>
                  </m:r>
                  <m:ctrlPr>
                    <w:rPr>
                      <w:rFonts w:ascii="Cambria Math" w:eastAsia="Cambria Math" w:hAnsi="Cambria Math" w:cs="Cambria Math"/>
                      <w:i/>
                      <w:sz w:val="19"/>
                      <w:szCs w:val="19"/>
                    </w:rPr>
                  </m:ctrlPr>
                </m:e>
                <m:e>
                  <m:r>
                    <w:rPr>
                      <w:rFonts w:ascii="Cambria Math" w:eastAsia="Cambria Math" w:hAnsi="Cambria Math" w:cs="Cambria Math"/>
                      <w:sz w:val="19"/>
                      <w:szCs w:val="19"/>
                    </w:rPr>
                    <m:t>0</m:t>
                  </m:r>
                  <m:ctrlPr>
                    <w:rPr>
                      <w:rFonts w:ascii="Cambria Math" w:eastAsia="Cambria Math" w:hAnsi="Cambria Math" w:cs="Cambria Math"/>
                      <w:i/>
                      <w:sz w:val="19"/>
                      <w:szCs w:val="19"/>
                    </w:rPr>
                  </m:ctrlPr>
                </m:e>
                <m:e>
                  <m:sSub>
                    <m:sSubPr>
                      <m:ctrlPr>
                        <w:rPr>
                          <w:rFonts w:ascii="Cambria Math" w:eastAsia="Cambria Math" w:hAnsi="Cambria Math" w:cs="Cambria Math"/>
                          <w:i/>
                          <w:sz w:val="19"/>
                          <w:szCs w:val="19"/>
                        </w:rPr>
                      </m:ctrlPr>
                    </m:sSubPr>
                    <m:e>
                      <m:r>
                        <w:rPr>
                          <w:rFonts w:ascii="Cambria Math" w:eastAsia="Cambria Math" w:hAnsi="Cambria Math" w:cs="Cambria Math"/>
                          <w:sz w:val="19"/>
                          <w:szCs w:val="19"/>
                        </w:rPr>
                        <m:t>b</m:t>
                      </m:r>
                    </m:e>
                    <m:sub>
                      <m:r>
                        <w:rPr>
                          <w:rFonts w:ascii="Cambria Math" w:eastAsia="Cambria Math" w:hAnsi="Cambria Math" w:cs="Cambria Math"/>
                          <w:sz w:val="19"/>
                          <w:szCs w:val="19"/>
                        </w:rPr>
                        <m:t>77</m:t>
                      </m:r>
                    </m:sub>
                  </m:sSub>
                </m:e>
              </m:mr>
            </m:m>
          </m:e>
        </m:d>
        <m:d>
          <m:dPr>
            <m:begChr m:val="["/>
            <m:endChr m:val="]"/>
            <m:ctrlPr>
              <w:rPr>
                <w:rFonts w:ascii="Cambria Math" w:hAnsi="Cambria Math"/>
                <w:i/>
                <w:sz w:val="19"/>
                <w:szCs w:val="19"/>
              </w:rPr>
            </m:ctrlPr>
          </m:dPr>
          <m:e>
            <m:m>
              <m:mPr>
                <m:mcs>
                  <m:mc>
                    <m:mcPr>
                      <m:count m:val="1"/>
                      <m:mcJc m:val="center"/>
                    </m:mcPr>
                  </m:mc>
                </m:mcs>
                <m:ctrlPr>
                  <w:rPr>
                    <w:rFonts w:ascii="Cambria Math" w:hAnsi="Cambria Math"/>
                    <w:i/>
                    <w:sz w:val="19"/>
                    <w:szCs w:val="19"/>
                  </w:rPr>
                </m:ctrlPr>
              </m:mPr>
              <m:mr>
                <m:e>
                  <m:sSub>
                    <m:sSubPr>
                      <m:ctrlPr>
                        <w:rPr>
                          <w:rFonts w:ascii="Cambria Math" w:hAnsi="Cambria Math"/>
                          <w:i/>
                          <w:sz w:val="19"/>
                          <w:szCs w:val="19"/>
                        </w:rPr>
                      </m:ctrlPr>
                    </m:sSubPr>
                    <m:e>
                      <m:r>
                        <w:rPr>
                          <w:rFonts w:ascii="Cambria Math" w:hAnsi="Cambria Math"/>
                          <w:sz w:val="19"/>
                          <w:szCs w:val="19"/>
                        </w:rPr>
                        <m:t>ε</m:t>
                      </m:r>
                    </m:e>
                    <m:sub>
                      <m:r>
                        <w:rPr>
                          <w:rFonts w:ascii="Cambria Math" w:hAnsi="Cambria Math"/>
                          <w:sz w:val="19"/>
                          <w:szCs w:val="19"/>
                        </w:rPr>
                        <m:t>1t</m:t>
                      </m:r>
                    </m:sub>
                  </m:sSub>
                </m:e>
              </m:mr>
              <m:mr>
                <m:e>
                  <m:sSub>
                    <m:sSubPr>
                      <m:ctrlPr>
                        <w:rPr>
                          <w:rFonts w:ascii="Cambria Math" w:hAnsi="Cambria Math"/>
                          <w:i/>
                          <w:sz w:val="19"/>
                          <w:szCs w:val="19"/>
                        </w:rPr>
                      </m:ctrlPr>
                    </m:sSubPr>
                    <m:e>
                      <m:r>
                        <w:rPr>
                          <w:rFonts w:ascii="Cambria Math" w:hAnsi="Cambria Math"/>
                          <w:sz w:val="19"/>
                          <w:szCs w:val="19"/>
                        </w:rPr>
                        <m:t>ε</m:t>
                      </m:r>
                    </m:e>
                    <m:sub>
                      <m:r>
                        <w:rPr>
                          <w:rFonts w:ascii="Cambria Math" w:hAnsi="Cambria Math"/>
                          <w:sz w:val="19"/>
                          <w:szCs w:val="19"/>
                        </w:rPr>
                        <m:t>2t</m:t>
                      </m:r>
                    </m:sub>
                  </m:sSub>
                  <m:ctrlPr>
                    <w:rPr>
                      <w:rFonts w:ascii="Cambria Math" w:eastAsia="Cambria Math" w:hAnsi="Cambria Math" w:cs="Cambria Math"/>
                      <w:i/>
                      <w:sz w:val="19"/>
                      <w:szCs w:val="19"/>
                    </w:rPr>
                  </m:ctrlPr>
                </m:e>
              </m:mr>
              <m:mr>
                <m:e>
                  <m:sSub>
                    <m:sSubPr>
                      <m:ctrlPr>
                        <w:rPr>
                          <w:rFonts w:ascii="Cambria Math" w:eastAsia="Cambria Math" w:hAnsi="Cambria Math" w:cs="Cambria Math"/>
                          <w:i/>
                          <w:sz w:val="19"/>
                          <w:szCs w:val="19"/>
                        </w:rPr>
                      </m:ctrlPr>
                    </m:sSubPr>
                    <m:e>
                      <m:r>
                        <w:rPr>
                          <w:rFonts w:ascii="Cambria Math" w:eastAsia="Cambria Math" w:hAnsi="Cambria Math" w:cs="Cambria Math"/>
                          <w:sz w:val="19"/>
                          <w:szCs w:val="19"/>
                        </w:rPr>
                        <m:t>ε</m:t>
                      </m:r>
                    </m:e>
                    <m:sub>
                      <m:r>
                        <w:rPr>
                          <w:rFonts w:ascii="Cambria Math" w:eastAsia="Cambria Math" w:hAnsi="Cambria Math" w:cs="Cambria Math"/>
                          <w:sz w:val="19"/>
                          <w:szCs w:val="19"/>
                        </w:rPr>
                        <m:t>3t</m:t>
                      </m:r>
                    </m:sub>
                  </m:sSub>
                  <m:ctrlPr>
                    <w:rPr>
                      <w:rFonts w:ascii="Cambria Math" w:eastAsia="Cambria Math" w:hAnsi="Cambria Math" w:cs="Cambria Math"/>
                      <w:i/>
                      <w:sz w:val="19"/>
                      <w:szCs w:val="19"/>
                    </w:rPr>
                  </m:ctrlPr>
                </m:e>
              </m:mr>
              <m:mr>
                <m:e>
                  <m:sSub>
                    <m:sSubPr>
                      <m:ctrlPr>
                        <w:rPr>
                          <w:rFonts w:ascii="Cambria Math" w:eastAsia="Cambria Math" w:hAnsi="Cambria Math" w:cs="Cambria Math"/>
                          <w:i/>
                          <w:sz w:val="19"/>
                          <w:szCs w:val="19"/>
                        </w:rPr>
                      </m:ctrlPr>
                    </m:sSubPr>
                    <m:e>
                      <m:r>
                        <w:rPr>
                          <w:rFonts w:ascii="Cambria Math" w:eastAsia="Cambria Math" w:hAnsi="Cambria Math" w:cs="Cambria Math"/>
                          <w:sz w:val="19"/>
                          <w:szCs w:val="19"/>
                        </w:rPr>
                        <m:t>ε</m:t>
                      </m:r>
                    </m:e>
                    <m:sub>
                      <m:r>
                        <w:rPr>
                          <w:rFonts w:ascii="Cambria Math" w:eastAsia="Cambria Math" w:hAnsi="Cambria Math" w:cs="Cambria Math"/>
                          <w:sz w:val="19"/>
                          <w:szCs w:val="19"/>
                        </w:rPr>
                        <m:t>4t</m:t>
                      </m:r>
                    </m:sub>
                  </m:sSub>
                  <m:ctrlPr>
                    <w:rPr>
                      <w:rFonts w:ascii="Cambria Math" w:eastAsia="Cambria Math" w:hAnsi="Cambria Math" w:cs="Cambria Math"/>
                      <w:i/>
                      <w:sz w:val="19"/>
                      <w:szCs w:val="19"/>
                    </w:rPr>
                  </m:ctrlPr>
                </m:e>
              </m:mr>
              <m:mr>
                <m:e>
                  <m:sSub>
                    <m:sSubPr>
                      <m:ctrlPr>
                        <w:rPr>
                          <w:rFonts w:ascii="Cambria Math" w:eastAsia="Cambria Math" w:hAnsi="Cambria Math" w:cs="Cambria Math"/>
                          <w:i/>
                          <w:sz w:val="19"/>
                          <w:szCs w:val="19"/>
                        </w:rPr>
                      </m:ctrlPr>
                    </m:sSubPr>
                    <m:e>
                      <m:r>
                        <w:rPr>
                          <w:rFonts w:ascii="Cambria Math" w:eastAsia="Cambria Math" w:hAnsi="Cambria Math" w:cs="Cambria Math"/>
                          <w:sz w:val="19"/>
                          <w:szCs w:val="19"/>
                        </w:rPr>
                        <m:t>ε</m:t>
                      </m:r>
                    </m:e>
                    <m:sub>
                      <m:r>
                        <w:rPr>
                          <w:rFonts w:ascii="Cambria Math" w:eastAsia="Cambria Math" w:hAnsi="Cambria Math" w:cs="Cambria Math"/>
                          <w:sz w:val="19"/>
                          <w:szCs w:val="19"/>
                        </w:rPr>
                        <m:t>5t</m:t>
                      </m:r>
                    </m:sub>
                  </m:sSub>
                  <m:ctrlPr>
                    <w:rPr>
                      <w:rFonts w:ascii="Cambria Math" w:eastAsia="Cambria Math" w:hAnsi="Cambria Math" w:cs="Cambria Math"/>
                      <w:i/>
                      <w:sz w:val="19"/>
                      <w:szCs w:val="19"/>
                    </w:rPr>
                  </m:ctrlPr>
                </m:e>
              </m:mr>
              <m:mr>
                <m:e>
                  <m:sSub>
                    <m:sSubPr>
                      <m:ctrlPr>
                        <w:rPr>
                          <w:rFonts w:ascii="Cambria Math" w:eastAsia="Cambria Math" w:hAnsi="Cambria Math" w:cs="Cambria Math"/>
                          <w:i/>
                          <w:sz w:val="19"/>
                          <w:szCs w:val="19"/>
                        </w:rPr>
                      </m:ctrlPr>
                    </m:sSubPr>
                    <m:e>
                      <m:r>
                        <w:rPr>
                          <w:rFonts w:ascii="Cambria Math" w:eastAsia="Cambria Math" w:hAnsi="Cambria Math" w:cs="Cambria Math"/>
                          <w:sz w:val="19"/>
                          <w:szCs w:val="19"/>
                        </w:rPr>
                        <m:t>ε</m:t>
                      </m:r>
                    </m:e>
                    <m:sub>
                      <m:r>
                        <w:rPr>
                          <w:rFonts w:ascii="Cambria Math" w:eastAsia="Cambria Math" w:hAnsi="Cambria Math" w:cs="Cambria Math"/>
                          <w:sz w:val="19"/>
                          <w:szCs w:val="19"/>
                        </w:rPr>
                        <m:t>6t</m:t>
                      </m:r>
                    </m:sub>
                  </m:sSub>
                  <m:ctrlPr>
                    <w:rPr>
                      <w:rFonts w:ascii="Cambria Math" w:eastAsia="Cambria Math" w:hAnsi="Cambria Math" w:cs="Cambria Math"/>
                      <w:i/>
                      <w:sz w:val="19"/>
                      <w:szCs w:val="19"/>
                    </w:rPr>
                  </m:ctrlPr>
                </m:e>
              </m:mr>
              <m:mr>
                <m:e>
                  <m:sSub>
                    <m:sSubPr>
                      <m:ctrlPr>
                        <w:rPr>
                          <w:rFonts w:ascii="Cambria Math" w:eastAsia="Cambria Math" w:hAnsi="Cambria Math" w:cs="Cambria Math"/>
                          <w:i/>
                          <w:sz w:val="19"/>
                          <w:szCs w:val="19"/>
                        </w:rPr>
                      </m:ctrlPr>
                    </m:sSubPr>
                    <m:e>
                      <m:r>
                        <w:rPr>
                          <w:rFonts w:ascii="Cambria Math" w:eastAsia="Cambria Math" w:hAnsi="Cambria Math" w:cs="Cambria Math"/>
                          <w:sz w:val="19"/>
                          <w:szCs w:val="19"/>
                        </w:rPr>
                        <m:t>ε</m:t>
                      </m:r>
                    </m:e>
                    <m:sub>
                      <m:r>
                        <w:rPr>
                          <w:rFonts w:ascii="Cambria Math" w:eastAsia="Cambria Math" w:hAnsi="Cambria Math" w:cs="Cambria Math"/>
                          <w:sz w:val="19"/>
                          <w:szCs w:val="19"/>
                        </w:rPr>
                        <m:t>7t</m:t>
                      </m:r>
                    </m:sub>
                  </m:sSub>
                </m:e>
              </m:mr>
            </m:m>
          </m:e>
        </m:d>
      </m:oMath>
      <w:r w:rsidR="009F10CF" w:rsidRPr="00BB2872">
        <w:rPr>
          <w:rFonts w:eastAsiaTheme="minorEastAsia"/>
        </w:rPr>
        <w:t xml:space="preserve"> </w:t>
      </w:r>
      <w:r w:rsidR="00E94254" w:rsidRPr="00BB2872">
        <w:rPr>
          <w:rFonts w:eastAsiaTheme="minorEastAsia"/>
        </w:rPr>
        <w:t xml:space="preserve">    </w:t>
      </w:r>
      <w:r w:rsidR="009F10CF" w:rsidRPr="00BB2872">
        <w:rPr>
          <w:rFonts w:ascii="Times New Roman" w:eastAsia="Times New Roman" w:hAnsi="Times New Roman" w:cs="Times New Roman"/>
          <w:sz w:val="24"/>
          <w:szCs w:val="24"/>
        </w:rPr>
        <w:t>(1)</w:t>
      </w:r>
    </w:p>
    <w:p w14:paraId="0000002A" w14:textId="3CA2FB1A" w:rsidR="00345220" w:rsidRPr="00BB2872" w:rsidRDefault="00345220">
      <w:pPr>
        <w:spacing w:after="120"/>
        <w:rPr>
          <w:rFonts w:ascii="Cambria" w:eastAsia="Cambria" w:hAnsi="Cambria" w:cs="Cambria"/>
          <w:i/>
          <w:sz w:val="20"/>
          <w:szCs w:val="20"/>
        </w:rPr>
      </w:pPr>
    </w:p>
    <w:p w14:paraId="0000002D" w14:textId="19FDE7E1" w:rsidR="00345220" w:rsidRPr="00BB2872" w:rsidRDefault="00D45E73" w:rsidP="008D1DD1">
      <w:pPr>
        <w:spacing w:before="240" w:after="0"/>
        <w:jc w:val="both"/>
        <w:rPr>
          <w:rFonts w:ascii="Times New Roman" w:eastAsia="Times New Roman" w:hAnsi="Times New Roman" w:cs="Times New Roman"/>
          <w:i/>
        </w:rPr>
      </w:pPr>
      <w:r w:rsidRPr="00BB2872">
        <w:rPr>
          <w:rFonts w:ascii="Times New Roman" w:eastAsia="Times New Roman" w:hAnsi="Times New Roman" w:cs="Times New Roman"/>
          <w:i/>
        </w:rPr>
        <w:t>Note: All variables are in differences</w:t>
      </w:r>
    </w:p>
    <w:p w14:paraId="0000002E" w14:textId="69CB9485" w:rsidR="00345220" w:rsidRPr="00BB2872" w:rsidRDefault="00E55098">
      <w:pPr>
        <w:widowControl w:val="0"/>
        <w:spacing w:before="240" w:after="0" w:line="480" w:lineRule="auto"/>
        <w:rPr>
          <w:rFonts w:ascii="Times New Roman" w:eastAsia="Times New Roman" w:hAnsi="Times New Roman" w:cs="Times New Roman"/>
          <w:sz w:val="24"/>
          <w:szCs w:val="24"/>
        </w:rPr>
      </w:pPr>
      <w:r w:rsidRPr="00BB2872">
        <w:rPr>
          <w:rFonts w:ascii="Times New Roman" w:eastAsia="Times New Roman" w:hAnsi="Times New Roman" w:cs="Times New Roman"/>
          <w:sz w:val="24"/>
          <w:szCs w:val="24"/>
        </w:rPr>
        <w:t>W</w:t>
      </w:r>
      <w:r w:rsidR="00D45E73" w:rsidRPr="00BB2872">
        <w:rPr>
          <w:rFonts w:ascii="Times New Roman" w:eastAsia="Times New Roman" w:hAnsi="Times New Roman" w:cs="Times New Roman"/>
          <w:sz w:val="24"/>
          <w:szCs w:val="24"/>
        </w:rPr>
        <w:t xml:space="preserve">here </w:t>
      </w:r>
      <w:r w:rsidR="00D45E73" w:rsidRPr="00BB2872">
        <w:rPr>
          <w:rFonts w:ascii="Times New Roman" w:eastAsia="Times New Roman" w:hAnsi="Times New Roman" w:cs="Times New Roman"/>
          <w:i/>
          <w:sz w:val="24"/>
          <w:szCs w:val="24"/>
        </w:rPr>
        <w:t>EA</w:t>
      </w:r>
      <w:r w:rsidR="00D45E73" w:rsidRPr="00BB2872">
        <w:rPr>
          <w:rFonts w:ascii="Times New Roman" w:eastAsia="Times New Roman" w:hAnsi="Times New Roman" w:cs="Times New Roman"/>
          <w:sz w:val="24"/>
          <w:szCs w:val="24"/>
        </w:rPr>
        <w:t xml:space="preserve"> represents the EA money market reference rate</w:t>
      </w:r>
      <w:r w:rsidR="00E71882" w:rsidRPr="00BB2872">
        <w:rPr>
          <w:rFonts w:ascii="Times New Roman" w:eastAsia="Times New Roman" w:hAnsi="Times New Roman" w:cs="Times New Roman"/>
          <w:sz w:val="24"/>
          <w:szCs w:val="24"/>
        </w:rPr>
        <w:t>,</w:t>
      </w:r>
      <w:r w:rsidR="00D45E73" w:rsidRPr="00BB2872">
        <w:rPr>
          <w:rFonts w:ascii="Times New Roman" w:eastAsia="Times New Roman" w:hAnsi="Times New Roman" w:cs="Times New Roman"/>
          <w:sz w:val="24"/>
          <w:szCs w:val="24"/>
        </w:rPr>
        <w:t xml:space="preserve"> EURIBOR, </w:t>
      </w:r>
      <w:r w:rsidR="00D45E73" w:rsidRPr="00BB2872">
        <w:rPr>
          <w:rFonts w:ascii="Times New Roman" w:eastAsia="Times New Roman" w:hAnsi="Times New Roman" w:cs="Times New Roman"/>
          <w:i/>
          <w:sz w:val="24"/>
          <w:szCs w:val="24"/>
        </w:rPr>
        <w:t>MP</w:t>
      </w:r>
      <w:r w:rsidR="00D45E73" w:rsidRPr="00BB2872">
        <w:rPr>
          <w:rFonts w:ascii="Times New Roman" w:eastAsia="Times New Roman" w:hAnsi="Times New Roman" w:cs="Times New Roman"/>
          <w:sz w:val="24"/>
          <w:szCs w:val="24"/>
        </w:rPr>
        <w:t xml:space="preserve"> represents </w:t>
      </w:r>
      <w:r w:rsidR="00E71882" w:rsidRPr="00BB2872">
        <w:rPr>
          <w:rFonts w:ascii="Times New Roman" w:eastAsia="Times New Roman" w:hAnsi="Times New Roman" w:cs="Times New Roman"/>
          <w:sz w:val="24"/>
          <w:szCs w:val="24"/>
        </w:rPr>
        <w:t xml:space="preserve">the </w:t>
      </w:r>
      <w:r w:rsidR="00D45E73" w:rsidRPr="00BB2872">
        <w:rPr>
          <w:rFonts w:ascii="Times New Roman" w:eastAsia="Times New Roman" w:hAnsi="Times New Roman" w:cs="Times New Roman"/>
          <w:sz w:val="24"/>
          <w:szCs w:val="24"/>
        </w:rPr>
        <w:t xml:space="preserve">monetary policy official interest rate in Czechia, </w:t>
      </w:r>
      <w:r w:rsidR="00D45E73" w:rsidRPr="00BB2872">
        <w:rPr>
          <w:rFonts w:ascii="Times New Roman" w:eastAsia="Times New Roman" w:hAnsi="Times New Roman" w:cs="Times New Roman"/>
          <w:i/>
          <w:sz w:val="24"/>
          <w:szCs w:val="24"/>
        </w:rPr>
        <w:t>MM</w:t>
      </w:r>
      <w:r w:rsidR="00D45E73" w:rsidRPr="00BB2872">
        <w:rPr>
          <w:rFonts w:ascii="Times New Roman" w:eastAsia="Times New Roman" w:hAnsi="Times New Roman" w:cs="Times New Roman"/>
          <w:sz w:val="24"/>
          <w:szCs w:val="24"/>
        </w:rPr>
        <w:t xml:space="preserve"> is the Czech money market rate</w:t>
      </w:r>
      <w:r w:rsidR="00E71882" w:rsidRPr="00BB2872">
        <w:rPr>
          <w:rFonts w:ascii="Times New Roman" w:eastAsia="Times New Roman" w:hAnsi="Times New Roman" w:cs="Times New Roman"/>
          <w:sz w:val="24"/>
          <w:szCs w:val="24"/>
        </w:rPr>
        <w:t>,</w:t>
      </w:r>
      <w:r w:rsidR="00D45E73" w:rsidRPr="00BB2872">
        <w:rPr>
          <w:rFonts w:ascii="Times New Roman" w:eastAsia="Times New Roman" w:hAnsi="Times New Roman" w:cs="Times New Roman"/>
          <w:sz w:val="24"/>
          <w:szCs w:val="24"/>
        </w:rPr>
        <w:t xml:space="preserve"> PRIBOR, </w:t>
      </w:r>
      <w:proofErr w:type="spellStart"/>
      <w:r w:rsidR="00D45E73" w:rsidRPr="00BB2872">
        <w:rPr>
          <w:rFonts w:ascii="Times New Roman" w:eastAsia="Times New Roman" w:hAnsi="Times New Roman" w:cs="Times New Roman"/>
          <w:i/>
          <w:sz w:val="24"/>
          <w:szCs w:val="24"/>
        </w:rPr>
        <w:t>c_rate</w:t>
      </w:r>
      <w:proofErr w:type="spellEnd"/>
      <w:r w:rsidR="00D45E73" w:rsidRPr="00BB2872">
        <w:rPr>
          <w:rFonts w:ascii="Times New Roman" w:eastAsia="Times New Roman" w:hAnsi="Times New Roman" w:cs="Times New Roman"/>
          <w:i/>
          <w:sz w:val="24"/>
          <w:szCs w:val="24"/>
        </w:rPr>
        <w:t xml:space="preserve"> </w:t>
      </w:r>
      <w:r w:rsidR="00D45E73" w:rsidRPr="00BB2872">
        <w:rPr>
          <w:rFonts w:ascii="Times New Roman" w:eastAsia="Times New Roman" w:hAnsi="Times New Roman" w:cs="Times New Roman"/>
          <w:sz w:val="24"/>
          <w:szCs w:val="24"/>
        </w:rPr>
        <w:t>is a corresponding loan rate for households or non-financial corporat</w:t>
      </w:r>
      <w:r w:rsidR="00E71882" w:rsidRPr="00BB2872">
        <w:rPr>
          <w:rFonts w:ascii="Times New Roman" w:eastAsia="Times New Roman" w:hAnsi="Times New Roman" w:cs="Times New Roman"/>
          <w:sz w:val="24"/>
          <w:szCs w:val="24"/>
        </w:rPr>
        <w:t>ions</w:t>
      </w:r>
      <w:r w:rsidR="00D45E73" w:rsidRPr="00BB2872">
        <w:rPr>
          <w:rFonts w:ascii="Times New Roman" w:eastAsia="Times New Roman" w:hAnsi="Times New Roman" w:cs="Times New Roman"/>
          <w:sz w:val="24"/>
          <w:szCs w:val="24"/>
        </w:rPr>
        <w:t xml:space="preserve">, </w:t>
      </w:r>
      <w:r w:rsidR="00E71882" w:rsidRPr="00BB2872">
        <w:rPr>
          <w:rFonts w:ascii="Times New Roman" w:eastAsia="Times New Roman" w:hAnsi="Times New Roman" w:cs="Times New Roman"/>
          <w:sz w:val="24"/>
          <w:szCs w:val="24"/>
        </w:rPr>
        <w:t xml:space="preserve">the </w:t>
      </w:r>
      <w:r w:rsidR="00D45E73" w:rsidRPr="00BB2872">
        <w:rPr>
          <w:rFonts w:ascii="Times New Roman" w:eastAsia="Times New Roman" w:hAnsi="Times New Roman" w:cs="Times New Roman"/>
          <w:sz w:val="24"/>
          <w:szCs w:val="24"/>
        </w:rPr>
        <w:t xml:space="preserve">exchange rate is presented by </w:t>
      </w:r>
      <w:r w:rsidR="00D45E73" w:rsidRPr="00BB2872">
        <w:rPr>
          <w:rFonts w:ascii="Times New Roman" w:eastAsia="Times New Roman" w:hAnsi="Times New Roman" w:cs="Times New Roman"/>
          <w:i/>
          <w:sz w:val="24"/>
          <w:szCs w:val="24"/>
        </w:rPr>
        <w:t>er</w:t>
      </w:r>
      <w:r w:rsidR="00D45E73" w:rsidRPr="00BB2872">
        <w:rPr>
          <w:rFonts w:ascii="Times New Roman" w:eastAsia="Times New Roman" w:hAnsi="Times New Roman" w:cs="Times New Roman"/>
          <w:sz w:val="24"/>
          <w:szCs w:val="24"/>
        </w:rPr>
        <w:t xml:space="preserve">, </w:t>
      </w:r>
      <w:r w:rsidR="00E71882" w:rsidRPr="00BB2872">
        <w:rPr>
          <w:rFonts w:ascii="Times New Roman" w:eastAsia="Times New Roman" w:hAnsi="Times New Roman" w:cs="Times New Roman"/>
          <w:sz w:val="24"/>
          <w:szCs w:val="24"/>
        </w:rPr>
        <w:t xml:space="preserve">the </w:t>
      </w:r>
      <w:r w:rsidR="00D45E73" w:rsidRPr="00BB2872">
        <w:rPr>
          <w:rFonts w:ascii="Times New Roman" w:eastAsia="Times New Roman" w:hAnsi="Times New Roman" w:cs="Times New Roman"/>
          <w:sz w:val="24"/>
          <w:szCs w:val="24"/>
        </w:rPr>
        <w:t xml:space="preserve">price level by the variable </w:t>
      </w:r>
      <w:r w:rsidR="00D45E73" w:rsidRPr="00BB2872">
        <w:rPr>
          <w:rFonts w:ascii="Times New Roman" w:eastAsia="Times New Roman" w:hAnsi="Times New Roman" w:cs="Times New Roman"/>
          <w:i/>
          <w:sz w:val="24"/>
          <w:szCs w:val="24"/>
        </w:rPr>
        <w:t>prices</w:t>
      </w:r>
      <w:r w:rsidR="00D45E73" w:rsidRPr="00BB2872">
        <w:rPr>
          <w:rFonts w:ascii="Times New Roman" w:eastAsia="Times New Roman" w:hAnsi="Times New Roman" w:cs="Times New Roman"/>
          <w:sz w:val="24"/>
          <w:szCs w:val="24"/>
        </w:rPr>
        <w:t xml:space="preserve">, </w:t>
      </w:r>
      <w:r w:rsidR="00D45E73" w:rsidRPr="00BB2872">
        <w:rPr>
          <w:rFonts w:ascii="Times New Roman" w:eastAsia="Times New Roman" w:hAnsi="Times New Roman" w:cs="Times New Roman"/>
          <w:i/>
          <w:sz w:val="24"/>
          <w:szCs w:val="24"/>
        </w:rPr>
        <w:t xml:space="preserve">conf </w:t>
      </w:r>
      <w:r w:rsidR="00D45E73" w:rsidRPr="00BB2872">
        <w:rPr>
          <w:rFonts w:ascii="Times New Roman" w:eastAsia="Times New Roman" w:hAnsi="Times New Roman" w:cs="Times New Roman"/>
          <w:sz w:val="24"/>
          <w:szCs w:val="24"/>
        </w:rPr>
        <w:t>represents a business or consumer confidence index</w:t>
      </w:r>
      <w:r w:rsidR="00E71882" w:rsidRPr="00BB2872">
        <w:rPr>
          <w:rFonts w:ascii="Times New Roman" w:eastAsia="Times New Roman" w:hAnsi="Times New Roman" w:cs="Times New Roman"/>
          <w:sz w:val="24"/>
          <w:szCs w:val="24"/>
        </w:rPr>
        <w:t>,</w:t>
      </w:r>
      <w:r w:rsidR="00D45E73" w:rsidRPr="00BB2872">
        <w:rPr>
          <w:rFonts w:ascii="Times New Roman" w:eastAsia="Times New Roman" w:hAnsi="Times New Roman" w:cs="Times New Roman"/>
          <w:sz w:val="24"/>
          <w:szCs w:val="24"/>
        </w:rPr>
        <w:t xml:space="preserve"> </w:t>
      </w:r>
      <w:proofErr w:type="spellStart"/>
      <w:r w:rsidR="00D45E73" w:rsidRPr="00BB2872">
        <w:rPr>
          <w:rFonts w:ascii="Times New Roman" w:eastAsia="Times New Roman" w:hAnsi="Times New Roman" w:cs="Times New Roman"/>
          <w:i/>
          <w:sz w:val="24"/>
          <w:szCs w:val="24"/>
        </w:rPr>
        <w:t>u</w:t>
      </w:r>
      <w:r w:rsidR="00D45E73" w:rsidRPr="00BB2872">
        <w:rPr>
          <w:rFonts w:ascii="Times New Roman" w:eastAsia="Times New Roman" w:hAnsi="Times New Roman" w:cs="Times New Roman"/>
          <w:i/>
          <w:sz w:val="24"/>
          <w:szCs w:val="24"/>
          <w:vertAlign w:val="subscript"/>
        </w:rPr>
        <w:t>it</w:t>
      </w:r>
      <w:proofErr w:type="spellEnd"/>
      <w:r w:rsidR="00D45E73" w:rsidRPr="00BB2872">
        <w:rPr>
          <w:rFonts w:ascii="Times New Roman" w:eastAsia="Times New Roman" w:hAnsi="Times New Roman" w:cs="Times New Roman"/>
          <w:sz w:val="24"/>
          <w:szCs w:val="24"/>
          <w:vertAlign w:val="subscript"/>
        </w:rPr>
        <w:t xml:space="preserve"> </w:t>
      </w:r>
      <w:r w:rsidR="00D45E73" w:rsidRPr="00BB2872">
        <w:rPr>
          <w:rFonts w:ascii="Times New Roman" w:eastAsia="Times New Roman" w:hAnsi="Times New Roman" w:cs="Times New Roman"/>
          <w:sz w:val="24"/>
          <w:szCs w:val="24"/>
        </w:rPr>
        <w:t xml:space="preserve">are reduced-formed VAR residuals, </w:t>
      </w:r>
      <w:proofErr w:type="spellStart"/>
      <w:r w:rsidR="00D45E73" w:rsidRPr="00BB2872">
        <w:rPr>
          <w:rFonts w:ascii="Times New Roman" w:eastAsia="Times New Roman" w:hAnsi="Times New Roman" w:cs="Times New Roman"/>
          <w:i/>
          <w:sz w:val="24"/>
          <w:szCs w:val="24"/>
        </w:rPr>
        <w:t>ε</w:t>
      </w:r>
      <w:r w:rsidR="00D45E73" w:rsidRPr="00BB2872">
        <w:rPr>
          <w:rFonts w:ascii="Times New Roman" w:eastAsia="Times New Roman" w:hAnsi="Times New Roman" w:cs="Times New Roman"/>
          <w:i/>
          <w:sz w:val="24"/>
          <w:szCs w:val="24"/>
          <w:vertAlign w:val="subscript"/>
        </w:rPr>
        <w:t>it</w:t>
      </w:r>
      <w:proofErr w:type="spellEnd"/>
      <w:r w:rsidR="00D45E73" w:rsidRPr="00BB2872">
        <w:rPr>
          <w:rFonts w:ascii="Times New Roman" w:eastAsia="Times New Roman" w:hAnsi="Times New Roman" w:cs="Times New Roman"/>
          <w:sz w:val="24"/>
          <w:szCs w:val="24"/>
        </w:rPr>
        <w:t xml:space="preserve"> </w:t>
      </w:r>
      <w:r w:rsidR="00E71882" w:rsidRPr="00BB2872">
        <w:rPr>
          <w:rFonts w:ascii="Times New Roman" w:eastAsia="Times New Roman" w:hAnsi="Times New Roman" w:cs="Times New Roman"/>
          <w:sz w:val="24"/>
          <w:szCs w:val="24"/>
        </w:rPr>
        <w:t xml:space="preserve">are </w:t>
      </w:r>
      <w:r w:rsidR="00D45E73" w:rsidRPr="00BB2872">
        <w:rPr>
          <w:rFonts w:ascii="Times New Roman" w:eastAsia="Times New Roman" w:hAnsi="Times New Roman" w:cs="Times New Roman"/>
          <w:sz w:val="24"/>
          <w:szCs w:val="24"/>
        </w:rPr>
        <w:t>the structural shocks</w:t>
      </w:r>
      <w:r w:rsidR="00E71882" w:rsidRPr="00BB2872">
        <w:rPr>
          <w:rFonts w:ascii="Times New Roman" w:eastAsia="Times New Roman" w:hAnsi="Times New Roman" w:cs="Times New Roman"/>
          <w:sz w:val="24"/>
          <w:szCs w:val="24"/>
        </w:rPr>
        <w:t>,</w:t>
      </w:r>
      <w:r w:rsidR="00D45E73" w:rsidRPr="00BB2872">
        <w:rPr>
          <w:rFonts w:ascii="Times New Roman" w:eastAsia="Times New Roman" w:hAnsi="Times New Roman" w:cs="Times New Roman"/>
          <w:sz w:val="24"/>
          <w:szCs w:val="24"/>
        </w:rPr>
        <w:t xml:space="preserve"> and </w:t>
      </w:r>
      <w:r w:rsidR="00D45E73" w:rsidRPr="00BB2872">
        <w:rPr>
          <w:rFonts w:ascii="Times New Roman" w:eastAsia="Times New Roman" w:hAnsi="Times New Roman" w:cs="Times New Roman"/>
          <w:i/>
          <w:sz w:val="24"/>
          <w:szCs w:val="24"/>
        </w:rPr>
        <w:t>ait</w:t>
      </w:r>
      <w:r w:rsidR="00D45E73" w:rsidRPr="00BB2872">
        <w:rPr>
          <w:rFonts w:ascii="Times New Roman" w:eastAsia="Times New Roman" w:hAnsi="Times New Roman" w:cs="Times New Roman"/>
          <w:sz w:val="24"/>
          <w:szCs w:val="24"/>
        </w:rPr>
        <w:t xml:space="preserve"> and </w:t>
      </w:r>
      <w:r w:rsidR="00D45E73" w:rsidRPr="00BB2872">
        <w:rPr>
          <w:rFonts w:ascii="Times New Roman" w:eastAsia="Times New Roman" w:hAnsi="Times New Roman" w:cs="Times New Roman"/>
          <w:i/>
          <w:sz w:val="24"/>
          <w:szCs w:val="24"/>
        </w:rPr>
        <w:t>bit</w:t>
      </w:r>
      <w:r w:rsidR="00D45E73" w:rsidRPr="00BB2872">
        <w:rPr>
          <w:rFonts w:ascii="Times New Roman" w:eastAsia="Times New Roman" w:hAnsi="Times New Roman" w:cs="Times New Roman"/>
          <w:sz w:val="24"/>
          <w:szCs w:val="24"/>
        </w:rPr>
        <w:t xml:space="preserve"> are </w:t>
      </w:r>
      <w:r w:rsidR="00E71882" w:rsidRPr="00BB2872">
        <w:rPr>
          <w:rFonts w:ascii="Times New Roman" w:eastAsia="Times New Roman" w:hAnsi="Times New Roman" w:cs="Times New Roman"/>
          <w:sz w:val="24"/>
          <w:szCs w:val="24"/>
        </w:rPr>
        <w:t xml:space="preserve">the </w:t>
      </w:r>
      <w:r w:rsidR="00D45E73" w:rsidRPr="00BB2872">
        <w:rPr>
          <w:rFonts w:ascii="Times New Roman" w:eastAsia="Times New Roman" w:hAnsi="Times New Roman" w:cs="Times New Roman"/>
          <w:sz w:val="24"/>
          <w:szCs w:val="24"/>
        </w:rPr>
        <w:t>coefficients to be estimated.</w:t>
      </w:r>
    </w:p>
    <w:p w14:paraId="0000002F" w14:textId="236FA74D" w:rsidR="00345220" w:rsidRPr="00BB2872" w:rsidRDefault="00D45E73">
      <w:pPr>
        <w:spacing w:after="0" w:line="480" w:lineRule="auto"/>
        <w:ind w:firstLine="720"/>
        <w:rPr>
          <w:rFonts w:ascii="Times New Roman" w:eastAsia="Times New Roman" w:hAnsi="Times New Roman" w:cs="Times New Roman"/>
          <w:sz w:val="24"/>
          <w:szCs w:val="24"/>
        </w:rPr>
      </w:pPr>
      <w:r w:rsidRPr="00BB2872">
        <w:rPr>
          <w:rFonts w:ascii="Times New Roman" w:eastAsia="Times New Roman" w:hAnsi="Times New Roman" w:cs="Times New Roman"/>
          <w:sz w:val="24"/>
          <w:szCs w:val="24"/>
        </w:rPr>
        <w:t>The definition of relations</w:t>
      </w:r>
      <w:r w:rsidR="00473C50" w:rsidRPr="00BB2872">
        <w:rPr>
          <w:rFonts w:ascii="Times New Roman" w:eastAsia="Times New Roman" w:hAnsi="Times New Roman" w:cs="Times New Roman"/>
          <w:sz w:val="24"/>
          <w:szCs w:val="24"/>
        </w:rPr>
        <w:t>hips</w:t>
      </w:r>
      <w:r w:rsidRPr="00BB2872">
        <w:rPr>
          <w:rFonts w:ascii="Times New Roman" w:eastAsia="Times New Roman" w:hAnsi="Times New Roman" w:cs="Times New Roman"/>
          <w:sz w:val="24"/>
          <w:szCs w:val="24"/>
        </w:rPr>
        <w:t xml:space="preserve"> between </w:t>
      </w:r>
      <w:r w:rsidR="00473C50" w:rsidRPr="00BB2872">
        <w:rPr>
          <w:rFonts w:ascii="Times New Roman" w:eastAsia="Times New Roman" w:hAnsi="Times New Roman" w:cs="Times New Roman"/>
          <w:sz w:val="24"/>
          <w:szCs w:val="24"/>
        </w:rPr>
        <w:t xml:space="preserve">the </w:t>
      </w:r>
      <w:r w:rsidRPr="00BB2872">
        <w:rPr>
          <w:rFonts w:ascii="Times New Roman" w:eastAsia="Times New Roman" w:hAnsi="Times New Roman" w:cs="Times New Roman"/>
          <w:sz w:val="24"/>
          <w:szCs w:val="24"/>
        </w:rPr>
        <w:t xml:space="preserve">variables in the SVAR system and the restrictions </w:t>
      </w:r>
      <w:r w:rsidR="00473C50" w:rsidRPr="00BB2872">
        <w:rPr>
          <w:rFonts w:ascii="Times New Roman" w:eastAsia="Times New Roman" w:hAnsi="Times New Roman" w:cs="Times New Roman"/>
          <w:sz w:val="24"/>
          <w:szCs w:val="24"/>
        </w:rPr>
        <w:t xml:space="preserve">must </w:t>
      </w:r>
      <w:r w:rsidRPr="00BB2872">
        <w:rPr>
          <w:rFonts w:ascii="Times New Roman" w:eastAsia="Times New Roman" w:hAnsi="Times New Roman" w:cs="Times New Roman"/>
          <w:sz w:val="24"/>
          <w:szCs w:val="24"/>
        </w:rPr>
        <w:t xml:space="preserve">be based on </w:t>
      </w:r>
      <w:r w:rsidR="00473C50" w:rsidRPr="00BB2872">
        <w:rPr>
          <w:rFonts w:ascii="Times New Roman" w:eastAsia="Times New Roman" w:hAnsi="Times New Roman" w:cs="Times New Roman"/>
          <w:sz w:val="24"/>
          <w:szCs w:val="24"/>
        </w:rPr>
        <w:t xml:space="preserve">the </w:t>
      </w:r>
      <w:r w:rsidRPr="00BB2872">
        <w:rPr>
          <w:rFonts w:ascii="Times New Roman" w:eastAsia="Times New Roman" w:hAnsi="Times New Roman" w:cs="Times New Roman"/>
          <w:sz w:val="24"/>
          <w:szCs w:val="24"/>
        </w:rPr>
        <w:t xml:space="preserve">economic theory </w:t>
      </w:r>
      <w:r w:rsidR="00473C50" w:rsidRPr="00BB2872">
        <w:rPr>
          <w:rFonts w:ascii="Times New Roman" w:eastAsia="Times New Roman" w:hAnsi="Times New Roman" w:cs="Times New Roman"/>
          <w:sz w:val="24"/>
          <w:szCs w:val="24"/>
        </w:rPr>
        <w:t xml:space="preserve">of </w:t>
      </w:r>
      <w:r w:rsidRPr="00BB2872">
        <w:rPr>
          <w:rFonts w:ascii="Times New Roman" w:eastAsia="Times New Roman" w:hAnsi="Times New Roman" w:cs="Times New Roman"/>
          <w:sz w:val="24"/>
          <w:szCs w:val="24"/>
        </w:rPr>
        <w:t xml:space="preserve">Sims (1986) or Killian (2011). Here, the principle of </w:t>
      </w:r>
      <w:r w:rsidR="00473C50" w:rsidRPr="00BB2872">
        <w:rPr>
          <w:rFonts w:ascii="Times New Roman" w:eastAsia="Times New Roman" w:hAnsi="Times New Roman" w:cs="Times New Roman"/>
          <w:sz w:val="24"/>
          <w:szCs w:val="24"/>
        </w:rPr>
        <w:t xml:space="preserve">the creation of </w:t>
      </w:r>
      <w:r w:rsidRPr="00BB2872">
        <w:rPr>
          <w:rFonts w:ascii="Times New Roman" w:eastAsia="Times New Roman" w:hAnsi="Times New Roman" w:cs="Times New Roman"/>
          <w:sz w:val="24"/>
          <w:szCs w:val="24"/>
        </w:rPr>
        <w:t>matrix A is briefly explained. In our SVAR</w:t>
      </w:r>
      <w:r w:rsidR="00473C50" w:rsidRPr="00BB2872">
        <w:rPr>
          <w:rFonts w:ascii="Times New Roman" w:eastAsia="Times New Roman" w:hAnsi="Times New Roman" w:cs="Times New Roman"/>
          <w:sz w:val="24"/>
          <w:szCs w:val="24"/>
        </w:rPr>
        <w:t xml:space="preserve"> model</w:t>
      </w:r>
      <w:r w:rsidRPr="00BB2872">
        <w:rPr>
          <w:rFonts w:ascii="Times New Roman" w:eastAsia="Times New Roman" w:hAnsi="Times New Roman" w:cs="Times New Roman"/>
          <w:sz w:val="24"/>
          <w:szCs w:val="24"/>
        </w:rPr>
        <w:t>, the effect of interest</w:t>
      </w:r>
      <w:r w:rsidR="00E02BFF" w:rsidRPr="00BB2872">
        <w:rPr>
          <w:rFonts w:ascii="Times New Roman" w:eastAsia="Times New Roman" w:hAnsi="Times New Roman" w:cs="Times New Roman"/>
          <w:sz w:val="24"/>
          <w:szCs w:val="24"/>
        </w:rPr>
        <w:t xml:space="preserve"> </w:t>
      </w:r>
      <w:r w:rsidRPr="00BB2872">
        <w:rPr>
          <w:rFonts w:ascii="Times New Roman" w:eastAsia="Times New Roman" w:hAnsi="Times New Roman" w:cs="Times New Roman"/>
          <w:sz w:val="24"/>
          <w:szCs w:val="24"/>
        </w:rPr>
        <w:t xml:space="preserve">rate development in the EU </w:t>
      </w:r>
      <w:r w:rsidR="00473C50" w:rsidRPr="00BB2872">
        <w:rPr>
          <w:rFonts w:ascii="Times New Roman" w:eastAsia="Times New Roman" w:hAnsi="Times New Roman" w:cs="Times New Roman"/>
          <w:sz w:val="24"/>
          <w:szCs w:val="24"/>
        </w:rPr>
        <w:t>wa</w:t>
      </w:r>
      <w:r w:rsidRPr="00BB2872">
        <w:rPr>
          <w:rFonts w:ascii="Times New Roman" w:eastAsia="Times New Roman" w:hAnsi="Times New Roman" w:cs="Times New Roman"/>
          <w:sz w:val="24"/>
          <w:szCs w:val="24"/>
        </w:rPr>
        <w:t xml:space="preserve">s </w:t>
      </w:r>
      <w:r w:rsidR="00473C50" w:rsidRPr="00BB2872">
        <w:rPr>
          <w:rFonts w:ascii="Times New Roman" w:eastAsia="Times New Roman" w:hAnsi="Times New Roman" w:cs="Times New Roman"/>
          <w:sz w:val="24"/>
          <w:szCs w:val="24"/>
        </w:rPr>
        <w:t>determined using the</w:t>
      </w:r>
      <w:r w:rsidRPr="00BB2872">
        <w:rPr>
          <w:rFonts w:ascii="Times New Roman" w:eastAsia="Times New Roman" w:hAnsi="Times New Roman" w:cs="Times New Roman"/>
          <w:sz w:val="24"/>
          <w:szCs w:val="24"/>
        </w:rPr>
        <w:t xml:space="preserve"> EURIBOR. As </w:t>
      </w:r>
      <w:r w:rsidR="00473C50" w:rsidRPr="00BB2872">
        <w:rPr>
          <w:rFonts w:ascii="Times New Roman" w:eastAsia="Times New Roman" w:hAnsi="Times New Roman" w:cs="Times New Roman"/>
          <w:sz w:val="24"/>
          <w:szCs w:val="24"/>
        </w:rPr>
        <w:t xml:space="preserve">can be </w:t>
      </w:r>
      <w:r w:rsidRPr="00BB2872">
        <w:rPr>
          <w:rFonts w:ascii="Times New Roman" w:eastAsia="Times New Roman" w:hAnsi="Times New Roman" w:cs="Times New Roman"/>
          <w:sz w:val="24"/>
          <w:szCs w:val="24"/>
        </w:rPr>
        <w:t xml:space="preserve">seen in the first </w:t>
      </w:r>
      <w:r w:rsidR="00C34418" w:rsidRPr="00BB2872">
        <w:rPr>
          <w:rFonts w:ascii="Times New Roman" w:eastAsia="Times New Roman" w:hAnsi="Times New Roman" w:cs="Times New Roman"/>
          <w:sz w:val="24"/>
          <w:szCs w:val="24"/>
        </w:rPr>
        <w:t>row</w:t>
      </w:r>
      <w:r w:rsidRPr="00BB2872">
        <w:rPr>
          <w:rFonts w:ascii="Times New Roman" w:eastAsia="Times New Roman" w:hAnsi="Times New Roman" w:cs="Times New Roman"/>
          <w:sz w:val="24"/>
          <w:szCs w:val="24"/>
        </w:rPr>
        <w:t xml:space="preserve"> of matrix A, </w:t>
      </w:r>
      <w:r w:rsidR="00473C50" w:rsidRPr="00BB2872">
        <w:rPr>
          <w:rFonts w:ascii="Times New Roman" w:eastAsia="Times New Roman" w:hAnsi="Times New Roman" w:cs="Times New Roman"/>
          <w:sz w:val="24"/>
          <w:szCs w:val="24"/>
        </w:rPr>
        <w:t xml:space="preserve">the </w:t>
      </w:r>
      <w:r w:rsidRPr="00BB2872">
        <w:rPr>
          <w:rFonts w:ascii="Times New Roman" w:eastAsia="Times New Roman" w:hAnsi="Times New Roman" w:cs="Times New Roman"/>
          <w:sz w:val="24"/>
          <w:szCs w:val="24"/>
        </w:rPr>
        <w:t xml:space="preserve">EURIBOR is not </w:t>
      </w:r>
      <w:r w:rsidR="00473C50" w:rsidRPr="00BB2872">
        <w:rPr>
          <w:rFonts w:ascii="Times New Roman" w:eastAsia="Times New Roman" w:hAnsi="Times New Roman" w:cs="Times New Roman"/>
          <w:sz w:val="24"/>
          <w:szCs w:val="24"/>
        </w:rPr>
        <w:t xml:space="preserve">immediately </w:t>
      </w:r>
      <w:r w:rsidRPr="00BB2872">
        <w:rPr>
          <w:rFonts w:ascii="Times New Roman" w:eastAsia="Times New Roman" w:hAnsi="Times New Roman" w:cs="Times New Roman"/>
          <w:sz w:val="24"/>
          <w:szCs w:val="24"/>
        </w:rPr>
        <w:t xml:space="preserve">affected by any other variable in the system, but it can affect other variables, </w:t>
      </w:r>
      <w:r w:rsidR="00473C50" w:rsidRPr="00BB2872">
        <w:rPr>
          <w:rFonts w:ascii="Times New Roman" w:eastAsia="Times New Roman" w:hAnsi="Times New Roman" w:cs="Times New Roman"/>
          <w:sz w:val="24"/>
          <w:szCs w:val="24"/>
        </w:rPr>
        <w:t>as</w:t>
      </w:r>
      <w:r w:rsidRPr="00BB2872">
        <w:rPr>
          <w:rFonts w:ascii="Times New Roman" w:eastAsia="Times New Roman" w:hAnsi="Times New Roman" w:cs="Times New Roman"/>
          <w:sz w:val="24"/>
          <w:szCs w:val="24"/>
        </w:rPr>
        <w:t xml:space="preserve"> </w:t>
      </w:r>
      <w:r w:rsidR="00473C50" w:rsidRPr="00BB2872">
        <w:rPr>
          <w:rFonts w:ascii="Times New Roman" w:eastAsia="Times New Roman" w:hAnsi="Times New Roman" w:cs="Times New Roman"/>
          <w:sz w:val="24"/>
          <w:szCs w:val="24"/>
        </w:rPr>
        <w:t xml:space="preserve">indicated </w:t>
      </w:r>
      <w:r w:rsidRPr="00BB2872">
        <w:rPr>
          <w:rFonts w:ascii="Times New Roman" w:eastAsia="Times New Roman" w:hAnsi="Times New Roman" w:cs="Times New Roman"/>
          <w:sz w:val="24"/>
          <w:szCs w:val="24"/>
        </w:rPr>
        <w:t>in the first column of matrix A</w:t>
      </w:r>
      <w:r w:rsidR="00FA5C7B" w:rsidRPr="00BB2872">
        <w:rPr>
          <w:rFonts w:ascii="Times New Roman" w:eastAsia="Times New Roman" w:hAnsi="Times New Roman" w:cs="Times New Roman"/>
          <w:sz w:val="24"/>
          <w:szCs w:val="24"/>
        </w:rPr>
        <w:t xml:space="preserve">––the </w:t>
      </w:r>
      <w:r w:rsidRPr="00BB2872">
        <w:rPr>
          <w:rFonts w:ascii="Times New Roman" w:eastAsia="Times New Roman" w:hAnsi="Times New Roman" w:cs="Times New Roman"/>
          <w:sz w:val="24"/>
          <w:szCs w:val="24"/>
        </w:rPr>
        <w:t>Czech money market rate (</w:t>
      </w:r>
      <w:r w:rsidRPr="00BB2872">
        <w:rPr>
          <w:rFonts w:ascii="Times New Roman" w:eastAsia="Times New Roman" w:hAnsi="Times New Roman" w:cs="Times New Roman"/>
          <w:i/>
          <w:sz w:val="24"/>
          <w:szCs w:val="24"/>
        </w:rPr>
        <w:t>a</w:t>
      </w:r>
      <w:r w:rsidRPr="00BB2872">
        <w:rPr>
          <w:rFonts w:ascii="Times New Roman" w:eastAsia="Times New Roman" w:hAnsi="Times New Roman" w:cs="Times New Roman"/>
          <w:i/>
          <w:sz w:val="24"/>
          <w:szCs w:val="24"/>
          <w:vertAlign w:val="subscript"/>
        </w:rPr>
        <w:t>31</w:t>
      </w:r>
      <w:r w:rsidRPr="00BB2872">
        <w:rPr>
          <w:rFonts w:ascii="Times New Roman" w:eastAsia="Times New Roman" w:hAnsi="Times New Roman" w:cs="Times New Roman"/>
          <w:sz w:val="24"/>
          <w:szCs w:val="24"/>
        </w:rPr>
        <w:t xml:space="preserve">), </w:t>
      </w:r>
      <w:r w:rsidR="00FA5C7B" w:rsidRPr="00BB2872">
        <w:rPr>
          <w:rFonts w:ascii="Times New Roman" w:eastAsia="Times New Roman" w:hAnsi="Times New Roman" w:cs="Times New Roman"/>
          <w:sz w:val="24"/>
          <w:szCs w:val="24"/>
        </w:rPr>
        <w:t xml:space="preserve">as well as </w:t>
      </w:r>
      <w:r w:rsidRPr="00BB2872">
        <w:rPr>
          <w:rFonts w:ascii="Times New Roman" w:eastAsia="Times New Roman" w:hAnsi="Times New Roman" w:cs="Times New Roman"/>
          <w:sz w:val="24"/>
          <w:szCs w:val="24"/>
        </w:rPr>
        <w:t>the exchange rate (</w:t>
      </w:r>
      <w:r w:rsidRPr="00BB2872">
        <w:rPr>
          <w:rFonts w:ascii="Times New Roman" w:eastAsia="Times New Roman" w:hAnsi="Times New Roman" w:cs="Times New Roman"/>
          <w:i/>
          <w:sz w:val="24"/>
          <w:szCs w:val="24"/>
        </w:rPr>
        <w:t>a</w:t>
      </w:r>
      <w:r w:rsidRPr="00BB2872">
        <w:rPr>
          <w:rFonts w:ascii="Times New Roman" w:eastAsia="Times New Roman" w:hAnsi="Times New Roman" w:cs="Times New Roman"/>
          <w:i/>
          <w:sz w:val="24"/>
          <w:szCs w:val="24"/>
          <w:vertAlign w:val="subscript"/>
        </w:rPr>
        <w:t>51</w:t>
      </w:r>
      <w:r w:rsidRPr="00BB2872">
        <w:rPr>
          <w:rFonts w:ascii="Times New Roman" w:eastAsia="Times New Roman" w:hAnsi="Times New Roman" w:cs="Times New Roman"/>
          <w:sz w:val="24"/>
          <w:szCs w:val="24"/>
        </w:rPr>
        <w:t>) and confidence (</w:t>
      </w:r>
      <w:r w:rsidRPr="00BB2872">
        <w:rPr>
          <w:rFonts w:ascii="Times New Roman" w:eastAsia="Times New Roman" w:hAnsi="Times New Roman" w:cs="Times New Roman"/>
          <w:i/>
          <w:sz w:val="24"/>
          <w:szCs w:val="24"/>
        </w:rPr>
        <w:t>a</w:t>
      </w:r>
      <w:r w:rsidRPr="00BB2872">
        <w:rPr>
          <w:rFonts w:ascii="Times New Roman" w:eastAsia="Times New Roman" w:hAnsi="Times New Roman" w:cs="Times New Roman"/>
          <w:i/>
          <w:sz w:val="24"/>
          <w:szCs w:val="24"/>
          <w:vertAlign w:val="subscript"/>
        </w:rPr>
        <w:t>71</w:t>
      </w:r>
      <w:r w:rsidRPr="00BB2872">
        <w:rPr>
          <w:rFonts w:ascii="Times New Roman" w:eastAsia="Times New Roman" w:hAnsi="Times New Roman" w:cs="Times New Roman"/>
          <w:sz w:val="24"/>
          <w:szCs w:val="24"/>
        </w:rPr>
        <w:t xml:space="preserve">). When focusing on the effects of Czech monetary policy, we can see that it does not react immediately to the change in any other variable in the system, because the </w:t>
      </w:r>
      <w:r w:rsidRPr="00BB2872">
        <w:rPr>
          <w:rFonts w:ascii="Times New Roman" w:eastAsia="Times New Roman" w:hAnsi="Times New Roman" w:cs="Times New Roman"/>
          <w:i/>
          <w:sz w:val="24"/>
          <w:szCs w:val="24"/>
        </w:rPr>
        <w:t>MP</w:t>
      </w:r>
      <w:r w:rsidRPr="00BB2872">
        <w:rPr>
          <w:rFonts w:ascii="Times New Roman" w:eastAsia="Times New Roman" w:hAnsi="Times New Roman" w:cs="Times New Roman"/>
          <w:sz w:val="24"/>
          <w:szCs w:val="24"/>
        </w:rPr>
        <w:t xml:space="preserve"> responds to the development of inflation and </w:t>
      </w:r>
      <w:r w:rsidR="00FA5C7B" w:rsidRPr="00BB2872">
        <w:rPr>
          <w:rFonts w:ascii="Times New Roman" w:eastAsia="Times New Roman" w:hAnsi="Times New Roman" w:cs="Times New Roman"/>
          <w:sz w:val="24"/>
          <w:szCs w:val="24"/>
        </w:rPr>
        <w:t xml:space="preserve">the </w:t>
      </w:r>
      <w:r w:rsidRPr="00BB2872">
        <w:rPr>
          <w:rFonts w:ascii="Times New Roman" w:eastAsia="Times New Roman" w:hAnsi="Times New Roman" w:cs="Times New Roman"/>
          <w:sz w:val="24"/>
          <w:szCs w:val="24"/>
        </w:rPr>
        <w:t xml:space="preserve">economic situation with </w:t>
      </w:r>
      <w:r w:rsidR="00FA5C7B" w:rsidRPr="00BB2872">
        <w:rPr>
          <w:rFonts w:ascii="Times New Roman" w:eastAsia="Times New Roman" w:hAnsi="Times New Roman" w:cs="Times New Roman"/>
          <w:sz w:val="24"/>
          <w:szCs w:val="24"/>
        </w:rPr>
        <w:t xml:space="preserve">a </w:t>
      </w:r>
      <w:r w:rsidRPr="00BB2872">
        <w:rPr>
          <w:rFonts w:ascii="Times New Roman" w:eastAsia="Times New Roman" w:hAnsi="Times New Roman" w:cs="Times New Roman"/>
          <w:sz w:val="24"/>
          <w:szCs w:val="24"/>
        </w:rPr>
        <w:t xml:space="preserve">delay, not immediately. When considering the stages of </w:t>
      </w:r>
      <w:r w:rsidR="00FA5C7B" w:rsidRPr="00BB2872">
        <w:rPr>
          <w:rFonts w:ascii="Times New Roman" w:eastAsia="Times New Roman" w:hAnsi="Times New Roman" w:cs="Times New Roman"/>
          <w:sz w:val="24"/>
          <w:szCs w:val="24"/>
        </w:rPr>
        <w:t xml:space="preserve">the </w:t>
      </w:r>
      <w:r w:rsidRPr="00BB2872">
        <w:rPr>
          <w:rFonts w:ascii="Times New Roman" w:eastAsia="Times New Roman" w:hAnsi="Times New Roman" w:cs="Times New Roman"/>
          <w:sz w:val="24"/>
          <w:szCs w:val="24"/>
        </w:rPr>
        <w:t>interest</w:t>
      </w:r>
      <w:r w:rsidR="00E02BFF" w:rsidRPr="00BB2872">
        <w:rPr>
          <w:rFonts w:ascii="Times New Roman" w:eastAsia="Times New Roman" w:hAnsi="Times New Roman" w:cs="Times New Roman"/>
          <w:sz w:val="24"/>
          <w:szCs w:val="24"/>
        </w:rPr>
        <w:t xml:space="preserve"> </w:t>
      </w:r>
      <w:r w:rsidRPr="00BB2872">
        <w:rPr>
          <w:rFonts w:ascii="Times New Roman" w:eastAsia="Times New Roman" w:hAnsi="Times New Roman" w:cs="Times New Roman"/>
          <w:sz w:val="24"/>
          <w:szCs w:val="24"/>
        </w:rPr>
        <w:t xml:space="preserve">rate pass-through, changes in </w:t>
      </w:r>
      <w:r w:rsidR="00FA5C7B" w:rsidRPr="00BB2872">
        <w:rPr>
          <w:rFonts w:ascii="Times New Roman" w:eastAsia="Times New Roman" w:hAnsi="Times New Roman" w:cs="Times New Roman"/>
          <w:sz w:val="24"/>
          <w:szCs w:val="24"/>
        </w:rPr>
        <w:t xml:space="preserve">the </w:t>
      </w:r>
      <w:r w:rsidRPr="00BB2872">
        <w:rPr>
          <w:rFonts w:ascii="Times New Roman" w:eastAsia="Times New Roman" w:hAnsi="Times New Roman" w:cs="Times New Roman"/>
          <w:sz w:val="24"/>
          <w:szCs w:val="24"/>
        </w:rPr>
        <w:t xml:space="preserve">official </w:t>
      </w:r>
      <w:r w:rsidR="00FA5C7B" w:rsidRPr="00BB2872">
        <w:rPr>
          <w:rFonts w:ascii="Times New Roman" w:eastAsia="Times New Roman" w:hAnsi="Times New Roman" w:cs="Times New Roman"/>
          <w:sz w:val="24"/>
          <w:szCs w:val="24"/>
        </w:rPr>
        <w:t>r</w:t>
      </w:r>
      <w:r w:rsidRPr="00BB2872">
        <w:rPr>
          <w:rFonts w:ascii="Times New Roman" w:eastAsia="Times New Roman" w:hAnsi="Times New Roman" w:cs="Times New Roman"/>
          <w:sz w:val="24"/>
          <w:szCs w:val="24"/>
        </w:rPr>
        <w:t xml:space="preserve">epo rate should be reflected in </w:t>
      </w:r>
      <w:r w:rsidR="00FA5C7B" w:rsidRPr="00BB2872">
        <w:rPr>
          <w:rFonts w:ascii="Times New Roman" w:eastAsia="Times New Roman" w:hAnsi="Times New Roman" w:cs="Times New Roman"/>
          <w:sz w:val="24"/>
          <w:szCs w:val="24"/>
        </w:rPr>
        <w:t xml:space="preserve">the </w:t>
      </w:r>
      <w:r w:rsidRPr="00BB2872">
        <w:rPr>
          <w:rFonts w:ascii="Times New Roman" w:eastAsia="Times New Roman" w:hAnsi="Times New Roman" w:cs="Times New Roman"/>
          <w:sz w:val="24"/>
          <w:szCs w:val="24"/>
        </w:rPr>
        <w:t>PRIBOR (</w:t>
      </w:r>
      <w:r w:rsidRPr="00BB2872">
        <w:rPr>
          <w:rFonts w:ascii="Times New Roman" w:eastAsia="Times New Roman" w:hAnsi="Times New Roman" w:cs="Times New Roman"/>
          <w:i/>
          <w:sz w:val="24"/>
          <w:szCs w:val="24"/>
        </w:rPr>
        <w:t>a</w:t>
      </w:r>
      <w:r w:rsidRPr="00BB2872">
        <w:rPr>
          <w:rFonts w:ascii="Times New Roman" w:eastAsia="Times New Roman" w:hAnsi="Times New Roman" w:cs="Times New Roman"/>
          <w:i/>
          <w:sz w:val="24"/>
          <w:szCs w:val="24"/>
          <w:vertAlign w:val="subscript"/>
        </w:rPr>
        <w:t>32</w:t>
      </w:r>
      <w:r w:rsidRPr="00BB2872">
        <w:rPr>
          <w:rFonts w:ascii="Times New Roman" w:eastAsia="Times New Roman" w:hAnsi="Times New Roman" w:cs="Times New Roman"/>
          <w:sz w:val="24"/>
          <w:szCs w:val="24"/>
        </w:rPr>
        <w:t>)</w:t>
      </w:r>
      <w:r w:rsidR="00FA5C7B" w:rsidRPr="00BB2872">
        <w:rPr>
          <w:rFonts w:ascii="Times New Roman" w:eastAsia="Times New Roman" w:hAnsi="Times New Roman" w:cs="Times New Roman"/>
          <w:sz w:val="24"/>
          <w:szCs w:val="24"/>
        </w:rPr>
        <w:t xml:space="preserve"> money market rate.</w:t>
      </w:r>
      <w:r w:rsidRPr="00BB2872">
        <w:rPr>
          <w:rFonts w:ascii="Times New Roman" w:eastAsia="Times New Roman" w:hAnsi="Times New Roman" w:cs="Times New Roman"/>
          <w:sz w:val="24"/>
          <w:szCs w:val="24"/>
        </w:rPr>
        <w:t xml:space="preserve"> </w:t>
      </w:r>
      <w:r w:rsidR="00FA5C7B" w:rsidRPr="00BB2872">
        <w:rPr>
          <w:rFonts w:ascii="Times New Roman" w:eastAsia="Times New Roman" w:hAnsi="Times New Roman" w:cs="Times New Roman"/>
          <w:sz w:val="24"/>
          <w:szCs w:val="24"/>
        </w:rPr>
        <w:t>C</w:t>
      </w:r>
      <w:r w:rsidRPr="00BB2872">
        <w:rPr>
          <w:rFonts w:ascii="Times New Roman" w:eastAsia="Times New Roman" w:hAnsi="Times New Roman" w:cs="Times New Roman"/>
          <w:sz w:val="24"/>
          <w:szCs w:val="24"/>
        </w:rPr>
        <w:t>onsequently</w:t>
      </w:r>
      <w:r w:rsidR="00FA5C7B" w:rsidRPr="00BB2872">
        <w:rPr>
          <w:rFonts w:ascii="Times New Roman" w:eastAsia="Times New Roman" w:hAnsi="Times New Roman" w:cs="Times New Roman"/>
          <w:sz w:val="24"/>
          <w:szCs w:val="24"/>
        </w:rPr>
        <w:t>,</w:t>
      </w:r>
      <w:r w:rsidRPr="00BB2872">
        <w:rPr>
          <w:rFonts w:ascii="Times New Roman" w:eastAsia="Times New Roman" w:hAnsi="Times New Roman" w:cs="Times New Roman"/>
          <w:sz w:val="24"/>
          <w:szCs w:val="24"/>
        </w:rPr>
        <w:t xml:space="preserve"> the changes in </w:t>
      </w:r>
      <w:r w:rsidR="00FA5C7B" w:rsidRPr="00BB2872">
        <w:rPr>
          <w:rFonts w:ascii="Times New Roman" w:eastAsia="Times New Roman" w:hAnsi="Times New Roman" w:cs="Times New Roman"/>
          <w:sz w:val="24"/>
          <w:szCs w:val="24"/>
        </w:rPr>
        <w:t xml:space="preserve">the </w:t>
      </w:r>
      <w:r w:rsidRPr="00BB2872">
        <w:rPr>
          <w:rFonts w:ascii="Times New Roman" w:eastAsia="Times New Roman" w:hAnsi="Times New Roman" w:cs="Times New Roman"/>
          <w:sz w:val="24"/>
          <w:szCs w:val="24"/>
        </w:rPr>
        <w:t xml:space="preserve">PRIBOR should be reflected in </w:t>
      </w:r>
      <w:r w:rsidR="00FA5C7B" w:rsidRPr="00BB2872">
        <w:rPr>
          <w:rFonts w:ascii="Times New Roman" w:eastAsia="Times New Roman" w:hAnsi="Times New Roman" w:cs="Times New Roman"/>
          <w:sz w:val="24"/>
          <w:szCs w:val="24"/>
        </w:rPr>
        <w:t xml:space="preserve">the </w:t>
      </w:r>
      <w:r w:rsidRPr="00BB2872">
        <w:rPr>
          <w:rFonts w:ascii="Times New Roman" w:eastAsia="Times New Roman" w:hAnsi="Times New Roman" w:cs="Times New Roman"/>
          <w:sz w:val="24"/>
          <w:szCs w:val="24"/>
        </w:rPr>
        <w:t>commercial loan rates (</w:t>
      </w:r>
      <w:r w:rsidRPr="00BB2872">
        <w:rPr>
          <w:rFonts w:ascii="Times New Roman" w:eastAsia="Times New Roman" w:hAnsi="Times New Roman" w:cs="Times New Roman"/>
          <w:i/>
          <w:sz w:val="24"/>
          <w:szCs w:val="24"/>
        </w:rPr>
        <w:t>a</w:t>
      </w:r>
      <w:r w:rsidRPr="00BB2872">
        <w:rPr>
          <w:rFonts w:ascii="Times New Roman" w:eastAsia="Times New Roman" w:hAnsi="Times New Roman" w:cs="Times New Roman"/>
          <w:i/>
          <w:sz w:val="24"/>
          <w:szCs w:val="24"/>
          <w:vertAlign w:val="subscript"/>
        </w:rPr>
        <w:t>43</w:t>
      </w:r>
      <w:r w:rsidRPr="00BB2872">
        <w:rPr>
          <w:rFonts w:ascii="Times New Roman" w:eastAsia="Times New Roman" w:hAnsi="Times New Roman" w:cs="Times New Roman"/>
          <w:sz w:val="24"/>
          <w:szCs w:val="24"/>
        </w:rPr>
        <w:t xml:space="preserve">). In the proposed SVAR </w:t>
      </w:r>
      <w:r w:rsidRPr="00BB2872">
        <w:rPr>
          <w:rFonts w:ascii="Times New Roman" w:eastAsia="Times New Roman" w:hAnsi="Times New Roman" w:cs="Times New Roman"/>
          <w:sz w:val="24"/>
          <w:szCs w:val="24"/>
        </w:rPr>
        <w:lastRenderedPageBreak/>
        <w:t>system, commercial loan rates</w:t>
      </w:r>
      <w:r w:rsidR="00FA5C7B" w:rsidRPr="00BB2872">
        <w:rPr>
          <w:rFonts w:ascii="Times New Roman" w:eastAsia="Times New Roman" w:hAnsi="Times New Roman" w:cs="Times New Roman"/>
          <w:sz w:val="24"/>
          <w:szCs w:val="24"/>
        </w:rPr>
        <w:t xml:space="preserve">––the </w:t>
      </w:r>
      <w:proofErr w:type="spellStart"/>
      <w:r w:rsidRPr="00BB2872">
        <w:rPr>
          <w:rFonts w:ascii="Times New Roman" w:eastAsia="Times New Roman" w:hAnsi="Times New Roman" w:cs="Times New Roman"/>
          <w:i/>
          <w:sz w:val="24"/>
          <w:szCs w:val="24"/>
        </w:rPr>
        <w:t>c_rate</w:t>
      </w:r>
      <w:proofErr w:type="spellEnd"/>
      <w:r w:rsidR="00FA5C7B" w:rsidRPr="00BB2872">
        <w:rPr>
          <w:rFonts w:ascii="Times New Roman" w:eastAsia="Times New Roman" w:hAnsi="Times New Roman" w:cs="Times New Roman"/>
          <w:sz w:val="24"/>
          <w:szCs w:val="24"/>
        </w:rPr>
        <w:t>––</w:t>
      </w:r>
      <w:r w:rsidRPr="00BB2872">
        <w:rPr>
          <w:rFonts w:ascii="Times New Roman" w:eastAsia="Times New Roman" w:hAnsi="Times New Roman" w:cs="Times New Roman"/>
          <w:sz w:val="24"/>
          <w:szCs w:val="24"/>
        </w:rPr>
        <w:t xml:space="preserve">should be affected by </w:t>
      </w:r>
      <w:r w:rsidR="00FA5C7B" w:rsidRPr="00BB2872">
        <w:rPr>
          <w:rFonts w:ascii="Times New Roman" w:eastAsia="Times New Roman" w:hAnsi="Times New Roman" w:cs="Times New Roman"/>
          <w:sz w:val="24"/>
          <w:szCs w:val="24"/>
        </w:rPr>
        <w:t xml:space="preserve">the </w:t>
      </w:r>
      <w:r w:rsidRPr="00BB2872">
        <w:rPr>
          <w:rFonts w:ascii="Times New Roman" w:eastAsia="Times New Roman" w:hAnsi="Times New Roman" w:cs="Times New Roman"/>
          <w:sz w:val="24"/>
          <w:szCs w:val="24"/>
        </w:rPr>
        <w:t>PRIBOR (</w:t>
      </w:r>
      <w:r w:rsidRPr="00BB2872">
        <w:rPr>
          <w:rFonts w:ascii="Times New Roman" w:eastAsia="Times New Roman" w:hAnsi="Times New Roman" w:cs="Times New Roman"/>
          <w:i/>
          <w:sz w:val="24"/>
          <w:szCs w:val="24"/>
        </w:rPr>
        <w:t>a</w:t>
      </w:r>
      <w:r w:rsidRPr="00BB2872">
        <w:rPr>
          <w:rFonts w:ascii="Times New Roman" w:eastAsia="Times New Roman" w:hAnsi="Times New Roman" w:cs="Times New Roman"/>
          <w:i/>
          <w:sz w:val="24"/>
          <w:szCs w:val="24"/>
          <w:vertAlign w:val="subscript"/>
        </w:rPr>
        <w:t>43</w:t>
      </w:r>
      <w:r w:rsidRPr="00BB2872">
        <w:rPr>
          <w:rFonts w:ascii="Times New Roman" w:eastAsia="Times New Roman" w:hAnsi="Times New Roman" w:cs="Times New Roman"/>
          <w:sz w:val="24"/>
          <w:szCs w:val="24"/>
        </w:rPr>
        <w:t>)</w:t>
      </w:r>
      <w:r w:rsidR="00FA5C7B" w:rsidRPr="00BB2872">
        <w:rPr>
          <w:rFonts w:ascii="Times New Roman" w:eastAsia="Times New Roman" w:hAnsi="Times New Roman" w:cs="Times New Roman"/>
          <w:sz w:val="24"/>
          <w:szCs w:val="24"/>
        </w:rPr>
        <w:t xml:space="preserve"> money market rate</w:t>
      </w:r>
      <w:r w:rsidRPr="00BB2872">
        <w:rPr>
          <w:rFonts w:ascii="Times New Roman" w:eastAsia="Times New Roman" w:hAnsi="Times New Roman" w:cs="Times New Roman"/>
          <w:sz w:val="24"/>
          <w:szCs w:val="24"/>
        </w:rPr>
        <w:t>, price development (</w:t>
      </w:r>
      <w:r w:rsidRPr="00BB2872">
        <w:rPr>
          <w:rFonts w:ascii="Times New Roman" w:eastAsia="Times New Roman" w:hAnsi="Times New Roman" w:cs="Times New Roman"/>
          <w:i/>
          <w:sz w:val="24"/>
          <w:szCs w:val="24"/>
        </w:rPr>
        <w:t>a</w:t>
      </w:r>
      <w:r w:rsidRPr="00BB2872">
        <w:rPr>
          <w:rFonts w:ascii="Times New Roman" w:eastAsia="Times New Roman" w:hAnsi="Times New Roman" w:cs="Times New Roman"/>
          <w:i/>
          <w:sz w:val="24"/>
          <w:szCs w:val="24"/>
          <w:vertAlign w:val="subscript"/>
        </w:rPr>
        <w:t>46</w:t>
      </w:r>
      <w:r w:rsidRPr="00BB2872">
        <w:rPr>
          <w:rFonts w:ascii="Times New Roman" w:eastAsia="Times New Roman" w:hAnsi="Times New Roman" w:cs="Times New Roman"/>
          <w:sz w:val="24"/>
          <w:szCs w:val="24"/>
        </w:rPr>
        <w:t>) and confidence (</w:t>
      </w:r>
      <w:r w:rsidRPr="00BB2872">
        <w:rPr>
          <w:rFonts w:ascii="Times New Roman" w:eastAsia="Times New Roman" w:hAnsi="Times New Roman" w:cs="Times New Roman"/>
          <w:i/>
          <w:sz w:val="24"/>
          <w:szCs w:val="24"/>
        </w:rPr>
        <w:t>a</w:t>
      </w:r>
      <w:r w:rsidRPr="00BB2872">
        <w:rPr>
          <w:rFonts w:ascii="Times New Roman" w:eastAsia="Times New Roman" w:hAnsi="Times New Roman" w:cs="Times New Roman"/>
          <w:i/>
          <w:sz w:val="24"/>
          <w:szCs w:val="24"/>
          <w:vertAlign w:val="subscript"/>
        </w:rPr>
        <w:t>47</w:t>
      </w:r>
      <w:r w:rsidRPr="00BB2872">
        <w:rPr>
          <w:rFonts w:ascii="Times New Roman" w:eastAsia="Times New Roman" w:hAnsi="Times New Roman" w:cs="Times New Roman"/>
          <w:sz w:val="24"/>
          <w:szCs w:val="24"/>
        </w:rPr>
        <w:t xml:space="preserve">). </w:t>
      </w:r>
    </w:p>
    <w:p w14:paraId="00000030" w14:textId="275B666E" w:rsidR="00345220" w:rsidRPr="00BB2872" w:rsidRDefault="00D45E73">
      <w:pPr>
        <w:spacing w:after="0" w:line="480" w:lineRule="auto"/>
        <w:ind w:firstLine="720"/>
        <w:rPr>
          <w:rFonts w:ascii="Times New Roman" w:eastAsia="Times New Roman" w:hAnsi="Times New Roman" w:cs="Times New Roman"/>
          <w:sz w:val="24"/>
          <w:szCs w:val="24"/>
        </w:rPr>
      </w:pPr>
      <w:r w:rsidRPr="00BB2872">
        <w:rPr>
          <w:rFonts w:ascii="Times New Roman" w:eastAsia="Times New Roman" w:hAnsi="Times New Roman" w:cs="Times New Roman"/>
          <w:sz w:val="24"/>
          <w:szCs w:val="24"/>
        </w:rPr>
        <w:t xml:space="preserve">Because of </w:t>
      </w:r>
      <w:r w:rsidR="00FA5C7B" w:rsidRPr="00BB2872">
        <w:rPr>
          <w:rFonts w:ascii="Times New Roman" w:eastAsia="Times New Roman" w:hAnsi="Times New Roman" w:cs="Times New Roman"/>
          <w:sz w:val="24"/>
          <w:szCs w:val="24"/>
        </w:rPr>
        <w:t>the</w:t>
      </w:r>
      <w:r w:rsidRPr="00BB2872">
        <w:rPr>
          <w:rFonts w:ascii="Times New Roman" w:eastAsia="Times New Roman" w:hAnsi="Times New Roman" w:cs="Times New Roman"/>
          <w:sz w:val="24"/>
          <w:szCs w:val="24"/>
        </w:rPr>
        <w:t xml:space="preserve"> multivariate nature of </w:t>
      </w:r>
      <w:r w:rsidR="00FA5C7B" w:rsidRPr="00BB2872">
        <w:rPr>
          <w:rFonts w:ascii="Times New Roman" w:eastAsia="Times New Roman" w:hAnsi="Times New Roman" w:cs="Times New Roman"/>
          <w:sz w:val="24"/>
          <w:szCs w:val="24"/>
        </w:rPr>
        <w:t xml:space="preserve">the </w:t>
      </w:r>
      <w:r w:rsidRPr="00BB2872">
        <w:rPr>
          <w:rFonts w:ascii="Times New Roman" w:eastAsia="Times New Roman" w:hAnsi="Times New Roman" w:cs="Times New Roman"/>
          <w:sz w:val="24"/>
          <w:szCs w:val="24"/>
        </w:rPr>
        <w:t>VAR and consequent SVAR models, impulse response functions (IRFs)</w:t>
      </w:r>
      <w:r w:rsidR="00FA5C7B" w:rsidRPr="00BB2872">
        <w:rPr>
          <w:rFonts w:ascii="Times New Roman" w:eastAsia="Times New Roman" w:hAnsi="Times New Roman" w:cs="Times New Roman"/>
          <w:sz w:val="24"/>
          <w:szCs w:val="24"/>
        </w:rPr>
        <w:t>,</w:t>
      </w:r>
      <w:r w:rsidRPr="00BB2872">
        <w:rPr>
          <w:rFonts w:ascii="Times New Roman" w:eastAsia="Times New Roman" w:hAnsi="Times New Roman" w:cs="Times New Roman"/>
          <w:sz w:val="24"/>
          <w:szCs w:val="24"/>
        </w:rPr>
        <w:t xml:space="preserve"> using structural decomposition</w:t>
      </w:r>
      <w:r w:rsidR="00FA5C7B" w:rsidRPr="00BB2872">
        <w:rPr>
          <w:rFonts w:ascii="Times New Roman" w:eastAsia="Times New Roman" w:hAnsi="Times New Roman" w:cs="Times New Roman"/>
          <w:sz w:val="24"/>
          <w:szCs w:val="24"/>
        </w:rPr>
        <w:t>,</w:t>
      </w:r>
      <w:r w:rsidRPr="00BB2872">
        <w:rPr>
          <w:rFonts w:ascii="Times New Roman" w:eastAsia="Times New Roman" w:hAnsi="Times New Roman" w:cs="Times New Roman"/>
          <w:sz w:val="24"/>
          <w:szCs w:val="24"/>
        </w:rPr>
        <w:t xml:space="preserve"> are employed </w:t>
      </w:r>
      <w:r w:rsidR="00FA5C7B" w:rsidRPr="00BB2872">
        <w:rPr>
          <w:rFonts w:ascii="Times New Roman" w:eastAsia="Times New Roman" w:hAnsi="Times New Roman" w:cs="Times New Roman"/>
          <w:sz w:val="24"/>
          <w:szCs w:val="24"/>
        </w:rPr>
        <w:t xml:space="preserve">as standard </w:t>
      </w:r>
      <w:r w:rsidRPr="00BB2872">
        <w:rPr>
          <w:rFonts w:ascii="Times New Roman" w:eastAsia="Times New Roman" w:hAnsi="Times New Roman" w:cs="Times New Roman"/>
          <w:sz w:val="24"/>
          <w:szCs w:val="24"/>
        </w:rPr>
        <w:t xml:space="preserve">for the interpretation of the results. We </w:t>
      </w:r>
      <w:r w:rsidR="00FA5C7B" w:rsidRPr="00BB2872">
        <w:rPr>
          <w:rFonts w:ascii="Times New Roman" w:eastAsia="Times New Roman" w:hAnsi="Times New Roman" w:cs="Times New Roman"/>
          <w:sz w:val="24"/>
          <w:szCs w:val="24"/>
        </w:rPr>
        <w:t xml:space="preserve">have </w:t>
      </w:r>
      <w:r w:rsidRPr="00BB2872">
        <w:rPr>
          <w:rFonts w:ascii="Times New Roman" w:eastAsia="Times New Roman" w:hAnsi="Times New Roman" w:cs="Times New Roman"/>
          <w:sz w:val="24"/>
          <w:szCs w:val="24"/>
        </w:rPr>
        <w:t>also provide</w:t>
      </w:r>
      <w:r w:rsidR="00FA5C7B" w:rsidRPr="00BB2872">
        <w:rPr>
          <w:rFonts w:ascii="Times New Roman" w:eastAsia="Times New Roman" w:hAnsi="Times New Roman" w:cs="Times New Roman"/>
          <w:sz w:val="24"/>
          <w:szCs w:val="24"/>
        </w:rPr>
        <w:t>d</w:t>
      </w:r>
      <w:r w:rsidRPr="00BB2872">
        <w:rPr>
          <w:rFonts w:ascii="Times New Roman" w:eastAsia="Times New Roman" w:hAnsi="Times New Roman" w:cs="Times New Roman"/>
          <w:sz w:val="24"/>
          <w:szCs w:val="24"/>
        </w:rPr>
        <w:t xml:space="preserve"> results on </w:t>
      </w:r>
      <w:r w:rsidR="00FA5C7B" w:rsidRPr="00BB2872">
        <w:rPr>
          <w:rFonts w:ascii="Times New Roman" w:eastAsia="Times New Roman" w:hAnsi="Times New Roman" w:cs="Times New Roman"/>
          <w:sz w:val="24"/>
          <w:szCs w:val="24"/>
        </w:rPr>
        <w:t xml:space="preserve">the </w:t>
      </w:r>
      <w:r w:rsidRPr="00BB2872">
        <w:rPr>
          <w:rFonts w:ascii="Times New Roman" w:eastAsia="Times New Roman" w:hAnsi="Times New Roman" w:cs="Times New Roman"/>
          <w:sz w:val="24"/>
          <w:szCs w:val="24"/>
        </w:rPr>
        <w:t>structural variance decomposition (SVD)</w:t>
      </w:r>
      <w:r w:rsidR="00FA5C7B" w:rsidRPr="00BB2872">
        <w:rPr>
          <w:rFonts w:ascii="Times New Roman" w:eastAsia="Times New Roman" w:hAnsi="Times New Roman" w:cs="Times New Roman"/>
          <w:sz w:val="24"/>
          <w:szCs w:val="24"/>
        </w:rPr>
        <w:t>,</w:t>
      </w:r>
      <w:r w:rsidRPr="00BB2872">
        <w:rPr>
          <w:rFonts w:ascii="Times New Roman" w:eastAsia="Times New Roman" w:hAnsi="Times New Roman" w:cs="Times New Roman"/>
          <w:sz w:val="24"/>
          <w:szCs w:val="24"/>
        </w:rPr>
        <w:t xml:space="preserve"> which allow</w:t>
      </w:r>
      <w:r w:rsidR="00FA5C7B" w:rsidRPr="00BB2872">
        <w:rPr>
          <w:rFonts w:ascii="Times New Roman" w:eastAsia="Times New Roman" w:hAnsi="Times New Roman" w:cs="Times New Roman"/>
          <w:sz w:val="24"/>
          <w:szCs w:val="24"/>
        </w:rPr>
        <w:t>ed</w:t>
      </w:r>
      <w:r w:rsidRPr="00BB2872">
        <w:rPr>
          <w:rFonts w:ascii="Times New Roman" w:eastAsia="Times New Roman" w:hAnsi="Times New Roman" w:cs="Times New Roman"/>
          <w:sz w:val="24"/>
          <w:szCs w:val="24"/>
        </w:rPr>
        <w:t xml:space="preserve"> us to determine how each structural shock contributed to the total variance during different monetary policy stances for lags of one, three, six and nine months.</w:t>
      </w:r>
    </w:p>
    <w:p w14:paraId="00000031" w14:textId="05415254" w:rsidR="00345220" w:rsidRPr="00BB2872" w:rsidRDefault="00D45E73">
      <w:pPr>
        <w:pStyle w:val="Nadpis1"/>
      </w:pPr>
      <w:r w:rsidRPr="00BB2872">
        <w:t xml:space="preserve">5 Empirical </w:t>
      </w:r>
      <w:r w:rsidR="005571BC" w:rsidRPr="00BB2872">
        <w:t>r</w:t>
      </w:r>
      <w:r w:rsidRPr="00BB2872">
        <w:t xml:space="preserve">esults and </w:t>
      </w:r>
      <w:r w:rsidR="005571BC" w:rsidRPr="00BB2872">
        <w:t>d</w:t>
      </w:r>
      <w:r w:rsidRPr="00BB2872">
        <w:t>iscussion</w:t>
      </w:r>
    </w:p>
    <w:p w14:paraId="00000032" w14:textId="0177750A" w:rsidR="00345220" w:rsidRPr="00BB2872" w:rsidRDefault="00D45E73">
      <w:pPr>
        <w:widowControl w:val="0"/>
        <w:spacing w:before="240" w:after="0" w:line="480" w:lineRule="auto"/>
        <w:rPr>
          <w:rFonts w:ascii="Times New Roman" w:eastAsia="Times New Roman" w:hAnsi="Times New Roman" w:cs="Times New Roman"/>
          <w:sz w:val="24"/>
          <w:szCs w:val="24"/>
        </w:rPr>
      </w:pPr>
      <w:r w:rsidRPr="00BB2872">
        <w:rPr>
          <w:rFonts w:ascii="Times New Roman" w:eastAsia="Times New Roman" w:hAnsi="Times New Roman" w:cs="Times New Roman"/>
          <w:sz w:val="24"/>
          <w:szCs w:val="24"/>
        </w:rPr>
        <w:t xml:space="preserve">Prior to the estimation of </w:t>
      </w:r>
      <w:r w:rsidR="001C3B2F" w:rsidRPr="00BB2872">
        <w:rPr>
          <w:rFonts w:ascii="Times New Roman" w:eastAsia="Times New Roman" w:hAnsi="Times New Roman" w:cs="Times New Roman"/>
          <w:sz w:val="24"/>
          <w:szCs w:val="24"/>
        </w:rPr>
        <w:t xml:space="preserve">the </w:t>
      </w:r>
      <w:r w:rsidRPr="00BB2872">
        <w:rPr>
          <w:rFonts w:ascii="Times New Roman" w:eastAsia="Times New Roman" w:hAnsi="Times New Roman" w:cs="Times New Roman"/>
          <w:sz w:val="24"/>
          <w:szCs w:val="24"/>
        </w:rPr>
        <w:t xml:space="preserve">responsiveness of individual interest rates in </w:t>
      </w:r>
      <w:r w:rsidR="001C3B2F" w:rsidRPr="00BB2872">
        <w:rPr>
          <w:rFonts w:ascii="Times New Roman" w:eastAsia="Times New Roman" w:hAnsi="Times New Roman" w:cs="Times New Roman"/>
          <w:sz w:val="24"/>
          <w:szCs w:val="24"/>
        </w:rPr>
        <w:t xml:space="preserve">the </w:t>
      </w:r>
      <w:r w:rsidRPr="00BB2872">
        <w:rPr>
          <w:rFonts w:ascii="Times New Roman" w:eastAsia="Times New Roman" w:hAnsi="Times New Roman" w:cs="Times New Roman"/>
          <w:sz w:val="24"/>
          <w:szCs w:val="24"/>
        </w:rPr>
        <w:t xml:space="preserve">SVAR models, the results of tests for over-identifying restrictions </w:t>
      </w:r>
      <w:r w:rsidR="001C3B2F" w:rsidRPr="00BB2872">
        <w:rPr>
          <w:rFonts w:ascii="Times New Roman" w:eastAsia="Times New Roman" w:hAnsi="Times New Roman" w:cs="Times New Roman"/>
          <w:sz w:val="24"/>
          <w:szCs w:val="24"/>
        </w:rPr>
        <w:t>we</w:t>
      </w:r>
      <w:r w:rsidRPr="00BB2872">
        <w:rPr>
          <w:rFonts w:ascii="Times New Roman" w:eastAsia="Times New Roman" w:hAnsi="Times New Roman" w:cs="Times New Roman"/>
          <w:sz w:val="24"/>
          <w:szCs w:val="24"/>
        </w:rPr>
        <w:t xml:space="preserve">re </w:t>
      </w:r>
      <w:r w:rsidR="001C3B2F" w:rsidRPr="00BB2872">
        <w:rPr>
          <w:rFonts w:ascii="Times New Roman" w:eastAsia="Times New Roman" w:hAnsi="Times New Roman" w:cs="Times New Roman"/>
          <w:sz w:val="24"/>
          <w:szCs w:val="24"/>
        </w:rPr>
        <w:t>tabulated</w:t>
      </w:r>
      <w:r w:rsidRPr="00BB2872">
        <w:rPr>
          <w:rFonts w:ascii="Times New Roman" w:eastAsia="Times New Roman" w:hAnsi="Times New Roman" w:cs="Times New Roman"/>
          <w:sz w:val="24"/>
          <w:szCs w:val="24"/>
        </w:rPr>
        <w:t xml:space="preserve"> </w:t>
      </w:r>
      <w:r w:rsidR="001C3B2F" w:rsidRPr="00BB2872">
        <w:rPr>
          <w:rFonts w:ascii="Times New Roman" w:eastAsia="Times New Roman" w:hAnsi="Times New Roman" w:cs="Times New Roman"/>
          <w:sz w:val="24"/>
          <w:szCs w:val="24"/>
        </w:rPr>
        <w:t>(</w:t>
      </w:r>
      <w:r w:rsidRPr="00BB2872">
        <w:rPr>
          <w:rFonts w:ascii="Times New Roman" w:eastAsia="Times New Roman" w:hAnsi="Times New Roman" w:cs="Times New Roman"/>
          <w:sz w:val="24"/>
          <w:szCs w:val="24"/>
        </w:rPr>
        <w:t>Table 1</w:t>
      </w:r>
      <w:r w:rsidR="001C3B2F" w:rsidRPr="00BB2872">
        <w:rPr>
          <w:rFonts w:ascii="Times New Roman" w:eastAsia="Times New Roman" w:hAnsi="Times New Roman" w:cs="Times New Roman"/>
          <w:sz w:val="24"/>
          <w:szCs w:val="24"/>
        </w:rPr>
        <w:t>)</w:t>
      </w:r>
      <w:r w:rsidRPr="00BB2872">
        <w:rPr>
          <w:rFonts w:ascii="Times New Roman" w:eastAsia="Times New Roman" w:hAnsi="Times New Roman" w:cs="Times New Roman"/>
          <w:sz w:val="24"/>
          <w:szCs w:val="24"/>
        </w:rPr>
        <w:t xml:space="preserve">. The null hypothesis that all restrictions are valid </w:t>
      </w:r>
      <w:r w:rsidR="001C3B2F" w:rsidRPr="00BB2872">
        <w:rPr>
          <w:rFonts w:ascii="Times New Roman" w:eastAsia="Times New Roman" w:hAnsi="Times New Roman" w:cs="Times New Roman"/>
          <w:sz w:val="24"/>
          <w:szCs w:val="24"/>
        </w:rPr>
        <w:t>wa</w:t>
      </w:r>
      <w:r w:rsidRPr="00BB2872">
        <w:rPr>
          <w:rFonts w:ascii="Times New Roman" w:eastAsia="Times New Roman" w:hAnsi="Times New Roman" w:cs="Times New Roman"/>
          <w:sz w:val="24"/>
          <w:szCs w:val="24"/>
        </w:rPr>
        <w:t xml:space="preserve">s tested. The likelihood ratio tests </w:t>
      </w:r>
      <w:r w:rsidR="001C3B2F" w:rsidRPr="00BB2872">
        <w:rPr>
          <w:rFonts w:ascii="Times New Roman" w:eastAsia="Times New Roman" w:hAnsi="Times New Roman" w:cs="Times New Roman"/>
          <w:sz w:val="24"/>
          <w:szCs w:val="24"/>
        </w:rPr>
        <w:t>did</w:t>
      </w:r>
      <w:r w:rsidRPr="00BB2872">
        <w:rPr>
          <w:rFonts w:ascii="Times New Roman" w:eastAsia="Times New Roman" w:hAnsi="Times New Roman" w:cs="Times New Roman"/>
          <w:sz w:val="24"/>
          <w:szCs w:val="24"/>
        </w:rPr>
        <w:t xml:space="preserve"> not reject the over-identified models for most of the cases at </w:t>
      </w:r>
      <w:r w:rsidR="001C3B2F" w:rsidRPr="00BB2872">
        <w:rPr>
          <w:rFonts w:ascii="Times New Roman" w:eastAsia="Times New Roman" w:hAnsi="Times New Roman" w:cs="Times New Roman"/>
          <w:sz w:val="24"/>
          <w:szCs w:val="24"/>
        </w:rPr>
        <w:t xml:space="preserve">the </w:t>
      </w:r>
      <w:r w:rsidRPr="00BB2872">
        <w:rPr>
          <w:rFonts w:ascii="Times New Roman" w:eastAsia="Times New Roman" w:hAnsi="Times New Roman" w:cs="Times New Roman"/>
          <w:sz w:val="24"/>
          <w:szCs w:val="24"/>
        </w:rPr>
        <w:t xml:space="preserve">5% level, showing that the imposed restrictions were valid. The null was rejected for all rates for the second period, which pointed to changes in the functioning of </w:t>
      </w:r>
      <w:r w:rsidR="001C3B2F" w:rsidRPr="00BB2872">
        <w:rPr>
          <w:rFonts w:ascii="Times New Roman" w:eastAsia="Times New Roman" w:hAnsi="Times New Roman" w:cs="Times New Roman"/>
          <w:sz w:val="24"/>
          <w:szCs w:val="24"/>
        </w:rPr>
        <w:t xml:space="preserve">the </w:t>
      </w:r>
      <w:r w:rsidRPr="00BB2872">
        <w:rPr>
          <w:rFonts w:ascii="Times New Roman" w:eastAsia="Times New Roman" w:hAnsi="Times New Roman" w:cs="Times New Roman"/>
          <w:sz w:val="24"/>
          <w:szCs w:val="24"/>
        </w:rPr>
        <w:t>pass-through. It was also rejected for rate on corporate loans over 30 mil</w:t>
      </w:r>
      <w:r w:rsidR="001C3B2F" w:rsidRPr="00BB2872">
        <w:rPr>
          <w:rFonts w:ascii="Times New Roman" w:eastAsia="Times New Roman" w:hAnsi="Times New Roman" w:cs="Times New Roman"/>
          <w:sz w:val="24"/>
          <w:szCs w:val="24"/>
        </w:rPr>
        <w:t>lion</w:t>
      </w:r>
      <w:r w:rsidRPr="00BB2872">
        <w:rPr>
          <w:rFonts w:ascii="Times New Roman" w:eastAsia="Times New Roman" w:hAnsi="Times New Roman" w:cs="Times New Roman"/>
          <w:sz w:val="24"/>
          <w:szCs w:val="24"/>
        </w:rPr>
        <w:t xml:space="preserve"> CZK in the fourth period</w:t>
      </w:r>
      <w:r w:rsidR="001C3B2F" w:rsidRPr="00BB2872">
        <w:rPr>
          <w:rFonts w:ascii="Times New Roman" w:eastAsia="Times New Roman" w:hAnsi="Times New Roman" w:cs="Times New Roman"/>
          <w:sz w:val="24"/>
          <w:szCs w:val="24"/>
        </w:rPr>
        <w:t>,</w:t>
      </w:r>
      <w:r w:rsidRPr="00BB2872">
        <w:rPr>
          <w:rFonts w:ascii="Times New Roman" w:eastAsia="Times New Roman" w:hAnsi="Times New Roman" w:cs="Times New Roman"/>
          <w:sz w:val="24"/>
          <w:szCs w:val="24"/>
        </w:rPr>
        <w:t xml:space="preserve"> and rate on consumer loans in </w:t>
      </w:r>
      <w:r w:rsidR="001C3B2F" w:rsidRPr="00BB2872">
        <w:rPr>
          <w:rFonts w:ascii="Times New Roman" w:eastAsia="Times New Roman" w:hAnsi="Times New Roman" w:cs="Times New Roman"/>
          <w:sz w:val="24"/>
          <w:szCs w:val="24"/>
        </w:rPr>
        <w:t xml:space="preserve">the </w:t>
      </w:r>
      <w:r w:rsidRPr="00BB2872">
        <w:rPr>
          <w:rFonts w:ascii="Times New Roman" w:eastAsia="Times New Roman" w:hAnsi="Times New Roman" w:cs="Times New Roman"/>
          <w:sz w:val="24"/>
          <w:szCs w:val="24"/>
        </w:rPr>
        <w:t xml:space="preserve">first and </w:t>
      </w:r>
      <w:r w:rsidR="00686F2C" w:rsidRPr="00BB2872">
        <w:rPr>
          <w:rFonts w:ascii="Times New Roman" w:eastAsia="Times New Roman" w:hAnsi="Times New Roman" w:cs="Times New Roman"/>
          <w:sz w:val="24"/>
          <w:szCs w:val="24"/>
        </w:rPr>
        <w:t>fourth</w:t>
      </w:r>
      <w:r w:rsidRPr="00BB2872">
        <w:rPr>
          <w:rFonts w:ascii="Times New Roman" w:eastAsia="Times New Roman" w:hAnsi="Times New Roman" w:cs="Times New Roman"/>
          <w:sz w:val="24"/>
          <w:szCs w:val="24"/>
        </w:rPr>
        <w:t xml:space="preserve"> period</w:t>
      </w:r>
      <w:r w:rsidR="001C3B2F" w:rsidRPr="00BB2872">
        <w:rPr>
          <w:rFonts w:ascii="Times New Roman" w:eastAsia="Times New Roman" w:hAnsi="Times New Roman" w:cs="Times New Roman"/>
          <w:sz w:val="24"/>
          <w:szCs w:val="24"/>
        </w:rPr>
        <w:t>s</w:t>
      </w:r>
      <w:r w:rsidRPr="00BB2872">
        <w:rPr>
          <w:rFonts w:ascii="Times New Roman" w:eastAsia="Times New Roman" w:hAnsi="Times New Roman" w:cs="Times New Roman"/>
          <w:sz w:val="24"/>
          <w:szCs w:val="24"/>
        </w:rPr>
        <w:t>. Next</w:t>
      </w:r>
      <w:r w:rsidR="001C3B2F" w:rsidRPr="00BB2872">
        <w:rPr>
          <w:rFonts w:ascii="Times New Roman" w:eastAsia="Times New Roman" w:hAnsi="Times New Roman" w:cs="Times New Roman"/>
          <w:sz w:val="24"/>
          <w:szCs w:val="24"/>
        </w:rPr>
        <w:t xml:space="preserve">, the </w:t>
      </w:r>
      <w:r w:rsidRPr="00BB2872">
        <w:rPr>
          <w:rFonts w:ascii="Times New Roman" w:eastAsia="Times New Roman" w:hAnsi="Times New Roman" w:cs="Times New Roman"/>
          <w:sz w:val="24"/>
          <w:szCs w:val="24"/>
        </w:rPr>
        <w:t xml:space="preserve">sub-chapters bring more information on the pass-through to corporate and household loan rates.  </w:t>
      </w:r>
    </w:p>
    <w:p w14:paraId="00000033" w14:textId="77777777" w:rsidR="00345220" w:rsidRPr="00BB2872" w:rsidRDefault="00345220"/>
    <w:p w14:paraId="00000034" w14:textId="4BB91E16" w:rsidR="00345220" w:rsidRPr="00BB2872" w:rsidRDefault="00D45E73">
      <w:pPr>
        <w:spacing w:before="120" w:after="120"/>
        <w:jc w:val="both"/>
        <w:rPr>
          <w:rFonts w:ascii="Times New Roman" w:eastAsia="Times New Roman" w:hAnsi="Times New Roman" w:cs="Times New Roman"/>
          <w:sz w:val="24"/>
          <w:szCs w:val="24"/>
        </w:rPr>
      </w:pPr>
      <w:r w:rsidRPr="00BB2872">
        <w:rPr>
          <w:rFonts w:ascii="Times New Roman" w:eastAsia="Times New Roman" w:hAnsi="Times New Roman" w:cs="Times New Roman"/>
          <w:sz w:val="24"/>
          <w:szCs w:val="24"/>
        </w:rPr>
        <w:t xml:space="preserve">Table 1. Results of </w:t>
      </w:r>
      <w:r w:rsidR="00287EA1" w:rsidRPr="00BB2872">
        <w:rPr>
          <w:rFonts w:ascii="Times New Roman" w:eastAsia="Times New Roman" w:hAnsi="Times New Roman" w:cs="Times New Roman"/>
          <w:sz w:val="24"/>
          <w:szCs w:val="24"/>
        </w:rPr>
        <w:t xml:space="preserve">the </w:t>
      </w:r>
      <w:r w:rsidRPr="00BB2872">
        <w:rPr>
          <w:rFonts w:ascii="Times New Roman" w:eastAsia="Times New Roman" w:hAnsi="Times New Roman" w:cs="Times New Roman"/>
          <w:sz w:val="24"/>
          <w:szCs w:val="24"/>
        </w:rPr>
        <w:t>LR tests for over-identifying restrictions</w:t>
      </w:r>
    </w:p>
    <w:p w14:paraId="00000035" w14:textId="77777777" w:rsidR="00345220" w:rsidRPr="00BB2872" w:rsidRDefault="00345220"/>
    <w:p w14:paraId="00000036" w14:textId="2553591E" w:rsidR="00345220" w:rsidRPr="00BB2872" w:rsidRDefault="00D45E73">
      <w:pPr>
        <w:widowControl w:val="0"/>
        <w:spacing w:before="240" w:after="0" w:line="480" w:lineRule="auto"/>
        <w:rPr>
          <w:rFonts w:ascii="Times New Roman" w:eastAsia="Times New Roman" w:hAnsi="Times New Roman" w:cs="Times New Roman"/>
          <w:sz w:val="24"/>
          <w:szCs w:val="24"/>
        </w:rPr>
      </w:pPr>
      <w:r w:rsidRPr="00BB2872">
        <w:rPr>
          <w:rFonts w:ascii="Times New Roman" w:eastAsia="Times New Roman" w:hAnsi="Times New Roman" w:cs="Times New Roman"/>
          <w:sz w:val="24"/>
          <w:szCs w:val="24"/>
        </w:rPr>
        <w:t xml:space="preserve">The results of </w:t>
      </w:r>
      <w:r w:rsidR="00287EA1" w:rsidRPr="00BB2872">
        <w:rPr>
          <w:rFonts w:ascii="Times New Roman" w:eastAsia="Times New Roman" w:hAnsi="Times New Roman" w:cs="Times New Roman"/>
          <w:sz w:val="24"/>
          <w:szCs w:val="24"/>
        </w:rPr>
        <w:t xml:space="preserve">the </w:t>
      </w:r>
      <w:r w:rsidRPr="00BB2872">
        <w:rPr>
          <w:rFonts w:ascii="Times New Roman" w:eastAsia="Times New Roman" w:hAnsi="Times New Roman" w:cs="Times New Roman"/>
          <w:sz w:val="24"/>
          <w:szCs w:val="24"/>
        </w:rPr>
        <w:t xml:space="preserve">IRFs and SVDs are provided </w:t>
      </w:r>
      <w:r w:rsidR="00287EA1" w:rsidRPr="00BB2872">
        <w:rPr>
          <w:rFonts w:ascii="Times New Roman" w:eastAsia="Times New Roman" w:hAnsi="Times New Roman" w:cs="Times New Roman"/>
          <w:sz w:val="24"/>
          <w:szCs w:val="24"/>
        </w:rPr>
        <w:t xml:space="preserve">to illustrate </w:t>
      </w:r>
      <w:r w:rsidRPr="00BB2872">
        <w:rPr>
          <w:rFonts w:ascii="Times New Roman" w:eastAsia="Times New Roman" w:hAnsi="Times New Roman" w:cs="Times New Roman"/>
          <w:sz w:val="24"/>
          <w:szCs w:val="24"/>
        </w:rPr>
        <w:t xml:space="preserve">the effect of </w:t>
      </w:r>
      <w:r w:rsidR="00287EA1" w:rsidRPr="00BB2872">
        <w:rPr>
          <w:rFonts w:ascii="Times New Roman" w:eastAsia="Times New Roman" w:hAnsi="Times New Roman" w:cs="Times New Roman"/>
          <w:sz w:val="24"/>
          <w:szCs w:val="24"/>
        </w:rPr>
        <w:t xml:space="preserve">the </w:t>
      </w:r>
      <w:r w:rsidRPr="00BB2872">
        <w:rPr>
          <w:rFonts w:ascii="Times New Roman" w:eastAsia="Times New Roman" w:hAnsi="Times New Roman" w:cs="Times New Roman"/>
          <w:sz w:val="24"/>
          <w:szCs w:val="24"/>
        </w:rPr>
        <w:t xml:space="preserve">EURIBOR on </w:t>
      </w:r>
      <w:r w:rsidR="00287EA1" w:rsidRPr="00BB2872">
        <w:rPr>
          <w:rFonts w:ascii="Times New Roman" w:eastAsia="Times New Roman" w:hAnsi="Times New Roman" w:cs="Times New Roman"/>
          <w:sz w:val="24"/>
          <w:szCs w:val="24"/>
        </w:rPr>
        <w:t xml:space="preserve">the </w:t>
      </w:r>
      <w:r w:rsidRPr="00BB2872">
        <w:rPr>
          <w:rFonts w:ascii="Times New Roman" w:eastAsia="Times New Roman" w:hAnsi="Times New Roman" w:cs="Times New Roman"/>
          <w:sz w:val="24"/>
          <w:szCs w:val="24"/>
        </w:rPr>
        <w:t>PRIBOR first</w:t>
      </w:r>
      <w:r w:rsidR="00287EA1" w:rsidRPr="00BB2872">
        <w:rPr>
          <w:rFonts w:ascii="Times New Roman" w:eastAsia="Times New Roman" w:hAnsi="Times New Roman" w:cs="Times New Roman"/>
          <w:sz w:val="24"/>
          <w:szCs w:val="24"/>
        </w:rPr>
        <w:t>,</w:t>
      </w:r>
      <w:r w:rsidRPr="00BB2872">
        <w:rPr>
          <w:rFonts w:ascii="Times New Roman" w:eastAsia="Times New Roman" w:hAnsi="Times New Roman" w:cs="Times New Roman"/>
          <w:sz w:val="24"/>
          <w:szCs w:val="24"/>
        </w:rPr>
        <w:t xml:space="preserve"> and then for individual parts of the interest</w:t>
      </w:r>
      <w:r w:rsidR="00E02BFF" w:rsidRPr="00BB2872">
        <w:rPr>
          <w:rFonts w:ascii="Times New Roman" w:eastAsia="Times New Roman" w:hAnsi="Times New Roman" w:cs="Times New Roman"/>
          <w:sz w:val="24"/>
          <w:szCs w:val="24"/>
        </w:rPr>
        <w:t xml:space="preserve"> </w:t>
      </w:r>
      <w:r w:rsidRPr="00BB2872">
        <w:rPr>
          <w:rFonts w:ascii="Times New Roman" w:eastAsia="Times New Roman" w:hAnsi="Times New Roman" w:cs="Times New Roman"/>
          <w:sz w:val="24"/>
          <w:szCs w:val="24"/>
        </w:rPr>
        <w:t>rate pass-through</w:t>
      </w:r>
      <w:r w:rsidR="00287EA1" w:rsidRPr="00BB2872">
        <w:rPr>
          <w:rFonts w:ascii="Times New Roman" w:eastAsia="Times New Roman" w:hAnsi="Times New Roman" w:cs="Times New Roman"/>
          <w:sz w:val="24"/>
          <w:szCs w:val="24"/>
        </w:rPr>
        <w:t>,</w:t>
      </w:r>
      <w:r w:rsidRPr="00BB2872">
        <w:rPr>
          <w:rFonts w:ascii="Times New Roman" w:eastAsia="Times New Roman" w:hAnsi="Times New Roman" w:cs="Times New Roman"/>
          <w:sz w:val="24"/>
          <w:szCs w:val="24"/>
        </w:rPr>
        <w:t xml:space="preserve"> based on the SVAR models</w:t>
      </w:r>
      <w:r w:rsidR="00287EA1" w:rsidRPr="00BB2872">
        <w:rPr>
          <w:rFonts w:ascii="Times New Roman" w:eastAsia="Times New Roman" w:hAnsi="Times New Roman" w:cs="Times New Roman"/>
          <w:sz w:val="24"/>
          <w:szCs w:val="24"/>
        </w:rPr>
        <w:t xml:space="preserve"> employed</w:t>
      </w:r>
      <w:r w:rsidRPr="00BB2872">
        <w:rPr>
          <w:rFonts w:ascii="Times New Roman" w:eastAsia="Times New Roman" w:hAnsi="Times New Roman" w:cs="Times New Roman"/>
          <w:sz w:val="24"/>
          <w:szCs w:val="24"/>
        </w:rPr>
        <w:t>. The IRF function allow</w:t>
      </w:r>
      <w:r w:rsidR="00287EA1" w:rsidRPr="00BB2872">
        <w:rPr>
          <w:rFonts w:ascii="Times New Roman" w:eastAsia="Times New Roman" w:hAnsi="Times New Roman" w:cs="Times New Roman"/>
          <w:sz w:val="24"/>
          <w:szCs w:val="24"/>
        </w:rPr>
        <w:t>ed</w:t>
      </w:r>
      <w:r w:rsidRPr="00BB2872">
        <w:rPr>
          <w:rFonts w:ascii="Times New Roman" w:eastAsia="Times New Roman" w:hAnsi="Times New Roman" w:cs="Times New Roman"/>
          <w:sz w:val="24"/>
          <w:szCs w:val="24"/>
        </w:rPr>
        <w:t xml:space="preserve"> us to show which lag the contribution of selected factor was significant</w:t>
      </w:r>
      <w:r w:rsidR="00287EA1" w:rsidRPr="00BB2872">
        <w:rPr>
          <w:rFonts w:ascii="Times New Roman" w:eastAsia="Times New Roman" w:hAnsi="Times New Roman" w:cs="Times New Roman"/>
          <w:sz w:val="24"/>
          <w:szCs w:val="24"/>
        </w:rPr>
        <w:t xml:space="preserve"> for</w:t>
      </w:r>
      <w:r w:rsidRPr="00BB2872">
        <w:rPr>
          <w:rFonts w:ascii="Times New Roman" w:eastAsia="Times New Roman" w:hAnsi="Times New Roman" w:cs="Times New Roman"/>
          <w:sz w:val="24"/>
          <w:szCs w:val="24"/>
        </w:rPr>
        <w:t xml:space="preserve">. </w:t>
      </w:r>
      <w:r w:rsidR="00287EA1" w:rsidRPr="00BB2872">
        <w:rPr>
          <w:rFonts w:ascii="Times New Roman" w:eastAsia="Times New Roman" w:hAnsi="Times New Roman" w:cs="Times New Roman"/>
          <w:sz w:val="24"/>
          <w:szCs w:val="24"/>
        </w:rPr>
        <w:t>T</w:t>
      </w:r>
      <w:r w:rsidRPr="00BB2872">
        <w:rPr>
          <w:rFonts w:ascii="Times New Roman" w:eastAsia="Times New Roman" w:hAnsi="Times New Roman" w:cs="Times New Roman"/>
          <w:sz w:val="24"/>
          <w:szCs w:val="24"/>
        </w:rPr>
        <w:t xml:space="preserve">o </w:t>
      </w:r>
      <w:r w:rsidR="00287EA1" w:rsidRPr="00BB2872">
        <w:rPr>
          <w:rFonts w:ascii="Times New Roman" w:eastAsia="Times New Roman" w:hAnsi="Times New Roman" w:cs="Times New Roman"/>
          <w:sz w:val="24"/>
          <w:szCs w:val="24"/>
        </w:rPr>
        <w:t xml:space="preserve">obtain </w:t>
      </w:r>
      <w:r w:rsidRPr="00BB2872">
        <w:rPr>
          <w:rFonts w:ascii="Times New Roman" w:eastAsia="Times New Roman" w:hAnsi="Times New Roman" w:cs="Times New Roman"/>
          <w:sz w:val="24"/>
          <w:szCs w:val="24"/>
        </w:rPr>
        <w:t>a deeper insight in</w:t>
      </w:r>
      <w:r w:rsidR="00287EA1" w:rsidRPr="00BB2872">
        <w:rPr>
          <w:rFonts w:ascii="Times New Roman" w:eastAsia="Times New Roman" w:hAnsi="Times New Roman" w:cs="Times New Roman"/>
          <w:sz w:val="24"/>
          <w:szCs w:val="24"/>
        </w:rPr>
        <w:t>to</w:t>
      </w:r>
      <w:r w:rsidRPr="00BB2872">
        <w:rPr>
          <w:rFonts w:ascii="Times New Roman" w:eastAsia="Times New Roman" w:hAnsi="Times New Roman" w:cs="Times New Roman"/>
          <w:sz w:val="24"/>
          <w:szCs w:val="24"/>
        </w:rPr>
        <w:t xml:space="preserve"> the effects of different </w:t>
      </w:r>
      <w:r w:rsidRPr="00BB2872">
        <w:rPr>
          <w:rFonts w:ascii="Times New Roman" w:eastAsia="Times New Roman" w:hAnsi="Times New Roman" w:cs="Times New Roman"/>
          <w:sz w:val="24"/>
          <w:szCs w:val="24"/>
        </w:rPr>
        <w:lastRenderedPageBreak/>
        <w:t xml:space="preserve">shocks </w:t>
      </w:r>
      <w:r w:rsidR="00287EA1" w:rsidRPr="00BB2872">
        <w:rPr>
          <w:rFonts w:ascii="Times New Roman" w:eastAsia="Times New Roman" w:hAnsi="Times New Roman" w:cs="Times New Roman"/>
          <w:sz w:val="24"/>
          <w:szCs w:val="24"/>
        </w:rPr>
        <w:t>o</w:t>
      </w:r>
      <w:r w:rsidRPr="00BB2872">
        <w:rPr>
          <w:rFonts w:ascii="Times New Roman" w:eastAsia="Times New Roman" w:hAnsi="Times New Roman" w:cs="Times New Roman"/>
          <w:sz w:val="24"/>
          <w:szCs w:val="24"/>
        </w:rPr>
        <w:t xml:space="preserve">n our SVAR models, we employed the SVDs </w:t>
      </w:r>
      <w:r w:rsidR="00287EA1" w:rsidRPr="00BB2872">
        <w:rPr>
          <w:rFonts w:ascii="Times New Roman" w:eastAsia="Times New Roman" w:hAnsi="Times New Roman" w:cs="Times New Roman"/>
          <w:sz w:val="24"/>
          <w:szCs w:val="24"/>
        </w:rPr>
        <w:t>so that we could</w:t>
      </w:r>
      <w:r w:rsidRPr="00BB2872">
        <w:rPr>
          <w:rFonts w:ascii="Times New Roman" w:eastAsia="Times New Roman" w:hAnsi="Times New Roman" w:cs="Times New Roman"/>
          <w:sz w:val="24"/>
          <w:szCs w:val="24"/>
        </w:rPr>
        <w:t xml:space="preserve"> determine how each structural shock contributed to the total variance.</w:t>
      </w:r>
    </w:p>
    <w:p w14:paraId="00000037" w14:textId="1BD040C0" w:rsidR="00345220" w:rsidRPr="00BB2872" w:rsidRDefault="00604123">
      <w:pPr>
        <w:pStyle w:val="Nadpis2"/>
      </w:pPr>
      <w:r w:rsidRPr="00BB2872">
        <w:t>5</w:t>
      </w:r>
      <w:r w:rsidR="00D45E73" w:rsidRPr="00BB2872">
        <w:t xml:space="preserve">.1 Reaction of the Czech money market rate to the EA money market rate </w:t>
      </w:r>
    </w:p>
    <w:p w14:paraId="00000038" w14:textId="7240AEE9" w:rsidR="00345220" w:rsidRPr="00BB2872" w:rsidRDefault="00D45E73">
      <w:pPr>
        <w:widowControl w:val="0"/>
        <w:spacing w:before="240" w:after="0" w:line="480" w:lineRule="auto"/>
        <w:rPr>
          <w:rFonts w:ascii="Times New Roman" w:eastAsia="Times New Roman" w:hAnsi="Times New Roman" w:cs="Times New Roman"/>
          <w:sz w:val="24"/>
          <w:szCs w:val="24"/>
        </w:rPr>
      </w:pPr>
      <w:r w:rsidRPr="00BB2872">
        <w:rPr>
          <w:rFonts w:ascii="Times New Roman" w:eastAsia="Times New Roman" w:hAnsi="Times New Roman" w:cs="Times New Roman"/>
          <w:sz w:val="24"/>
          <w:szCs w:val="24"/>
        </w:rPr>
        <w:t xml:space="preserve">The IRFs </w:t>
      </w:r>
      <w:r w:rsidR="00604123" w:rsidRPr="00BB2872">
        <w:rPr>
          <w:rFonts w:ascii="Times New Roman" w:eastAsia="Times New Roman" w:hAnsi="Times New Roman" w:cs="Times New Roman"/>
          <w:sz w:val="24"/>
          <w:szCs w:val="24"/>
        </w:rPr>
        <w:t xml:space="preserve">shown </w:t>
      </w:r>
      <w:r w:rsidRPr="00BB2872">
        <w:rPr>
          <w:rFonts w:ascii="Times New Roman" w:eastAsia="Times New Roman" w:hAnsi="Times New Roman" w:cs="Times New Roman"/>
          <w:sz w:val="24"/>
          <w:szCs w:val="24"/>
        </w:rPr>
        <w:t xml:space="preserve">in Figure 1 reflect the positive statistically significant response of changes in </w:t>
      </w:r>
      <w:r w:rsidR="00604123" w:rsidRPr="00BB2872">
        <w:rPr>
          <w:rFonts w:ascii="Times New Roman" w:eastAsia="Times New Roman" w:hAnsi="Times New Roman" w:cs="Times New Roman"/>
          <w:sz w:val="24"/>
          <w:szCs w:val="24"/>
        </w:rPr>
        <w:t xml:space="preserve">the </w:t>
      </w:r>
      <w:r w:rsidRPr="00BB2872">
        <w:rPr>
          <w:rFonts w:ascii="Times New Roman" w:eastAsia="Times New Roman" w:hAnsi="Times New Roman" w:cs="Times New Roman"/>
          <w:sz w:val="24"/>
          <w:szCs w:val="24"/>
        </w:rPr>
        <w:t xml:space="preserve">PRIBOR to a shock in </w:t>
      </w:r>
      <w:r w:rsidR="00604123" w:rsidRPr="00BB2872">
        <w:rPr>
          <w:rFonts w:ascii="Times New Roman" w:eastAsia="Times New Roman" w:hAnsi="Times New Roman" w:cs="Times New Roman"/>
          <w:sz w:val="24"/>
          <w:szCs w:val="24"/>
        </w:rPr>
        <w:t xml:space="preserve">the </w:t>
      </w:r>
      <w:r w:rsidRPr="00BB2872">
        <w:rPr>
          <w:rFonts w:ascii="Times New Roman" w:eastAsia="Times New Roman" w:hAnsi="Times New Roman" w:cs="Times New Roman"/>
          <w:sz w:val="24"/>
          <w:szCs w:val="24"/>
        </w:rPr>
        <w:t>EURIBOR for the first and second period</w:t>
      </w:r>
      <w:r w:rsidR="00604123" w:rsidRPr="00BB2872">
        <w:rPr>
          <w:rFonts w:ascii="Times New Roman" w:eastAsia="Times New Roman" w:hAnsi="Times New Roman" w:cs="Times New Roman"/>
          <w:sz w:val="24"/>
          <w:szCs w:val="24"/>
        </w:rPr>
        <w:t>s</w:t>
      </w:r>
      <w:r w:rsidRPr="00BB2872">
        <w:rPr>
          <w:rFonts w:ascii="Times New Roman" w:eastAsia="Times New Roman" w:hAnsi="Times New Roman" w:cs="Times New Roman"/>
          <w:sz w:val="24"/>
          <w:szCs w:val="24"/>
        </w:rPr>
        <w:t>. The results for the ZLB and fourth period</w:t>
      </w:r>
      <w:r w:rsidR="00604123" w:rsidRPr="00BB2872">
        <w:rPr>
          <w:rFonts w:ascii="Times New Roman" w:eastAsia="Times New Roman" w:hAnsi="Times New Roman" w:cs="Times New Roman"/>
          <w:sz w:val="24"/>
          <w:szCs w:val="24"/>
        </w:rPr>
        <w:t>s</w:t>
      </w:r>
      <w:r w:rsidRPr="00BB2872">
        <w:rPr>
          <w:rFonts w:ascii="Times New Roman" w:eastAsia="Times New Roman" w:hAnsi="Times New Roman" w:cs="Times New Roman"/>
          <w:sz w:val="24"/>
          <w:szCs w:val="24"/>
        </w:rPr>
        <w:t xml:space="preserve"> did not confirm </w:t>
      </w:r>
      <w:r w:rsidR="00604123" w:rsidRPr="00BB2872">
        <w:rPr>
          <w:rFonts w:ascii="Times New Roman" w:eastAsia="Times New Roman" w:hAnsi="Times New Roman" w:cs="Times New Roman"/>
          <w:sz w:val="24"/>
          <w:szCs w:val="24"/>
        </w:rPr>
        <w:t xml:space="preserve">a </w:t>
      </w:r>
      <w:r w:rsidRPr="00BB2872">
        <w:rPr>
          <w:rFonts w:ascii="Times New Roman" w:eastAsia="Times New Roman" w:hAnsi="Times New Roman" w:cs="Times New Roman"/>
          <w:sz w:val="24"/>
          <w:szCs w:val="24"/>
        </w:rPr>
        <w:t xml:space="preserve">statistical significance for the responses in </w:t>
      </w:r>
      <w:r w:rsidR="00604123" w:rsidRPr="00BB2872">
        <w:rPr>
          <w:rFonts w:ascii="Times New Roman" w:eastAsia="Times New Roman" w:hAnsi="Times New Roman" w:cs="Times New Roman"/>
          <w:sz w:val="24"/>
          <w:szCs w:val="24"/>
        </w:rPr>
        <w:t xml:space="preserve">the </w:t>
      </w:r>
      <w:r w:rsidRPr="00BB2872">
        <w:rPr>
          <w:rFonts w:ascii="Times New Roman" w:eastAsia="Times New Roman" w:hAnsi="Times New Roman" w:cs="Times New Roman"/>
          <w:sz w:val="24"/>
          <w:szCs w:val="24"/>
        </w:rPr>
        <w:t xml:space="preserve">Czech money market rate. During the first period, the immediate response was positive and almost twice </w:t>
      </w:r>
      <w:r w:rsidR="00604123" w:rsidRPr="00BB2872">
        <w:rPr>
          <w:rFonts w:ascii="Times New Roman" w:eastAsia="Times New Roman" w:hAnsi="Times New Roman" w:cs="Times New Roman"/>
          <w:sz w:val="24"/>
          <w:szCs w:val="24"/>
        </w:rPr>
        <w:t xml:space="preserve">as </w:t>
      </w:r>
      <w:r w:rsidRPr="00BB2872">
        <w:rPr>
          <w:rFonts w:ascii="Times New Roman" w:eastAsia="Times New Roman" w:hAnsi="Times New Roman" w:cs="Times New Roman"/>
          <w:sz w:val="24"/>
          <w:szCs w:val="24"/>
        </w:rPr>
        <w:t>high</w:t>
      </w:r>
      <w:r w:rsidR="00604123" w:rsidRPr="00BB2872">
        <w:rPr>
          <w:rFonts w:ascii="Times New Roman" w:eastAsia="Times New Roman" w:hAnsi="Times New Roman" w:cs="Times New Roman"/>
          <w:sz w:val="24"/>
          <w:szCs w:val="24"/>
        </w:rPr>
        <w:t xml:space="preserve"> as</w:t>
      </w:r>
      <w:r w:rsidRPr="00BB2872">
        <w:rPr>
          <w:rFonts w:ascii="Times New Roman" w:eastAsia="Times New Roman" w:hAnsi="Times New Roman" w:cs="Times New Roman"/>
          <w:sz w:val="24"/>
          <w:szCs w:val="24"/>
        </w:rPr>
        <w:t xml:space="preserve"> </w:t>
      </w:r>
      <w:r w:rsidR="00604123" w:rsidRPr="00BB2872">
        <w:rPr>
          <w:rFonts w:ascii="Times New Roman" w:eastAsia="Times New Roman" w:hAnsi="Times New Roman" w:cs="Times New Roman"/>
          <w:sz w:val="24"/>
          <w:szCs w:val="24"/>
        </w:rPr>
        <w:t xml:space="preserve">in </w:t>
      </w:r>
      <w:r w:rsidRPr="00BB2872">
        <w:rPr>
          <w:rFonts w:ascii="Times New Roman" w:eastAsia="Times New Roman" w:hAnsi="Times New Roman" w:cs="Times New Roman"/>
          <w:sz w:val="24"/>
          <w:szCs w:val="24"/>
        </w:rPr>
        <w:t>the second period. The response also took one month when monetary policy was restrictive</w:t>
      </w:r>
      <w:r w:rsidR="00604123" w:rsidRPr="00BB2872">
        <w:rPr>
          <w:rFonts w:ascii="Times New Roman" w:eastAsia="Times New Roman" w:hAnsi="Times New Roman" w:cs="Times New Roman"/>
          <w:sz w:val="24"/>
          <w:szCs w:val="24"/>
        </w:rPr>
        <w:t>,</w:t>
      </w:r>
      <w:r w:rsidRPr="00BB2872">
        <w:rPr>
          <w:rFonts w:ascii="Times New Roman" w:eastAsia="Times New Roman" w:hAnsi="Times New Roman" w:cs="Times New Roman"/>
          <w:sz w:val="24"/>
          <w:szCs w:val="24"/>
        </w:rPr>
        <w:t xml:space="preserve"> compared to the second period when the positive response dropped gradually for three months in </w:t>
      </w:r>
      <w:r w:rsidR="00604123" w:rsidRPr="00BB2872">
        <w:rPr>
          <w:rFonts w:ascii="Times New Roman" w:eastAsia="Times New Roman" w:hAnsi="Times New Roman" w:cs="Times New Roman"/>
          <w:sz w:val="24"/>
          <w:szCs w:val="24"/>
        </w:rPr>
        <w:t xml:space="preserve">the </w:t>
      </w:r>
      <w:r w:rsidRPr="00BB2872">
        <w:rPr>
          <w:rFonts w:ascii="Times New Roman" w:eastAsia="Times New Roman" w:hAnsi="Times New Roman" w:cs="Times New Roman"/>
          <w:sz w:val="24"/>
          <w:szCs w:val="24"/>
        </w:rPr>
        <w:t xml:space="preserve">case of monetary expansion. These findings are in accordance with studies </w:t>
      </w:r>
      <w:r w:rsidR="00604123" w:rsidRPr="00BB2872">
        <w:rPr>
          <w:rFonts w:ascii="Times New Roman" w:eastAsia="Times New Roman" w:hAnsi="Times New Roman" w:cs="Times New Roman"/>
          <w:sz w:val="24"/>
          <w:szCs w:val="24"/>
        </w:rPr>
        <w:t>that have demonstrated</w:t>
      </w:r>
      <w:r w:rsidRPr="00BB2872">
        <w:rPr>
          <w:rFonts w:ascii="Times New Roman" w:eastAsia="Times New Roman" w:hAnsi="Times New Roman" w:cs="Times New Roman"/>
          <w:sz w:val="24"/>
          <w:szCs w:val="24"/>
        </w:rPr>
        <w:t xml:space="preserve"> co-movements of rates in the EU countries and </w:t>
      </w:r>
      <w:r w:rsidR="00604123" w:rsidRPr="00BB2872">
        <w:rPr>
          <w:rFonts w:ascii="Times New Roman" w:eastAsia="Times New Roman" w:hAnsi="Times New Roman" w:cs="Times New Roman"/>
          <w:sz w:val="24"/>
          <w:szCs w:val="24"/>
        </w:rPr>
        <w:t xml:space="preserve">the </w:t>
      </w:r>
      <w:r w:rsidRPr="00BB2872">
        <w:rPr>
          <w:rFonts w:ascii="Times New Roman" w:eastAsia="Times New Roman" w:hAnsi="Times New Roman" w:cs="Times New Roman"/>
          <w:sz w:val="24"/>
          <w:szCs w:val="24"/>
        </w:rPr>
        <w:t xml:space="preserve">interconnectedness of economies, </w:t>
      </w:r>
      <w:r w:rsidR="00604123" w:rsidRPr="00BB2872">
        <w:rPr>
          <w:rFonts w:ascii="Times New Roman" w:eastAsia="Times New Roman" w:hAnsi="Times New Roman" w:cs="Times New Roman"/>
          <w:sz w:val="24"/>
          <w:szCs w:val="24"/>
        </w:rPr>
        <w:t>such as</w:t>
      </w:r>
      <w:r w:rsidRPr="00BB2872">
        <w:rPr>
          <w:rFonts w:ascii="Times New Roman" w:eastAsia="Times New Roman" w:hAnsi="Times New Roman" w:cs="Times New Roman"/>
          <w:sz w:val="24"/>
          <w:szCs w:val="24"/>
        </w:rPr>
        <w:t xml:space="preserve"> </w:t>
      </w:r>
      <w:proofErr w:type="spellStart"/>
      <w:r w:rsidRPr="00BB2872">
        <w:rPr>
          <w:rFonts w:ascii="Times New Roman" w:eastAsia="Times New Roman" w:hAnsi="Times New Roman" w:cs="Times New Roman"/>
          <w:sz w:val="24"/>
          <w:szCs w:val="24"/>
        </w:rPr>
        <w:t>Kadow</w:t>
      </w:r>
      <w:proofErr w:type="spellEnd"/>
      <w:r w:rsidRPr="00BB2872">
        <w:rPr>
          <w:rFonts w:ascii="Times New Roman" w:eastAsia="Times New Roman" w:hAnsi="Times New Roman" w:cs="Times New Roman"/>
          <w:sz w:val="24"/>
          <w:szCs w:val="24"/>
        </w:rPr>
        <w:t xml:space="preserve"> et al. (2013)</w:t>
      </w:r>
      <w:r w:rsidR="00604123" w:rsidRPr="00BB2872">
        <w:rPr>
          <w:rFonts w:ascii="Times New Roman" w:eastAsia="Times New Roman" w:hAnsi="Times New Roman" w:cs="Times New Roman"/>
          <w:sz w:val="24"/>
          <w:szCs w:val="24"/>
        </w:rPr>
        <w:t xml:space="preserve"> and </w:t>
      </w:r>
      <w:proofErr w:type="spellStart"/>
      <w:r w:rsidR="00604123" w:rsidRPr="00BB2872">
        <w:rPr>
          <w:rFonts w:ascii="Times New Roman" w:eastAsia="Times New Roman" w:hAnsi="Times New Roman" w:cs="Times New Roman"/>
          <w:sz w:val="24"/>
          <w:szCs w:val="24"/>
        </w:rPr>
        <w:t>Pungulescu</w:t>
      </w:r>
      <w:proofErr w:type="spellEnd"/>
      <w:r w:rsidR="00604123" w:rsidRPr="00BB2872">
        <w:rPr>
          <w:rFonts w:ascii="Times New Roman" w:eastAsia="Times New Roman" w:hAnsi="Times New Roman" w:cs="Times New Roman"/>
          <w:sz w:val="24"/>
          <w:szCs w:val="24"/>
        </w:rPr>
        <w:t xml:space="preserve"> (2013)</w:t>
      </w:r>
      <w:r w:rsidRPr="00BB2872">
        <w:rPr>
          <w:rFonts w:ascii="Times New Roman" w:eastAsia="Times New Roman" w:hAnsi="Times New Roman" w:cs="Times New Roman"/>
          <w:sz w:val="24"/>
          <w:szCs w:val="24"/>
        </w:rPr>
        <w:t xml:space="preserve">, who </w:t>
      </w:r>
      <w:r w:rsidR="00604123" w:rsidRPr="00BB2872">
        <w:rPr>
          <w:rFonts w:ascii="Times New Roman" w:eastAsia="Times New Roman" w:hAnsi="Times New Roman" w:cs="Times New Roman"/>
          <w:sz w:val="24"/>
          <w:szCs w:val="24"/>
        </w:rPr>
        <w:t xml:space="preserve">determined </w:t>
      </w:r>
      <w:r w:rsidRPr="00BB2872">
        <w:rPr>
          <w:rFonts w:ascii="Times New Roman" w:eastAsia="Times New Roman" w:hAnsi="Times New Roman" w:cs="Times New Roman"/>
          <w:sz w:val="24"/>
          <w:szCs w:val="24"/>
        </w:rPr>
        <w:t>that the effects of EA monetary policy are transmitted into the Central and Eastern Europe</w:t>
      </w:r>
      <w:r w:rsidR="00604123" w:rsidRPr="00BB2872">
        <w:rPr>
          <w:rFonts w:ascii="Times New Roman" w:eastAsia="Times New Roman" w:hAnsi="Times New Roman" w:cs="Times New Roman"/>
          <w:sz w:val="24"/>
          <w:szCs w:val="24"/>
        </w:rPr>
        <w:t>an</w:t>
      </w:r>
      <w:r w:rsidRPr="00BB2872">
        <w:rPr>
          <w:rFonts w:ascii="Times New Roman" w:eastAsia="Times New Roman" w:hAnsi="Times New Roman" w:cs="Times New Roman"/>
          <w:sz w:val="24"/>
          <w:szCs w:val="24"/>
        </w:rPr>
        <w:t xml:space="preserve"> money market rates. However, the interconnectedness between economies was lowered </w:t>
      </w:r>
      <w:proofErr w:type="gramStart"/>
      <w:r w:rsidR="00604123" w:rsidRPr="00BB2872">
        <w:rPr>
          <w:rFonts w:ascii="Times New Roman" w:eastAsia="Times New Roman" w:hAnsi="Times New Roman" w:cs="Times New Roman"/>
          <w:sz w:val="24"/>
          <w:szCs w:val="24"/>
        </w:rPr>
        <w:t>as a result</w:t>
      </w:r>
      <w:r w:rsidRPr="00BB2872">
        <w:rPr>
          <w:rFonts w:ascii="Times New Roman" w:eastAsia="Times New Roman" w:hAnsi="Times New Roman" w:cs="Times New Roman"/>
          <w:sz w:val="24"/>
          <w:szCs w:val="24"/>
        </w:rPr>
        <w:t xml:space="preserve"> of</w:t>
      </w:r>
      <w:proofErr w:type="gramEnd"/>
      <w:r w:rsidRPr="00BB2872">
        <w:rPr>
          <w:rFonts w:ascii="Times New Roman" w:eastAsia="Times New Roman" w:hAnsi="Times New Roman" w:cs="Times New Roman"/>
          <w:sz w:val="24"/>
          <w:szCs w:val="24"/>
        </w:rPr>
        <w:t xml:space="preserve"> both </w:t>
      </w:r>
      <w:r w:rsidR="00604123" w:rsidRPr="00BB2872">
        <w:rPr>
          <w:rFonts w:ascii="Times New Roman" w:eastAsia="Times New Roman" w:hAnsi="Times New Roman" w:cs="Times New Roman"/>
          <w:sz w:val="24"/>
          <w:szCs w:val="24"/>
        </w:rPr>
        <w:t xml:space="preserve">economic </w:t>
      </w:r>
      <w:r w:rsidRPr="00BB2872">
        <w:rPr>
          <w:rFonts w:ascii="Times New Roman" w:eastAsia="Times New Roman" w:hAnsi="Times New Roman" w:cs="Times New Roman"/>
          <w:sz w:val="24"/>
          <w:szCs w:val="24"/>
        </w:rPr>
        <w:t xml:space="preserve">crises, which caused disturbances in the transmission. These disturbances in the transmission and a possible divergence in the rates are in line with </w:t>
      </w:r>
      <w:r w:rsidR="00604123" w:rsidRPr="00BB2872">
        <w:rPr>
          <w:rFonts w:ascii="Times New Roman" w:eastAsia="Times New Roman" w:hAnsi="Times New Roman" w:cs="Times New Roman"/>
          <w:sz w:val="24"/>
          <w:szCs w:val="24"/>
        </w:rPr>
        <w:t>the findings of, for example,</w:t>
      </w:r>
      <w:r w:rsidRPr="00BB2872">
        <w:rPr>
          <w:rFonts w:ascii="Times New Roman" w:eastAsia="Times New Roman" w:hAnsi="Times New Roman" w:cs="Times New Roman"/>
          <w:sz w:val="24"/>
          <w:szCs w:val="24"/>
        </w:rPr>
        <w:t xml:space="preserve"> Chakraborty et al. (2017)</w:t>
      </w:r>
      <w:r w:rsidR="00604123" w:rsidRPr="00BB2872">
        <w:rPr>
          <w:rFonts w:ascii="Times New Roman" w:eastAsia="Times New Roman" w:hAnsi="Times New Roman" w:cs="Times New Roman"/>
          <w:sz w:val="24"/>
          <w:szCs w:val="24"/>
        </w:rPr>
        <w:t xml:space="preserve"> and</w:t>
      </w:r>
      <w:r w:rsidRPr="00BB2872">
        <w:rPr>
          <w:rFonts w:ascii="Times New Roman" w:eastAsia="Times New Roman" w:hAnsi="Times New Roman" w:cs="Times New Roman"/>
          <w:sz w:val="24"/>
          <w:szCs w:val="24"/>
        </w:rPr>
        <w:t xml:space="preserve"> Hoffmann et al. (2020). </w:t>
      </w:r>
    </w:p>
    <w:p w14:paraId="00000039" w14:textId="77777777" w:rsidR="00345220" w:rsidRPr="00BB2872" w:rsidRDefault="00345220"/>
    <w:p w14:paraId="0000003A" w14:textId="77777777" w:rsidR="00345220" w:rsidRPr="00BB2872" w:rsidRDefault="00D45E73">
      <w:pPr>
        <w:spacing w:after="120"/>
        <w:jc w:val="both"/>
        <w:rPr>
          <w:rFonts w:ascii="Times New Roman" w:eastAsia="Times New Roman" w:hAnsi="Times New Roman" w:cs="Times New Roman"/>
          <w:sz w:val="24"/>
          <w:szCs w:val="24"/>
        </w:rPr>
      </w:pPr>
      <w:r w:rsidRPr="00BB2872">
        <w:rPr>
          <w:rFonts w:ascii="Times New Roman" w:eastAsia="Times New Roman" w:hAnsi="Times New Roman" w:cs="Times New Roman"/>
          <w:sz w:val="24"/>
          <w:szCs w:val="24"/>
        </w:rPr>
        <w:t xml:space="preserve">Figure 1. Responses of </w:t>
      </w:r>
      <w:proofErr w:type="spellStart"/>
      <w:r w:rsidRPr="00BB2872">
        <w:rPr>
          <w:rFonts w:ascii="Times New Roman" w:eastAsia="Times New Roman" w:hAnsi="Times New Roman" w:cs="Times New Roman"/>
          <w:sz w:val="24"/>
          <w:szCs w:val="24"/>
        </w:rPr>
        <w:t>d_pribor_rate</w:t>
      </w:r>
      <w:proofErr w:type="spellEnd"/>
      <w:r w:rsidRPr="00BB2872">
        <w:rPr>
          <w:rFonts w:ascii="Times New Roman" w:eastAsia="Times New Roman" w:hAnsi="Times New Roman" w:cs="Times New Roman"/>
          <w:sz w:val="24"/>
          <w:szCs w:val="24"/>
        </w:rPr>
        <w:t xml:space="preserve"> to a shock in </w:t>
      </w:r>
      <w:proofErr w:type="spellStart"/>
      <w:r w:rsidRPr="00BB2872">
        <w:rPr>
          <w:rFonts w:ascii="Times New Roman" w:eastAsia="Times New Roman" w:hAnsi="Times New Roman" w:cs="Times New Roman"/>
          <w:sz w:val="24"/>
          <w:szCs w:val="24"/>
        </w:rPr>
        <w:t>d_euribor</w:t>
      </w:r>
      <w:proofErr w:type="spellEnd"/>
      <w:r w:rsidRPr="00BB2872">
        <w:rPr>
          <w:rFonts w:ascii="Times New Roman" w:eastAsia="Times New Roman" w:hAnsi="Times New Roman" w:cs="Times New Roman"/>
          <w:sz w:val="24"/>
          <w:szCs w:val="24"/>
        </w:rPr>
        <w:t xml:space="preserve"> rate</w:t>
      </w:r>
    </w:p>
    <w:p w14:paraId="0000003B" w14:textId="77777777" w:rsidR="00345220" w:rsidRPr="00BB2872" w:rsidRDefault="00345220">
      <w:pPr>
        <w:spacing w:after="120"/>
        <w:jc w:val="both"/>
        <w:rPr>
          <w:rFonts w:ascii="Times New Roman" w:eastAsia="Times New Roman" w:hAnsi="Times New Roman" w:cs="Times New Roman"/>
          <w:sz w:val="24"/>
          <w:szCs w:val="24"/>
        </w:rPr>
      </w:pPr>
    </w:p>
    <w:p w14:paraId="0000003C" w14:textId="3B19A0C7" w:rsidR="00345220" w:rsidRPr="00BB2872" w:rsidRDefault="00713280">
      <w:pPr>
        <w:pStyle w:val="Nadpis2"/>
      </w:pPr>
      <w:r w:rsidRPr="00BB2872">
        <w:t>5</w:t>
      </w:r>
      <w:r w:rsidR="00D45E73" w:rsidRPr="00BB2872">
        <w:t xml:space="preserve">.2 </w:t>
      </w:r>
      <w:r w:rsidRPr="00BB2872">
        <w:t>P</w:t>
      </w:r>
      <w:r w:rsidR="00D45E73" w:rsidRPr="00BB2872">
        <w:t xml:space="preserve">ass-through from repo rate to money market rate </w:t>
      </w:r>
    </w:p>
    <w:p w14:paraId="0000003D" w14:textId="7804367C" w:rsidR="00345220" w:rsidRPr="00BB2872" w:rsidRDefault="00D45E73">
      <w:pPr>
        <w:widowControl w:val="0"/>
        <w:spacing w:after="0" w:line="480" w:lineRule="auto"/>
        <w:rPr>
          <w:rFonts w:ascii="Times New Roman" w:eastAsia="Times New Roman" w:hAnsi="Times New Roman" w:cs="Times New Roman"/>
          <w:sz w:val="24"/>
          <w:szCs w:val="24"/>
        </w:rPr>
      </w:pPr>
      <w:r w:rsidRPr="00BB2872">
        <w:rPr>
          <w:rFonts w:ascii="Times New Roman" w:eastAsia="Times New Roman" w:hAnsi="Times New Roman" w:cs="Times New Roman"/>
          <w:sz w:val="24"/>
          <w:szCs w:val="24"/>
        </w:rPr>
        <w:t xml:space="preserve">When focusing on the pass-through from </w:t>
      </w:r>
      <w:r w:rsidR="00047B84" w:rsidRPr="00BB2872">
        <w:rPr>
          <w:rFonts w:ascii="Times New Roman" w:eastAsia="Times New Roman" w:hAnsi="Times New Roman" w:cs="Times New Roman"/>
          <w:sz w:val="24"/>
          <w:szCs w:val="24"/>
        </w:rPr>
        <w:t xml:space="preserve">the </w:t>
      </w:r>
      <w:r w:rsidRPr="00BB2872">
        <w:rPr>
          <w:rFonts w:ascii="Times New Roman" w:eastAsia="Times New Roman" w:hAnsi="Times New Roman" w:cs="Times New Roman"/>
          <w:sz w:val="24"/>
          <w:szCs w:val="24"/>
        </w:rPr>
        <w:t xml:space="preserve">repo rate to </w:t>
      </w:r>
      <w:r w:rsidR="00047B84" w:rsidRPr="00BB2872">
        <w:rPr>
          <w:rFonts w:ascii="Times New Roman" w:eastAsia="Times New Roman" w:hAnsi="Times New Roman" w:cs="Times New Roman"/>
          <w:sz w:val="24"/>
          <w:szCs w:val="24"/>
        </w:rPr>
        <w:t xml:space="preserve">the </w:t>
      </w:r>
      <w:r w:rsidRPr="00BB2872">
        <w:rPr>
          <w:rFonts w:ascii="Times New Roman" w:eastAsia="Times New Roman" w:hAnsi="Times New Roman" w:cs="Times New Roman"/>
          <w:sz w:val="24"/>
          <w:szCs w:val="24"/>
        </w:rPr>
        <w:t xml:space="preserve">PRIBOR </w:t>
      </w:r>
      <w:r w:rsidR="00047B84" w:rsidRPr="00BB2872">
        <w:rPr>
          <w:rFonts w:ascii="Times New Roman" w:eastAsia="Times New Roman" w:hAnsi="Times New Roman" w:cs="Times New Roman"/>
          <w:sz w:val="24"/>
          <w:szCs w:val="24"/>
        </w:rPr>
        <w:t>(</w:t>
      </w:r>
      <w:r w:rsidRPr="00BB2872">
        <w:rPr>
          <w:rFonts w:ascii="Times New Roman" w:eastAsia="Times New Roman" w:hAnsi="Times New Roman" w:cs="Times New Roman"/>
          <w:sz w:val="24"/>
          <w:szCs w:val="24"/>
        </w:rPr>
        <w:t xml:space="preserve">see Figure 2 for </w:t>
      </w:r>
      <w:r w:rsidR="00047B84" w:rsidRPr="00BB2872">
        <w:rPr>
          <w:rFonts w:ascii="Times New Roman" w:eastAsia="Times New Roman" w:hAnsi="Times New Roman" w:cs="Times New Roman"/>
          <w:sz w:val="24"/>
          <w:szCs w:val="24"/>
        </w:rPr>
        <w:t xml:space="preserve">the </w:t>
      </w:r>
      <w:r w:rsidRPr="00BB2872">
        <w:rPr>
          <w:rFonts w:ascii="Times New Roman" w:eastAsia="Times New Roman" w:hAnsi="Times New Roman" w:cs="Times New Roman"/>
          <w:sz w:val="24"/>
          <w:szCs w:val="24"/>
        </w:rPr>
        <w:t>IRFs</w:t>
      </w:r>
      <w:r w:rsidR="00047B84" w:rsidRPr="00BB2872">
        <w:rPr>
          <w:rFonts w:ascii="Times New Roman" w:eastAsia="Times New Roman" w:hAnsi="Times New Roman" w:cs="Times New Roman"/>
          <w:sz w:val="24"/>
          <w:szCs w:val="24"/>
        </w:rPr>
        <w:t>)</w:t>
      </w:r>
      <w:r w:rsidRPr="00BB2872">
        <w:rPr>
          <w:rFonts w:ascii="Times New Roman" w:eastAsia="Times New Roman" w:hAnsi="Times New Roman" w:cs="Times New Roman"/>
          <w:sz w:val="24"/>
          <w:szCs w:val="24"/>
        </w:rPr>
        <w:t xml:space="preserve">, we found that shocks in </w:t>
      </w:r>
      <w:r w:rsidR="00047B84" w:rsidRPr="00BB2872">
        <w:rPr>
          <w:rFonts w:ascii="Times New Roman" w:eastAsia="Times New Roman" w:hAnsi="Times New Roman" w:cs="Times New Roman"/>
          <w:sz w:val="24"/>
          <w:szCs w:val="24"/>
        </w:rPr>
        <w:t xml:space="preserve">the </w:t>
      </w:r>
      <w:r w:rsidRPr="00BB2872">
        <w:rPr>
          <w:rFonts w:ascii="Times New Roman" w:eastAsia="Times New Roman" w:hAnsi="Times New Roman" w:cs="Times New Roman"/>
          <w:sz w:val="24"/>
          <w:szCs w:val="24"/>
        </w:rPr>
        <w:t xml:space="preserve">repo rate affected the money market rate in all sub-periods except </w:t>
      </w:r>
      <w:r w:rsidR="00047B84" w:rsidRPr="00BB2872">
        <w:rPr>
          <w:rFonts w:ascii="Times New Roman" w:eastAsia="Times New Roman" w:hAnsi="Times New Roman" w:cs="Times New Roman"/>
          <w:sz w:val="24"/>
          <w:szCs w:val="24"/>
        </w:rPr>
        <w:t>for</w:t>
      </w:r>
      <w:r w:rsidRPr="00BB2872">
        <w:rPr>
          <w:rFonts w:ascii="Times New Roman" w:eastAsia="Times New Roman" w:hAnsi="Times New Roman" w:cs="Times New Roman"/>
          <w:sz w:val="24"/>
          <w:szCs w:val="24"/>
        </w:rPr>
        <w:t xml:space="preserve"> the second</w:t>
      </w:r>
      <w:r w:rsidR="00047B84" w:rsidRPr="00BB2872">
        <w:rPr>
          <w:rFonts w:ascii="Times New Roman" w:eastAsia="Times New Roman" w:hAnsi="Times New Roman" w:cs="Times New Roman"/>
          <w:sz w:val="24"/>
          <w:szCs w:val="24"/>
        </w:rPr>
        <w:t>, although</w:t>
      </w:r>
      <w:r w:rsidRPr="00BB2872">
        <w:rPr>
          <w:rFonts w:ascii="Times New Roman" w:eastAsia="Times New Roman" w:hAnsi="Times New Roman" w:cs="Times New Roman"/>
          <w:sz w:val="24"/>
          <w:szCs w:val="24"/>
        </w:rPr>
        <w:t xml:space="preserve"> the responses differed throughout the periods. The responses </w:t>
      </w:r>
      <w:r w:rsidRPr="00BB2872">
        <w:rPr>
          <w:rFonts w:ascii="Times New Roman" w:eastAsia="Times New Roman" w:hAnsi="Times New Roman" w:cs="Times New Roman"/>
          <w:sz w:val="24"/>
          <w:szCs w:val="24"/>
        </w:rPr>
        <w:lastRenderedPageBreak/>
        <w:t xml:space="preserve">in </w:t>
      </w:r>
      <w:r w:rsidR="00047B84" w:rsidRPr="00BB2872">
        <w:rPr>
          <w:rFonts w:ascii="Times New Roman" w:eastAsia="Times New Roman" w:hAnsi="Times New Roman" w:cs="Times New Roman"/>
          <w:sz w:val="24"/>
          <w:szCs w:val="24"/>
        </w:rPr>
        <w:t xml:space="preserve">the </w:t>
      </w:r>
      <w:r w:rsidRPr="00BB2872">
        <w:rPr>
          <w:rFonts w:ascii="Times New Roman" w:eastAsia="Times New Roman" w:hAnsi="Times New Roman" w:cs="Times New Roman"/>
          <w:sz w:val="24"/>
          <w:szCs w:val="24"/>
        </w:rPr>
        <w:t xml:space="preserve">money market rates </w:t>
      </w:r>
      <w:r w:rsidR="00047B84" w:rsidRPr="00BB2872">
        <w:rPr>
          <w:rFonts w:ascii="Times New Roman" w:eastAsia="Times New Roman" w:hAnsi="Times New Roman" w:cs="Times New Roman"/>
          <w:sz w:val="24"/>
          <w:szCs w:val="24"/>
        </w:rPr>
        <w:t>we</w:t>
      </w:r>
      <w:r w:rsidRPr="00BB2872">
        <w:rPr>
          <w:rFonts w:ascii="Times New Roman" w:eastAsia="Times New Roman" w:hAnsi="Times New Roman" w:cs="Times New Roman"/>
          <w:sz w:val="24"/>
          <w:szCs w:val="24"/>
        </w:rPr>
        <w:t>re higher in periods when the monetary policy</w:t>
      </w:r>
      <w:r w:rsidR="00047B84" w:rsidRPr="00BB2872">
        <w:rPr>
          <w:rFonts w:ascii="Times New Roman" w:eastAsia="Times New Roman" w:hAnsi="Times New Roman" w:cs="Times New Roman"/>
          <w:sz w:val="24"/>
          <w:szCs w:val="24"/>
        </w:rPr>
        <w:t xml:space="preserve"> was</w:t>
      </w:r>
      <w:r w:rsidRPr="00BB2872">
        <w:rPr>
          <w:rFonts w:ascii="Times New Roman" w:eastAsia="Times New Roman" w:hAnsi="Times New Roman" w:cs="Times New Roman"/>
          <w:sz w:val="24"/>
          <w:szCs w:val="24"/>
        </w:rPr>
        <w:t xml:space="preserve"> tighten</w:t>
      </w:r>
      <w:r w:rsidR="00047B84" w:rsidRPr="00BB2872">
        <w:rPr>
          <w:rFonts w:ascii="Times New Roman" w:eastAsia="Times New Roman" w:hAnsi="Times New Roman" w:cs="Times New Roman"/>
          <w:sz w:val="24"/>
          <w:szCs w:val="24"/>
        </w:rPr>
        <w:t>ed</w:t>
      </w:r>
      <w:r w:rsidRPr="00BB2872">
        <w:rPr>
          <w:rFonts w:ascii="Times New Roman" w:eastAsia="Times New Roman" w:hAnsi="Times New Roman" w:cs="Times New Roman"/>
          <w:sz w:val="24"/>
          <w:szCs w:val="24"/>
        </w:rPr>
        <w:t xml:space="preserve"> compared to expansionary monetary policy periods, which is a consequence of </w:t>
      </w:r>
      <w:r w:rsidR="00047B84" w:rsidRPr="00BB2872">
        <w:rPr>
          <w:rFonts w:ascii="Times New Roman" w:eastAsia="Times New Roman" w:hAnsi="Times New Roman" w:cs="Times New Roman"/>
          <w:sz w:val="24"/>
          <w:szCs w:val="24"/>
        </w:rPr>
        <w:t xml:space="preserve">the </w:t>
      </w:r>
      <w:r w:rsidRPr="00BB2872">
        <w:rPr>
          <w:rFonts w:ascii="Times New Roman" w:eastAsia="Times New Roman" w:hAnsi="Times New Roman" w:cs="Times New Roman"/>
          <w:sz w:val="24"/>
          <w:szCs w:val="24"/>
        </w:rPr>
        <w:t xml:space="preserve">crises that brought new challenges not only for </w:t>
      </w:r>
      <w:r w:rsidR="00047B84" w:rsidRPr="00BB2872">
        <w:rPr>
          <w:rFonts w:ascii="Times New Roman" w:eastAsia="Times New Roman" w:hAnsi="Times New Roman" w:cs="Times New Roman"/>
          <w:sz w:val="24"/>
          <w:szCs w:val="24"/>
        </w:rPr>
        <w:t xml:space="preserve">the </w:t>
      </w:r>
      <w:r w:rsidRPr="00BB2872">
        <w:rPr>
          <w:rFonts w:ascii="Times New Roman" w:eastAsia="Times New Roman" w:hAnsi="Times New Roman" w:cs="Times New Roman"/>
          <w:sz w:val="24"/>
          <w:szCs w:val="24"/>
        </w:rPr>
        <w:t xml:space="preserve">monetary authorities. </w:t>
      </w:r>
    </w:p>
    <w:p w14:paraId="0000003E" w14:textId="20261226" w:rsidR="00345220" w:rsidRPr="00BB2872" w:rsidRDefault="00D45E73">
      <w:pPr>
        <w:widowControl w:val="0"/>
        <w:spacing w:after="0" w:line="480" w:lineRule="auto"/>
        <w:ind w:firstLine="720"/>
        <w:rPr>
          <w:rFonts w:ascii="Times New Roman" w:eastAsia="Times New Roman" w:hAnsi="Times New Roman" w:cs="Times New Roman"/>
          <w:sz w:val="24"/>
          <w:szCs w:val="24"/>
        </w:rPr>
      </w:pPr>
      <w:bookmarkStart w:id="1" w:name="_heading=h.tyjcwt" w:colFirst="0" w:colLast="0"/>
      <w:bookmarkEnd w:id="1"/>
      <w:r w:rsidRPr="00BB2872">
        <w:rPr>
          <w:rFonts w:ascii="Times New Roman" w:eastAsia="Times New Roman" w:hAnsi="Times New Roman" w:cs="Times New Roman"/>
          <w:sz w:val="24"/>
          <w:szCs w:val="24"/>
        </w:rPr>
        <w:t xml:space="preserve">The IRF representations </w:t>
      </w:r>
      <w:r w:rsidR="00B97F66" w:rsidRPr="00BB2872">
        <w:rPr>
          <w:rFonts w:ascii="Times New Roman" w:eastAsia="Times New Roman" w:hAnsi="Times New Roman" w:cs="Times New Roman"/>
          <w:sz w:val="24"/>
          <w:szCs w:val="24"/>
        </w:rPr>
        <w:t xml:space="preserve">indicate </w:t>
      </w:r>
      <w:r w:rsidRPr="00BB2872">
        <w:rPr>
          <w:rFonts w:ascii="Times New Roman" w:eastAsia="Times New Roman" w:hAnsi="Times New Roman" w:cs="Times New Roman"/>
          <w:sz w:val="24"/>
          <w:szCs w:val="24"/>
        </w:rPr>
        <w:t>that</w:t>
      </w:r>
      <w:r w:rsidR="00B97F66" w:rsidRPr="00BB2872">
        <w:rPr>
          <w:rFonts w:ascii="Times New Roman" w:eastAsia="Times New Roman" w:hAnsi="Times New Roman" w:cs="Times New Roman"/>
          <w:sz w:val="24"/>
          <w:szCs w:val="24"/>
        </w:rPr>
        <w:t>,</w:t>
      </w:r>
      <w:r w:rsidRPr="00BB2872">
        <w:rPr>
          <w:rFonts w:ascii="Times New Roman" w:eastAsia="Times New Roman" w:hAnsi="Times New Roman" w:cs="Times New Roman"/>
          <w:sz w:val="24"/>
          <w:szCs w:val="24"/>
        </w:rPr>
        <w:t xml:space="preserve"> during the first period of restrictive monetary policy, a standard deviation shock to </w:t>
      </w:r>
      <w:r w:rsidR="00B97F66" w:rsidRPr="00BB2872">
        <w:rPr>
          <w:rFonts w:ascii="Times New Roman" w:eastAsia="Times New Roman" w:hAnsi="Times New Roman" w:cs="Times New Roman"/>
          <w:sz w:val="24"/>
          <w:szCs w:val="24"/>
        </w:rPr>
        <w:t xml:space="preserve">a </w:t>
      </w:r>
      <w:r w:rsidRPr="00BB2872">
        <w:rPr>
          <w:rFonts w:ascii="Times New Roman" w:eastAsia="Times New Roman" w:hAnsi="Times New Roman" w:cs="Times New Roman"/>
          <w:sz w:val="24"/>
          <w:szCs w:val="24"/>
        </w:rPr>
        <w:t xml:space="preserve">change </w:t>
      </w:r>
      <w:r w:rsidR="00B97F66" w:rsidRPr="00BB2872">
        <w:rPr>
          <w:rFonts w:ascii="Times New Roman" w:eastAsia="Times New Roman" w:hAnsi="Times New Roman" w:cs="Times New Roman"/>
          <w:sz w:val="24"/>
          <w:szCs w:val="24"/>
        </w:rPr>
        <w:t>in</w:t>
      </w:r>
      <w:r w:rsidRPr="00BB2872">
        <w:rPr>
          <w:rFonts w:ascii="Times New Roman" w:eastAsia="Times New Roman" w:hAnsi="Times New Roman" w:cs="Times New Roman"/>
          <w:sz w:val="24"/>
          <w:szCs w:val="24"/>
        </w:rPr>
        <w:t xml:space="preserve"> the official policy rate caused a positive reaction in a change </w:t>
      </w:r>
      <w:r w:rsidR="00B97F66" w:rsidRPr="00BB2872">
        <w:rPr>
          <w:rFonts w:ascii="Times New Roman" w:eastAsia="Times New Roman" w:hAnsi="Times New Roman" w:cs="Times New Roman"/>
          <w:sz w:val="24"/>
          <w:szCs w:val="24"/>
        </w:rPr>
        <w:t>to the</w:t>
      </w:r>
      <w:r w:rsidRPr="00BB2872">
        <w:rPr>
          <w:rFonts w:ascii="Times New Roman" w:eastAsia="Times New Roman" w:hAnsi="Times New Roman" w:cs="Times New Roman"/>
          <w:sz w:val="24"/>
          <w:szCs w:val="24"/>
        </w:rPr>
        <w:t xml:space="preserve"> </w:t>
      </w:r>
      <w:r w:rsidR="00B97F66" w:rsidRPr="00BB2872">
        <w:rPr>
          <w:rFonts w:ascii="Times New Roman" w:eastAsia="Times New Roman" w:hAnsi="Times New Roman" w:cs="Times New Roman"/>
          <w:sz w:val="24"/>
          <w:szCs w:val="24"/>
        </w:rPr>
        <w:t xml:space="preserve">PRIBOR </w:t>
      </w:r>
      <w:r w:rsidRPr="00BB2872">
        <w:rPr>
          <w:rFonts w:ascii="Times New Roman" w:eastAsia="Times New Roman" w:hAnsi="Times New Roman" w:cs="Times New Roman"/>
          <w:sz w:val="24"/>
          <w:szCs w:val="24"/>
        </w:rPr>
        <w:t xml:space="preserve">money market rate. The positive effect was statistically significant for </w:t>
      </w:r>
      <w:r w:rsidR="00B97F66" w:rsidRPr="00BB2872">
        <w:rPr>
          <w:rFonts w:ascii="Times New Roman" w:eastAsia="Times New Roman" w:hAnsi="Times New Roman" w:cs="Times New Roman"/>
          <w:sz w:val="24"/>
          <w:szCs w:val="24"/>
        </w:rPr>
        <w:t xml:space="preserve">a </w:t>
      </w:r>
      <w:r w:rsidRPr="00BB2872">
        <w:rPr>
          <w:rFonts w:ascii="Times New Roman" w:eastAsia="Times New Roman" w:hAnsi="Times New Roman" w:cs="Times New Roman"/>
          <w:sz w:val="24"/>
          <w:szCs w:val="24"/>
        </w:rPr>
        <w:t xml:space="preserve">one-month lag. The representations of </w:t>
      </w:r>
      <w:r w:rsidR="00B97F66" w:rsidRPr="00BB2872">
        <w:rPr>
          <w:rFonts w:ascii="Times New Roman" w:eastAsia="Times New Roman" w:hAnsi="Times New Roman" w:cs="Times New Roman"/>
          <w:sz w:val="24"/>
          <w:szCs w:val="24"/>
        </w:rPr>
        <w:t xml:space="preserve">the </w:t>
      </w:r>
      <w:r w:rsidRPr="00BB2872">
        <w:rPr>
          <w:rFonts w:ascii="Times New Roman" w:eastAsia="Times New Roman" w:hAnsi="Times New Roman" w:cs="Times New Roman"/>
          <w:sz w:val="24"/>
          <w:szCs w:val="24"/>
        </w:rPr>
        <w:t xml:space="preserve">SVDs in Appendix </w:t>
      </w:r>
      <w:r w:rsidR="00822FCF">
        <w:rPr>
          <w:rFonts w:ascii="Times New Roman" w:eastAsia="Times New Roman" w:hAnsi="Times New Roman" w:cs="Times New Roman"/>
          <w:sz w:val="24"/>
          <w:szCs w:val="24"/>
        </w:rPr>
        <w:t>7</w:t>
      </w:r>
      <w:r w:rsidRPr="00BB2872">
        <w:rPr>
          <w:rFonts w:ascii="Times New Roman" w:eastAsia="Times New Roman" w:hAnsi="Times New Roman" w:cs="Times New Roman"/>
          <w:sz w:val="24"/>
          <w:szCs w:val="24"/>
        </w:rPr>
        <w:t xml:space="preserve"> show how shocks in individual variables contributed to the variance of changes in </w:t>
      </w:r>
      <w:r w:rsidR="00B97F66" w:rsidRPr="00BB2872">
        <w:rPr>
          <w:rFonts w:ascii="Times New Roman" w:eastAsia="Times New Roman" w:hAnsi="Times New Roman" w:cs="Times New Roman"/>
          <w:sz w:val="24"/>
          <w:szCs w:val="24"/>
        </w:rPr>
        <w:t xml:space="preserve">the </w:t>
      </w:r>
      <w:r w:rsidRPr="00BB2872">
        <w:rPr>
          <w:rFonts w:ascii="Times New Roman" w:eastAsia="Times New Roman" w:hAnsi="Times New Roman" w:cs="Times New Roman"/>
          <w:sz w:val="24"/>
          <w:szCs w:val="24"/>
        </w:rPr>
        <w:t xml:space="preserve">PRIBOR. The contribution of a shock in </w:t>
      </w:r>
      <w:r w:rsidR="00B97F66" w:rsidRPr="00BB2872">
        <w:rPr>
          <w:rFonts w:ascii="Times New Roman" w:eastAsia="Times New Roman" w:hAnsi="Times New Roman" w:cs="Times New Roman"/>
          <w:sz w:val="24"/>
          <w:szCs w:val="24"/>
        </w:rPr>
        <w:t xml:space="preserve">the </w:t>
      </w:r>
      <w:r w:rsidRPr="00BB2872">
        <w:rPr>
          <w:rFonts w:ascii="Times New Roman" w:eastAsia="Times New Roman" w:hAnsi="Times New Roman" w:cs="Times New Roman"/>
          <w:sz w:val="24"/>
          <w:szCs w:val="24"/>
        </w:rPr>
        <w:t xml:space="preserve">repo rate to variance in </w:t>
      </w:r>
      <w:r w:rsidR="00B97F66" w:rsidRPr="00BB2872">
        <w:rPr>
          <w:rFonts w:ascii="Times New Roman" w:eastAsia="Times New Roman" w:hAnsi="Times New Roman" w:cs="Times New Roman"/>
          <w:sz w:val="24"/>
          <w:szCs w:val="24"/>
        </w:rPr>
        <w:t xml:space="preserve">the </w:t>
      </w:r>
      <w:r w:rsidRPr="00BB2872">
        <w:rPr>
          <w:rFonts w:ascii="Times New Roman" w:eastAsia="Times New Roman" w:hAnsi="Times New Roman" w:cs="Times New Roman"/>
          <w:sz w:val="24"/>
          <w:szCs w:val="24"/>
        </w:rPr>
        <w:t>PRIBOR was almost one</w:t>
      </w:r>
      <w:r w:rsidR="00B97F66" w:rsidRPr="00BB2872">
        <w:rPr>
          <w:rFonts w:ascii="Times New Roman" w:eastAsia="Times New Roman" w:hAnsi="Times New Roman" w:cs="Times New Roman"/>
          <w:sz w:val="24"/>
          <w:szCs w:val="24"/>
        </w:rPr>
        <w:t>-</w:t>
      </w:r>
      <w:r w:rsidRPr="00BB2872">
        <w:rPr>
          <w:rFonts w:ascii="Times New Roman" w:eastAsia="Times New Roman" w:hAnsi="Times New Roman" w:cs="Times New Roman"/>
          <w:sz w:val="24"/>
          <w:szCs w:val="24"/>
        </w:rPr>
        <w:t xml:space="preserve">third </w:t>
      </w:r>
      <w:r w:rsidR="00B97F66" w:rsidRPr="00BB2872">
        <w:rPr>
          <w:rFonts w:ascii="Times New Roman" w:eastAsia="Times New Roman" w:hAnsi="Times New Roman" w:cs="Times New Roman"/>
          <w:sz w:val="24"/>
          <w:szCs w:val="24"/>
        </w:rPr>
        <w:t>that of the</w:t>
      </w:r>
      <w:r w:rsidRPr="00BB2872">
        <w:rPr>
          <w:rFonts w:ascii="Times New Roman" w:eastAsia="Times New Roman" w:hAnsi="Times New Roman" w:cs="Times New Roman"/>
          <w:sz w:val="24"/>
          <w:szCs w:val="24"/>
        </w:rPr>
        <w:t xml:space="preserve"> other observed variables. During the third </w:t>
      </w:r>
      <w:r w:rsidR="00B97F66" w:rsidRPr="00BB2872">
        <w:rPr>
          <w:rFonts w:ascii="Times New Roman" w:eastAsia="Times New Roman" w:hAnsi="Times New Roman" w:cs="Times New Roman"/>
          <w:sz w:val="24"/>
          <w:szCs w:val="24"/>
        </w:rPr>
        <w:t>(</w:t>
      </w:r>
      <w:proofErr w:type="gramStart"/>
      <w:r w:rsidR="00B97F66" w:rsidRPr="00BB2872">
        <w:rPr>
          <w:rFonts w:ascii="Times New Roman" w:eastAsia="Times New Roman" w:hAnsi="Times New Roman" w:cs="Times New Roman"/>
          <w:sz w:val="24"/>
          <w:szCs w:val="24"/>
        </w:rPr>
        <w:t>i.e.</w:t>
      </w:r>
      <w:proofErr w:type="gramEnd"/>
      <w:r w:rsidR="00B97F66" w:rsidRPr="00BB2872">
        <w:rPr>
          <w:rFonts w:ascii="Times New Roman" w:eastAsia="Times New Roman" w:hAnsi="Times New Roman" w:cs="Times New Roman"/>
          <w:sz w:val="24"/>
          <w:szCs w:val="24"/>
        </w:rPr>
        <w:t xml:space="preserve"> </w:t>
      </w:r>
      <w:r w:rsidRPr="00BB2872">
        <w:rPr>
          <w:rFonts w:ascii="Times New Roman" w:eastAsia="Times New Roman" w:hAnsi="Times New Roman" w:cs="Times New Roman"/>
          <w:sz w:val="24"/>
          <w:szCs w:val="24"/>
        </w:rPr>
        <w:t>ZLB</w:t>
      </w:r>
      <w:r w:rsidR="00B97F66" w:rsidRPr="00BB2872">
        <w:rPr>
          <w:rFonts w:ascii="Times New Roman" w:eastAsia="Times New Roman" w:hAnsi="Times New Roman" w:cs="Times New Roman"/>
          <w:sz w:val="24"/>
          <w:szCs w:val="24"/>
        </w:rPr>
        <w:t>)</w:t>
      </w:r>
      <w:r w:rsidRPr="00BB2872">
        <w:rPr>
          <w:rFonts w:ascii="Times New Roman" w:eastAsia="Times New Roman" w:hAnsi="Times New Roman" w:cs="Times New Roman"/>
          <w:sz w:val="24"/>
          <w:szCs w:val="24"/>
        </w:rPr>
        <w:t xml:space="preserve"> period, the initial stage of pass-through was confirmed to be significant, </w:t>
      </w:r>
      <w:r w:rsidR="00B97F66" w:rsidRPr="00BB2872">
        <w:rPr>
          <w:rFonts w:ascii="Times New Roman" w:eastAsia="Times New Roman" w:hAnsi="Times New Roman" w:cs="Times New Roman"/>
          <w:sz w:val="24"/>
          <w:szCs w:val="24"/>
        </w:rPr>
        <w:t xml:space="preserve">with </w:t>
      </w:r>
      <w:r w:rsidRPr="00BB2872">
        <w:rPr>
          <w:rFonts w:ascii="Times New Roman" w:eastAsia="Times New Roman" w:hAnsi="Times New Roman" w:cs="Times New Roman"/>
          <w:sz w:val="24"/>
          <w:szCs w:val="24"/>
        </w:rPr>
        <w:t xml:space="preserve">the reaction of </w:t>
      </w:r>
      <w:r w:rsidR="00B97F66" w:rsidRPr="00BB2872">
        <w:rPr>
          <w:rFonts w:ascii="Times New Roman" w:eastAsia="Times New Roman" w:hAnsi="Times New Roman" w:cs="Times New Roman"/>
          <w:sz w:val="24"/>
          <w:szCs w:val="24"/>
        </w:rPr>
        <w:t xml:space="preserve">the </w:t>
      </w:r>
      <w:r w:rsidRPr="00BB2872">
        <w:rPr>
          <w:rFonts w:ascii="Times New Roman" w:eastAsia="Times New Roman" w:hAnsi="Times New Roman" w:cs="Times New Roman"/>
          <w:sz w:val="24"/>
          <w:szCs w:val="24"/>
        </w:rPr>
        <w:t xml:space="preserve">PRIBOR </w:t>
      </w:r>
      <w:r w:rsidR="00B97F66" w:rsidRPr="00BB2872">
        <w:rPr>
          <w:rFonts w:ascii="Times New Roman" w:eastAsia="Times New Roman" w:hAnsi="Times New Roman" w:cs="Times New Roman"/>
          <w:sz w:val="24"/>
          <w:szCs w:val="24"/>
        </w:rPr>
        <w:t xml:space="preserve">taking </w:t>
      </w:r>
      <w:r w:rsidRPr="00BB2872">
        <w:rPr>
          <w:rFonts w:ascii="Times New Roman" w:eastAsia="Times New Roman" w:hAnsi="Times New Roman" w:cs="Times New Roman"/>
          <w:sz w:val="24"/>
          <w:szCs w:val="24"/>
        </w:rPr>
        <w:t xml:space="preserve">almost four months and </w:t>
      </w:r>
      <w:r w:rsidR="00B97F66" w:rsidRPr="00BB2872">
        <w:rPr>
          <w:rFonts w:ascii="Times New Roman" w:eastAsia="Times New Roman" w:hAnsi="Times New Roman" w:cs="Times New Roman"/>
          <w:sz w:val="24"/>
          <w:szCs w:val="24"/>
        </w:rPr>
        <w:t xml:space="preserve">being </w:t>
      </w:r>
      <w:r w:rsidRPr="00BB2872">
        <w:rPr>
          <w:rFonts w:ascii="Times New Roman" w:eastAsia="Times New Roman" w:hAnsi="Times New Roman" w:cs="Times New Roman"/>
          <w:sz w:val="24"/>
          <w:szCs w:val="24"/>
        </w:rPr>
        <w:t xml:space="preserve">very low due to </w:t>
      </w:r>
      <w:r w:rsidR="00B97F66" w:rsidRPr="00BB2872">
        <w:rPr>
          <w:rFonts w:ascii="Times New Roman" w:eastAsia="Times New Roman" w:hAnsi="Times New Roman" w:cs="Times New Roman"/>
          <w:sz w:val="24"/>
          <w:szCs w:val="24"/>
        </w:rPr>
        <w:t xml:space="preserve">the </w:t>
      </w:r>
      <w:r w:rsidRPr="00BB2872">
        <w:rPr>
          <w:rFonts w:ascii="Times New Roman" w:eastAsia="Times New Roman" w:hAnsi="Times New Roman" w:cs="Times New Roman"/>
          <w:sz w:val="24"/>
          <w:szCs w:val="24"/>
        </w:rPr>
        <w:t xml:space="preserve">almost exhausted possibilities </w:t>
      </w:r>
      <w:r w:rsidR="00B97F66" w:rsidRPr="00BB2872">
        <w:rPr>
          <w:rFonts w:ascii="Times New Roman" w:eastAsia="Times New Roman" w:hAnsi="Times New Roman" w:cs="Times New Roman"/>
          <w:sz w:val="24"/>
          <w:szCs w:val="24"/>
        </w:rPr>
        <w:t>for the</w:t>
      </w:r>
      <w:r w:rsidRPr="00BB2872">
        <w:rPr>
          <w:rFonts w:ascii="Times New Roman" w:eastAsia="Times New Roman" w:hAnsi="Times New Roman" w:cs="Times New Roman"/>
          <w:sz w:val="24"/>
          <w:szCs w:val="24"/>
        </w:rPr>
        <w:t xml:space="preserve"> monetary authorities </w:t>
      </w:r>
      <w:r w:rsidR="00B97F66" w:rsidRPr="00BB2872">
        <w:rPr>
          <w:rFonts w:ascii="Times New Roman" w:eastAsia="Times New Roman" w:hAnsi="Times New Roman" w:cs="Times New Roman"/>
          <w:sz w:val="24"/>
          <w:szCs w:val="24"/>
        </w:rPr>
        <w:t xml:space="preserve">to lower </w:t>
      </w:r>
      <w:r w:rsidRPr="00BB2872">
        <w:rPr>
          <w:rFonts w:ascii="Times New Roman" w:eastAsia="Times New Roman" w:hAnsi="Times New Roman" w:cs="Times New Roman"/>
          <w:sz w:val="24"/>
          <w:szCs w:val="24"/>
        </w:rPr>
        <w:t>interest rate</w:t>
      </w:r>
      <w:r w:rsidR="00B97F66" w:rsidRPr="00BB2872">
        <w:rPr>
          <w:rFonts w:ascii="Times New Roman" w:eastAsia="Times New Roman" w:hAnsi="Times New Roman" w:cs="Times New Roman"/>
          <w:sz w:val="24"/>
          <w:szCs w:val="24"/>
        </w:rPr>
        <w:t>s</w:t>
      </w:r>
      <w:r w:rsidRPr="00BB2872">
        <w:rPr>
          <w:rFonts w:ascii="Times New Roman" w:eastAsia="Times New Roman" w:hAnsi="Times New Roman" w:cs="Times New Roman"/>
          <w:sz w:val="24"/>
          <w:szCs w:val="24"/>
        </w:rPr>
        <w:t xml:space="preserve">. </w:t>
      </w:r>
      <w:r w:rsidR="00CA7410" w:rsidRPr="00BB2872">
        <w:rPr>
          <w:rFonts w:ascii="Times New Roman" w:eastAsia="Times New Roman" w:hAnsi="Times New Roman" w:cs="Times New Roman"/>
          <w:sz w:val="24"/>
          <w:szCs w:val="24"/>
        </w:rPr>
        <w:t>The</w:t>
      </w:r>
      <w:r w:rsidRPr="00BB2872">
        <w:rPr>
          <w:rFonts w:ascii="Times New Roman" w:eastAsia="Times New Roman" w:hAnsi="Times New Roman" w:cs="Times New Roman"/>
          <w:sz w:val="24"/>
          <w:szCs w:val="24"/>
        </w:rPr>
        <w:t xml:space="preserve"> contribution of </w:t>
      </w:r>
      <w:r w:rsidR="00CA7410" w:rsidRPr="00BB2872">
        <w:rPr>
          <w:rFonts w:ascii="Times New Roman" w:eastAsia="Times New Roman" w:hAnsi="Times New Roman" w:cs="Times New Roman"/>
          <w:sz w:val="24"/>
          <w:szCs w:val="24"/>
        </w:rPr>
        <w:t xml:space="preserve">the </w:t>
      </w:r>
      <w:r w:rsidRPr="00BB2872">
        <w:rPr>
          <w:rFonts w:ascii="Times New Roman" w:eastAsia="Times New Roman" w:hAnsi="Times New Roman" w:cs="Times New Roman"/>
          <w:sz w:val="24"/>
          <w:szCs w:val="24"/>
        </w:rPr>
        <w:t xml:space="preserve">repo rate to </w:t>
      </w:r>
      <w:r w:rsidR="00CA7410" w:rsidRPr="00BB2872">
        <w:rPr>
          <w:rFonts w:ascii="Times New Roman" w:eastAsia="Times New Roman" w:hAnsi="Times New Roman" w:cs="Times New Roman"/>
          <w:sz w:val="24"/>
          <w:szCs w:val="24"/>
        </w:rPr>
        <w:t xml:space="preserve">the </w:t>
      </w:r>
      <w:r w:rsidRPr="00BB2872">
        <w:rPr>
          <w:rFonts w:ascii="Times New Roman" w:eastAsia="Times New Roman" w:hAnsi="Times New Roman" w:cs="Times New Roman"/>
          <w:sz w:val="24"/>
          <w:szCs w:val="24"/>
        </w:rPr>
        <w:t xml:space="preserve">variance </w:t>
      </w:r>
      <w:r w:rsidR="00CA7410" w:rsidRPr="00BB2872">
        <w:rPr>
          <w:rFonts w:ascii="Times New Roman" w:eastAsia="Times New Roman" w:hAnsi="Times New Roman" w:cs="Times New Roman"/>
          <w:sz w:val="24"/>
          <w:szCs w:val="24"/>
        </w:rPr>
        <w:t>in the</w:t>
      </w:r>
      <w:r w:rsidRPr="00BB2872">
        <w:rPr>
          <w:rFonts w:ascii="Times New Roman" w:eastAsia="Times New Roman" w:hAnsi="Times New Roman" w:cs="Times New Roman"/>
          <w:sz w:val="24"/>
          <w:szCs w:val="24"/>
        </w:rPr>
        <w:t xml:space="preserve"> PRIBOR was again almost one</w:t>
      </w:r>
      <w:r w:rsidR="00CA7410" w:rsidRPr="00BB2872">
        <w:rPr>
          <w:rFonts w:ascii="Times New Roman" w:eastAsia="Times New Roman" w:hAnsi="Times New Roman" w:cs="Times New Roman"/>
          <w:sz w:val="24"/>
          <w:szCs w:val="24"/>
        </w:rPr>
        <w:t>-</w:t>
      </w:r>
      <w:r w:rsidRPr="00BB2872">
        <w:rPr>
          <w:rFonts w:ascii="Times New Roman" w:eastAsia="Times New Roman" w:hAnsi="Times New Roman" w:cs="Times New Roman"/>
          <w:sz w:val="24"/>
          <w:szCs w:val="24"/>
        </w:rPr>
        <w:t xml:space="preserve">third. When observing </w:t>
      </w:r>
      <w:r w:rsidR="00CA7410" w:rsidRPr="00BB2872">
        <w:rPr>
          <w:rFonts w:ascii="Times New Roman" w:eastAsia="Times New Roman" w:hAnsi="Times New Roman" w:cs="Times New Roman"/>
          <w:sz w:val="24"/>
          <w:szCs w:val="24"/>
        </w:rPr>
        <w:t xml:space="preserve">the </w:t>
      </w:r>
      <w:r w:rsidRPr="00BB2872">
        <w:rPr>
          <w:rFonts w:ascii="Times New Roman" w:eastAsia="Times New Roman" w:hAnsi="Times New Roman" w:cs="Times New Roman"/>
          <w:sz w:val="24"/>
          <w:szCs w:val="24"/>
        </w:rPr>
        <w:t xml:space="preserve">last period, the response to the shock in </w:t>
      </w:r>
      <w:r w:rsidR="00CA7410" w:rsidRPr="00BB2872">
        <w:rPr>
          <w:rFonts w:ascii="Times New Roman" w:eastAsia="Times New Roman" w:hAnsi="Times New Roman" w:cs="Times New Roman"/>
          <w:sz w:val="24"/>
          <w:szCs w:val="24"/>
        </w:rPr>
        <w:t xml:space="preserve">the </w:t>
      </w:r>
      <w:r w:rsidRPr="00BB2872">
        <w:rPr>
          <w:rFonts w:ascii="Times New Roman" w:eastAsia="Times New Roman" w:hAnsi="Times New Roman" w:cs="Times New Roman"/>
          <w:sz w:val="24"/>
          <w:szCs w:val="24"/>
        </w:rPr>
        <w:t xml:space="preserve">repo rate </w:t>
      </w:r>
      <w:r w:rsidR="00CA7410" w:rsidRPr="00BB2872">
        <w:rPr>
          <w:rFonts w:ascii="Times New Roman" w:eastAsia="Times New Roman" w:hAnsi="Times New Roman" w:cs="Times New Roman"/>
          <w:sz w:val="24"/>
          <w:szCs w:val="24"/>
        </w:rPr>
        <w:t xml:space="preserve">again </w:t>
      </w:r>
      <w:r w:rsidRPr="00BB2872">
        <w:rPr>
          <w:rFonts w:ascii="Times New Roman" w:eastAsia="Times New Roman" w:hAnsi="Times New Roman" w:cs="Times New Roman"/>
          <w:sz w:val="24"/>
          <w:szCs w:val="24"/>
        </w:rPr>
        <w:t xml:space="preserve">took one month and contributed by 62%. The importance of the signalling role of changes in the official policy rate </w:t>
      </w:r>
      <w:r w:rsidR="00CA7410" w:rsidRPr="00BB2872">
        <w:rPr>
          <w:rFonts w:ascii="Times New Roman" w:eastAsia="Times New Roman" w:hAnsi="Times New Roman" w:cs="Times New Roman"/>
          <w:sz w:val="24"/>
          <w:szCs w:val="24"/>
        </w:rPr>
        <w:t>was again</w:t>
      </w:r>
      <w:r w:rsidRPr="00BB2872">
        <w:rPr>
          <w:rFonts w:ascii="Times New Roman" w:eastAsia="Times New Roman" w:hAnsi="Times New Roman" w:cs="Times New Roman"/>
          <w:sz w:val="24"/>
          <w:szCs w:val="24"/>
        </w:rPr>
        <w:t xml:space="preserve"> essential since the ZLB. </w:t>
      </w:r>
    </w:p>
    <w:p w14:paraId="0000003F" w14:textId="77777777" w:rsidR="00345220" w:rsidRPr="00BB2872" w:rsidRDefault="00345220"/>
    <w:p w14:paraId="00000040" w14:textId="77777777" w:rsidR="00345220" w:rsidRPr="00BB2872" w:rsidRDefault="00D45E73">
      <w:pPr>
        <w:spacing w:after="120"/>
        <w:jc w:val="both"/>
        <w:rPr>
          <w:rFonts w:ascii="Times New Roman" w:eastAsia="Times New Roman" w:hAnsi="Times New Roman" w:cs="Times New Roman"/>
          <w:sz w:val="24"/>
          <w:szCs w:val="24"/>
        </w:rPr>
      </w:pPr>
      <w:r w:rsidRPr="00BB2872">
        <w:rPr>
          <w:rFonts w:ascii="Times New Roman" w:eastAsia="Times New Roman" w:hAnsi="Times New Roman" w:cs="Times New Roman"/>
          <w:sz w:val="24"/>
          <w:szCs w:val="24"/>
        </w:rPr>
        <w:t xml:space="preserve">Figure 2. Reaction of </w:t>
      </w:r>
      <w:proofErr w:type="spellStart"/>
      <w:r w:rsidRPr="00BB2872">
        <w:rPr>
          <w:rFonts w:ascii="Times New Roman" w:eastAsia="Times New Roman" w:hAnsi="Times New Roman" w:cs="Times New Roman"/>
          <w:sz w:val="24"/>
          <w:szCs w:val="24"/>
        </w:rPr>
        <w:t>d_pribor_rate</w:t>
      </w:r>
      <w:proofErr w:type="spellEnd"/>
      <w:r w:rsidRPr="00BB2872">
        <w:rPr>
          <w:rFonts w:ascii="Times New Roman" w:eastAsia="Times New Roman" w:hAnsi="Times New Roman" w:cs="Times New Roman"/>
          <w:sz w:val="24"/>
          <w:szCs w:val="24"/>
        </w:rPr>
        <w:t xml:space="preserve"> to a standard deviation shock in </w:t>
      </w:r>
      <w:proofErr w:type="spellStart"/>
      <w:r w:rsidRPr="00BB2872">
        <w:rPr>
          <w:rFonts w:ascii="Times New Roman" w:eastAsia="Times New Roman" w:hAnsi="Times New Roman" w:cs="Times New Roman"/>
          <w:sz w:val="24"/>
          <w:szCs w:val="24"/>
        </w:rPr>
        <w:t>d_repo_rate</w:t>
      </w:r>
      <w:proofErr w:type="spellEnd"/>
      <w:r w:rsidRPr="00BB2872">
        <w:rPr>
          <w:rFonts w:ascii="Times New Roman" w:eastAsia="Times New Roman" w:hAnsi="Times New Roman" w:cs="Times New Roman"/>
          <w:sz w:val="24"/>
          <w:szCs w:val="24"/>
        </w:rPr>
        <w:t xml:space="preserve"> during different monetary policy stances</w:t>
      </w:r>
    </w:p>
    <w:p w14:paraId="00000041" w14:textId="77777777" w:rsidR="00345220" w:rsidRPr="00BB2872" w:rsidRDefault="00345220"/>
    <w:p w14:paraId="00000042" w14:textId="2D988540" w:rsidR="00345220" w:rsidRPr="00BB2872" w:rsidRDefault="00CA7410">
      <w:pPr>
        <w:pStyle w:val="Nadpis2"/>
      </w:pPr>
      <w:r w:rsidRPr="00BB2872">
        <w:t>5</w:t>
      </w:r>
      <w:r w:rsidR="00D45E73" w:rsidRPr="00BB2872">
        <w:t xml:space="preserve">.3 </w:t>
      </w:r>
      <w:r w:rsidRPr="00BB2872">
        <w:t>P</w:t>
      </w:r>
      <w:r w:rsidR="00D45E73" w:rsidRPr="00BB2872">
        <w:t>ass-through from money market rate to corporate lending rates</w:t>
      </w:r>
    </w:p>
    <w:p w14:paraId="00000043" w14:textId="61FDC3CB" w:rsidR="00345220" w:rsidRPr="00BB2872" w:rsidRDefault="00D45E73">
      <w:pPr>
        <w:widowControl w:val="0"/>
        <w:spacing w:before="240" w:after="0" w:line="480" w:lineRule="auto"/>
        <w:rPr>
          <w:rFonts w:ascii="Times New Roman" w:eastAsia="Times New Roman" w:hAnsi="Times New Roman" w:cs="Times New Roman"/>
          <w:sz w:val="24"/>
          <w:szCs w:val="24"/>
        </w:rPr>
      </w:pPr>
      <w:r w:rsidRPr="00BB2872">
        <w:rPr>
          <w:rFonts w:ascii="Times New Roman" w:eastAsia="Times New Roman" w:hAnsi="Times New Roman" w:cs="Times New Roman"/>
          <w:sz w:val="24"/>
          <w:szCs w:val="24"/>
        </w:rPr>
        <w:t xml:space="preserve">The IRFs </w:t>
      </w:r>
      <w:r w:rsidR="00975D22" w:rsidRPr="00BB2872">
        <w:rPr>
          <w:rFonts w:ascii="Times New Roman" w:eastAsia="Times New Roman" w:hAnsi="Times New Roman" w:cs="Times New Roman"/>
          <w:sz w:val="24"/>
          <w:szCs w:val="24"/>
        </w:rPr>
        <w:t xml:space="preserve">shown </w:t>
      </w:r>
      <w:r w:rsidRPr="00BB2872">
        <w:rPr>
          <w:rFonts w:ascii="Times New Roman" w:eastAsia="Times New Roman" w:hAnsi="Times New Roman" w:cs="Times New Roman"/>
          <w:sz w:val="24"/>
          <w:szCs w:val="24"/>
        </w:rPr>
        <w:t>in Figure 3</w:t>
      </w:r>
      <w:r w:rsidR="00975D22" w:rsidRPr="00BB2872">
        <w:rPr>
          <w:rFonts w:ascii="Times New Roman" w:eastAsia="Times New Roman" w:hAnsi="Times New Roman" w:cs="Times New Roman"/>
          <w:sz w:val="24"/>
          <w:szCs w:val="24"/>
        </w:rPr>
        <w:t>,</w:t>
      </w:r>
      <w:r w:rsidRPr="00BB2872">
        <w:rPr>
          <w:rFonts w:ascii="Times New Roman" w:eastAsia="Times New Roman" w:hAnsi="Times New Roman" w:cs="Times New Roman"/>
          <w:sz w:val="24"/>
          <w:szCs w:val="24"/>
        </w:rPr>
        <w:t xml:space="preserve"> </w:t>
      </w:r>
      <w:r w:rsidR="00975D22" w:rsidRPr="00BB2872">
        <w:rPr>
          <w:rFonts w:ascii="Times New Roman" w:eastAsia="Times New Roman" w:hAnsi="Times New Roman" w:cs="Times New Roman"/>
          <w:sz w:val="24"/>
          <w:szCs w:val="24"/>
        </w:rPr>
        <w:t>representing</w:t>
      </w:r>
      <w:r w:rsidRPr="00BB2872">
        <w:rPr>
          <w:rFonts w:ascii="Times New Roman" w:eastAsia="Times New Roman" w:hAnsi="Times New Roman" w:cs="Times New Roman"/>
          <w:sz w:val="24"/>
          <w:szCs w:val="24"/>
        </w:rPr>
        <w:t xml:space="preserve"> the next stage </w:t>
      </w:r>
      <w:r w:rsidR="00975D22" w:rsidRPr="00BB2872">
        <w:rPr>
          <w:rFonts w:ascii="Times New Roman" w:eastAsia="Times New Roman" w:hAnsi="Times New Roman" w:cs="Times New Roman"/>
          <w:sz w:val="24"/>
          <w:szCs w:val="24"/>
        </w:rPr>
        <w:t>in</w:t>
      </w:r>
      <w:r w:rsidRPr="00BB2872">
        <w:rPr>
          <w:rFonts w:ascii="Times New Roman" w:eastAsia="Times New Roman" w:hAnsi="Times New Roman" w:cs="Times New Roman"/>
          <w:sz w:val="24"/>
          <w:szCs w:val="24"/>
        </w:rPr>
        <w:t xml:space="preserve"> the pass-through from money market rate to corporate lending rates for loans </w:t>
      </w:r>
      <w:r w:rsidR="00975D22" w:rsidRPr="00BB2872">
        <w:rPr>
          <w:rFonts w:ascii="Times New Roman" w:eastAsia="Times New Roman" w:hAnsi="Times New Roman" w:cs="Times New Roman"/>
          <w:sz w:val="24"/>
          <w:szCs w:val="24"/>
        </w:rPr>
        <w:t xml:space="preserve">of </w:t>
      </w:r>
      <w:r w:rsidRPr="00BB2872">
        <w:rPr>
          <w:rFonts w:ascii="Times New Roman" w:eastAsia="Times New Roman" w:hAnsi="Times New Roman" w:cs="Times New Roman"/>
          <w:sz w:val="24"/>
          <w:szCs w:val="24"/>
        </w:rPr>
        <w:t>up to 30 mil</w:t>
      </w:r>
      <w:r w:rsidR="00975D22" w:rsidRPr="00BB2872">
        <w:rPr>
          <w:rFonts w:ascii="Times New Roman" w:eastAsia="Times New Roman" w:hAnsi="Times New Roman" w:cs="Times New Roman"/>
          <w:sz w:val="24"/>
          <w:szCs w:val="24"/>
        </w:rPr>
        <w:t>lion</w:t>
      </w:r>
      <w:r w:rsidRPr="00BB2872">
        <w:rPr>
          <w:rFonts w:ascii="Times New Roman" w:eastAsia="Times New Roman" w:hAnsi="Times New Roman" w:cs="Times New Roman"/>
          <w:sz w:val="24"/>
          <w:szCs w:val="24"/>
        </w:rPr>
        <w:t xml:space="preserve"> CZK</w:t>
      </w:r>
      <w:r w:rsidR="00975D22" w:rsidRPr="00BB2872">
        <w:rPr>
          <w:rFonts w:ascii="Times New Roman" w:eastAsia="Times New Roman" w:hAnsi="Times New Roman" w:cs="Times New Roman"/>
          <w:sz w:val="24"/>
          <w:szCs w:val="24"/>
        </w:rPr>
        <w:t>,</w:t>
      </w:r>
      <w:r w:rsidRPr="00BB2872">
        <w:rPr>
          <w:rFonts w:ascii="Times New Roman" w:eastAsia="Times New Roman" w:hAnsi="Times New Roman" w:cs="Times New Roman"/>
          <w:sz w:val="24"/>
          <w:szCs w:val="24"/>
        </w:rPr>
        <w:t xml:space="preserve"> identified that the changes in </w:t>
      </w:r>
      <w:r w:rsidR="00975D22" w:rsidRPr="00BB2872">
        <w:rPr>
          <w:rFonts w:ascii="Times New Roman" w:eastAsia="Times New Roman" w:hAnsi="Times New Roman" w:cs="Times New Roman"/>
          <w:sz w:val="24"/>
          <w:szCs w:val="24"/>
        </w:rPr>
        <w:t xml:space="preserve">the </w:t>
      </w:r>
      <w:r w:rsidRPr="00BB2872">
        <w:rPr>
          <w:rFonts w:ascii="Times New Roman" w:eastAsia="Times New Roman" w:hAnsi="Times New Roman" w:cs="Times New Roman"/>
          <w:sz w:val="24"/>
          <w:szCs w:val="24"/>
        </w:rPr>
        <w:t xml:space="preserve">PRIBOR were significantly reflected in </w:t>
      </w:r>
      <w:r w:rsidR="00975D22" w:rsidRPr="00BB2872">
        <w:rPr>
          <w:rFonts w:ascii="Times New Roman" w:eastAsia="Times New Roman" w:hAnsi="Times New Roman" w:cs="Times New Roman"/>
          <w:sz w:val="24"/>
          <w:szCs w:val="24"/>
        </w:rPr>
        <w:t xml:space="preserve">the </w:t>
      </w:r>
      <w:r w:rsidRPr="00BB2872">
        <w:rPr>
          <w:rFonts w:ascii="Times New Roman" w:eastAsia="Times New Roman" w:hAnsi="Times New Roman" w:cs="Times New Roman"/>
          <w:sz w:val="24"/>
          <w:szCs w:val="24"/>
        </w:rPr>
        <w:t xml:space="preserve">lending rates during the first, second and fourth periods. </w:t>
      </w:r>
    </w:p>
    <w:p w14:paraId="00000044" w14:textId="5099722F" w:rsidR="00345220" w:rsidRPr="00BB2872" w:rsidRDefault="00D45E73" w:rsidP="00C864F0">
      <w:pPr>
        <w:widowControl w:val="0"/>
        <w:spacing w:after="0" w:line="480" w:lineRule="auto"/>
        <w:ind w:firstLine="720"/>
        <w:rPr>
          <w:rFonts w:ascii="Times New Roman" w:eastAsia="Times New Roman" w:hAnsi="Times New Roman" w:cs="Times New Roman"/>
          <w:sz w:val="24"/>
          <w:szCs w:val="24"/>
        </w:rPr>
      </w:pPr>
      <w:r w:rsidRPr="00BB2872">
        <w:rPr>
          <w:rFonts w:ascii="Times New Roman" w:eastAsia="Times New Roman" w:hAnsi="Times New Roman" w:cs="Times New Roman"/>
          <w:sz w:val="24"/>
          <w:szCs w:val="24"/>
        </w:rPr>
        <w:t>The IRFs w</w:t>
      </w:r>
      <w:r w:rsidR="00975D22" w:rsidRPr="00BB2872">
        <w:rPr>
          <w:rFonts w:ascii="Times New Roman" w:eastAsia="Times New Roman" w:hAnsi="Times New Roman" w:cs="Times New Roman"/>
          <w:sz w:val="24"/>
          <w:szCs w:val="24"/>
        </w:rPr>
        <w:t>ere</w:t>
      </w:r>
      <w:r w:rsidRPr="00BB2872">
        <w:rPr>
          <w:rFonts w:ascii="Times New Roman" w:eastAsia="Times New Roman" w:hAnsi="Times New Roman" w:cs="Times New Roman"/>
          <w:sz w:val="24"/>
          <w:szCs w:val="24"/>
        </w:rPr>
        <w:t xml:space="preserve"> statistically significant for </w:t>
      </w:r>
      <w:r w:rsidR="00975D22" w:rsidRPr="00BB2872">
        <w:rPr>
          <w:rFonts w:ascii="Times New Roman" w:eastAsia="Times New Roman" w:hAnsi="Times New Roman" w:cs="Times New Roman"/>
          <w:sz w:val="24"/>
          <w:szCs w:val="24"/>
        </w:rPr>
        <w:t xml:space="preserve">a </w:t>
      </w:r>
      <w:r w:rsidRPr="00BB2872">
        <w:rPr>
          <w:rFonts w:ascii="Times New Roman" w:eastAsia="Times New Roman" w:hAnsi="Times New Roman" w:cs="Times New Roman"/>
          <w:sz w:val="24"/>
          <w:szCs w:val="24"/>
        </w:rPr>
        <w:t>one</w:t>
      </w:r>
      <w:r w:rsidR="00975D22" w:rsidRPr="00BB2872">
        <w:rPr>
          <w:rFonts w:ascii="Times New Roman" w:eastAsia="Times New Roman" w:hAnsi="Times New Roman" w:cs="Times New Roman"/>
          <w:sz w:val="24"/>
          <w:szCs w:val="24"/>
        </w:rPr>
        <w:t>-</w:t>
      </w:r>
      <w:r w:rsidRPr="00BB2872">
        <w:rPr>
          <w:rFonts w:ascii="Times New Roman" w:eastAsia="Times New Roman" w:hAnsi="Times New Roman" w:cs="Times New Roman"/>
          <w:sz w:val="24"/>
          <w:szCs w:val="24"/>
        </w:rPr>
        <w:t xml:space="preserve">month lag during the first and second </w:t>
      </w:r>
      <w:r w:rsidRPr="00BB2872">
        <w:rPr>
          <w:rFonts w:ascii="Times New Roman" w:eastAsia="Times New Roman" w:hAnsi="Times New Roman" w:cs="Times New Roman"/>
          <w:sz w:val="24"/>
          <w:szCs w:val="24"/>
        </w:rPr>
        <w:lastRenderedPageBreak/>
        <w:t>period</w:t>
      </w:r>
      <w:r w:rsidR="00975D22" w:rsidRPr="00BB2872">
        <w:rPr>
          <w:rFonts w:ascii="Times New Roman" w:eastAsia="Times New Roman" w:hAnsi="Times New Roman" w:cs="Times New Roman"/>
          <w:sz w:val="24"/>
          <w:szCs w:val="24"/>
        </w:rPr>
        <w:t>s</w:t>
      </w:r>
      <w:r w:rsidRPr="00BB2872">
        <w:rPr>
          <w:rFonts w:ascii="Times New Roman" w:eastAsia="Times New Roman" w:hAnsi="Times New Roman" w:cs="Times New Roman"/>
          <w:sz w:val="24"/>
          <w:szCs w:val="24"/>
        </w:rPr>
        <w:t xml:space="preserve">. The contribution of a shock in </w:t>
      </w:r>
      <w:r w:rsidR="00975D22" w:rsidRPr="00BB2872">
        <w:rPr>
          <w:rFonts w:ascii="Times New Roman" w:eastAsia="Times New Roman" w:hAnsi="Times New Roman" w:cs="Times New Roman"/>
          <w:sz w:val="24"/>
          <w:szCs w:val="24"/>
        </w:rPr>
        <w:t xml:space="preserve">the </w:t>
      </w:r>
      <w:r w:rsidRPr="00BB2872">
        <w:rPr>
          <w:rFonts w:ascii="Times New Roman" w:eastAsia="Times New Roman" w:hAnsi="Times New Roman" w:cs="Times New Roman"/>
          <w:sz w:val="24"/>
          <w:szCs w:val="24"/>
        </w:rPr>
        <w:t xml:space="preserve">PRIBOR to </w:t>
      </w:r>
      <w:r w:rsidR="00975D22" w:rsidRPr="00BB2872">
        <w:rPr>
          <w:rFonts w:ascii="Times New Roman" w:eastAsia="Times New Roman" w:hAnsi="Times New Roman" w:cs="Times New Roman"/>
          <w:sz w:val="24"/>
          <w:szCs w:val="24"/>
        </w:rPr>
        <w:t xml:space="preserve">the </w:t>
      </w:r>
      <w:r w:rsidRPr="00BB2872">
        <w:rPr>
          <w:rFonts w:ascii="Times New Roman" w:eastAsia="Times New Roman" w:hAnsi="Times New Roman" w:cs="Times New Roman"/>
          <w:sz w:val="24"/>
          <w:szCs w:val="24"/>
        </w:rPr>
        <w:t xml:space="preserve">variance in </w:t>
      </w:r>
      <w:r w:rsidR="00975D22" w:rsidRPr="00BB2872">
        <w:rPr>
          <w:rFonts w:ascii="Times New Roman" w:eastAsia="Times New Roman" w:hAnsi="Times New Roman" w:cs="Times New Roman"/>
          <w:sz w:val="24"/>
          <w:szCs w:val="24"/>
        </w:rPr>
        <w:t xml:space="preserve">the </w:t>
      </w:r>
      <w:r w:rsidRPr="00BB2872">
        <w:rPr>
          <w:rFonts w:ascii="Times New Roman" w:eastAsia="Times New Roman" w:hAnsi="Times New Roman" w:cs="Times New Roman"/>
          <w:sz w:val="24"/>
          <w:szCs w:val="24"/>
        </w:rPr>
        <w:t xml:space="preserve">corporate lending rate for loans </w:t>
      </w:r>
      <w:r w:rsidR="00975D22" w:rsidRPr="00BB2872">
        <w:rPr>
          <w:rFonts w:ascii="Times New Roman" w:eastAsia="Times New Roman" w:hAnsi="Times New Roman" w:cs="Times New Roman"/>
          <w:sz w:val="24"/>
          <w:szCs w:val="24"/>
        </w:rPr>
        <w:t xml:space="preserve">of </w:t>
      </w:r>
      <w:r w:rsidRPr="00BB2872">
        <w:rPr>
          <w:rFonts w:ascii="Times New Roman" w:eastAsia="Times New Roman" w:hAnsi="Times New Roman" w:cs="Times New Roman"/>
          <w:sz w:val="24"/>
          <w:szCs w:val="24"/>
        </w:rPr>
        <w:t>up to 30 mil</w:t>
      </w:r>
      <w:r w:rsidR="00975D22" w:rsidRPr="00BB2872">
        <w:rPr>
          <w:rFonts w:ascii="Times New Roman" w:eastAsia="Times New Roman" w:hAnsi="Times New Roman" w:cs="Times New Roman"/>
          <w:sz w:val="24"/>
          <w:szCs w:val="24"/>
        </w:rPr>
        <w:t>lion</w:t>
      </w:r>
      <w:r w:rsidRPr="00BB2872">
        <w:rPr>
          <w:rFonts w:ascii="Times New Roman" w:eastAsia="Times New Roman" w:hAnsi="Times New Roman" w:cs="Times New Roman"/>
          <w:sz w:val="24"/>
          <w:szCs w:val="24"/>
        </w:rPr>
        <w:t xml:space="preserve"> CZK was very low (5% for the first and 3% for the second period</w:t>
      </w:r>
      <w:r w:rsidR="00975D22" w:rsidRPr="00BB2872">
        <w:rPr>
          <w:rFonts w:ascii="Times New Roman" w:eastAsia="Times New Roman" w:hAnsi="Times New Roman" w:cs="Times New Roman"/>
          <w:sz w:val="24"/>
          <w:szCs w:val="24"/>
        </w:rPr>
        <w:t>;</w:t>
      </w:r>
      <w:r w:rsidRPr="00BB2872">
        <w:rPr>
          <w:rFonts w:ascii="Times New Roman" w:eastAsia="Times New Roman" w:hAnsi="Times New Roman" w:cs="Times New Roman"/>
          <w:sz w:val="24"/>
          <w:szCs w:val="24"/>
        </w:rPr>
        <w:t xml:space="preserve"> see Appendix </w:t>
      </w:r>
      <w:r w:rsidR="00822FCF">
        <w:rPr>
          <w:rFonts w:ascii="Times New Roman" w:eastAsia="Times New Roman" w:hAnsi="Times New Roman" w:cs="Times New Roman"/>
          <w:sz w:val="24"/>
          <w:szCs w:val="24"/>
        </w:rPr>
        <w:t>8</w:t>
      </w:r>
      <w:r w:rsidRPr="00BB2872">
        <w:rPr>
          <w:rFonts w:ascii="Times New Roman" w:eastAsia="Times New Roman" w:hAnsi="Times New Roman" w:cs="Times New Roman"/>
          <w:sz w:val="24"/>
          <w:szCs w:val="24"/>
        </w:rPr>
        <w:t xml:space="preserve"> for more information) for this interest rate. During the ZLB period, the reaction was not statistically significant. </w:t>
      </w:r>
      <w:r w:rsidR="00975D22" w:rsidRPr="00BB2872">
        <w:rPr>
          <w:rFonts w:ascii="Times New Roman" w:eastAsia="Times New Roman" w:hAnsi="Times New Roman" w:cs="Times New Roman"/>
          <w:sz w:val="24"/>
          <w:szCs w:val="24"/>
        </w:rPr>
        <w:t>This</w:t>
      </w:r>
      <w:r w:rsidRPr="00BB2872">
        <w:rPr>
          <w:rFonts w:ascii="Times New Roman" w:eastAsia="Times New Roman" w:hAnsi="Times New Roman" w:cs="Times New Roman"/>
          <w:sz w:val="24"/>
          <w:szCs w:val="24"/>
        </w:rPr>
        <w:t xml:space="preserve"> might point to disruptions and </w:t>
      </w:r>
      <w:r w:rsidR="00975D22" w:rsidRPr="00BB2872">
        <w:rPr>
          <w:rFonts w:ascii="Times New Roman" w:eastAsia="Times New Roman" w:hAnsi="Times New Roman" w:cs="Times New Roman"/>
          <w:sz w:val="24"/>
          <w:szCs w:val="24"/>
        </w:rPr>
        <w:t xml:space="preserve">a </w:t>
      </w:r>
      <w:r w:rsidRPr="00BB2872">
        <w:rPr>
          <w:rFonts w:ascii="Times New Roman" w:eastAsia="Times New Roman" w:hAnsi="Times New Roman" w:cs="Times New Roman"/>
          <w:sz w:val="24"/>
          <w:szCs w:val="24"/>
        </w:rPr>
        <w:t>slowdown in transmission</w:t>
      </w:r>
      <w:r w:rsidR="00975D22" w:rsidRPr="00BB2872">
        <w:rPr>
          <w:rFonts w:ascii="Times New Roman" w:eastAsia="Times New Roman" w:hAnsi="Times New Roman" w:cs="Times New Roman"/>
          <w:sz w:val="24"/>
          <w:szCs w:val="24"/>
        </w:rPr>
        <w:t>,</w:t>
      </w:r>
      <w:r w:rsidRPr="00BB2872">
        <w:rPr>
          <w:rFonts w:ascii="Times New Roman" w:eastAsia="Times New Roman" w:hAnsi="Times New Roman" w:cs="Times New Roman"/>
          <w:sz w:val="24"/>
          <w:szCs w:val="24"/>
        </w:rPr>
        <w:t xml:space="preserve"> as </w:t>
      </w:r>
      <w:r w:rsidR="00975D22" w:rsidRPr="00BB2872">
        <w:rPr>
          <w:rFonts w:ascii="Times New Roman" w:eastAsia="Times New Roman" w:hAnsi="Times New Roman" w:cs="Times New Roman"/>
          <w:sz w:val="24"/>
          <w:szCs w:val="24"/>
        </w:rPr>
        <w:t>posited</w:t>
      </w:r>
      <w:r w:rsidRPr="00BB2872">
        <w:rPr>
          <w:rFonts w:ascii="Times New Roman" w:eastAsia="Times New Roman" w:hAnsi="Times New Roman" w:cs="Times New Roman"/>
          <w:sz w:val="24"/>
          <w:szCs w:val="24"/>
        </w:rPr>
        <w:t xml:space="preserve"> by Holton and Rodriguez </w:t>
      </w:r>
      <w:proofErr w:type="spellStart"/>
      <w:r w:rsidRPr="00BB2872">
        <w:rPr>
          <w:rFonts w:ascii="Times New Roman" w:eastAsia="Times New Roman" w:hAnsi="Times New Roman" w:cs="Times New Roman"/>
          <w:sz w:val="24"/>
          <w:szCs w:val="24"/>
        </w:rPr>
        <w:t>d</w:t>
      </w:r>
      <w:r w:rsidR="00B56951" w:rsidRPr="00BB2872">
        <w:rPr>
          <w:rFonts w:ascii="Times New Roman" w:eastAsia="Times New Roman" w:hAnsi="Times New Roman" w:cs="Times New Roman"/>
          <w:sz w:val="24"/>
          <w:szCs w:val="24"/>
        </w:rPr>
        <w:t>’</w:t>
      </w:r>
      <w:r w:rsidRPr="00BB2872">
        <w:rPr>
          <w:rFonts w:ascii="Times New Roman" w:eastAsia="Times New Roman" w:hAnsi="Times New Roman" w:cs="Times New Roman"/>
          <w:sz w:val="24"/>
          <w:szCs w:val="24"/>
        </w:rPr>
        <w:t>Arci</w:t>
      </w:r>
      <w:proofErr w:type="spellEnd"/>
      <w:r w:rsidRPr="00BB2872">
        <w:rPr>
          <w:rFonts w:ascii="Times New Roman" w:eastAsia="Times New Roman" w:hAnsi="Times New Roman" w:cs="Times New Roman"/>
          <w:sz w:val="24"/>
          <w:szCs w:val="24"/>
        </w:rPr>
        <w:t xml:space="preserve"> (2015) </w:t>
      </w:r>
      <w:r w:rsidR="00975D22" w:rsidRPr="00BB2872">
        <w:rPr>
          <w:rFonts w:ascii="Times New Roman" w:eastAsia="Times New Roman" w:hAnsi="Times New Roman" w:cs="Times New Roman"/>
          <w:sz w:val="24"/>
          <w:szCs w:val="24"/>
        </w:rPr>
        <w:t>and</w:t>
      </w:r>
      <w:r w:rsidRPr="00BB2872">
        <w:rPr>
          <w:rFonts w:ascii="Times New Roman" w:eastAsia="Times New Roman" w:hAnsi="Times New Roman" w:cs="Times New Roman"/>
          <w:sz w:val="24"/>
          <w:szCs w:val="24"/>
        </w:rPr>
        <w:t xml:space="preserve"> </w:t>
      </w:r>
      <w:proofErr w:type="spellStart"/>
      <w:r w:rsidRPr="00BB2872">
        <w:rPr>
          <w:rFonts w:ascii="Times New Roman" w:eastAsia="Times New Roman" w:hAnsi="Times New Roman" w:cs="Times New Roman"/>
          <w:sz w:val="24"/>
          <w:szCs w:val="24"/>
        </w:rPr>
        <w:t>Illes</w:t>
      </w:r>
      <w:proofErr w:type="spellEnd"/>
      <w:r w:rsidRPr="00BB2872">
        <w:rPr>
          <w:rFonts w:ascii="Times New Roman" w:eastAsia="Times New Roman" w:hAnsi="Times New Roman" w:cs="Times New Roman"/>
          <w:sz w:val="24"/>
          <w:szCs w:val="24"/>
        </w:rPr>
        <w:t xml:space="preserve"> et al. (2019)</w:t>
      </w:r>
      <w:r w:rsidR="00975D22" w:rsidRPr="00BB2872">
        <w:rPr>
          <w:rFonts w:ascii="Times New Roman" w:eastAsia="Times New Roman" w:hAnsi="Times New Roman" w:cs="Times New Roman"/>
          <w:sz w:val="24"/>
          <w:szCs w:val="24"/>
        </w:rPr>
        <w:t>, for example</w:t>
      </w:r>
      <w:r w:rsidRPr="00BB2872">
        <w:rPr>
          <w:rFonts w:ascii="Times New Roman" w:eastAsia="Times New Roman" w:hAnsi="Times New Roman" w:cs="Times New Roman"/>
          <w:sz w:val="24"/>
          <w:szCs w:val="24"/>
        </w:rPr>
        <w:t xml:space="preserve">. It is also in line with </w:t>
      </w:r>
      <w:proofErr w:type="spellStart"/>
      <w:r w:rsidRPr="00BB2872">
        <w:rPr>
          <w:rFonts w:ascii="Times New Roman" w:eastAsia="Times New Roman" w:hAnsi="Times New Roman" w:cs="Times New Roman"/>
          <w:sz w:val="24"/>
          <w:szCs w:val="24"/>
        </w:rPr>
        <w:t>Havranek</w:t>
      </w:r>
      <w:proofErr w:type="spellEnd"/>
      <w:r w:rsidRPr="00BB2872">
        <w:rPr>
          <w:rFonts w:ascii="Times New Roman" w:eastAsia="Times New Roman" w:hAnsi="Times New Roman" w:cs="Times New Roman"/>
          <w:sz w:val="24"/>
          <w:szCs w:val="24"/>
        </w:rPr>
        <w:t xml:space="preserve"> et al. (2016), who mentioned possible complications in monetary transmission regarding the ZLB. The restrictive monetary policy of the CNB during the fourth period (</w:t>
      </w:r>
      <w:r w:rsidR="00BF4AD3" w:rsidRPr="00BB2872">
        <w:rPr>
          <w:rFonts w:ascii="Times New Roman" w:eastAsia="Times New Roman" w:hAnsi="Times New Roman" w:cs="Times New Roman"/>
          <w:sz w:val="24"/>
          <w:szCs w:val="24"/>
        </w:rPr>
        <w:t xml:space="preserve">as </w:t>
      </w:r>
      <w:r w:rsidRPr="00BB2872">
        <w:rPr>
          <w:rFonts w:ascii="Times New Roman" w:eastAsia="Times New Roman" w:hAnsi="Times New Roman" w:cs="Times New Roman"/>
          <w:sz w:val="24"/>
          <w:szCs w:val="24"/>
        </w:rPr>
        <w:t xml:space="preserve">discussed in </w:t>
      </w:r>
      <w:r w:rsidR="00BF4AD3" w:rsidRPr="00BB2872">
        <w:rPr>
          <w:rFonts w:ascii="Times New Roman" w:eastAsia="Times New Roman" w:hAnsi="Times New Roman" w:cs="Times New Roman"/>
          <w:sz w:val="24"/>
          <w:szCs w:val="24"/>
        </w:rPr>
        <w:t xml:space="preserve">the </w:t>
      </w:r>
      <w:r w:rsidRPr="00BB2872">
        <w:rPr>
          <w:rFonts w:ascii="Times New Roman" w:eastAsia="Times New Roman" w:hAnsi="Times New Roman" w:cs="Times New Roman"/>
          <w:sz w:val="24"/>
          <w:szCs w:val="24"/>
        </w:rPr>
        <w:t xml:space="preserve">previous sub-chapter) </w:t>
      </w:r>
      <w:proofErr w:type="gramStart"/>
      <w:r w:rsidRPr="00BB2872">
        <w:rPr>
          <w:rFonts w:ascii="Times New Roman" w:eastAsia="Times New Roman" w:hAnsi="Times New Roman" w:cs="Times New Roman"/>
          <w:sz w:val="24"/>
          <w:szCs w:val="24"/>
        </w:rPr>
        <w:t xml:space="preserve">had </w:t>
      </w:r>
      <w:r w:rsidR="00BF4AD3" w:rsidRPr="00BB2872">
        <w:rPr>
          <w:rFonts w:ascii="Times New Roman" w:eastAsia="Times New Roman" w:hAnsi="Times New Roman" w:cs="Times New Roman"/>
          <w:sz w:val="24"/>
          <w:szCs w:val="24"/>
        </w:rPr>
        <w:t xml:space="preserve">an </w:t>
      </w:r>
      <w:r w:rsidRPr="00BB2872">
        <w:rPr>
          <w:rFonts w:ascii="Times New Roman" w:eastAsia="Times New Roman" w:hAnsi="Times New Roman" w:cs="Times New Roman"/>
          <w:sz w:val="24"/>
          <w:szCs w:val="24"/>
        </w:rPr>
        <w:t>effect on</w:t>
      </w:r>
      <w:proofErr w:type="gramEnd"/>
      <w:r w:rsidRPr="00BB2872">
        <w:rPr>
          <w:rFonts w:ascii="Times New Roman" w:eastAsia="Times New Roman" w:hAnsi="Times New Roman" w:cs="Times New Roman"/>
          <w:sz w:val="24"/>
          <w:szCs w:val="24"/>
        </w:rPr>
        <w:t xml:space="preserve"> </w:t>
      </w:r>
      <w:r w:rsidR="00BF4AD3" w:rsidRPr="00BB2872">
        <w:rPr>
          <w:rFonts w:ascii="Times New Roman" w:eastAsia="Times New Roman" w:hAnsi="Times New Roman" w:cs="Times New Roman"/>
          <w:sz w:val="24"/>
          <w:szCs w:val="24"/>
        </w:rPr>
        <w:t xml:space="preserve">the </w:t>
      </w:r>
      <w:r w:rsidRPr="00BB2872">
        <w:rPr>
          <w:rFonts w:ascii="Times New Roman" w:eastAsia="Times New Roman" w:hAnsi="Times New Roman" w:cs="Times New Roman"/>
          <w:sz w:val="24"/>
          <w:szCs w:val="24"/>
        </w:rPr>
        <w:t>money market rate and</w:t>
      </w:r>
      <w:r w:rsidR="00BF4AD3" w:rsidRPr="00BB2872">
        <w:rPr>
          <w:rFonts w:ascii="Times New Roman" w:eastAsia="Times New Roman" w:hAnsi="Times New Roman" w:cs="Times New Roman"/>
          <w:sz w:val="24"/>
          <w:szCs w:val="24"/>
        </w:rPr>
        <w:t>,</w:t>
      </w:r>
      <w:r w:rsidRPr="00BB2872">
        <w:rPr>
          <w:rFonts w:ascii="Times New Roman" w:eastAsia="Times New Roman" w:hAnsi="Times New Roman" w:cs="Times New Roman"/>
          <w:sz w:val="24"/>
          <w:szCs w:val="24"/>
        </w:rPr>
        <w:t xml:space="preserve"> consequently, our estimates confirmed the effect of </w:t>
      </w:r>
      <w:r w:rsidR="00BF4AD3" w:rsidRPr="00BB2872">
        <w:rPr>
          <w:rFonts w:ascii="Times New Roman" w:eastAsia="Times New Roman" w:hAnsi="Times New Roman" w:cs="Times New Roman"/>
          <w:sz w:val="24"/>
          <w:szCs w:val="24"/>
        </w:rPr>
        <w:t xml:space="preserve">the </w:t>
      </w:r>
      <w:r w:rsidRPr="00BB2872">
        <w:rPr>
          <w:rFonts w:ascii="Times New Roman" w:eastAsia="Times New Roman" w:hAnsi="Times New Roman" w:cs="Times New Roman"/>
          <w:sz w:val="24"/>
          <w:szCs w:val="24"/>
        </w:rPr>
        <w:t xml:space="preserve">shocks in </w:t>
      </w:r>
      <w:r w:rsidR="00BF4AD3" w:rsidRPr="00BB2872">
        <w:rPr>
          <w:rFonts w:ascii="Times New Roman" w:eastAsia="Times New Roman" w:hAnsi="Times New Roman" w:cs="Times New Roman"/>
          <w:sz w:val="24"/>
          <w:szCs w:val="24"/>
        </w:rPr>
        <w:t xml:space="preserve">the </w:t>
      </w:r>
      <w:r w:rsidRPr="00BB2872">
        <w:rPr>
          <w:rFonts w:ascii="Times New Roman" w:eastAsia="Times New Roman" w:hAnsi="Times New Roman" w:cs="Times New Roman"/>
          <w:sz w:val="24"/>
          <w:szCs w:val="24"/>
        </w:rPr>
        <w:t xml:space="preserve">PRIBOR on the lending rate for loans </w:t>
      </w:r>
      <w:r w:rsidR="00BF4AD3" w:rsidRPr="00BB2872">
        <w:rPr>
          <w:rFonts w:ascii="Times New Roman" w:eastAsia="Times New Roman" w:hAnsi="Times New Roman" w:cs="Times New Roman"/>
          <w:sz w:val="24"/>
          <w:szCs w:val="24"/>
        </w:rPr>
        <w:t xml:space="preserve">of </w:t>
      </w:r>
      <w:r w:rsidRPr="00BB2872">
        <w:rPr>
          <w:rFonts w:ascii="Times New Roman" w:eastAsia="Times New Roman" w:hAnsi="Times New Roman" w:cs="Times New Roman"/>
          <w:sz w:val="24"/>
          <w:szCs w:val="24"/>
        </w:rPr>
        <w:t>up to 30 mil</w:t>
      </w:r>
      <w:r w:rsidR="00BF4AD3" w:rsidRPr="00BB2872">
        <w:rPr>
          <w:rFonts w:ascii="Times New Roman" w:eastAsia="Times New Roman" w:hAnsi="Times New Roman" w:cs="Times New Roman"/>
          <w:sz w:val="24"/>
          <w:szCs w:val="24"/>
        </w:rPr>
        <w:t>lion</w:t>
      </w:r>
      <w:r w:rsidRPr="00BB2872">
        <w:rPr>
          <w:rFonts w:ascii="Times New Roman" w:eastAsia="Times New Roman" w:hAnsi="Times New Roman" w:cs="Times New Roman"/>
          <w:sz w:val="24"/>
          <w:szCs w:val="24"/>
        </w:rPr>
        <w:t xml:space="preserve"> CZK</w:t>
      </w:r>
      <w:r w:rsidR="00954204" w:rsidRPr="00BB2872">
        <w:rPr>
          <w:rFonts w:ascii="Times New Roman" w:eastAsia="Times New Roman" w:hAnsi="Times New Roman" w:cs="Times New Roman"/>
          <w:sz w:val="24"/>
          <w:szCs w:val="24"/>
        </w:rPr>
        <w:t>.</w:t>
      </w:r>
      <w:r w:rsidRPr="00BB2872">
        <w:rPr>
          <w:rFonts w:ascii="Times New Roman" w:eastAsia="Times New Roman" w:hAnsi="Times New Roman" w:cs="Times New Roman"/>
          <w:sz w:val="24"/>
          <w:szCs w:val="24"/>
        </w:rPr>
        <w:t xml:space="preserve"> </w:t>
      </w:r>
      <w:r w:rsidR="00954204" w:rsidRPr="00BB2872">
        <w:rPr>
          <w:rFonts w:ascii="Times New Roman" w:eastAsia="Times New Roman" w:hAnsi="Times New Roman" w:cs="Times New Roman"/>
          <w:sz w:val="24"/>
          <w:szCs w:val="24"/>
        </w:rPr>
        <w:t>H</w:t>
      </w:r>
      <w:r w:rsidRPr="00BB2872">
        <w:rPr>
          <w:rFonts w:ascii="Times New Roman" w:eastAsia="Times New Roman" w:hAnsi="Times New Roman" w:cs="Times New Roman"/>
          <w:sz w:val="24"/>
          <w:szCs w:val="24"/>
        </w:rPr>
        <w:t>owever</w:t>
      </w:r>
      <w:r w:rsidR="00954204" w:rsidRPr="00BB2872">
        <w:rPr>
          <w:rFonts w:ascii="Times New Roman" w:eastAsia="Times New Roman" w:hAnsi="Times New Roman" w:cs="Times New Roman"/>
          <w:sz w:val="24"/>
          <w:szCs w:val="24"/>
        </w:rPr>
        <w:t>,</w:t>
      </w:r>
      <w:r w:rsidRPr="00BB2872">
        <w:rPr>
          <w:rFonts w:ascii="Times New Roman" w:eastAsia="Times New Roman" w:hAnsi="Times New Roman" w:cs="Times New Roman"/>
          <w:sz w:val="24"/>
          <w:szCs w:val="24"/>
        </w:rPr>
        <w:t xml:space="preserve"> based on </w:t>
      </w:r>
      <w:r w:rsidR="00954204" w:rsidRPr="00BB2872">
        <w:rPr>
          <w:rFonts w:ascii="Times New Roman" w:eastAsia="Times New Roman" w:hAnsi="Times New Roman" w:cs="Times New Roman"/>
          <w:sz w:val="24"/>
          <w:szCs w:val="24"/>
        </w:rPr>
        <w:t xml:space="preserve">the </w:t>
      </w:r>
      <w:r w:rsidRPr="00BB2872">
        <w:rPr>
          <w:rFonts w:ascii="Times New Roman" w:eastAsia="Times New Roman" w:hAnsi="Times New Roman" w:cs="Times New Roman"/>
          <w:sz w:val="24"/>
          <w:szCs w:val="24"/>
        </w:rPr>
        <w:t xml:space="preserve">SVD, </w:t>
      </w:r>
      <w:r w:rsidR="00954204" w:rsidRPr="00BB2872">
        <w:rPr>
          <w:rFonts w:ascii="Times New Roman" w:eastAsia="Times New Roman" w:hAnsi="Times New Roman" w:cs="Times New Roman"/>
          <w:sz w:val="24"/>
          <w:szCs w:val="24"/>
        </w:rPr>
        <w:t>the</w:t>
      </w:r>
      <w:r w:rsidRPr="00BB2872">
        <w:rPr>
          <w:rFonts w:ascii="Times New Roman" w:eastAsia="Times New Roman" w:hAnsi="Times New Roman" w:cs="Times New Roman"/>
          <w:sz w:val="24"/>
          <w:szCs w:val="24"/>
        </w:rPr>
        <w:t xml:space="preserve"> contribution of a shock in </w:t>
      </w:r>
      <w:r w:rsidR="00954204" w:rsidRPr="00BB2872">
        <w:rPr>
          <w:rFonts w:ascii="Times New Roman" w:eastAsia="Times New Roman" w:hAnsi="Times New Roman" w:cs="Times New Roman"/>
          <w:sz w:val="24"/>
          <w:szCs w:val="24"/>
        </w:rPr>
        <w:t xml:space="preserve">the </w:t>
      </w:r>
      <w:r w:rsidRPr="00BB2872">
        <w:rPr>
          <w:rFonts w:ascii="Times New Roman" w:eastAsia="Times New Roman" w:hAnsi="Times New Roman" w:cs="Times New Roman"/>
          <w:sz w:val="24"/>
          <w:szCs w:val="24"/>
        </w:rPr>
        <w:t xml:space="preserve">PRIBOR to the total variance of the corporate rate was very low, </w:t>
      </w:r>
      <w:r w:rsidR="00954204" w:rsidRPr="00BB2872">
        <w:rPr>
          <w:rFonts w:ascii="Times New Roman" w:eastAsia="Times New Roman" w:hAnsi="Times New Roman" w:cs="Times New Roman"/>
          <w:sz w:val="24"/>
          <w:szCs w:val="24"/>
        </w:rPr>
        <w:t xml:space="preserve">being </w:t>
      </w:r>
      <w:r w:rsidRPr="00BB2872">
        <w:rPr>
          <w:rFonts w:ascii="Times New Roman" w:eastAsia="Times New Roman" w:hAnsi="Times New Roman" w:cs="Times New Roman"/>
          <w:sz w:val="24"/>
          <w:szCs w:val="24"/>
        </w:rPr>
        <w:t xml:space="preserve">almost zero for </w:t>
      </w:r>
      <w:r w:rsidR="00954204" w:rsidRPr="00BB2872">
        <w:rPr>
          <w:rFonts w:ascii="Times New Roman" w:eastAsia="Times New Roman" w:hAnsi="Times New Roman" w:cs="Times New Roman"/>
          <w:sz w:val="24"/>
          <w:szCs w:val="24"/>
        </w:rPr>
        <w:t xml:space="preserve">a </w:t>
      </w:r>
      <w:r w:rsidRPr="00BB2872">
        <w:rPr>
          <w:rFonts w:ascii="Times New Roman" w:eastAsia="Times New Roman" w:hAnsi="Times New Roman" w:cs="Times New Roman"/>
          <w:sz w:val="24"/>
          <w:szCs w:val="24"/>
        </w:rPr>
        <w:t xml:space="preserve">one-month lag. </w:t>
      </w:r>
    </w:p>
    <w:p w14:paraId="00000045" w14:textId="77777777" w:rsidR="00345220" w:rsidRPr="00BB2872" w:rsidRDefault="00345220"/>
    <w:p w14:paraId="00000046" w14:textId="4C1FEE1B" w:rsidR="00345220" w:rsidRPr="00BB2872" w:rsidRDefault="00D45E73">
      <w:pPr>
        <w:spacing w:after="120"/>
        <w:jc w:val="both"/>
        <w:rPr>
          <w:rFonts w:ascii="Times New Roman" w:eastAsia="Times New Roman" w:hAnsi="Times New Roman" w:cs="Times New Roman"/>
          <w:sz w:val="24"/>
          <w:szCs w:val="24"/>
        </w:rPr>
      </w:pPr>
      <w:bookmarkStart w:id="2" w:name="_heading=h.30j0zll" w:colFirst="0" w:colLast="0"/>
      <w:bookmarkEnd w:id="2"/>
      <w:r w:rsidRPr="00BB2872">
        <w:rPr>
          <w:rFonts w:ascii="Times New Roman" w:eastAsia="Times New Roman" w:hAnsi="Times New Roman" w:cs="Times New Roman"/>
          <w:sz w:val="24"/>
          <w:szCs w:val="24"/>
        </w:rPr>
        <w:t xml:space="preserve">Figure 3. Reaction of </w:t>
      </w:r>
      <w:proofErr w:type="spellStart"/>
      <w:r w:rsidRPr="00BB2872">
        <w:rPr>
          <w:rFonts w:ascii="Times New Roman" w:eastAsia="Times New Roman" w:hAnsi="Times New Roman" w:cs="Times New Roman"/>
          <w:sz w:val="24"/>
          <w:szCs w:val="24"/>
        </w:rPr>
        <w:t>d_corporate_rate</w:t>
      </w:r>
      <w:proofErr w:type="spellEnd"/>
      <w:r w:rsidRPr="00BB2872">
        <w:rPr>
          <w:rFonts w:ascii="Times New Roman" w:eastAsia="Times New Roman" w:hAnsi="Times New Roman" w:cs="Times New Roman"/>
          <w:sz w:val="24"/>
          <w:szCs w:val="24"/>
        </w:rPr>
        <w:t xml:space="preserve"> for loans </w:t>
      </w:r>
      <w:r w:rsidR="00954204" w:rsidRPr="00BB2872">
        <w:rPr>
          <w:rFonts w:ascii="Times New Roman" w:eastAsia="Times New Roman" w:hAnsi="Times New Roman" w:cs="Times New Roman"/>
          <w:sz w:val="24"/>
          <w:szCs w:val="24"/>
        </w:rPr>
        <w:t xml:space="preserve">of </w:t>
      </w:r>
      <w:r w:rsidRPr="00BB2872">
        <w:rPr>
          <w:rFonts w:ascii="Times New Roman" w:eastAsia="Times New Roman" w:hAnsi="Times New Roman" w:cs="Times New Roman"/>
          <w:sz w:val="24"/>
          <w:szCs w:val="24"/>
        </w:rPr>
        <w:t>up to 30 mil</w:t>
      </w:r>
      <w:r w:rsidR="00954204" w:rsidRPr="00BB2872">
        <w:rPr>
          <w:rFonts w:ascii="Times New Roman" w:eastAsia="Times New Roman" w:hAnsi="Times New Roman" w:cs="Times New Roman"/>
          <w:sz w:val="24"/>
          <w:szCs w:val="24"/>
        </w:rPr>
        <w:t>lion</w:t>
      </w:r>
      <w:r w:rsidRPr="00BB2872">
        <w:rPr>
          <w:rFonts w:ascii="Times New Roman" w:eastAsia="Times New Roman" w:hAnsi="Times New Roman" w:cs="Times New Roman"/>
          <w:sz w:val="24"/>
          <w:szCs w:val="24"/>
        </w:rPr>
        <w:t xml:space="preserve"> CZK to a shock in </w:t>
      </w:r>
      <w:proofErr w:type="spellStart"/>
      <w:r w:rsidRPr="00BB2872">
        <w:rPr>
          <w:rFonts w:ascii="Times New Roman" w:eastAsia="Times New Roman" w:hAnsi="Times New Roman" w:cs="Times New Roman"/>
          <w:sz w:val="24"/>
          <w:szCs w:val="24"/>
        </w:rPr>
        <w:t>d_pribor_rate</w:t>
      </w:r>
      <w:proofErr w:type="spellEnd"/>
      <w:r w:rsidRPr="00BB2872">
        <w:rPr>
          <w:rFonts w:ascii="Times New Roman" w:eastAsia="Times New Roman" w:hAnsi="Times New Roman" w:cs="Times New Roman"/>
          <w:sz w:val="24"/>
          <w:szCs w:val="24"/>
        </w:rPr>
        <w:t xml:space="preserve"> during different monetary policy stances</w:t>
      </w:r>
    </w:p>
    <w:p w14:paraId="00000047" w14:textId="77777777" w:rsidR="00345220" w:rsidRPr="00BB2872" w:rsidRDefault="00345220">
      <w:pPr>
        <w:spacing w:after="120"/>
        <w:jc w:val="both"/>
        <w:rPr>
          <w:rFonts w:ascii="Times New Roman" w:eastAsia="Times New Roman" w:hAnsi="Times New Roman" w:cs="Times New Roman"/>
          <w:sz w:val="24"/>
          <w:szCs w:val="24"/>
        </w:rPr>
      </w:pPr>
    </w:p>
    <w:p w14:paraId="00000048" w14:textId="5FFCBADE" w:rsidR="00345220" w:rsidRPr="00BB2872" w:rsidRDefault="00D45E73">
      <w:pPr>
        <w:widowControl w:val="0"/>
        <w:spacing w:before="240" w:after="0" w:line="480" w:lineRule="auto"/>
        <w:rPr>
          <w:rFonts w:ascii="Times New Roman" w:eastAsia="Times New Roman" w:hAnsi="Times New Roman" w:cs="Times New Roman"/>
          <w:sz w:val="24"/>
          <w:szCs w:val="24"/>
        </w:rPr>
      </w:pPr>
      <w:r w:rsidRPr="00BB2872">
        <w:rPr>
          <w:rFonts w:ascii="Times New Roman" w:eastAsia="Times New Roman" w:hAnsi="Times New Roman" w:cs="Times New Roman"/>
          <w:sz w:val="24"/>
          <w:szCs w:val="24"/>
        </w:rPr>
        <w:t xml:space="preserve">All the assumed shocks, instead of a shock in a variable itself, had a very low effect on variance </w:t>
      </w:r>
      <w:r w:rsidR="0047503A" w:rsidRPr="00BB2872">
        <w:rPr>
          <w:rFonts w:ascii="Times New Roman" w:eastAsia="Times New Roman" w:hAnsi="Times New Roman" w:cs="Times New Roman"/>
          <w:sz w:val="24"/>
          <w:szCs w:val="24"/>
        </w:rPr>
        <w:t>in the</w:t>
      </w:r>
      <w:r w:rsidRPr="00BB2872">
        <w:rPr>
          <w:rFonts w:ascii="Times New Roman" w:eastAsia="Times New Roman" w:hAnsi="Times New Roman" w:cs="Times New Roman"/>
          <w:sz w:val="24"/>
          <w:szCs w:val="24"/>
        </w:rPr>
        <w:t xml:space="preserve"> corporate rates on loans </w:t>
      </w:r>
      <w:r w:rsidR="0047503A" w:rsidRPr="00BB2872">
        <w:rPr>
          <w:rFonts w:ascii="Times New Roman" w:eastAsia="Times New Roman" w:hAnsi="Times New Roman" w:cs="Times New Roman"/>
          <w:sz w:val="24"/>
          <w:szCs w:val="24"/>
        </w:rPr>
        <w:t xml:space="preserve">of </w:t>
      </w:r>
      <w:r w:rsidRPr="00BB2872">
        <w:rPr>
          <w:rFonts w:ascii="Times New Roman" w:eastAsia="Times New Roman" w:hAnsi="Times New Roman" w:cs="Times New Roman"/>
          <w:sz w:val="24"/>
          <w:szCs w:val="24"/>
        </w:rPr>
        <w:t>up to 30 mil</w:t>
      </w:r>
      <w:r w:rsidR="0047503A" w:rsidRPr="00BB2872">
        <w:rPr>
          <w:rFonts w:ascii="Times New Roman" w:eastAsia="Times New Roman" w:hAnsi="Times New Roman" w:cs="Times New Roman"/>
          <w:sz w:val="24"/>
          <w:szCs w:val="24"/>
        </w:rPr>
        <w:t>lion</w:t>
      </w:r>
      <w:r w:rsidRPr="00BB2872">
        <w:rPr>
          <w:rFonts w:ascii="Times New Roman" w:eastAsia="Times New Roman" w:hAnsi="Times New Roman" w:cs="Times New Roman"/>
          <w:sz w:val="24"/>
          <w:szCs w:val="24"/>
        </w:rPr>
        <w:t xml:space="preserve"> CZK during the financial crisis and</w:t>
      </w:r>
      <w:r w:rsidR="0047503A" w:rsidRPr="00BB2872">
        <w:rPr>
          <w:rFonts w:ascii="Times New Roman" w:eastAsia="Times New Roman" w:hAnsi="Times New Roman" w:cs="Times New Roman"/>
          <w:sz w:val="24"/>
          <w:szCs w:val="24"/>
        </w:rPr>
        <w:t>,</w:t>
      </w:r>
      <w:r w:rsidRPr="00BB2872">
        <w:rPr>
          <w:rFonts w:ascii="Times New Roman" w:eastAsia="Times New Roman" w:hAnsi="Times New Roman" w:cs="Times New Roman"/>
          <w:sz w:val="24"/>
          <w:szCs w:val="24"/>
        </w:rPr>
        <w:t xml:space="preserve"> consequently</w:t>
      </w:r>
      <w:r w:rsidR="0047503A" w:rsidRPr="00BB2872">
        <w:rPr>
          <w:rFonts w:ascii="Times New Roman" w:eastAsia="Times New Roman" w:hAnsi="Times New Roman" w:cs="Times New Roman"/>
          <w:sz w:val="24"/>
          <w:szCs w:val="24"/>
        </w:rPr>
        <w:t>,</w:t>
      </w:r>
      <w:r w:rsidRPr="00BB2872">
        <w:rPr>
          <w:rFonts w:ascii="Times New Roman" w:eastAsia="Times New Roman" w:hAnsi="Times New Roman" w:cs="Times New Roman"/>
          <w:sz w:val="24"/>
          <w:szCs w:val="24"/>
        </w:rPr>
        <w:t xml:space="preserve"> during the fourth period. The role of bank pricing policies and the funding costs seemed to have an increased importance during these periods. For example</w:t>
      </w:r>
      <w:r w:rsidR="0047503A" w:rsidRPr="00BB2872">
        <w:rPr>
          <w:rFonts w:ascii="Times New Roman" w:eastAsia="Times New Roman" w:hAnsi="Times New Roman" w:cs="Times New Roman"/>
          <w:sz w:val="24"/>
          <w:szCs w:val="24"/>
        </w:rPr>
        <w:t>,</w:t>
      </w:r>
      <w:r w:rsidRPr="00BB2872">
        <w:rPr>
          <w:rFonts w:ascii="Times New Roman" w:eastAsia="Times New Roman" w:hAnsi="Times New Roman" w:cs="Times New Roman"/>
          <w:sz w:val="24"/>
          <w:szCs w:val="24"/>
        </w:rPr>
        <w:t xml:space="preserve"> </w:t>
      </w:r>
      <w:proofErr w:type="spellStart"/>
      <w:r w:rsidRPr="00BB2872">
        <w:rPr>
          <w:rFonts w:ascii="Times New Roman" w:eastAsia="Times New Roman" w:hAnsi="Times New Roman" w:cs="Times New Roman"/>
          <w:sz w:val="24"/>
          <w:szCs w:val="24"/>
        </w:rPr>
        <w:t>Illes</w:t>
      </w:r>
      <w:proofErr w:type="spellEnd"/>
      <w:r w:rsidRPr="00BB2872">
        <w:rPr>
          <w:rFonts w:ascii="Times New Roman" w:eastAsia="Times New Roman" w:hAnsi="Times New Roman" w:cs="Times New Roman"/>
          <w:sz w:val="24"/>
          <w:szCs w:val="24"/>
        </w:rPr>
        <w:t xml:space="preserve"> et al. (2019) f</w:t>
      </w:r>
      <w:r w:rsidR="0047503A" w:rsidRPr="00BB2872">
        <w:rPr>
          <w:rFonts w:ascii="Times New Roman" w:eastAsia="Times New Roman" w:hAnsi="Times New Roman" w:cs="Times New Roman"/>
          <w:sz w:val="24"/>
          <w:szCs w:val="24"/>
        </w:rPr>
        <w:t>ou</w:t>
      </w:r>
      <w:r w:rsidRPr="00BB2872">
        <w:rPr>
          <w:rFonts w:ascii="Times New Roman" w:eastAsia="Times New Roman" w:hAnsi="Times New Roman" w:cs="Times New Roman"/>
          <w:sz w:val="24"/>
          <w:szCs w:val="24"/>
        </w:rPr>
        <w:t xml:space="preserve">nd that unconventional monetary policies in the </w:t>
      </w:r>
      <w:r w:rsidR="00E22D39" w:rsidRPr="00BB2872">
        <w:rPr>
          <w:rFonts w:ascii="Times New Roman" w:eastAsia="Times New Roman" w:hAnsi="Times New Roman" w:cs="Times New Roman"/>
          <w:sz w:val="24"/>
          <w:szCs w:val="24"/>
        </w:rPr>
        <w:t>EA</w:t>
      </w:r>
      <w:r w:rsidRPr="00BB2872">
        <w:rPr>
          <w:rFonts w:ascii="Times New Roman" w:eastAsia="Times New Roman" w:hAnsi="Times New Roman" w:cs="Times New Roman"/>
          <w:sz w:val="24"/>
          <w:szCs w:val="24"/>
        </w:rPr>
        <w:t xml:space="preserve"> lowered bank retail lending and deposit rates. Nevertheless, the effects </w:t>
      </w:r>
      <w:r w:rsidR="0047503A" w:rsidRPr="00BB2872">
        <w:rPr>
          <w:rFonts w:ascii="Times New Roman" w:eastAsia="Times New Roman" w:hAnsi="Times New Roman" w:cs="Times New Roman"/>
          <w:sz w:val="24"/>
          <w:szCs w:val="24"/>
        </w:rPr>
        <w:t>we</w:t>
      </w:r>
      <w:r w:rsidRPr="00BB2872">
        <w:rPr>
          <w:rFonts w:ascii="Times New Roman" w:eastAsia="Times New Roman" w:hAnsi="Times New Roman" w:cs="Times New Roman"/>
          <w:sz w:val="24"/>
          <w:szCs w:val="24"/>
        </w:rPr>
        <w:t xml:space="preserve">re found to be heterogeneous over the major </w:t>
      </w:r>
      <w:r w:rsidR="00E22D39" w:rsidRPr="00BB2872">
        <w:rPr>
          <w:rFonts w:ascii="Times New Roman" w:eastAsia="Times New Roman" w:hAnsi="Times New Roman" w:cs="Times New Roman"/>
          <w:sz w:val="24"/>
          <w:szCs w:val="24"/>
        </w:rPr>
        <w:t>EA</w:t>
      </w:r>
      <w:r w:rsidRPr="00BB2872">
        <w:rPr>
          <w:rFonts w:ascii="Times New Roman" w:eastAsia="Times New Roman" w:hAnsi="Times New Roman" w:cs="Times New Roman"/>
          <w:sz w:val="24"/>
          <w:szCs w:val="24"/>
        </w:rPr>
        <w:t xml:space="preserve"> countries. Similarly, </w:t>
      </w:r>
      <w:proofErr w:type="spellStart"/>
      <w:r w:rsidRPr="00BB2872">
        <w:rPr>
          <w:rFonts w:ascii="Times New Roman" w:eastAsia="Times New Roman" w:hAnsi="Times New Roman" w:cs="Times New Roman"/>
          <w:sz w:val="24"/>
          <w:szCs w:val="24"/>
        </w:rPr>
        <w:t>Altavilla</w:t>
      </w:r>
      <w:proofErr w:type="spellEnd"/>
      <w:r w:rsidRPr="00BB2872">
        <w:rPr>
          <w:rFonts w:ascii="Times New Roman" w:eastAsia="Times New Roman" w:hAnsi="Times New Roman" w:cs="Times New Roman"/>
          <w:sz w:val="24"/>
          <w:szCs w:val="24"/>
        </w:rPr>
        <w:t xml:space="preserve"> et al. (2020)</w:t>
      </w:r>
      <w:r w:rsidR="0047503A" w:rsidRPr="00BB2872">
        <w:rPr>
          <w:rFonts w:ascii="Times New Roman" w:eastAsia="Times New Roman" w:hAnsi="Times New Roman" w:cs="Times New Roman"/>
          <w:sz w:val="24"/>
          <w:szCs w:val="24"/>
        </w:rPr>
        <w:t>,</w:t>
      </w:r>
      <w:r w:rsidRPr="00BB2872">
        <w:rPr>
          <w:rFonts w:ascii="Times New Roman" w:eastAsia="Times New Roman" w:hAnsi="Times New Roman" w:cs="Times New Roman"/>
          <w:sz w:val="24"/>
          <w:szCs w:val="24"/>
        </w:rPr>
        <w:t xml:space="preserve"> using </w:t>
      </w:r>
      <w:r w:rsidR="0047503A" w:rsidRPr="00BB2872">
        <w:rPr>
          <w:rFonts w:ascii="Times New Roman" w:eastAsia="Times New Roman" w:hAnsi="Times New Roman" w:cs="Times New Roman"/>
          <w:sz w:val="24"/>
          <w:szCs w:val="24"/>
        </w:rPr>
        <w:t xml:space="preserve">a </w:t>
      </w:r>
      <w:r w:rsidRPr="00BB2872">
        <w:rPr>
          <w:rFonts w:ascii="Times New Roman" w:eastAsia="Times New Roman" w:hAnsi="Times New Roman" w:cs="Times New Roman"/>
          <w:sz w:val="24"/>
          <w:szCs w:val="24"/>
        </w:rPr>
        <w:t>bank-level dataset</w:t>
      </w:r>
      <w:r w:rsidR="0047503A" w:rsidRPr="00BB2872">
        <w:rPr>
          <w:rFonts w:ascii="Times New Roman" w:eastAsia="Times New Roman" w:hAnsi="Times New Roman" w:cs="Times New Roman"/>
          <w:sz w:val="24"/>
          <w:szCs w:val="24"/>
        </w:rPr>
        <w:t>, found</w:t>
      </w:r>
      <w:r w:rsidRPr="00BB2872">
        <w:rPr>
          <w:rFonts w:ascii="Times New Roman" w:eastAsia="Times New Roman" w:hAnsi="Times New Roman" w:cs="Times New Roman"/>
          <w:sz w:val="24"/>
          <w:szCs w:val="24"/>
        </w:rPr>
        <w:t xml:space="preserve"> that the </w:t>
      </w:r>
      <w:hyperlink r:id="rId11">
        <w:r w:rsidRPr="00BB2872">
          <w:rPr>
            <w:rFonts w:ascii="Times New Roman" w:eastAsia="Times New Roman" w:hAnsi="Times New Roman" w:cs="Times New Roman"/>
            <w:sz w:val="24"/>
            <w:szCs w:val="24"/>
          </w:rPr>
          <w:t>monetary policy</w:t>
        </w:r>
      </w:hyperlink>
      <w:r w:rsidRPr="00BB2872">
        <w:rPr>
          <w:rFonts w:ascii="Times New Roman" w:eastAsia="Times New Roman" w:hAnsi="Times New Roman" w:cs="Times New Roman"/>
          <w:sz w:val="24"/>
          <w:szCs w:val="24"/>
        </w:rPr>
        <w:t xml:space="preserve"> pass-through to lending rates </w:t>
      </w:r>
      <w:r w:rsidR="0047503A" w:rsidRPr="00BB2872">
        <w:rPr>
          <w:rFonts w:ascii="Times New Roman" w:eastAsia="Times New Roman" w:hAnsi="Times New Roman" w:cs="Times New Roman"/>
          <w:sz w:val="24"/>
          <w:szCs w:val="24"/>
        </w:rPr>
        <w:t>wa</w:t>
      </w:r>
      <w:r w:rsidRPr="00BB2872">
        <w:rPr>
          <w:rFonts w:ascii="Times New Roman" w:eastAsia="Times New Roman" w:hAnsi="Times New Roman" w:cs="Times New Roman"/>
          <w:sz w:val="24"/>
          <w:szCs w:val="24"/>
        </w:rPr>
        <w:t>s heterogeneous across Euro</w:t>
      </w:r>
      <w:r w:rsidR="0047503A" w:rsidRPr="00BB2872">
        <w:rPr>
          <w:rFonts w:ascii="Times New Roman" w:eastAsia="Times New Roman" w:hAnsi="Times New Roman" w:cs="Times New Roman"/>
          <w:sz w:val="24"/>
          <w:szCs w:val="24"/>
        </w:rPr>
        <w:t>pe</w:t>
      </w:r>
      <w:r w:rsidR="008E18A8" w:rsidRPr="00BB2872">
        <w:rPr>
          <w:rFonts w:ascii="Times New Roman" w:eastAsia="Times New Roman" w:hAnsi="Times New Roman" w:cs="Times New Roman"/>
          <w:sz w:val="24"/>
          <w:szCs w:val="24"/>
        </w:rPr>
        <w:t>a</w:t>
      </w:r>
      <w:r w:rsidR="0047503A" w:rsidRPr="00BB2872">
        <w:rPr>
          <w:rFonts w:ascii="Times New Roman" w:eastAsia="Times New Roman" w:hAnsi="Times New Roman" w:cs="Times New Roman"/>
          <w:sz w:val="24"/>
          <w:szCs w:val="24"/>
        </w:rPr>
        <w:t>n</w:t>
      </w:r>
      <w:r w:rsidRPr="00BB2872">
        <w:rPr>
          <w:rFonts w:ascii="Times New Roman" w:eastAsia="Times New Roman" w:hAnsi="Times New Roman" w:cs="Times New Roman"/>
          <w:sz w:val="24"/>
          <w:szCs w:val="24"/>
        </w:rPr>
        <w:t xml:space="preserve"> banks</w:t>
      </w:r>
      <w:r w:rsidR="00A2637A" w:rsidRPr="00BB2872">
        <w:rPr>
          <w:rFonts w:ascii="Times New Roman" w:eastAsia="Times New Roman" w:hAnsi="Times New Roman" w:cs="Times New Roman"/>
          <w:sz w:val="24"/>
          <w:szCs w:val="24"/>
        </w:rPr>
        <w:t>.</w:t>
      </w:r>
    </w:p>
    <w:p w14:paraId="00000049" w14:textId="787C17E6" w:rsidR="00345220" w:rsidRPr="00BB2872" w:rsidRDefault="00D45E73">
      <w:pPr>
        <w:widowControl w:val="0"/>
        <w:spacing w:before="240" w:after="0" w:line="480" w:lineRule="auto"/>
        <w:rPr>
          <w:rFonts w:ascii="Times New Roman" w:eastAsia="Times New Roman" w:hAnsi="Times New Roman" w:cs="Times New Roman"/>
          <w:sz w:val="24"/>
          <w:szCs w:val="24"/>
        </w:rPr>
      </w:pPr>
      <w:r w:rsidRPr="00BB2872">
        <w:rPr>
          <w:rFonts w:ascii="Times New Roman" w:eastAsia="Times New Roman" w:hAnsi="Times New Roman" w:cs="Times New Roman"/>
          <w:sz w:val="24"/>
          <w:szCs w:val="24"/>
        </w:rPr>
        <w:t xml:space="preserve">Our attention was also captured by an increased contribution of a shock in price development and business confidence. </w:t>
      </w:r>
      <w:r w:rsidR="00D160DA" w:rsidRPr="00BB2872">
        <w:rPr>
          <w:rFonts w:ascii="Times New Roman" w:eastAsia="Times New Roman" w:hAnsi="Times New Roman" w:cs="Times New Roman"/>
          <w:sz w:val="24"/>
          <w:szCs w:val="24"/>
        </w:rPr>
        <w:t>The</w:t>
      </w:r>
      <w:r w:rsidRPr="00BB2872">
        <w:rPr>
          <w:rFonts w:ascii="Times New Roman" w:eastAsia="Times New Roman" w:hAnsi="Times New Roman" w:cs="Times New Roman"/>
          <w:sz w:val="24"/>
          <w:szCs w:val="24"/>
        </w:rPr>
        <w:t xml:space="preserve"> shock in price development contributed 34% to the variance, the </w:t>
      </w:r>
      <w:r w:rsidRPr="00BB2872">
        <w:rPr>
          <w:rFonts w:ascii="Times New Roman" w:eastAsia="Times New Roman" w:hAnsi="Times New Roman" w:cs="Times New Roman"/>
          <w:sz w:val="24"/>
          <w:szCs w:val="24"/>
        </w:rPr>
        <w:lastRenderedPageBreak/>
        <w:t>price effects confirm</w:t>
      </w:r>
      <w:r w:rsidR="00D160DA" w:rsidRPr="00BB2872">
        <w:rPr>
          <w:rFonts w:ascii="Times New Roman" w:eastAsia="Times New Roman" w:hAnsi="Times New Roman" w:cs="Times New Roman"/>
          <w:sz w:val="24"/>
          <w:szCs w:val="24"/>
        </w:rPr>
        <w:t>ing</w:t>
      </w:r>
      <w:r w:rsidRPr="00BB2872">
        <w:rPr>
          <w:rFonts w:ascii="Times New Roman" w:eastAsia="Times New Roman" w:hAnsi="Times New Roman" w:cs="Times New Roman"/>
          <w:sz w:val="24"/>
          <w:szCs w:val="24"/>
        </w:rPr>
        <w:t xml:space="preserve"> the economic theory expectations. </w:t>
      </w:r>
      <w:r w:rsidR="00D160DA" w:rsidRPr="00BB2872">
        <w:rPr>
          <w:rFonts w:ascii="Times New Roman" w:eastAsia="Times New Roman" w:hAnsi="Times New Roman" w:cs="Times New Roman"/>
          <w:sz w:val="24"/>
          <w:szCs w:val="24"/>
        </w:rPr>
        <w:t>The</w:t>
      </w:r>
      <w:r w:rsidRPr="00BB2872">
        <w:rPr>
          <w:rFonts w:ascii="Times New Roman" w:eastAsia="Times New Roman" w:hAnsi="Times New Roman" w:cs="Times New Roman"/>
          <w:sz w:val="24"/>
          <w:szCs w:val="24"/>
        </w:rPr>
        <w:t xml:space="preserve"> shock in business confidence contributed 38% to the variance in </w:t>
      </w:r>
      <w:r w:rsidR="00D160DA" w:rsidRPr="00BB2872">
        <w:rPr>
          <w:rFonts w:ascii="Times New Roman" w:eastAsia="Times New Roman" w:hAnsi="Times New Roman" w:cs="Times New Roman"/>
          <w:sz w:val="24"/>
          <w:szCs w:val="24"/>
        </w:rPr>
        <w:t xml:space="preserve">the </w:t>
      </w:r>
      <w:r w:rsidRPr="00BB2872">
        <w:rPr>
          <w:rFonts w:ascii="Times New Roman" w:eastAsia="Times New Roman" w:hAnsi="Times New Roman" w:cs="Times New Roman"/>
          <w:sz w:val="24"/>
          <w:szCs w:val="24"/>
        </w:rPr>
        <w:t xml:space="preserve">fourth period. </w:t>
      </w:r>
    </w:p>
    <w:p w14:paraId="0000004A" w14:textId="0AA3D789" w:rsidR="00345220" w:rsidRPr="00BB2872" w:rsidRDefault="00D45E73">
      <w:pPr>
        <w:spacing w:after="0" w:line="480" w:lineRule="auto"/>
        <w:ind w:firstLine="720"/>
        <w:rPr>
          <w:rFonts w:ascii="Times New Roman" w:eastAsia="Times New Roman" w:hAnsi="Times New Roman" w:cs="Times New Roman"/>
          <w:sz w:val="24"/>
          <w:szCs w:val="24"/>
        </w:rPr>
      </w:pPr>
      <w:r w:rsidRPr="00BB2872">
        <w:rPr>
          <w:rFonts w:ascii="Times New Roman" w:eastAsia="Times New Roman" w:hAnsi="Times New Roman" w:cs="Times New Roman"/>
          <w:sz w:val="24"/>
          <w:szCs w:val="24"/>
        </w:rPr>
        <w:t xml:space="preserve">The situation </w:t>
      </w:r>
      <w:r w:rsidR="00AD0A35" w:rsidRPr="00BB2872">
        <w:rPr>
          <w:rFonts w:ascii="Times New Roman" w:eastAsia="Times New Roman" w:hAnsi="Times New Roman" w:cs="Times New Roman"/>
          <w:sz w:val="24"/>
          <w:szCs w:val="24"/>
        </w:rPr>
        <w:t>for</w:t>
      </w:r>
      <w:r w:rsidRPr="00BB2872">
        <w:rPr>
          <w:rFonts w:ascii="Times New Roman" w:eastAsia="Times New Roman" w:hAnsi="Times New Roman" w:cs="Times New Roman"/>
          <w:sz w:val="24"/>
          <w:szCs w:val="24"/>
        </w:rPr>
        <w:t xml:space="preserve"> rates on loans </w:t>
      </w:r>
      <w:r w:rsidR="00AD0A35" w:rsidRPr="00BB2872">
        <w:rPr>
          <w:rFonts w:ascii="Times New Roman" w:eastAsia="Times New Roman" w:hAnsi="Times New Roman" w:cs="Times New Roman"/>
          <w:sz w:val="24"/>
          <w:szCs w:val="24"/>
        </w:rPr>
        <w:t xml:space="preserve">of </w:t>
      </w:r>
      <w:r w:rsidRPr="00BB2872">
        <w:rPr>
          <w:rFonts w:ascii="Times New Roman" w:eastAsia="Times New Roman" w:hAnsi="Times New Roman" w:cs="Times New Roman"/>
          <w:sz w:val="24"/>
          <w:szCs w:val="24"/>
        </w:rPr>
        <w:t>over 30 mil</w:t>
      </w:r>
      <w:r w:rsidR="00AD0A35" w:rsidRPr="00BB2872">
        <w:rPr>
          <w:rFonts w:ascii="Times New Roman" w:eastAsia="Times New Roman" w:hAnsi="Times New Roman" w:cs="Times New Roman"/>
          <w:sz w:val="24"/>
          <w:szCs w:val="24"/>
        </w:rPr>
        <w:t>lion</w:t>
      </w:r>
      <w:r w:rsidRPr="00BB2872">
        <w:rPr>
          <w:rFonts w:ascii="Times New Roman" w:eastAsia="Times New Roman" w:hAnsi="Times New Roman" w:cs="Times New Roman"/>
          <w:sz w:val="24"/>
          <w:szCs w:val="24"/>
        </w:rPr>
        <w:t xml:space="preserve"> CZK was found to be different </w:t>
      </w:r>
      <w:r w:rsidR="00AD0A35" w:rsidRPr="00BB2872">
        <w:rPr>
          <w:rFonts w:ascii="Times New Roman" w:eastAsia="Times New Roman" w:hAnsi="Times New Roman" w:cs="Times New Roman"/>
          <w:sz w:val="24"/>
          <w:szCs w:val="24"/>
        </w:rPr>
        <w:t>(</w:t>
      </w:r>
      <w:r w:rsidRPr="00BB2872">
        <w:rPr>
          <w:rFonts w:ascii="Times New Roman" w:eastAsia="Times New Roman" w:hAnsi="Times New Roman" w:cs="Times New Roman"/>
          <w:sz w:val="24"/>
          <w:szCs w:val="24"/>
        </w:rPr>
        <w:t xml:space="preserve">see Figure 4 for </w:t>
      </w:r>
      <w:r w:rsidR="00AD0A35" w:rsidRPr="00BB2872">
        <w:rPr>
          <w:rFonts w:ascii="Times New Roman" w:eastAsia="Times New Roman" w:hAnsi="Times New Roman" w:cs="Times New Roman"/>
          <w:sz w:val="24"/>
          <w:szCs w:val="24"/>
        </w:rPr>
        <w:t xml:space="preserve">the </w:t>
      </w:r>
      <w:r w:rsidRPr="00BB2872">
        <w:rPr>
          <w:rFonts w:ascii="Times New Roman" w:eastAsia="Times New Roman" w:hAnsi="Times New Roman" w:cs="Times New Roman"/>
          <w:sz w:val="24"/>
          <w:szCs w:val="24"/>
        </w:rPr>
        <w:t>IRFs</w:t>
      </w:r>
      <w:r w:rsidR="00AD0A35" w:rsidRPr="00BB2872">
        <w:rPr>
          <w:rFonts w:ascii="Times New Roman" w:eastAsia="Times New Roman" w:hAnsi="Times New Roman" w:cs="Times New Roman"/>
          <w:sz w:val="24"/>
          <w:szCs w:val="24"/>
        </w:rPr>
        <w:t>)</w:t>
      </w:r>
      <w:r w:rsidRPr="00BB2872">
        <w:rPr>
          <w:rFonts w:ascii="Times New Roman" w:eastAsia="Times New Roman" w:hAnsi="Times New Roman" w:cs="Times New Roman"/>
          <w:sz w:val="24"/>
          <w:szCs w:val="24"/>
        </w:rPr>
        <w:t xml:space="preserve">. The response to a shock in </w:t>
      </w:r>
      <w:r w:rsidR="00AD0A35" w:rsidRPr="00BB2872">
        <w:rPr>
          <w:rFonts w:ascii="Times New Roman" w:eastAsia="Times New Roman" w:hAnsi="Times New Roman" w:cs="Times New Roman"/>
          <w:sz w:val="24"/>
          <w:szCs w:val="24"/>
        </w:rPr>
        <w:t xml:space="preserve">the </w:t>
      </w:r>
      <w:r w:rsidRPr="00BB2872">
        <w:rPr>
          <w:rFonts w:ascii="Times New Roman" w:eastAsia="Times New Roman" w:hAnsi="Times New Roman" w:cs="Times New Roman"/>
          <w:sz w:val="24"/>
          <w:szCs w:val="24"/>
        </w:rPr>
        <w:t xml:space="preserve">PRIBOR was statistically significant </w:t>
      </w:r>
      <w:r w:rsidR="00AD0A35" w:rsidRPr="00BB2872">
        <w:rPr>
          <w:rFonts w:ascii="Times New Roman" w:eastAsia="Times New Roman" w:hAnsi="Times New Roman" w:cs="Times New Roman"/>
          <w:sz w:val="24"/>
          <w:szCs w:val="24"/>
        </w:rPr>
        <w:t xml:space="preserve">only </w:t>
      </w:r>
      <w:r w:rsidRPr="00BB2872">
        <w:rPr>
          <w:rFonts w:ascii="Times New Roman" w:eastAsia="Times New Roman" w:hAnsi="Times New Roman" w:cs="Times New Roman"/>
          <w:sz w:val="24"/>
          <w:szCs w:val="24"/>
        </w:rPr>
        <w:t>in one month during the financial crisis period</w:t>
      </w:r>
      <w:r w:rsidR="00AD0A35" w:rsidRPr="00BB2872">
        <w:rPr>
          <w:rFonts w:ascii="Times New Roman" w:eastAsia="Times New Roman" w:hAnsi="Times New Roman" w:cs="Times New Roman"/>
          <w:sz w:val="24"/>
          <w:szCs w:val="24"/>
        </w:rPr>
        <w:t>,</w:t>
      </w:r>
      <w:r w:rsidRPr="00BB2872">
        <w:rPr>
          <w:rFonts w:ascii="Times New Roman" w:eastAsia="Times New Roman" w:hAnsi="Times New Roman" w:cs="Times New Roman"/>
          <w:sz w:val="24"/>
          <w:szCs w:val="24"/>
        </w:rPr>
        <w:t xml:space="preserve"> when the rates in this market segment were decreasing substantially. The results of </w:t>
      </w:r>
      <w:r w:rsidR="00AD0A35" w:rsidRPr="00BB2872">
        <w:rPr>
          <w:rFonts w:ascii="Times New Roman" w:eastAsia="Times New Roman" w:hAnsi="Times New Roman" w:cs="Times New Roman"/>
          <w:sz w:val="24"/>
          <w:szCs w:val="24"/>
        </w:rPr>
        <w:t xml:space="preserve">the </w:t>
      </w:r>
      <w:r w:rsidRPr="00BB2872">
        <w:rPr>
          <w:rFonts w:ascii="Times New Roman" w:eastAsia="Times New Roman" w:hAnsi="Times New Roman" w:cs="Times New Roman"/>
          <w:sz w:val="24"/>
          <w:szCs w:val="24"/>
        </w:rPr>
        <w:t xml:space="preserve">SVDs </w:t>
      </w:r>
      <w:r w:rsidR="00AD0A35" w:rsidRPr="00BB2872">
        <w:rPr>
          <w:rFonts w:ascii="Times New Roman" w:eastAsia="Times New Roman" w:hAnsi="Times New Roman" w:cs="Times New Roman"/>
          <w:sz w:val="24"/>
          <w:szCs w:val="24"/>
        </w:rPr>
        <w:t>(</w:t>
      </w:r>
      <w:r w:rsidRPr="00BB2872">
        <w:rPr>
          <w:rFonts w:ascii="Times New Roman" w:eastAsia="Times New Roman" w:hAnsi="Times New Roman" w:cs="Times New Roman"/>
          <w:sz w:val="24"/>
          <w:szCs w:val="24"/>
        </w:rPr>
        <w:t xml:space="preserve">Appendix </w:t>
      </w:r>
      <w:r w:rsidR="00822FCF">
        <w:rPr>
          <w:rFonts w:ascii="Times New Roman" w:eastAsia="Times New Roman" w:hAnsi="Times New Roman" w:cs="Times New Roman"/>
          <w:sz w:val="24"/>
          <w:szCs w:val="24"/>
        </w:rPr>
        <w:t>9</w:t>
      </w:r>
      <w:r w:rsidR="00AD0A35" w:rsidRPr="00BB2872">
        <w:rPr>
          <w:rFonts w:ascii="Times New Roman" w:eastAsia="Times New Roman" w:hAnsi="Times New Roman" w:cs="Times New Roman"/>
          <w:sz w:val="24"/>
          <w:szCs w:val="24"/>
        </w:rPr>
        <w:t>)</w:t>
      </w:r>
      <w:r w:rsidRPr="00BB2872">
        <w:rPr>
          <w:rFonts w:ascii="Times New Roman" w:eastAsia="Times New Roman" w:hAnsi="Times New Roman" w:cs="Times New Roman"/>
          <w:sz w:val="24"/>
          <w:szCs w:val="24"/>
        </w:rPr>
        <w:t xml:space="preserve"> </w:t>
      </w:r>
      <w:r w:rsidR="00AD0A35" w:rsidRPr="00BB2872">
        <w:rPr>
          <w:rFonts w:ascii="Times New Roman" w:eastAsia="Times New Roman" w:hAnsi="Times New Roman" w:cs="Times New Roman"/>
          <w:sz w:val="24"/>
          <w:szCs w:val="24"/>
        </w:rPr>
        <w:t xml:space="preserve">illustrate </w:t>
      </w:r>
      <w:r w:rsidRPr="00BB2872">
        <w:rPr>
          <w:rFonts w:ascii="Times New Roman" w:eastAsia="Times New Roman" w:hAnsi="Times New Roman" w:cs="Times New Roman"/>
          <w:sz w:val="24"/>
          <w:szCs w:val="24"/>
        </w:rPr>
        <w:t xml:space="preserve">that a shock in the rate itself contributed </w:t>
      </w:r>
      <w:r w:rsidR="00AD0A35" w:rsidRPr="00BB2872">
        <w:rPr>
          <w:rFonts w:ascii="Times New Roman" w:eastAsia="Times New Roman" w:hAnsi="Times New Roman" w:cs="Times New Roman"/>
          <w:sz w:val="24"/>
          <w:szCs w:val="24"/>
        </w:rPr>
        <w:t xml:space="preserve">to </w:t>
      </w:r>
      <w:r w:rsidRPr="00BB2872">
        <w:rPr>
          <w:rFonts w:ascii="Times New Roman" w:eastAsia="Times New Roman" w:hAnsi="Times New Roman" w:cs="Times New Roman"/>
          <w:sz w:val="24"/>
          <w:szCs w:val="24"/>
        </w:rPr>
        <w:t>most</w:t>
      </w:r>
      <w:r w:rsidR="00AD0A35" w:rsidRPr="00BB2872">
        <w:rPr>
          <w:rFonts w:ascii="Times New Roman" w:eastAsia="Times New Roman" w:hAnsi="Times New Roman" w:cs="Times New Roman"/>
          <w:sz w:val="24"/>
          <w:szCs w:val="24"/>
        </w:rPr>
        <w:t xml:space="preserve"> of</w:t>
      </w:r>
      <w:r w:rsidRPr="00BB2872">
        <w:rPr>
          <w:rFonts w:ascii="Times New Roman" w:eastAsia="Times New Roman" w:hAnsi="Times New Roman" w:cs="Times New Roman"/>
          <w:sz w:val="24"/>
          <w:szCs w:val="24"/>
        </w:rPr>
        <w:t xml:space="preserve"> the variance in each period, which supports the results of </w:t>
      </w:r>
      <w:proofErr w:type="spellStart"/>
      <w:r w:rsidRPr="00BB2872">
        <w:rPr>
          <w:rFonts w:ascii="Times New Roman" w:eastAsia="Times New Roman" w:hAnsi="Times New Roman" w:cs="Times New Roman"/>
          <w:sz w:val="24"/>
          <w:szCs w:val="24"/>
        </w:rPr>
        <w:t>Hainz</w:t>
      </w:r>
      <w:proofErr w:type="spellEnd"/>
      <w:r w:rsidRPr="00BB2872">
        <w:rPr>
          <w:rFonts w:ascii="Times New Roman" w:eastAsia="Times New Roman" w:hAnsi="Times New Roman" w:cs="Times New Roman"/>
          <w:sz w:val="24"/>
          <w:szCs w:val="24"/>
        </w:rPr>
        <w:t xml:space="preserve"> et al. (2014) </w:t>
      </w:r>
      <w:r w:rsidR="00AD0A35" w:rsidRPr="00BB2872">
        <w:rPr>
          <w:rFonts w:ascii="Times New Roman" w:eastAsia="Times New Roman" w:hAnsi="Times New Roman" w:cs="Times New Roman"/>
          <w:sz w:val="24"/>
          <w:szCs w:val="24"/>
        </w:rPr>
        <w:t>and</w:t>
      </w:r>
      <w:r w:rsidRPr="00BB2872">
        <w:rPr>
          <w:rFonts w:ascii="Times New Roman" w:eastAsia="Times New Roman" w:hAnsi="Times New Roman" w:cs="Times New Roman"/>
          <w:sz w:val="24"/>
          <w:szCs w:val="24"/>
        </w:rPr>
        <w:t xml:space="preserve"> Gregor and </w:t>
      </w:r>
      <w:proofErr w:type="spellStart"/>
      <w:r w:rsidRPr="00BB2872">
        <w:rPr>
          <w:rFonts w:ascii="Times New Roman" w:eastAsia="Times New Roman" w:hAnsi="Times New Roman" w:cs="Times New Roman"/>
          <w:sz w:val="24"/>
          <w:szCs w:val="24"/>
        </w:rPr>
        <w:t>Melecky</w:t>
      </w:r>
      <w:proofErr w:type="spellEnd"/>
      <w:r w:rsidRPr="00BB2872">
        <w:rPr>
          <w:rFonts w:ascii="Times New Roman" w:eastAsia="Times New Roman" w:hAnsi="Times New Roman" w:cs="Times New Roman"/>
          <w:sz w:val="24"/>
          <w:szCs w:val="24"/>
        </w:rPr>
        <w:t xml:space="preserve"> (2018)</w:t>
      </w:r>
      <w:r w:rsidR="00AD0A35" w:rsidRPr="00BB2872">
        <w:rPr>
          <w:rFonts w:ascii="Times New Roman" w:eastAsia="Times New Roman" w:hAnsi="Times New Roman" w:cs="Times New Roman"/>
          <w:sz w:val="24"/>
          <w:szCs w:val="24"/>
        </w:rPr>
        <w:t>,</w:t>
      </w:r>
      <w:r w:rsidRPr="00BB2872">
        <w:rPr>
          <w:rFonts w:ascii="Times New Roman" w:eastAsia="Times New Roman" w:hAnsi="Times New Roman" w:cs="Times New Roman"/>
          <w:sz w:val="24"/>
          <w:szCs w:val="24"/>
        </w:rPr>
        <w:t xml:space="preserve"> among others</w:t>
      </w:r>
      <w:r w:rsidR="00AD0A35" w:rsidRPr="00BB2872">
        <w:rPr>
          <w:rFonts w:ascii="Times New Roman" w:eastAsia="Times New Roman" w:hAnsi="Times New Roman" w:cs="Times New Roman"/>
          <w:sz w:val="24"/>
          <w:szCs w:val="24"/>
        </w:rPr>
        <w:t>, who</w:t>
      </w:r>
      <w:r w:rsidRPr="00BB2872">
        <w:rPr>
          <w:rFonts w:ascii="Times New Roman" w:eastAsia="Times New Roman" w:hAnsi="Times New Roman" w:cs="Times New Roman"/>
          <w:sz w:val="24"/>
          <w:szCs w:val="24"/>
        </w:rPr>
        <w:t xml:space="preserve"> stat</w:t>
      </w:r>
      <w:r w:rsidR="00AD0A35" w:rsidRPr="00BB2872">
        <w:rPr>
          <w:rFonts w:ascii="Times New Roman" w:eastAsia="Times New Roman" w:hAnsi="Times New Roman" w:cs="Times New Roman"/>
          <w:sz w:val="24"/>
          <w:szCs w:val="24"/>
        </w:rPr>
        <w:t>ed</w:t>
      </w:r>
      <w:r w:rsidRPr="00BB2872">
        <w:rPr>
          <w:rFonts w:ascii="Times New Roman" w:eastAsia="Times New Roman" w:hAnsi="Times New Roman" w:cs="Times New Roman"/>
          <w:sz w:val="24"/>
          <w:szCs w:val="24"/>
        </w:rPr>
        <w:t xml:space="preserve"> that bank-specific characteristics matter </w:t>
      </w:r>
      <w:r w:rsidR="00AD0A35" w:rsidRPr="00BB2872">
        <w:rPr>
          <w:rFonts w:ascii="Times New Roman" w:eastAsia="Times New Roman" w:hAnsi="Times New Roman" w:cs="Times New Roman"/>
          <w:sz w:val="24"/>
          <w:szCs w:val="24"/>
        </w:rPr>
        <w:t xml:space="preserve">to </w:t>
      </w:r>
      <w:r w:rsidRPr="00BB2872">
        <w:rPr>
          <w:rFonts w:ascii="Times New Roman" w:eastAsia="Times New Roman" w:hAnsi="Times New Roman" w:cs="Times New Roman"/>
          <w:sz w:val="24"/>
          <w:szCs w:val="24"/>
        </w:rPr>
        <w:t>this market segment.</w:t>
      </w:r>
    </w:p>
    <w:p w14:paraId="0000004B" w14:textId="6A89C5BA" w:rsidR="00345220" w:rsidRPr="00BB2872" w:rsidRDefault="00D45E73">
      <w:pPr>
        <w:spacing w:after="0" w:line="480" w:lineRule="auto"/>
        <w:ind w:firstLine="720"/>
        <w:rPr>
          <w:rFonts w:ascii="Times New Roman" w:eastAsia="Times New Roman" w:hAnsi="Times New Roman" w:cs="Times New Roman"/>
          <w:sz w:val="24"/>
          <w:szCs w:val="24"/>
        </w:rPr>
      </w:pPr>
      <w:r w:rsidRPr="00BB2872">
        <w:rPr>
          <w:rFonts w:ascii="Times New Roman" w:eastAsia="Times New Roman" w:hAnsi="Times New Roman" w:cs="Times New Roman"/>
          <w:sz w:val="24"/>
          <w:szCs w:val="24"/>
        </w:rPr>
        <w:t xml:space="preserve">The reactions in </w:t>
      </w:r>
      <w:r w:rsidR="004756C3" w:rsidRPr="00BB2872">
        <w:rPr>
          <w:rFonts w:ascii="Times New Roman" w:eastAsia="Times New Roman" w:hAnsi="Times New Roman" w:cs="Times New Roman"/>
          <w:sz w:val="24"/>
          <w:szCs w:val="24"/>
        </w:rPr>
        <w:t xml:space="preserve">the </w:t>
      </w:r>
      <w:r w:rsidRPr="00BB2872">
        <w:rPr>
          <w:rFonts w:ascii="Times New Roman" w:eastAsia="Times New Roman" w:hAnsi="Times New Roman" w:cs="Times New Roman"/>
          <w:sz w:val="24"/>
          <w:szCs w:val="24"/>
        </w:rPr>
        <w:t xml:space="preserve">other three periods were not statistically significant </w:t>
      </w:r>
      <w:r w:rsidR="004756C3" w:rsidRPr="00BB2872">
        <w:rPr>
          <w:rFonts w:ascii="Times New Roman" w:eastAsia="Times New Roman" w:hAnsi="Times New Roman" w:cs="Times New Roman"/>
          <w:sz w:val="24"/>
          <w:szCs w:val="24"/>
        </w:rPr>
        <w:t xml:space="preserve">to </w:t>
      </w:r>
      <w:r w:rsidRPr="00BB2872">
        <w:rPr>
          <w:rFonts w:ascii="Times New Roman" w:eastAsia="Times New Roman" w:hAnsi="Times New Roman" w:cs="Times New Roman"/>
          <w:sz w:val="24"/>
          <w:szCs w:val="24"/>
        </w:rPr>
        <w:t xml:space="preserve">the market segment. </w:t>
      </w:r>
      <w:r w:rsidR="004756C3" w:rsidRPr="00BB2872">
        <w:rPr>
          <w:rFonts w:ascii="Times New Roman" w:eastAsia="Times New Roman" w:hAnsi="Times New Roman" w:cs="Times New Roman"/>
          <w:sz w:val="24"/>
          <w:szCs w:val="24"/>
        </w:rPr>
        <w:t>This may</w:t>
      </w:r>
      <w:r w:rsidRPr="00BB2872">
        <w:rPr>
          <w:rFonts w:ascii="Times New Roman" w:eastAsia="Times New Roman" w:hAnsi="Times New Roman" w:cs="Times New Roman"/>
          <w:sz w:val="24"/>
          <w:szCs w:val="24"/>
        </w:rPr>
        <w:t xml:space="preserve"> be explained by the fact that these large loans are for selected corporate clients; therefore, the rates did not incorporate changes in the monetary policy, </w:t>
      </w:r>
      <w:r w:rsidR="004756C3" w:rsidRPr="00BB2872">
        <w:rPr>
          <w:rFonts w:ascii="Times New Roman" w:eastAsia="Times New Roman" w:hAnsi="Times New Roman" w:cs="Times New Roman"/>
          <w:sz w:val="24"/>
          <w:szCs w:val="24"/>
        </w:rPr>
        <w:t>as</w:t>
      </w:r>
      <w:r w:rsidRPr="00BB2872">
        <w:rPr>
          <w:rFonts w:ascii="Times New Roman" w:eastAsia="Times New Roman" w:hAnsi="Times New Roman" w:cs="Times New Roman"/>
          <w:sz w:val="24"/>
          <w:szCs w:val="24"/>
        </w:rPr>
        <w:t xml:space="preserve"> also </w:t>
      </w:r>
      <w:r w:rsidR="004756C3" w:rsidRPr="00BB2872">
        <w:rPr>
          <w:rFonts w:ascii="Times New Roman" w:eastAsia="Times New Roman" w:hAnsi="Times New Roman" w:cs="Times New Roman"/>
          <w:sz w:val="24"/>
          <w:szCs w:val="24"/>
        </w:rPr>
        <w:t xml:space="preserve">supported </w:t>
      </w:r>
      <w:r w:rsidRPr="00BB2872">
        <w:rPr>
          <w:rFonts w:ascii="Times New Roman" w:eastAsia="Times New Roman" w:hAnsi="Times New Roman" w:cs="Times New Roman"/>
          <w:sz w:val="24"/>
          <w:szCs w:val="24"/>
        </w:rPr>
        <w:t xml:space="preserve">by </w:t>
      </w:r>
      <w:proofErr w:type="spellStart"/>
      <w:r w:rsidRPr="00BB2872">
        <w:rPr>
          <w:rFonts w:ascii="Times New Roman" w:eastAsia="Times New Roman" w:hAnsi="Times New Roman" w:cs="Times New Roman"/>
          <w:sz w:val="24"/>
          <w:szCs w:val="24"/>
        </w:rPr>
        <w:t>Hainz</w:t>
      </w:r>
      <w:proofErr w:type="spellEnd"/>
      <w:r w:rsidRPr="00BB2872">
        <w:rPr>
          <w:rFonts w:ascii="Times New Roman" w:eastAsia="Times New Roman" w:hAnsi="Times New Roman" w:cs="Times New Roman"/>
          <w:sz w:val="24"/>
          <w:szCs w:val="24"/>
        </w:rPr>
        <w:t xml:space="preserve"> et al. (2014), who </w:t>
      </w:r>
      <w:r w:rsidR="004756C3" w:rsidRPr="00BB2872">
        <w:rPr>
          <w:rFonts w:ascii="Times New Roman" w:eastAsia="Times New Roman" w:hAnsi="Times New Roman" w:cs="Times New Roman"/>
          <w:sz w:val="24"/>
          <w:szCs w:val="24"/>
        </w:rPr>
        <w:t xml:space="preserve">found </w:t>
      </w:r>
      <w:r w:rsidRPr="00BB2872">
        <w:rPr>
          <w:rFonts w:ascii="Times New Roman" w:eastAsia="Times New Roman" w:hAnsi="Times New Roman" w:cs="Times New Roman"/>
          <w:sz w:val="24"/>
          <w:szCs w:val="24"/>
        </w:rPr>
        <w:t xml:space="preserve">that large corporate loans respond less to macroeconomic fundamentals. </w:t>
      </w:r>
    </w:p>
    <w:p w14:paraId="0000004C" w14:textId="77777777" w:rsidR="00345220" w:rsidRPr="00BB2872" w:rsidRDefault="00345220">
      <w:pPr>
        <w:spacing w:after="0" w:line="480" w:lineRule="auto"/>
        <w:ind w:firstLine="720"/>
        <w:rPr>
          <w:rFonts w:ascii="Times New Roman" w:eastAsia="Times New Roman" w:hAnsi="Times New Roman" w:cs="Times New Roman"/>
          <w:sz w:val="24"/>
          <w:szCs w:val="24"/>
        </w:rPr>
      </w:pPr>
    </w:p>
    <w:p w14:paraId="0000004D" w14:textId="479B0C43" w:rsidR="00345220" w:rsidRPr="00BB2872" w:rsidRDefault="00D45E73">
      <w:pPr>
        <w:spacing w:after="120"/>
        <w:jc w:val="both"/>
        <w:rPr>
          <w:rFonts w:ascii="Times New Roman" w:eastAsia="Times New Roman" w:hAnsi="Times New Roman" w:cs="Times New Roman"/>
          <w:sz w:val="24"/>
          <w:szCs w:val="24"/>
        </w:rPr>
      </w:pPr>
      <w:bookmarkStart w:id="3" w:name="_heading=h.1fob9te" w:colFirst="0" w:colLast="0"/>
      <w:bookmarkEnd w:id="3"/>
      <w:r w:rsidRPr="00BB2872">
        <w:rPr>
          <w:rFonts w:ascii="Times New Roman" w:eastAsia="Times New Roman" w:hAnsi="Times New Roman" w:cs="Times New Roman"/>
          <w:sz w:val="24"/>
          <w:szCs w:val="24"/>
        </w:rPr>
        <w:t xml:space="preserve">Figure 4. Reaction of </w:t>
      </w:r>
      <w:proofErr w:type="spellStart"/>
      <w:r w:rsidRPr="00BB2872">
        <w:rPr>
          <w:rFonts w:ascii="Times New Roman" w:eastAsia="Times New Roman" w:hAnsi="Times New Roman" w:cs="Times New Roman"/>
          <w:sz w:val="24"/>
          <w:szCs w:val="24"/>
        </w:rPr>
        <w:t>d_corporate_rate</w:t>
      </w:r>
      <w:proofErr w:type="spellEnd"/>
      <w:r w:rsidRPr="00BB2872">
        <w:rPr>
          <w:rFonts w:ascii="Times New Roman" w:eastAsia="Times New Roman" w:hAnsi="Times New Roman" w:cs="Times New Roman"/>
          <w:sz w:val="24"/>
          <w:szCs w:val="24"/>
        </w:rPr>
        <w:t xml:space="preserve"> for loans </w:t>
      </w:r>
      <w:r w:rsidR="004756C3" w:rsidRPr="00BB2872">
        <w:rPr>
          <w:rFonts w:ascii="Times New Roman" w:eastAsia="Times New Roman" w:hAnsi="Times New Roman" w:cs="Times New Roman"/>
          <w:sz w:val="24"/>
          <w:szCs w:val="24"/>
        </w:rPr>
        <w:t xml:space="preserve">of </w:t>
      </w:r>
      <w:r w:rsidRPr="00BB2872">
        <w:rPr>
          <w:rFonts w:ascii="Times New Roman" w:eastAsia="Times New Roman" w:hAnsi="Times New Roman" w:cs="Times New Roman"/>
          <w:sz w:val="24"/>
          <w:szCs w:val="24"/>
        </w:rPr>
        <w:t>over 30 mil</w:t>
      </w:r>
      <w:r w:rsidR="004756C3" w:rsidRPr="00BB2872">
        <w:rPr>
          <w:rFonts w:ascii="Times New Roman" w:eastAsia="Times New Roman" w:hAnsi="Times New Roman" w:cs="Times New Roman"/>
          <w:sz w:val="24"/>
          <w:szCs w:val="24"/>
        </w:rPr>
        <w:t>lion</w:t>
      </w:r>
      <w:r w:rsidRPr="00BB2872">
        <w:rPr>
          <w:rFonts w:ascii="Times New Roman" w:eastAsia="Times New Roman" w:hAnsi="Times New Roman" w:cs="Times New Roman"/>
          <w:sz w:val="24"/>
          <w:szCs w:val="24"/>
        </w:rPr>
        <w:t xml:space="preserve"> CZK to a shock in </w:t>
      </w:r>
      <w:proofErr w:type="spellStart"/>
      <w:r w:rsidRPr="00BB2872">
        <w:rPr>
          <w:rFonts w:ascii="Times New Roman" w:eastAsia="Times New Roman" w:hAnsi="Times New Roman" w:cs="Times New Roman"/>
          <w:sz w:val="24"/>
          <w:szCs w:val="24"/>
        </w:rPr>
        <w:t>d_pribor_rate</w:t>
      </w:r>
      <w:proofErr w:type="spellEnd"/>
      <w:r w:rsidRPr="00BB2872">
        <w:rPr>
          <w:rFonts w:ascii="Times New Roman" w:eastAsia="Times New Roman" w:hAnsi="Times New Roman" w:cs="Times New Roman"/>
          <w:sz w:val="24"/>
          <w:szCs w:val="24"/>
        </w:rPr>
        <w:t xml:space="preserve"> during different monetary policy stances</w:t>
      </w:r>
    </w:p>
    <w:p w14:paraId="0000004E" w14:textId="77777777" w:rsidR="00345220" w:rsidRPr="00BB2872" w:rsidRDefault="00345220">
      <w:pPr>
        <w:spacing w:after="120"/>
        <w:jc w:val="both"/>
        <w:rPr>
          <w:rFonts w:ascii="Times New Roman" w:eastAsia="Times New Roman" w:hAnsi="Times New Roman" w:cs="Times New Roman"/>
          <w:sz w:val="24"/>
          <w:szCs w:val="24"/>
        </w:rPr>
      </w:pPr>
    </w:p>
    <w:p w14:paraId="0000004F" w14:textId="5CE90515" w:rsidR="00345220" w:rsidRPr="00BB2872" w:rsidRDefault="00317C80">
      <w:pPr>
        <w:pStyle w:val="Nadpis2"/>
      </w:pPr>
      <w:r w:rsidRPr="00BB2872">
        <w:t>5</w:t>
      </w:r>
      <w:r w:rsidR="00D45E73" w:rsidRPr="00BB2872">
        <w:t xml:space="preserve">.4 </w:t>
      </w:r>
      <w:r w:rsidR="00B16571" w:rsidRPr="00BB2872">
        <w:t>P</w:t>
      </w:r>
      <w:r w:rsidR="00D45E73" w:rsidRPr="00BB2872">
        <w:t>ass-through from money market rate to household lending rates</w:t>
      </w:r>
    </w:p>
    <w:p w14:paraId="00000050" w14:textId="529A70A3" w:rsidR="00345220" w:rsidRPr="00BB2872" w:rsidRDefault="00D45E73">
      <w:pPr>
        <w:widowControl w:val="0"/>
        <w:spacing w:before="240" w:after="0" w:line="480" w:lineRule="auto"/>
        <w:rPr>
          <w:rFonts w:ascii="Times New Roman" w:eastAsia="Times New Roman" w:hAnsi="Times New Roman" w:cs="Times New Roman"/>
          <w:sz w:val="24"/>
          <w:szCs w:val="24"/>
        </w:rPr>
      </w:pPr>
      <w:r w:rsidRPr="00BB2872">
        <w:rPr>
          <w:rFonts w:ascii="Times New Roman" w:eastAsia="Times New Roman" w:hAnsi="Times New Roman" w:cs="Times New Roman"/>
          <w:sz w:val="24"/>
          <w:szCs w:val="24"/>
        </w:rPr>
        <w:t xml:space="preserve">The IRFs </w:t>
      </w:r>
      <w:r w:rsidR="00192337" w:rsidRPr="00BB2872">
        <w:rPr>
          <w:rFonts w:ascii="Times New Roman" w:eastAsia="Times New Roman" w:hAnsi="Times New Roman" w:cs="Times New Roman"/>
          <w:sz w:val="24"/>
          <w:szCs w:val="24"/>
        </w:rPr>
        <w:t xml:space="preserve">shown </w:t>
      </w:r>
      <w:r w:rsidRPr="00BB2872">
        <w:rPr>
          <w:rFonts w:ascii="Times New Roman" w:eastAsia="Times New Roman" w:hAnsi="Times New Roman" w:cs="Times New Roman"/>
          <w:sz w:val="24"/>
          <w:szCs w:val="24"/>
        </w:rPr>
        <w:t xml:space="preserve">in Figure 5 prove that there </w:t>
      </w:r>
      <w:r w:rsidR="00192337" w:rsidRPr="00BB2872">
        <w:rPr>
          <w:rFonts w:ascii="Times New Roman" w:eastAsia="Times New Roman" w:hAnsi="Times New Roman" w:cs="Times New Roman"/>
          <w:sz w:val="24"/>
          <w:szCs w:val="24"/>
        </w:rPr>
        <w:t>wa</w:t>
      </w:r>
      <w:r w:rsidRPr="00BB2872">
        <w:rPr>
          <w:rFonts w:ascii="Times New Roman" w:eastAsia="Times New Roman" w:hAnsi="Times New Roman" w:cs="Times New Roman"/>
          <w:sz w:val="24"/>
          <w:szCs w:val="24"/>
        </w:rPr>
        <w:t>s no obvious significant reaction to the shocks in the money market rate during all the periods</w:t>
      </w:r>
      <w:r w:rsidR="00192337" w:rsidRPr="00BB2872">
        <w:rPr>
          <w:rFonts w:ascii="Times New Roman" w:eastAsia="Times New Roman" w:hAnsi="Times New Roman" w:cs="Times New Roman"/>
          <w:sz w:val="24"/>
          <w:szCs w:val="24"/>
        </w:rPr>
        <w:t xml:space="preserve"> examined</w:t>
      </w:r>
      <w:r w:rsidRPr="00BB2872">
        <w:rPr>
          <w:rFonts w:ascii="Times New Roman" w:eastAsia="Times New Roman" w:hAnsi="Times New Roman" w:cs="Times New Roman"/>
          <w:sz w:val="24"/>
          <w:szCs w:val="24"/>
        </w:rPr>
        <w:t xml:space="preserve">. </w:t>
      </w:r>
      <w:r w:rsidR="00192337" w:rsidRPr="00BB2872">
        <w:rPr>
          <w:rFonts w:ascii="Times New Roman" w:eastAsia="Times New Roman" w:hAnsi="Times New Roman" w:cs="Times New Roman"/>
          <w:sz w:val="24"/>
          <w:szCs w:val="24"/>
        </w:rPr>
        <w:t>The n</w:t>
      </w:r>
      <w:r w:rsidRPr="00BB2872">
        <w:rPr>
          <w:rFonts w:ascii="Times New Roman" w:eastAsia="Times New Roman" w:hAnsi="Times New Roman" w:cs="Times New Roman"/>
          <w:sz w:val="24"/>
          <w:szCs w:val="24"/>
        </w:rPr>
        <w:t xml:space="preserve">on-responsiveness of consumer rates to the policy or money market rate is in </w:t>
      </w:r>
      <w:r w:rsidR="00192337" w:rsidRPr="00BB2872">
        <w:rPr>
          <w:rFonts w:ascii="Times New Roman" w:eastAsia="Times New Roman" w:hAnsi="Times New Roman" w:cs="Times New Roman"/>
          <w:sz w:val="24"/>
          <w:szCs w:val="24"/>
        </w:rPr>
        <w:t xml:space="preserve">accordance </w:t>
      </w:r>
      <w:r w:rsidRPr="00BB2872">
        <w:rPr>
          <w:rFonts w:ascii="Times New Roman" w:eastAsia="Times New Roman" w:hAnsi="Times New Roman" w:cs="Times New Roman"/>
          <w:sz w:val="24"/>
          <w:szCs w:val="24"/>
        </w:rPr>
        <w:t xml:space="preserve">with </w:t>
      </w:r>
      <w:r w:rsidR="00192337" w:rsidRPr="00BB2872">
        <w:rPr>
          <w:rFonts w:ascii="Times New Roman" w:eastAsia="Times New Roman" w:hAnsi="Times New Roman" w:cs="Times New Roman"/>
          <w:sz w:val="24"/>
          <w:szCs w:val="24"/>
        </w:rPr>
        <w:t xml:space="preserve">the findings of </w:t>
      </w:r>
      <w:r w:rsidRPr="00BB2872">
        <w:rPr>
          <w:rFonts w:ascii="Times New Roman" w:eastAsia="Times New Roman" w:hAnsi="Times New Roman" w:cs="Times New Roman"/>
          <w:sz w:val="24"/>
          <w:szCs w:val="24"/>
        </w:rPr>
        <w:t xml:space="preserve">previous studies </w:t>
      </w:r>
      <w:r w:rsidR="00192337" w:rsidRPr="00BB2872">
        <w:rPr>
          <w:rFonts w:ascii="Times New Roman" w:eastAsia="Times New Roman" w:hAnsi="Times New Roman" w:cs="Times New Roman"/>
          <w:sz w:val="24"/>
          <w:szCs w:val="24"/>
        </w:rPr>
        <w:t xml:space="preserve">that </w:t>
      </w:r>
      <w:r w:rsidRPr="00BB2872">
        <w:rPr>
          <w:rFonts w:ascii="Times New Roman" w:eastAsia="Times New Roman" w:hAnsi="Times New Roman" w:cs="Times New Roman"/>
          <w:sz w:val="24"/>
          <w:szCs w:val="24"/>
        </w:rPr>
        <w:t>observe</w:t>
      </w:r>
      <w:r w:rsidR="00192337" w:rsidRPr="00BB2872">
        <w:rPr>
          <w:rFonts w:ascii="Times New Roman" w:eastAsia="Times New Roman" w:hAnsi="Times New Roman" w:cs="Times New Roman"/>
          <w:sz w:val="24"/>
          <w:szCs w:val="24"/>
        </w:rPr>
        <w:t>d</w:t>
      </w:r>
      <w:r w:rsidRPr="00BB2872">
        <w:rPr>
          <w:rFonts w:ascii="Times New Roman" w:eastAsia="Times New Roman" w:hAnsi="Times New Roman" w:cs="Times New Roman"/>
          <w:sz w:val="24"/>
          <w:szCs w:val="24"/>
        </w:rPr>
        <w:t xml:space="preserve"> the transmission to household loan rates. </w:t>
      </w:r>
      <w:r w:rsidR="00192337" w:rsidRPr="00BB2872">
        <w:rPr>
          <w:rFonts w:ascii="Times New Roman" w:eastAsia="Times New Roman" w:hAnsi="Times New Roman" w:cs="Times New Roman"/>
          <w:sz w:val="24"/>
          <w:szCs w:val="24"/>
        </w:rPr>
        <w:t>One e</w:t>
      </w:r>
      <w:r w:rsidRPr="00BB2872">
        <w:rPr>
          <w:rFonts w:ascii="Times New Roman" w:eastAsia="Times New Roman" w:hAnsi="Times New Roman" w:cs="Times New Roman"/>
          <w:sz w:val="24"/>
          <w:szCs w:val="24"/>
        </w:rPr>
        <w:t xml:space="preserve">xplanation might be that consumer loans are considered by banks to be much riskier </w:t>
      </w:r>
      <w:r w:rsidR="00192337" w:rsidRPr="00BB2872">
        <w:rPr>
          <w:rFonts w:ascii="Times New Roman" w:eastAsia="Times New Roman" w:hAnsi="Times New Roman" w:cs="Times New Roman"/>
          <w:sz w:val="24"/>
          <w:szCs w:val="24"/>
        </w:rPr>
        <w:t>than</w:t>
      </w:r>
      <w:r w:rsidRPr="00BB2872">
        <w:rPr>
          <w:rFonts w:ascii="Times New Roman" w:eastAsia="Times New Roman" w:hAnsi="Times New Roman" w:cs="Times New Roman"/>
          <w:sz w:val="24"/>
          <w:szCs w:val="24"/>
        </w:rPr>
        <w:t xml:space="preserve"> other type</w:t>
      </w:r>
      <w:r w:rsidR="00192337" w:rsidRPr="00BB2872">
        <w:rPr>
          <w:rFonts w:ascii="Times New Roman" w:eastAsia="Times New Roman" w:hAnsi="Times New Roman" w:cs="Times New Roman"/>
          <w:sz w:val="24"/>
          <w:szCs w:val="24"/>
        </w:rPr>
        <w:t>s</w:t>
      </w:r>
      <w:r w:rsidRPr="00BB2872">
        <w:rPr>
          <w:rFonts w:ascii="Times New Roman" w:eastAsia="Times New Roman" w:hAnsi="Times New Roman" w:cs="Times New Roman"/>
          <w:sz w:val="24"/>
          <w:szCs w:val="24"/>
        </w:rPr>
        <w:t xml:space="preserve"> of loans, as Horvath and </w:t>
      </w:r>
      <w:proofErr w:type="spellStart"/>
      <w:r w:rsidRPr="00BB2872">
        <w:rPr>
          <w:rFonts w:ascii="Times New Roman" w:eastAsia="Times New Roman" w:hAnsi="Times New Roman" w:cs="Times New Roman"/>
          <w:sz w:val="24"/>
          <w:szCs w:val="24"/>
        </w:rPr>
        <w:t>Podpiera</w:t>
      </w:r>
      <w:proofErr w:type="spellEnd"/>
      <w:r w:rsidRPr="00BB2872">
        <w:rPr>
          <w:rFonts w:ascii="Times New Roman" w:eastAsia="Times New Roman" w:hAnsi="Times New Roman" w:cs="Times New Roman"/>
          <w:sz w:val="24"/>
          <w:szCs w:val="24"/>
        </w:rPr>
        <w:t xml:space="preserve"> stated (2012), and that they are driven by other specific factors</w:t>
      </w:r>
      <w:r w:rsidR="00192337" w:rsidRPr="00BB2872">
        <w:rPr>
          <w:rFonts w:ascii="Times New Roman" w:eastAsia="Times New Roman" w:hAnsi="Times New Roman" w:cs="Times New Roman"/>
          <w:sz w:val="24"/>
          <w:szCs w:val="24"/>
        </w:rPr>
        <w:t>,</w:t>
      </w:r>
      <w:r w:rsidRPr="00BB2872">
        <w:rPr>
          <w:rFonts w:ascii="Times New Roman" w:eastAsia="Times New Roman" w:hAnsi="Times New Roman" w:cs="Times New Roman"/>
          <w:sz w:val="24"/>
          <w:szCs w:val="24"/>
        </w:rPr>
        <w:t xml:space="preserve"> as suggested by </w:t>
      </w:r>
      <w:proofErr w:type="spellStart"/>
      <w:r w:rsidRPr="00BB2872">
        <w:rPr>
          <w:rFonts w:ascii="Times New Roman" w:eastAsia="Times New Roman" w:hAnsi="Times New Roman" w:cs="Times New Roman"/>
          <w:sz w:val="24"/>
          <w:szCs w:val="24"/>
        </w:rPr>
        <w:t>Havranek</w:t>
      </w:r>
      <w:proofErr w:type="spellEnd"/>
      <w:r w:rsidRPr="00BB2872">
        <w:rPr>
          <w:rFonts w:ascii="Times New Roman" w:eastAsia="Times New Roman" w:hAnsi="Times New Roman" w:cs="Times New Roman"/>
          <w:sz w:val="24"/>
          <w:szCs w:val="24"/>
        </w:rPr>
        <w:t xml:space="preserve"> et al. (2016), who did not identify any financial market rate </w:t>
      </w:r>
      <w:r w:rsidR="00192337" w:rsidRPr="00BB2872">
        <w:rPr>
          <w:rFonts w:ascii="Times New Roman" w:eastAsia="Times New Roman" w:hAnsi="Times New Roman" w:cs="Times New Roman"/>
          <w:sz w:val="24"/>
          <w:szCs w:val="24"/>
        </w:rPr>
        <w:lastRenderedPageBreak/>
        <w:t xml:space="preserve">that </w:t>
      </w:r>
      <w:r w:rsidRPr="00BB2872">
        <w:rPr>
          <w:rFonts w:ascii="Times New Roman" w:eastAsia="Times New Roman" w:hAnsi="Times New Roman" w:cs="Times New Roman"/>
          <w:sz w:val="24"/>
          <w:szCs w:val="24"/>
        </w:rPr>
        <w:t xml:space="preserve">would correlate with the rate for consumer loans. </w:t>
      </w:r>
    </w:p>
    <w:p w14:paraId="00000051" w14:textId="77777777" w:rsidR="00345220" w:rsidRPr="00BB2872" w:rsidRDefault="00345220">
      <w:pPr>
        <w:spacing w:after="0" w:line="480" w:lineRule="auto"/>
        <w:ind w:firstLine="720"/>
        <w:rPr>
          <w:rFonts w:ascii="Times New Roman" w:eastAsia="Times New Roman" w:hAnsi="Times New Roman" w:cs="Times New Roman"/>
          <w:sz w:val="24"/>
          <w:szCs w:val="24"/>
        </w:rPr>
      </w:pPr>
    </w:p>
    <w:p w14:paraId="00000052" w14:textId="77777777" w:rsidR="00345220" w:rsidRPr="00BB2872" w:rsidRDefault="00D45E73">
      <w:pPr>
        <w:spacing w:after="0"/>
        <w:jc w:val="both"/>
        <w:rPr>
          <w:rFonts w:ascii="Times New Roman" w:eastAsia="Times New Roman" w:hAnsi="Times New Roman" w:cs="Times New Roman"/>
          <w:sz w:val="24"/>
          <w:szCs w:val="24"/>
        </w:rPr>
      </w:pPr>
      <w:bookmarkStart w:id="4" w:name="_heading=h.3znysh7" w:colFirst="0" w:colLast="0"/>
      <w:bookmarkEnd w:id="4"/>
      <w:r w:rsidRPr="00BB2872">
        <w:rPr>
          <w:rFonts w:ascii="Times New Roman" w:eastAsia="Times New Roman" w:hAnsi="Times New Roman" w:cs="Times New Roman"/>
          <w:sz w:val="24"/>
          <w:szCs w:val="24"/>
        </w:rPr>
        <w:t xml:space="preserve">Figure 5. Reaction of </w:t>
      </w:r>
      <w:proofErr w:type="spellStart"/>
      <w:r w:rsidRPr="00BB2872">
        <w:rPr>
          <w:rFonts w:ascii="Times New Roman" w:eastAsia="Times New Roman" w:hAnsi="Times New Roman" w:cs="Times New Roman"/>
          <w:sz w:val="24"/>
          <w:szCs w:val="24"/>
        </w:rPr>
        <w:t>d_consumer</w:t>
      </w:r>
      <w:proofErr w:type="spellEnd"/>
      <w:r w:rsidRPr="00BB2872">
        <w:rPr>
          <w:rFonts w:ascii="Times New Roman" w:eastAsia="Times New Roman" w:hAnsi="Times New Roman" w:cs="Times New Roman"/>
          <w:sz w:val="24"/>
          <w:szCs w:val="24"/>
        </w:rPr>
        <w:t xml:space="preserve"> _rate to a shock in </w:t>
      </w:r>
      <w:proofErr w:type="spellStart"/>
      <w:r w:rsidRPr="00BB2872">
        <w:rPr>
          <w:rFonts w:ascii="Times New Roman" w:eastAsia="Times New Roman" w:hAnsi="Times New Roman" w:cs="Times New Roman"/>
          <w:sz w:val="24"/>
          <w:szCs w:val="24"/>
        </w:rPr>
        <w:t>d_pribor_rate</w:t>
      </w:r>
      <w:proofErr w:type="spellEnd"/>
      <w:r w:rsidRPr="00BB2872">
        <w:rPr>
          <w:rFonts w:ascii="Times New Roman" w:eastAsia="Times New Roman" w:hAnsi="Times New Roman" w:cs="Times New Roman"/>
          <w:sz w:val="24"/>
          <w:szCs w:val="24"/>
        </w:rPr>
        <w:t xml:space="preserve"> during different monetary policy stances</w:t>
      </w:r>
    </w:p>
    <w:p w14:paraId="00000053" w14:textId="77777777" w:rsidR="00345220" w:rsidRPr="00BB2872" w:rsidRDefault="00345220">
      <w:pPr>
        <w:spacing w:after="0"/>
        <w:jc w:val="both"/>
        <w:rPr>
          <w:rFonts w:ascii="Times New Roman" w:eastAsia="Times New Roman" w:hAnsi="Times New Roman" w:cs="Times New Roman"/>
          <w:sz w:val="24"/>
          <w:szCs w:val="24"/>
        </w:rPr>
      </w:pPr>
    </w:p>
    <w:p w14:paraId="00000054" w14:textId="15BBEEF0" w:rsidR="00345220" w:rsidRPr="00BB2872" w:rsidRDefault="00D45E73">
      <w:pPr>
        <w:widowControl w:val="0"/>
        <w:spacing w:before="240" w:after="0" w:line="480" w:lineRule="auto"/>
        <w:rPr>
          <w:rFonts w:ascii="Times New Roman" w:eastAsia="Times New Roman" w:hAnsi="Times New Roman" w:cs="Times New Roman"/>
          <w:sz w:val="24"/>
          <w:szCs w:val="24"/>
        </w:rPr>
      </w:pPr>
      <w:r w:rsidRPr="00BB2872">
        <w:rPr>
          <w:rFonts w:ascii="Times New Roman" w:eastAsia="Times New Roman" w:hAnsi="Times New Roman" w:cs="Times New Roman"/>
          <w:sz w:val="24"/>
          <w:szCs w:val="24"/>
        </w:rPr>
        <w:t>This market segment has its own specifics in Czechia</w:t>
      </w:r>
      <w:r w:rsidR="00C45A50" w:rsidRPr="00BB2872">
        <w:rPr>
          <w:rFonts w:ascii="Times New Roman" w:eastAsia="Times New Roman" w:hAnsi="Times New Roman" w:cs="Times New Roman"/>
          <w:sz w:val="24"/>
          <w:szCs w:val="24"/>
        </w:rPr>
        <w:t>.</w:t>
      </w:r>
      <w:r w:rsidRPr="00BB2872">
        <w:rPr>
          <w:rFonts w:ascii="Times New Roman" w:eastAsia="Times New Roman" w:hAnsi="Times New Roman" w:cs="Times New Roman"/>
          <w:sz w:val="24"/>
          <w:szCs w:val="24"/>
        </w:rPr>
        <w:t xml:space="preserve"> </w:t>
      </w:r>
      <w:r w:rsidR="00C45A50" w:rsidRPr="00BB2872">
        <w:rPr>
          <w:rFonts w:ascii="Times New Roman" w:eastAsia="Times New Roman" w:hAnsi="Times New Roman" w:cs="Times New Roman"/>
          <w:sz w:val="24"/>
          <w:szCs w:val="24"/>
        </w:rPr>
        <w:t>T</w:t>
      </w:r>
      <w:r w:rsidRPr="00BB2872">
        <w:rPr>
          <w:rFonts w:ascii="Times New Roman" w:eastAsia="Times New Roman" w:hAnsi="Times New Roman" w:cs="Times New Roman"/>
          <w:sz w:val="24"/>
          <w:szCs w:val="24"/>
        </w:rPr>
        <w:t xml:space="preserve">he interest rates in this segment </w:t>
      </w:r>
      <w:r w:rsidR="00C45A50" w:rsidRPr="00BB2872">
        <w:rPr>
          <w:rFonts w:ascii="Times New Roman" w:eastAsia="Times New Roman" w:hAnsi="Times New Roman" w:cs="Times New Roman"/>
          <w:sz w:val="24"/>
          <w:szCs w:val="24"/>
        </w:rPr>
        <w:t xml:space="preserve">have </w:t>
      </w:r>
      <w:r w:rsidRPr="00BB2872">
        <w:rPr>
          <w:rFonts w:ascii="Times New Roman" w:eastAsia="Times New Roman" w:hAnsi="Times New Roman" w:cs="Times New Roman"/>
          <w:sz w:val="24"/>
          <w:szCs w:val="24"/>
        </w:rPr>
        <w:t>decrease</w:t>
      </w:r>
      <w:r w:rsidR="00C45A50" w:rsidRPr="00BB2872">
        <w:rPr>
          <w:rFonts w:ascii="Times New Roman" w:eastAsia="Times New Roman" w:hAnsi="Times New Roman" w:cs="Times New Roman"/>
          <w:sz w:val="24"/>
          <w:szCs w:val="24"/>
        </w:rPr>
        <w:t>d</w:t>
      </w:r>
      <w:r w:rsidRPr="00BB2872">
        <w:rPr>
          <w:rFonts w:ascii="Times New Roman" w:eastAsia="Times New Roman" w:hAnsi="Times New Roman" w:cs="Times New Roman"/>
          <w:sz w:val="24"/>
          <w:szCs w:val="24"/>
        </w:rPr>
        <w:t xml:space="preserve"> in the long-term</w:t>
      </w:r>
      <w:r w:rsidR="00C45A50" w:rsidRPr="00BB2872">
        <w:rPr>
          <w:rFonts w:ascii="Times New Roman" w:eastAsia="Times New Roman" w:hAnsi="Times New Roman" w:cs="Times New Roman"/>
          <w:sz w:val="24"/>
          <w:szCs w:val="24"/>
        </w:rPr>
        <w:t>,</w:t>
      </w:r>
      <w:r w:rsidRPr="00BB2872">
        <w:rPr>
          <w:rFonts w:ascii="Times New Roman" w:eastAsia="Times New Roman" w:hAnsi="Times New Roman" w:cs="Times New Roman"/>
          <w:sz w:val="24"/>
          <w:szCs w:val="24"/>
        </w:rPr>
        <w:t xml:space="preserve"> which is in line with </w:t>
      </w:r>
      <w:r w:rsidR="00C45A50" w:rsidRPr="00BB2872">
        <w:rPr>
          <w:rFonts w:ascii="Times New Roman" w:eastAsia="Times New Roman" w:hAnsi="Times New Roman" w:cs="Times New Roman"/>
          <w:sz w:val="24"/>
          <w:szCs w:val="24"/>
        </w:rPr>
        <w:t xml:space="preserve">the </w:t>
      </w:r>
      <w:r w:rsidRPr="00BB2872">
        <w:rPr>
          <w:rFonts w:ascii="Times New Roman" w:eastAsia="Times New Roman" w:hAnsi="Times New Roman" w:cs="Times New Roman"/>
          <w:sz w:val="24"/>
          <w:szCs w:val="24"/>
        </w:rPr>
        <w:t xml:space="preserve">CNB (2018). As </w:t>
      </w:r>
      <w:proofErr w:type="spellStart"/>
      <w:r w:rsidRPr="00BB2872">
        <w:rPr>
          <w:rFonts w:ascii="Times New Roman" w:eastAsia="Times New Roman" w:hAnsi="Times New Roman" w:cs="Times New Roman"/>
          <w:sz w:val="24"/>
          <w:szCs w:val="24"/>
        </w:rPr>
        <w:t>Hainz</w:t>
      </w:r>
      <w:proofErr w:type="spellEnd"/>
      <w:r w:rsidRPr="00BB2872">
        <w:rPr>
          <w:rFonts w:ascii="Times New Roman" w:eastAsia="Times New Roman" w:hAnsi="Times New Roman" w:cs="Times New Roman"/>
          <w:sz w:val="24"/>
          <w:szCs w:val="24"/>
        </w:rPr>
        <w:t xml:space="preserve"> et al. (2014) </w:t>
      </w:r>
      <w:r w:rsidR="00C45A50" w:rsidRPr="00BB2872">
        <w:rPr>
          <w:rFonts w:ascii="Times New Roman" w:eastAsia="Times New Roman" w:hAnsi="Times New Roman" w:cs="Times New Roman"/>
          <w:sz w:val="24"/>
          <w:szCs w:val="24"/>
        </w:rPr>
        <w:t xml:space="preserve">already </w:t>
      </w:r>
      <w:r w:rsidRPr="00BB2872">
        <w:rPr>
          <w:rFonts w:ascii="Times New Roman" w:eastAsia="Times New Roman" w:hAnsi="Times New Roman" w:cs="Times New Roman"/>
          <w:sz w:val="24"/>
          <w:szCs w:val="24"/>
        </w:rPr>
        <w:t xml:space="preserve">noted, consumer loans in Czechia are not affected by </w:t>
      </w:r>
      <w:r w:rsidR="00C45A50" w:rsidRPr="00BB2872">
        <w:rPr>
          <w:rFonts w:ascii="Times New Roman" w:eastAsia="Times New Roman" w:hAnsi="Times New Roman" w:cs="Times New Roman"/>
          <w:sz w:val="24"/>
          <w:szCs w:val="24"/>
        </w:rPr>
        <w:t>as</w:t>
      </w:r>
      <w:r w:rsidRPr="00BB2872">
        <w:rPr>
          <w:rFonts w:ascii="Times New Roman" w:eastAsia="Times New Roman" w:hAnsi="Times New Roman" w:cs="Times New Roman"/>
          <w:sz w:val="24"/>
          <w:szCs w:val="24"/>
        </w:rPr>
        <w:t xml:space="preserve"> many macroeconomic and bank</w:t>
      </w:r>
      <w:r w:rsidR="00C45A50" w:rsidRPr="00BB2872">
        <w:rPr>
          <w:rFonts w:ascii="Times New Roman" w:eastAsia="Times New Roman" w:hAnsi="Times New Roman" w:cs="Times New Roman"/>
          <w:sz w:val="24"/>
          <w:szCs w:val="24"/>
        </w:rPr>
        <w:t>-</w:t>
      </w:r>
      <w:r w:rsidRPr="00BB2872">
        <w:rPr>
          <w:rFonts w:ascii="Times New Roman" w:eastAsia="Times New Roman" w:hAnsi="Times New Roman" w:cs="Times New Roman"/>
          <w:sz w:val="24"/>
          <w:szCs w:val="24"/>
        </w:rPr>
        <w:t xml:space="preserve">specific factors as small corporate loans or mortgage loans. </w:t>
      </w:r>
      <w:r w:rsidR="00C45A50" w:rsidRPr="00BB2872">
        <w:rPr>
          <w:rFonts w:ascii="Times New Roman" w:eastAsia="Times New Roman" w:hAnsi="Times New Roman" w:cs="Times New Roman"/>
          <w:sz w:val="24"/>
          <w:szCs w:val="24"/>
        </w:rPr>
        <w:t>The r</w:t>
      </w:r>
      <w:r w:rsidRPr="00BB2872">
        <w:rPr>
          <w:rFonts w:ascii="Times New Roman" w:eastAsia="Times New Roman" w:hAnsi="Times New Roman" w:cs="Times New Roman"/>
          <w:sz w:val="24"/>
          <w:szCs w:val="24"/>
        </w:rPr>
        <w:t xml:space="preserve">ates on consumer loans were significantly higher </w:t>
      </w:r>
      <w:r w:rsidR="00C45A50" w:rsidRPr="00BB2872">
        <w:rPr>
          <w:rFonts w:ascii="Times New Roman" w:eastAsia="Times New Roman" w:hAnsi="Times New Roman" w:cs="Times New Roman"/>
          <w:sz w:val="24"/>
          <w:szCs w:val="24"/>
        </w:rPr>
        <w:t>than the</w:t>
      </w:r>
      <w:r w:rsidRPr="00BB2872">
        <w:rPr>
          <w:rFonts w:ascii="Times New Roman" w:eastAsia="Times New Roman" w:hAnsi="Times New Roman" w:cs="Times New Roman"/>
          <w:sz w:val="24"/>
          <w:szCs w:val="24"/>
        </w:rPr>
        <w:t xml:space="preserve"> other rates (see</w:t>
      </w:r>
      <w:r w:rsidRPr="00BB2872">
        <w:rPr>
          <w:rFonts w:ascii="Times New Roman" w:eastAsia="Times New Roman" w:hAnsi="Times New Roman" w:cs="Times New Roman"/>
          <w:b/>
          <w:sz w:val="24"/>
          <w:szCs w:val="24"/>
        </w:rPr>
        <w:t xml:space="preserve"> </w:t>
      </w:r>
      <w:r w:rsidRPr="00BB2872">
        <w:rPr>
          <w:rFonts w:ascii="Times New Roman" w:eastAsia="Times New Roman" w:hAnsi="Times New Roman" w:cs="Times New Roman"/>
          <w:sz w:val="24"/>
          <w:szCs w:val="24"/>
        </w:rPr>
        <w:t xml:space="preserve">Appendix </w:t>
      </w:r>
      <w:r w:rsidR="001F73BA">
        <w:rPr>
          <w:rFonts w:ascii="Times New Roman" w:eastAsia="Times New Roman" w:hAnsi="Times New Roman" w:cs="Times New Roman"/>
          <w:sz w:val="24"/>
          <w:szCs w:val="24"/>
        </w:rPr>
        <w:t>4</w:t>
      </w:r>
      <w:r w:rsidRPr="00BB2872">
        <w:rPr>
          <w:rFonts w:ascii="Times New Roman" w:eastAsia="Times New Roman" w:hAnsi="Times New Roman" w:cs="Times New Roman"/>
          <w:sz w:val="24"/>
          <w:szCs w:val="24"/>
        </w:rPr>
        <w:t xml:space="preserve">). We believe that </w:t>
      </w:r>
      <w:r w:rsidR="00C45A50" w:rsidRPr="00BB2872">
        <w:rPr>
          <w:rFonts w:ascii="Times New Roman" w:eastAsia="Times New Roman" w:hAnsi="Times New Roman" w:cs="Times New Roman"/>
          <w:sz w:val="24"/>
          <w:szCs w:val="24"/>
        </w:rPr>
        <w:t>this</w:t>
      </w:r>
      <w:r w:rsidRPr="00BB2872">
        <w:rPr>
          <w:rFonts w:ascii="Times New Roman" w:eastAsia="Times New Roman" w:hAnsi="Times New Roman" w:cs="Times New Roman"/>
          <w:sz w:val="24"/>
          <w:szCs w:val="24"/>
        </w:rPr>
        <w:t xml:space="preserve"> could be associated with </w:t>
      </w:r>
      <w:r w:rsidR="00C45A50" w:rsidRPr="00BB2872">
        <w:rPr>
          <w:rFonts w:ascii="Times New Roman" w:eastAsia="Times New Roman" w:hAnsi="Times New Roman" w:cs="Times New Roman"/>
          <w:sz w:val="24"/>
          <w:szCs w:val="24"/>
        </w:rPr>
        <w:t xml:space="preserve">the </w:t>
      </w:r>
      <w:r w:rsidRPr="00BB2872">
        <w:rPr>
          <w:rFonts w:ascii="Times New Roman" w:eastAsia="Times New Roman" w:hAnsi="Times New Roman" w:cs="Times New Roman"/>
          <w:sz w:val="24"/>
          <w:szCs w:val="24"/>
        </w:rPr>
        <w:t>higher risk that is typical of this type of loan</w:t>
      </w:r>
      <w:r w:rsidR="00C45A50" w:rsidRPr="00BB2872">
        <w:rPr>
          <w:rFonts w:ascii="Times New Roman" w:eastAsia="Times New Roman" w:hAnsi="Times New Roman" w:cs="Times New Roman"/>
          <w:sz w:val="24"/>
          <w:szCs w:val="24"/>
        </w:rPr>
        <w:t>,</w:t>
      </w:r>
      <w:r w:rsidRPr="00BB2872">
        <w:rPr>
          <w:rFonts w:ascii="Times New Roman" w:eastAsia="Times New Roman" w:hAnsi="Times New Roman" w:cs="Times New Roman"/>
          <w:sz w:val="24"/>
          <w:szCs w:val="24"/>
        </w:rPr>
        <w:t xml:space="preserve"> </w:t>
      </w:r>
      <w:proofErr w:type="gramStart"/>
      <w:r w:rsidRPr="00BB2872">
        <w:rPr>
          <w:rFonts w:ascii="Times New Roman" w:eastAsia="Times New Roman" w:hAnsi="Times New Roman" w:cs="Times New Roman"/>
          <w:sz w:val="24"/>
          <w:szCs w:val="24"/>
        </w:rPr>
        <w:t>and also</w:t>
      </w:r>
      <w:proofErr w:type="gramEnd"/>
      <w:r w:rsidRPr="00BB2872">
        <w:rPr>
          <w:rFonts w:ascii="Times New Roman" w:eastAsia="Times New Roman" w:hAnsi="Times New Roman" w:cs="Times New Roman"/>
          <w:sz w:val="24"/>
          <w:szCs w:val="24"/>
        </w:rPr>
        <w:t xml:space="preserve"> with a high profit potential</w:t>
      </w:r>
      <w:r w:rsidR="00C45A50" w:rsidRPr="00BB2872">
        <w:rPr>
          <w:rFonts w:ascii="Times New Roman" w:eastAsia="Times New Roman" w:hAnsi="Times New Roman" w:cs="Times New Roman"/>
          <w:sz w:val="24"/>
          <w:szCs w:val="24"/>
        </w:rPr>
        <w:t>,</w:t>
      </w:r>
      <w:r w:rsidRPr="00BB2872">
        <w:rPr>
          <w:rFonts w:ascii="Times New Roman" w:eastAsia="Times New Roman" w:hAnsi="Times New Roman" w:cs="Times New Roman"/>
          <w:sz w:val="24"/>
          <w:szCs w:val="24"/>
        </w:rPr>
        <w:t xml:space="preserve"> or</w:t>
      </w:r>
      <w:r w:rsidR="00C45A50" w:rsidRPr="00BB2872">
        <w:rPr>
          <w:rFonts w:ascii="Times New Roman" w:eastAsia="Times New Roman" w:hAnsi="Times New Roman" w:cs="Times New Roman"/>
          <w:sz w:val="24"/>
          <w:szCs w:val="24"/>
        </w:rPr>
        <w:t>,</w:t>
      </w:r>
      <w:r w:rsidRPr="00BB2872">
        <w:rPr>
          <w:rFonts w:ascii="Times New Roman" w:eastAsia="Times New Roman" w:hAnsi="Times New Roman" w:cs="Times New Roman"/>
          <w:sz w:val="24"/>
          <w:szCs w:val="24"/>
        </w:rPr>
        <w:t xml:space="preserve"> as CNB (2018) claim</w:t>
      </w:r>
      <w:r w:rsidR="00C45A50" w:rsidRPr="00BB2872">
        <w:rPr>
          <w:rFonts w:ascii="Times New Roman" w:eastAsia="Times New Roman" w:hAnsi="Times New Roman" w:cs="Times New Roman"/>
          <w:sz w:val="24"/>
          <w:szCs w:val="24"/>
        </w:rPr>
        <w:t>ed</w:t>
      </w:r>
      <w:r w:rsidRPr="00BB2872">
        <w:rPr>
          <w:rFonts w:ascii="Times New Roman" w:eastAsia="Times New Roman" w:hAnsi="Times New Roman" w:cs="Times New Roman"/>
          <w:sz w:val="24"/>
          <w:szCs w:val="24"/>
        </w:rPr>
        <w:t xml:space="preserve">, the decrease in </w:t>
      </w:r>
      <w:r w:rsidR="00C45A50" w:rsidRPr="00BB2872">
        <w:rPr>
          <w:rFonts w:ascii="Times New Roman" w:eastAsia="Times New Roman" w:hAnsi="Times New Roman" w:cs="Times New Roman"/>
          <w:sz w:val="24"/>
          <w:szCs w:val="24"/>
        </w:rPr>
        <w:t xml:space="preserve">the </w:t>
      </w:r>
      <w:r w:rsidRPr="00BB2872">
        <w:rPr>
          <w:rFonts w:ascii="Times New Roman" w:eastAsia="Times New Roman" w:hAnsi="Times New Roman" w:cs="Times New Roman"/>
          <w:sz w:val="24"/>
          <w:szCs w:val="24"/>
        </w:rPr>
        <w:t xml:space="preserve">rates in </w:t>
      </w:r>
      <w:r w:rsidR="00C45A50" w:rsidRPr="00BB2872">
        <w:rPr>
          <w:rFonts w:ascii="Times New Roman" w:eastAsia="Times New Roman" w:hAnsi="Times New Roman" w:cs="Times New Roman"/>
          <w:sz w:val="24"/>
          <w:szCs w:val="24"/>
        </w:rPr>
        <w:t xml:space="preserve">the </w:t>
      </w:r>
      <w:r w:rsidRPr="00BB2872">
        <w:rPr>
          <w:rFonts w:ascii="Times New Roman" w:eastAsia="Times New Roman" w:hAnsi="Times New Roman" w:cs="Times New Roman"/>
          <w:sz w:val="24"/>
          <w:szCs w:val="24"/>
        </w:rPr>
        <w:t xml:space="preserve">last two periods </w:t>
      </w:r>
      <w:r w:rsidR="00C45A50" w:rsidRPr="00BB2872">
        <w:rPr>
          <w:rFonts w:ascii="Times New Roman" w:eastAsia="Times New Roman" w:hAnsi="Times New Roman" w:cs="Times New Roman"/>
          <w:sz w:val="24"/>
          <w:szCs w:val="24"/>
        </w:rPr>
        <w:t>may have been</w:t>
      </w:r>
      <w:r w:rsidRPr="00BB2872">
        <w:rPr>
          <w:rFonts w:ascii="Times New Roman" w:eastAsia="Times New Roman" w:hAnsi="Times New Roman" w:cs="Times New Roman"/>
          <w:sz w:val="24"/>
          <w:szCs w:val="24"/>
        </w:rPr>
        <w:t xml:space="preserve"> caused by both structural and cyclical factors. The structural factors were </w:t>
      </w:r>
      <w:r w:rsidR="00C45A50" w:rsidRPr="00BB2872">
        <w:rPr>
          <w:rFonts w:ascii="Times New Roman" w:eastAsia="Times New Roman" w:hAnsi="Times New Roman" w:cs="Times New Roman"/>
          <w:sz w:val="24"/>
          <w:szCs w:val="24"/>
        </w:rPr>
        <w:t xml:space="preserve">previously noted </w:t>
      </w:r>
      <w:r w:rsidRPr="00BB2872">
        <w:rPr>
          <w:rFonts w:ascii="Times New Roman" w:eastAsia="Times New Roman" w:hAnsi="Times New Roman" w:cs="Times New Roman"/>
          <w:sz w:val="24"/>
          <w:szCs w:val="24"/>
        </w:rPr>
        <w:t xml:space="preserve">by Broz and </w:t>
      </w:r>
      <w:proofErr w:type="spellStart"/>
      <w:r w:rsidRPr="00BB2872">
        <w:rPr>
          <w:rFonts w:ascii="Times New Roman" w:eastAsia="Times New Roman" w:hAnsi="Times New Roman" w:cs="Times New Roman"/>
          <w:sz w:val="24"/>
          <w:szCs w:val="24"/>
        </w:rPr>
        <w:t>Hlavacek</w:t>
      </w:r>
      <w:proofErr w:type="spellEnd"/>
      <w:r w:rsidRPr="00BB2872">
        <w:rPr>
          <w:rFonts w:ascii="Times New Roman" w:eastAsia="Times New Roman" w:hAnsi="Times New Roman" w:cs="Times New Roman"/>
          <w:sz w:val="24"/>
          <w:szCs w:val="24"/>
        </w:rPr>
        <w:t xml:space="preserve"> (2019), who found that factors </w:t>
      </w:r>
      <w:r w:rsidR="00801811" w:rsidRPr="00BB2872">
        <w:rPr>
          <w:rFonts w:ascii="Times New Roman" w:eastAsia="Times New Roman" w:hAnsi="Times New Roman" w:cs="Times New Roman"/>
          <w:sz w:val="24"/>
          <w:szCs w:val="24"/>
        </w:rPr>
        <w:t xml:space="preserve">such </w:t>
      </w:r>
      <w:r w:rsidRPr="00BB2872">
        <w:rPr>
          <w:rFonts w:ascii="Times New Roman" w:eastAsia="Times New Roman" w:hAnsi="Times New Roman" w:cs="Times New Roman"/>
          <w:sz w:val="24"/>
          <w:szCs w:val="24"/>
        </w:rPr>
        <w:t xml:space="preserve">as decreasing unemployment and </w:t>
      </w:r>
      <w:r w:rsidR="00801811" w:rsidRPr="00BB2872">
        <w:rPr>
          <w:rFonts w:ascii="Times New Roman" w:eastAsia="Times New Roman" w:hAnsi="Times New Roman" w:cs="Times New Roman"/>
          <w:sz w:val="24"/>
          <w:szCs w:val="24"/>
        </w:rPr>
        <w:t xml:space="preserve">the </w:t>
      </w:r>
      <w:r w:rsidRPr="00BB2872">
        <w:rPr>
          <w:rFonts w:ascii="Times New Roman" w:eastAsia="Times New Roman" w:hAnsi="Times New Roman" w:cs="Times New Roman"/>
          <w:sz w:val="24"/>
          <w:szCs w:val="24"/>
        </w:rPr>
        <w:t>non</w:t>
      </w:r>
      <w:r w:rsidR="00801811" w:rsidRPr="00BB2872">
        <w:rPr>
          <w:rFonts w:ascii="Times New Roman" w:eastAsia="Times New Roman" w:hAnsi="Times New Roman" w:cs="Times New Roman"/>
          <w:sz w:val="24"/>
          <w:szCs w:val="24"/>
        </w:rPr>
        <w:t>-</w:t>
      </w:r>
      <w:r w:rsidRPr="00BB2872">
        <w:rPr>
          <w:rFonts w:ascii="Times New Roman" w:eastAsia="Times New Roman" w:hAnsi="Times New Roman" w:cs="Times New Roman"/>
          <w:sz w:val="24"/>
          <w:szCs w:val="24"/>
        </w:rPr>
        <w:t xml:space="preserve">threatening development of credit risk </w:t>
      </w:r>
      <w:r w:rsidR="00EB0BB6" w:rsidRPr="00BB2872">
        <w:rPr>
          <w:rFonts w:ascii="Times New Roman" w:eastAsia="Times New Roman" w:hAnsi="Times New Roman" w:cs="Times New Roman"/>
          <w:sz w:val="24"/>
          <w:szCs w:val="24"/>
        </w:rPr>
        <w:t>might</w:t>
      </w:r>
      <w:r w:rsidR="00801811" w:rsidRPr="00BB2872">
        <w:rPr>
          <w:rFonts w:ascii="Times New Roman" w:eastAsia="Times New Roman" w:hAnsi="Times New Roman" w:cs="Times New Roman"/>
          <w:sz w:val="24"/>
          <w:szCs w:val="24"/>
        </w:rPr>
        <w:t xml:space="preserve"> have </w:t>
      </w:r>
      <w:r w:rsidRPr="00BB2872">
        <w:rPr>
          <w:rFonts w:ascii="Times New Roman" w:eastAsia="Times New Roman" w:hAnsi="Times New Roman" w:cs="Times New Roman"/>
          <w:sz w:val="24"/>
          <w:szCs w:val="24"/>
        </w:rPr>
        <w:t>contribute</w:t>
      </w:r>
      <w:r w:rsidR="00801811" w:rsidRPr="00BB2872">
        <w:rPr>
          <w:rFonts w:ascii="Times New Roman" w:eastAsia="Times New Roman" w:hAnsi="Times New Roman" w:cs="Times New Roman"/>
          <w:sz w:val="24"/>
          <w:szCs w:val="24"/>
        </w:rPr>
        <w:t>d</w:t>
      </w:r>
      <w:r w:rsidRPr="00BB2872">
        <w:rPr>
          <w:rFonts w:ascii="Times New Roman" w:eastAsia="Times New Roman" w:hAnsi="Times New Roman" w:cs="Times New Roman"/>
          <w:sz w:val="24"/>
          <w:szCs w:val="24"/>
        </w:rPr>
        <w:t xml:space="preserve"> to the development in interest rates of consumer loans between 2014 and 2019. They also mentioned a decreasing market concentration, which we believe could be a crucial factor because</w:t>
      </w:r>
      <w:r w:rsidR="00801811" w:rsidRPr="00BB2872">
        <w:rPr>
          <w:rFonts w:ascii="Times New Roman" w:eastAsia="Times New Roman" w:hAnsi="Times New Roman" w:cs="Times New Roman"/>
          <w:sz w:val="24"/>
          <w:szCs w:val="24"/>
        </w:rPr>
        <w:t>,</w:t>
      </w:r>
      <w:r w:rsidRPr="00BB2872">
        <w:rPr>
          <w:rFonts w:ascii="Times New Roman" w:eastAsia="Times New Roman" w:hAnsi="Times New Roman" w:cs="Times New Roman"/>
          <w:sz w:val="24"/>
          <w:szCs w:val="24"/>
        </w:rPr>
        <w:t xml:space="preserve"> during these two periods</w:t>
      </w:r>
      <w:r w:rsidR="00801811" w:rsidRPr="00BB2872">
        <w:rPr>
          <w:rFonts w:ascii="Times New Roman" w:eastAsia="Times New Roman" w:hAnsi="Times New Roman" w:cs="Times New Roman"/>
          <w:sz w:val="24"/>
          <w:szCs w:val="24"/>
        </w:rPr>
        <w:t>,</w:t>
      </w:r>
      <w:r w:rsidRPr="00BB2872">
        <w:rPr>
          <w:rFonts w:ascii="Times New Roman" w:eastAsia="Times New Roman" w:hAnsi="Times New Roman" w:cs="Times New Roman"/>
          <w:sz w:val="24"/>
          <w:szCs w:val="24"/>
        </w:rPr>
        <w:t xml:space="preserve"> several new banks entered the market and the competition in this market segment increased significantly, contribut</w:t>
      </w:r>
      <w:r w:rsidR="00801811" w:rsidRPr="00BB2872">
        <w:rPr>
          <w:rFonts w:ascii="Times New Roman" w:eastAsia="Times New Roman" w:hAnsi="Times New Roman" w:cs="Times New Roman"/>
          <w:sz w:val="24"/>
          <w:szCs w:val="24"/>
        </w:rPr>
        <w:t>ing</w:t>
      </w:r>
      <w:r w:rsidRPr="00BB2872">
        <w:rPr>
          <w:rFonts w:ascii="Times New Roman" w:eastAsia="Times New Roman" w:hAnsi="Times New Roman" w:cs="Times New Roman"/>
          <w:sz w:val="24"/>
          <w:szCs w:val="24"/>
        </w:rPr>
        <w:t xml:space="preserve"> to </w:t>
      </w:r>
      <w:r w:rsidR="00801811" w:rsidRPr="00BB2872">
        <w:rPr>
          <w:rFonts w:ascii="Times New Roman" w:eastAsia="Times New Roman" w:hAnsi="Times New Roman" w:cs="Times New Roman"/>
          <w:sz w:val="24"/>
          <w:szCs w:val="24"/>
        </w:rPr>
        <w:t xml:space="preserve">an </w:t>
      </w:r>
      <w:r w:rsidRPr="00BB2872">
        <w:rPr>
          <w:rFonts w:ascii="Times New Roman" w:eastAsia="Times New Roman" w:hAnsi="Times New Roman" w:cs="Times New Roman"/>
          <w:sz w:val="24"/>
          <w:szCs w:val="24"/>
        </w:rPr>
        <w:t>overall decrease in consumer loan rates</w:t>
      </w:r>
      <w:r w:rsidR="00801811" w:rsidRPr="00BB2872">
        <w:rPr>
          <w:rFonts w:ascii="Times New Roman" w:eastAsia="Times New Roman" w:hAnsi="Times New Roman" w:cs="Times New Roman"/>
          <w:sz w:val="24"/>
          <w:szCs w:val="24"/>
        </w:rPr>
        <w:t>,</w:t>
      </w:r>
      <w:r w:rsidRPr="00BB2872">
        <w:rPr>
          <w:rFonts w:ascii="Times New Roman" w:eastAsia="Times New Roman" w:hAnsi="Times New Roman" w:cs="Times New Roman"/>
          <w:sz w:val="24"/>
          <w:szCs w:val="24"/>
        </w:rPr>
        <w:t xml:space="preserve"> even though monetary policy </w:t>
      </w:r>
      <w:r w:rsidR="00801811" w:rsidRPr="00BB2872">
        <w:rPr>
          <w:rFonts w:ascii="Times New Roman" w:eastAsia="Times New Roman" w:hAnsi="Times New Roman" w:cs="Times New Roman"/>
          <w:sz w:val="24"/>
          <w:szCs w:val="24"/>
        </w:rPr>
        <w:t xml:space="preserve">was </w:t>
      </w:r>
      <w:r w:rsidRPr="00BB2872">
        <w:rPr>
          <w:rFonts w:ascii="Times New Roman" w:eastAsia="Times New Roman" w:hAnsi="Times New Roman" w:cs="Times New Roman"/>
          <w:sz w:val="24"/>
          <w:szCs w:val="24"/>
        </w:rPr>
        <w:t xml:space="preserve">tightened. </w:t>
      </w:r>
      <w:r w:rsidR="000061E2" w:rsidRPr="00BB2872">
        <w:rPr>
          <w:rFonts w:ascii="Times New Roman" w:eastAsia="Times New Roman" w:hAnsi="Times New Roman" w:cs="Times New Roman"/>
          <w:sz w:val="24"/>
          <w:szCs w:val="24"/>
        </w:rPr>
        <w:t>R</w:t>
      </w:r>
      <w:r w:rsidRPr="00BB2872">
        <w:rPr>
          <w:rFonts w:ascii="Times New Roman" w:eastAsia="Times New Roman" w:hAnsi="Times New Roman" w:cs="Times New Roman"/>
          <w:sz w:val="24"/>
          <w:szCs w:val="24"/>
        </w:rPr>
        <w:t xml:space="preserve">esearch into the factors affecting consumer loan rate pricing mechanisms </w:t>
      </w:r>
      <w:r w:rsidR="000061E2" w:rsidRPr="00BB2872">
        <w:rPr>
          <w:rFonts w:ascii="Times New Roman" w:eastAsia="Times New Roman" w:hAnsi="Times New Roman" w:cs="Times New Roman"/>
          <w:sz w:val="24"/>
          <w:szCs w:val="24"/>
        </w:rPr>
        <w:t xml:space="preserve">is </w:t>
      </w:r>
      <w:r w:rsidRPr="00BB2872">
        <w:rPr>
          <w:rFonts w:ascii="Times New Roman" w:eastAsia="Times New Roman" w:hAnsi="Times New Roman" w:cs="Times New Roman"/>
          <w:sz w:val="24"/>
          <w:szCs w:val="24"/>
        </w:rPr>
        <w:t xml:space="preserve">still </w:t>
      </w:r>
      <w:r w:rsidR="000061E2" w:rsidRPr="00BB2872">
        <w:rPr>
          <w:rFonts w:ascii="Times New Roman" w:eastAsia="Times New Roman" w:hAnsi="Times New Roman" w:cs="Times New Roman"/>
          <w:sz w:val="24"/>
          <w:szCs w:val="24"/>
        </w:rPr>
        <w:t>important, but also</w:t>
      </w:r>
      <w:r w:rsidRPr="00BB2872">
        <w:rPr>
          <w:rFonts w:ascii="Times New Roman" w:eastAsia="Times New Roman" w:hAnsi="Times New Roman" w:cs="Times New Roman"/>
          <w:sz w:val="24"/>
          <w:szCs w:val="24"/>
        </w:rPr>
        <w:t xml:space="preserve"> questionable</w:t>
      </w:r>
      <w:r w:rsidR="000061E2" w:rsidRPr="00BB2872">
        <w:rPr>
          <w:rFonts w:ascii="Times New Roman" w:eastAsia="Times New Roman" w:hAnsi="Times New Roman" w:cs="Times New Roman"/>
          <w:sz w:val="24"/>
          <w:szCs w:val="24"/>
        </w:rPr>
        <w:t>,</w:t>
      </w:r>
      <w:r w:rsidRPr="00BB2872">
        <w:rPr>
          <w:rFonts w:ascii="Times New Roman" w:eastAsia="Times New Roman" w:hAnsi="Times New Roman" w:cs="Times New Roman"/>
          <w:sz w:val="24"/>
          <w:szCs w:val="24"/>
        </w:rPr>
        <w:t xml:space="preserve"> </w:t>
      </w:r>
      <w:r w:rsidR="000061E2" w:rsidRPr="00BB2872">
        <w:rPr>
          <w:rFonts w:ascii="Times New Roman" w:eastAsia="Times New Roman" w:hAnsi="Times New Roman" w:cs="Times New Roman"/>
          <w:sz w:val="24"/>
          <w:szCs w:val="24"/>
        </w:rPr>
        <w:t xml:space="preserve">with such studies </w:t>
      </w:r>
      <w:r w:rsidRPr="00BB2872">
        <w:rPr>
          <w:rFonts w:ascii="Times New Roman" w:eastAsia="Times New Roman" w:hAnsi="Times New Roman" w:cs="Times New Roman"/>
          <w:sz w:val="24"/>
          <w:szCs w:val="24"/>
        </w:rPr>
        <w:t>mostly fail</w:t>
      </w:r>
      <w:r w:rsidR="000061E2" w:rsidRPr="00BB2872">
        <w:rPr>
          <w:rFonts w:ascii="Times New Roman" w:eastAsia="Times New Roman" w:hAnsi="Times New Roman" w:cs="Times New Roman"/>
          <w:sz w:val="24"/>
          <w:szCs w:val="24"/>
        </w:rPr>
        <w:t>ing</w:t>
      </w:r>
      <w:r w:rsidRPr="00BB2872">
        <w:rPr>
          <w:rFonts w:ascii="Times New Roman" w:eastAsia="Times New Roman" w:hAnsi="Times New Roman" w:cs="Times New Roman"/>
          <w:sz w:val="24"/>
          <w:szCs w:val="24"/>
        </w:rPr>
        <w:t xml:space="preserve"> </w:t>
      </w:r>
      <w:r w:rsidR="000061E2" w:rsidRPr="00BB2872">
        <w:rPr>
          <w:rFonts w:ascii="Times New Roman" w:eastAsia="Times New Roman" w:hAnsi="Times New Roman" w:cs="Times New Roman"/>
          <w:sz w:val="24"/>
          <w:szCs w:val="24"/>
        </w:rPr>
        <w:t>because</w:t>
      </w:r>
      <w:r w:rsidRPr="00BB2872">
        <w:rPr>
          <w:rFonts w:ascii="Times New Roman" w:eastAsia="Times New Roman" w:hAnsi="Times New Roman" w:cs="Times New Roman"/>
          <w:sz w:val="24"/>
          <w:szCs w:val="24"/>
        </w:rPr>
        <w:t xml:space="preserve"> the factors seem to be very specific. We believe that</w:t>
      </w:r>
      <w:r w:rsidR="000061E2" w:rsidRPr="00BB2872">
        <w:rPr>
          <w:rFonts w:ascii="Times New Roman" w:eastAsia="Times New Roman" w:hAnsi="Times New Roman" w:cs="Times New Roman"/>
          <w:sz w:val="24"/>
          <w:szCs w:val="24"/>
        </w:rPr>
        <w:t>, for example,</w:t>
      </w:r>
      <w:r w:rsidRPr="00BB2872">
        <w:rPr>
          <w:rFonts w:ascii="Times New Roman" w:eastAsia="Times New Roman" w:hAnsi="Times New Roman" w:cs="Times New Roman"/>
          <w:sz w:val="24"/>
          <w:szCs w:val="24"/>
        </w:rPr>
        <w:t xml:space="preserve"> </w:t>
      </w:r>
      <w:r w:rsidR="000061E2" w:rsidRPr="00BB2872">
        <w:rPr>
          <w:rFonts w:ascii="Times New Roman" w:eastAsia="Times New Roman" w:hAnsi="Times New Roman" w:cs="Times New Roman"/>
          <w:sz w:val="24"/>
          <w:szCs w:val="24"/>
        </w:rPr>
        <w:t xml:space="preserve">studies on </w:t>
      </w:r>
      <w:r w:rsidRPr="00BB2872">
        <w:rPr>
          <w:rFonts w:ascii="Times New Roman" w:eastAsia="Times New Roman" w:hAnsi="Times New Roman" w:cs="Times New Roman"/>
          <w:sz w:val="24"/>
          <w:szCs w:val="24"/>
        </w:rPr>
        <w:t xml:space="preserve">the effect of inequality on the transmission of monetary policy, as </w:t>
      </w:r>
      <w:r w:rsidR="000061E2" w:rsidRPr="00BB2872">
        <w:rPr>
          <w:rFonts w:ascii="Times New Roman" w:eastAsia="Times New Roman" w:hAnsi="Times New Roman" w:cs="Times New Roman"/>
          <w:sz w:val="24"/>
          <w:szCs w:val="24"/>
        </w:rPr>
        <w:t>provided</w:t>
      </w:r>
      <w:r w:rsidRPr="00BB2872">
        <w:rPr>
          <w:rFonts w:ascii="Times New Roman" w:eastAsia="Times New Roman" w:hAnsi="Times New Roman" w:cs="Times New Roman"/>
          <w:sz w:val="24"/>
          <w:szCs w:val="24"/>
        </w:rPr>
        <w:t xml:space="preserve"> by </w:t>
      </w:r>
      <w:proofErr w:type="spellStart"/>
      <w:r w:rsidRPr="00BB2872">
        <w:rPr>
          <w:rFonts w:ascii="Times New Roman" w:eastAsia="Times New Roman" w:hAnsi="Times New Roman" w:cs="Times New Roman"/>
          <w:sz w:val="24"/>
          <w:szCs w:val="24"/>
        </w:rPr>
        <w:t>Voinea</w:t>
      </w:r>
      <w:proofErr w:type="spellEnd"/>
      <w:r w:rsidRPr="00BB2872">
        <w:rPr>
          <w:rFonts w:ascii="Times New Roman" w:eastAsia="Times New Roman" w:hAnsi="Times New Roman" w:cs="Times New Roman"/>
          <w:sz w:val="24"/>
          <w:szCs w:val="24"/>
        </w:rPr>
        <w:t xml:space="preserve"> et al. (2018) </w:t>
      </w:r>
      <w:r w:rsidR="000061E2" w:rsidRPr="00BB2872">
        <w:rPr>
          <w:rFonts w:ascii="Times New Roman" w:eastAsia="Times New Roman" w:hAnsi="Times New Roman" w:cs="Times New Roman"/>
          <w:sz w:val="24"/>
          <w:szCs w:val="24"/>
        </w:rPr>
        <w:t>and</w:t>
      </w:r>
      <w:r w:rsidRPr="00BB2872">
        <w:rPr>
          <w:rFonts w:ascii="Times New Roman" w:eastAsia="Times New Roman" w:hAnsi="Times New Roman" w:cs="Times New Roman"/>
          <w:sz w:val="24"/>
          <w:szCs w:val="24"/>
        </w:rPr>
        <w:t xml:space="preserve"> </w:t>
      </w:r>
      <w:proofErr w:type="spellStart"/>
      <w:r w:rsidRPr="00BB2872">
        <w:rPr>
          <w:rFonts w:ascii="Times New Roman" w:eastAsia="Times New Roman" w:hAnsi="Times New Roman" w:cs="Times New Roman"/>
          <w:sz w:val="24"/>
          <w:szCs w:val="24"/>
        </w:rPr>
        <w:t>Colciago</w:t>
      </w:r>
      <w:proofErr w:type="spellEnd"/>
      <w:r w:rsidRPr="00BB2872">
        <w:rPr>
          <w:rFonts w:ascii="Times New Roman" w:eastAsia="Times New Roman" w:hAnsi="Times New Roman" w:cs="Times New Roman"/>
          <w:sz w:val="24"/>
          <w:szCs w:val="24"/>
        </w:rPr>
        <w:t xml:space="preserve"> et al. (2019), can provide deeper insight</w:t>
      </w:r>
      <w:r w:rsidR="000061E2" w:rsidRPr="00BB2872">
        <w:rPr>
          <w:rFonts w:ascii="Times New Roman" w:eastAsia="Times New Roman" w:hAnsi="Times New Roman" w:cs="Times New Roman"/>
          <w:sz w:val="24"/>
          <w:szCs w:val="24"/>
        </w:rPr>
        <w:t>s</w:t>
      </w:r>
      <w:r w:rsidRPr="00BB2872">
        <w:rPr>
          <w:rFonts w:ascii="Times New Roman" w:eastAsia="Times New Roman" w:hAnsi="Times New Roman" w:cs="Times New Roman"/>
          <w:sz w:val="24"/>
          <w:szCs w:val="24"/>
        </w:rPr>
        <w:t xml:space="preserve"> into th</w:t>
      </w:r>
      <w:r w:rsidR="000061E2" w:rsidRPr="00BB2872">
        <w:rPr>
          <w:rFonts w:ascii="Times New Roman" w:eastAsia="Times New Roman" w:hAnsi="Times New Roman" w:cs="Times New Roman"/>
          <w:sz w:val="24"/>
          <w:szCs w:val="24"/>
        </w:rPr>
        <w:t>is</w:t>
      </w:r>
      <w:r w:rsidRPr="00BB2872">
        <w:rPr>
          <w:rFonts w:ascii="Times New Roman" w:eastAsia="Times New Roman" w:hAnsi="Times New Roman" w:cs="Times New Roman"/>
          <w:sz w:val="24"/>
          <w:szCs w:val="24"/>
        </w:rPr>
        <w:t xml:space="preserve"> issue. </w:t>
      </w:r>
    </w:p>
    <w:p w14:paraId="00000055" w14:textId="77777777" w:rsidR="00345220" w:rsidRPr="00BB2872" w:rsidRDefault="00345220"/>
    <w:p w14:paraId="00000056" w14:textId="457D7157" w:rsidR="00345220" w:rsidRPr="00BB2872" w:rsidRDefault="00D45E73">
      <w:pPr>
        <w:spacing w:after="0"/>
        <w:jc w:val="both"/>
        <w:rPr>
          <w:rFonts w:ascii="Times New Roman" w:eastAsia="Times New Roman" w:hAnsi="Times New Roman" w:cs="Times New Roman"/>
          <w:sz w:val="24"/>
          <w:szCs w:val="24"/>
        </w:rPr>
      </w:pPr>
      <w:bookmarkStart w:id="5" w:name="_heading=h.2et92p0" w:colFirst="0" w:colLast="0"/>
      <w:bookmarkEnd w:id="5"/>
      <w:r w:rsidRPr="00BB2872">
        <w:rPr>
          <w:rFonts w:ascii="Times New Roman" w:eastAsia="Times New Roman" w:hAnsi="Times New Roman" w:cs="Times New Roman"/>
          <w:sz w:val="24"/>
          <w:szCs w:val="24"/>
        </w:rPr>
        <w:lastRenderedPageBreak/>
        <w:t xml:space="preserve">Figure 6. Reaction of </w:t>
      </w:r>
      <w:proofErr w:type="spellStart"/>
      <w:r w:rsidRPr="00BB2872">
        <w:rPr>
          <w:rFonts w:ascii="Times New Roman" w:eastAsia="Times New Roman" w:hAnsi="Times New Roman" w:cs="Times New Roman"/>
          <w:sz w:val="24"/>
          <w:szCs w:val="24"/>
        </w:rPr>
        <w:t>d_mortgage</w:t>
      </w:r>
      <w:r w:rsidR="00EB0BB6" w:rsidRPr="00BB2872">
        <w:rPr>
          <w:rFonts w:ascii="Times New Roman" w:eastAsia="Times New Roman" w:hAnsi="Times New Roman" w:cs="Times New Roman"/>
          <w:sz w:val="24"/>
          <w:szCs w:val="24"/>
        </w:rPr>
        <w:t>_</w:t>
      </w:r>
      <w:r w:rsidRPr="00BB2872">
        <w:rPr>
          <w:rFonts w:ascii="Times New Roman" w:eastAsia="Times New Roman" w:hAnsi="Times New Roman" w:cs="Times New Roman"/>
          <w:sz w:val="24"/>
          <w:szCs w:val="24"/>
        </w:rPr>
        <w:t>rate</w:t>
      </w:r>
      <w:proofErr w:type="spellEnd"/>
      <w:r w:rsidRPr="00BB2872">
        <w:rPr>
          <w:rFonts w:ascii="Times New Roman" w:eastAsia="Times New Roman" w:hAnsi="Times New Roman" w:cs="Times New Roman"/>
          <w:sz w:val="24"/>
          <w:szCs w:val="24"/>
        </w:rPr>
        <w:t xml:space="preserve"> to a shock in </w:t>
      </w:r>
      <w:proofErr w:type="spellStart"/>
      <w:r w:rsidRPr="00BB2872">
        <w:rPr>
          <w:rFonts w:ascii="Times New Roman" w:eastAsia="Times New Roman" w:hAnsi="Times New Roman" w:cs="Times New Roman"/>
          <w:sz w:val="24"/>
          <w:szCs w:val="24"/>
        </w:rPr>
        <w:t>d_pribor_rate</w:t>
      </w:r>
      <w:proofErr w:type="spellEnd"/>
      <w:r w:rsidRPr="00BB2872">
        <w:rPr>
          <w:rFonts w:ascii="Times New Roman" w:eastAsia="Times New Roman" w:hAnsi="Times New Roman" w:cs="Times New Roman"/>
          <w:sz w:val="24"/>
          <w:szCs w:val="24"/>
        </w:rPr>
        <w:t xml:space="preserve"> during different monetary policy stances</w:t>
      </w:r>
    </w:p>
    <w:p w14:paraId="00000057" w14:textId="77777777" w:rsidR="00345220" w:rsidRPr="00BB2872" w:rsidRDefault="00345220">
      <w:pPr>
        <w:spacing w:after="120"/>
        <w:jc w:val="both"/>
        <w:rPr>
          <w:rFonts w:ascii="Times New Roman" w:eastAsia="Times New Roman" w:hAnsi="Times New Roman" w:cs="Times New Roman"/>
        </w:rPr>
      </w:pPr>
    </w:p>
    <w:p w14:paraId="00000058" w14:textId="610DE4FF" w:rsidR="00345220" w:rsidRPr="00BB2872" w:rsidRDefault="00D45E73">
      <w:pPr>
        <w:widowControl w:val="0"/>
        <w:spacing w:before="240" w:after="0" w:line="480" w:lineRule="auto"/>
        <w:rPr>
          <w:rFonts w:ascii="Times New Roman" w:eastAsia="Times New Roman" w:hAnsi="Times New Roman" w:cs="Times New Roman"/>
          <w:sz w:val="24"/>
          <w:szCs w:val="24"/>
        </w:rPr>
      </w:pPr>
      <w:r w:rsidRPr="00BB2872">
        <w:rPr>
          <w:rFonts w:ascii="Times New Roman" w:eastAsia="Times New Roman" w:hAnsi="Times New Roman" w:cs="Times New Roman"/>
          <w:sz w:val="24"/>
          <w:szCs w:val="24"/>
        </w:rPr>
        <w:t xml:space="preserve">Finally, the effect of a shock in the money market rate on the change in mortgage rates </w:t>
      </w:r>
      <w:r w:rsidR="009D4487" w:rsidRPr="00BB2872">
        <w:rPr>
          <w:rFonts w:ascii="Times New Roman" w:eastAsia="Times New Roman" w:hAnsi="Times New Roman" w:cs="Times New Roman"/>
          <w:sz w:val="24"/>
          <w:szCs w:val="24"/>
        </w:rPr>
        <w:t>wa</w:t>
      </w:r>
      <w:r w:rsidRPr="00BB2872">
        <w:rPr>
          <w:rFonts w:ascii="Times New Roman" w:eastAsia="Times New Roman" w:hAnsi="Times New Roman" w:cs="Times New Roman"/>
          <w:sz w:val="24"/>
          <w:szCs w:val="24"/>
        </w:rPr>
        <w:t xml:space="preserve">s analysed. The responses were not confirmed to be statistically significant in any of the observed periods </w:t>
      </w:r>
      <w:r w:rsidR="009D4487" w:rsidRPr="00BB2872">
        <w:rPr>
          <w:rFonts w:ascii="Times New Roman" w:eastAsia="Times New Roman" w:hAnsi="Times New Roman" w:cs="Times New Roman"/>
          <w:sz w:val="24"/>
          <w:szCs w:val="24"/>
        </w:rPr>
        <w:t>(</w:t>
      </w:r>
      <w:r w:rsidRPr="00BB2872">
        <w:rPr>
          <w:rFonts w:ascii="Times New Roman" w:eastAsia="Times New Roman" w:hAnsi="Times New Roman" w:cs="Times New Roman"/>
          <w:sz w:val="24"/>
          <w:szCs w:val="24"/>
        </w:rPr>
        <w:t>see Figure 6</w:t>
      </w:r>
      <w:r w:rsidR="009D4487" w:rsidRPr="00BB2872">
        <w:rPr>
          <w:rFonts w:ascii="Times New Roman" w:eastAsia="Times New Roman" w:hAnsi="Times New Roman" w:cs="Times New Roman"/>
          <w:sz w:val="24"/>
          <w:szCs w:val="24"/>
        </w:rPr>
        <w:t>)</w:t>
      </w:r>
      <w:r w:rsidRPr="00BB2872">
        <w:rPr>
          <w:rFonts w:ascii="Times New Roman" w:eastAsia="Times New Roman" w:hAnsi="Times New Roman" w:cs="Times New Roman"/>
          <w:sz w:val="24"/>
          <w:szCs w:val="24"/>
        </w:rPr>
        <w:t xml:space="preserve">. These results contrast with those </w:t>
      </w:r>
      <w:r w:rsidR="009D4487" w:rsidRPr="00BB2872">
        <w:rPr>
          <w:rFonts w:ascii="Times New Roman" w:eastAsia="Times New Roman" w:hAnsi="Times New Roman" w:cs="Times New Roman"/>
          <w:sz w:val="24"/>
          <w:szCs w:val="24"/>
        </w:rPr>
        <w:t xml:space="preserve">published </w:t>
      </w:r>
      <w:r w:rsidRPr="00BB2872">
        <w:rPr>
          <w:rFonts w:ascii="Times New Roman" w:eastAsia="Times New Roman" w:hAnsi="Times New Roman" w:cs="Times New Roman"/>
          <w:sz w:val="24"/>
          <w:szCs w:val="24"/>
        </w:rPr>
        <w:t xml:space="preserve">by Horvath and </w:t>
      </w:r>
      <w:proofErr w:type="spellStart"/>
      <w:r w:rsidRPr="00BB2872">
        <w:rPr>
          <w:rFonts w:ascii="Times New Roman" w:eastAsia="Times New Roman" w:hAnsi="Times New Roman" w:cs="Times New Roman"/>
          <w:sz w:val="24"/>
          <w:szCs w:val="24"/>
        </w:rPr>
        <w:t>Podpiera</w:t>
      </w:r>
      <w:proofErr w:type="spellEnd"/>
      <w:r w:rsidRPr="00BB2872">
        <w:rPr>
          <w:rFonts w:ascii="Times New Roman" w:eastAsia="Times New Roman" w:hAnsi="Times New Roman" w:cs="Times New Roman"/>
          <w:sz w:val="24"/>
          <w:szCs w:val="24"/>
        </w:rPr>
        <w:t xml:space="preserve"> (2012), who demonstrated that </w:t>
      </w:r>
      <w:r w:rsidR="009D4487" w:rsidRPr="00BB2872">
        <w:rPr>
          <w:rFonts w:ascii="Times New Roman" w:eastAsia="Times New Roman" w:hAnsi="Times New Roman" w:cs="Times New Roman"/>
          <w:sz w:val="24"/>
          <w:szCs w:val="24"/>
        </w:rPr>
        <w:t xml:space="preserve">the </w:t>
      </w:r>
      <w:r w:rsidRPr="00BB2872">
        <w:rPr>
          <w:rFonts w:ascii="Times New Roman" w:eastAsia="Times New Roman" w:hAnsi="Times New Roman" w:cs="Times New Roman"/>
          <w:sz w:val="24"/>
          <w:szCs w:val="24"/>
        </w:rPr>
        <w:t xml:space="preserve">adjustment of mortgage rates to the money market rate </w:t>
      </w:r>
      <w:r w:rsidR="009D4487" w:rsidRPr="00BB2872">
        <w:rPr>
          <w:rFonts w:ascii="Times New Roman" w:eastAsia="Times New Roman" w:hAnsi="Times New Roman" w:cs="Times New Roman"/>
          <w:sz w:val="24"/>
          <w:szCs w:val="24"/>
        </w:rPr>
        <w:t>wa</w:t>
      </w:r>
      <w:r w:rsidRPr="00BB2872">
        <w:rPr>
          <w:rFonts w:ascii="Times New Roman" w:eastAsia="Times New Roman" w:hAnsi="Times New Roman" w:cs="Times New Roman"/>
          <w:sz w:val="24"/>
          <w:szCs w:val="24"/>
        </w:rPr>
        <w:t xml:space="preserve">s quick in the short </w:t>
      </w:r>
      <w:r w:rsidR="009D4487" w:rsidRPr="00BB2872">
        <w:rPr>
          <w:rFonts w:ascii="Times New Roman" w:eastAsia="Times New Roman" w:hAnsi="Times New Roman" w:cs="Times New Roman"/>
          <w:sz w:val="24"/>
          <w:szCs w:val="24"/>
        </w:rPr>
        <w:t>term</w:t>
      </w:r>
      <w:r w:rsidRPr="00BB2872">
        <w:rPr>
          <w:rFonts w:ascii="Times New Roman" w:eastAsia="Times New Roman" w:hAnsi="Times New Roman" w:cs="Times New Roman"/>
          <w:sz w:val="24"/>
          <w:szCs w:val="24"/>
        </w:rPr>
        <w:t xml:space="preserve">, or </w:t>
      </w:r>
      <w:proofErr w:type="spellStart"/>
      <w:r w:rsidRPr="00BB2872">
        <w:rPr>
          <w:rFonts w:ascii="Times New Roman" w:eastAsia="Times New Roman" w:hAnsi="Times New Roman" w:cs="Times New Roman"/>
          <w:sz w:val="24"/>
          <w:szCs w:val="24"/>
        </w:rPr>
        <w:t>Hainz</w:t>
      </w:r>
      <w:proofErr w:type="spellEnd"/>
      <w:r w:rsidRPr="00BB2872">
        <w:rPr>
          <w:rFonts w:ascii="Times New Roman" w:eastAsia="Times New Roman" w:hAnsi="Times New Roman" w:cs="Times New Roman"/>
          <w:sz w:val="24"/>
          <w:szCs w:val="24"/>
        </w:rPr>
        <w:t xml:space="preserve"> et al. (2014), who confirmed the important role of macroeconomic factors for mortgages. </w:t>
      </w:r>
      <w:r w:rsidR="009D4487" w:rsidRPr="00BB2872">
        <w:rPr>
          <w:rFonts w:ascii="Times New Roman" w:eastAsia="Times New Roman" w:hAnsi="Times New Roman" w:cs="Times New Roman"/>
          <w:sz w:val="24"/>
          <w:szCs w:val="24"/>
        </w:rPr>
        <w:t>By</w:t>
      </w:r>
      <w:r w:rsidRPr="00BB2872">
        <w:rPr>
          <w:rFonts w:ascii="Times New Roman" w:eastAsia="Times New Roman" w:hAnsi="Times New Roman" w:cs="Times New Roman"/>
          <w:sz w:val="24"/>
          <w:szCs w:val="24"/>
        </w:rPr>
        <w:t xml:space="preserve"> contrast, </w:t>
      </w:r>
      <w:r w:rsidR="009D4487" w:rsidRPr="00BB2872">
        <w:rPr>
          <w:rFonts w:ascii="Times New Roman" w:eastAsia="Times New Roman" w:hAnsi="Times New Roman" w:cs="Times New Roman"/>
          <w:sz w:val="24"/>
          <w:szCs w:val="24"/>
        </w:rPr>
        <w:t xml:space="preserve">our </w:t>
      </w:r>
      <w:r w:rsidRPr="00BB2872">
        <w:rPr>
          <w:rFonts w:ascii="Times New Roman" w:eastAsia="Times New Roman" w:hAnsi="Times New Roman" w:cs="Times New Roman"/>
          <w:sz w:val="24"/>
          <w:szCs w:val="24"/>
        </w:rPr>
        <w:t xml:space="preserve">results support those </w:t>
      </w:r>
      <w:r w:rsidR="009D4487" w:rsidRPr="00BB2872">
        <w:rPr>
          <w:rFonts w:ascii="Times New Roman" w:eastAsia="Times New Roman" w:hAnsi="Times New Roman" w:cs="Times New Roman"/>
          <w:sz w:val="24"/>
          <w:szCs w:val="24"/>
        </w:rPr>
        <w:t>of</w:t>
      </w:r>
      <w:r w:rsidRPr="00BB2872">
        <w:rPr>
          <w:rFonts w:ascii="Times New Roman" w:eastAsia="Times New Roman" w:hAnsi="Times New Roman" w:cs="Times New Roman"/>
          <w:sz w:val="24"/>
          <w:szCs w:val="24"/>
        </w:rPr>
        <w:t xml:space="preserve"> </w:t>
      </w:r>
      <w:proofErr w:type="spellStart"/>
      <w:r w:rsidRPr="00BB2872">
        <w:rPr>
          <w:rFonts w:ascii="Times New Roman" w:eastAsia="Times New Roman" w:hAnsi="Times New Roman" w:cs="Times New Roman"/>
          <w:sz w:val="24"/>
          <w:szCs w:val="24"/>
        </w:rPr>
        <w:t>Havranek</w:t>
      </w:r>
      <w:proofErr w:type="spellEnd"/>
      <w:r w:rsidRPr="00BB2872">
        <w:rPr>
          <w:rFonts w:ascii="Times New Roman" w:eastAsia="Times New Roman" w:hAnsi="Times New Roman" w:cs="Times New Roman"/>
          <w:sz w:val="24"/>
          <w:szCs w:val="24"/>
        </w:rPr>
        <w:t xml:space="preserve"> et al. (2016), who </w:t>
      </w:r>
      <w:proofErr w:type="gramStart"/>
      <w:r w:rsidRPr="00BB2872">
        <w:rPr>
          <w:rFonts w:ascii="Times New Roman" w:eastAsia="Times New Roman" w:hAnsi="Times New Roman" w:cs="Times New Roman"/>
          <w:sz w:val="24"/>
          <w:szCs w:val="24"/>
        </w:rPr>
        <w:t xml:space="preserve">came to </w:t>
      </w:r>
      <w:r w:rsidR="009D4487" w:rsidRPr="00BB2872">
        <w:rPr>
          <w:rFonts w:ascii="Times New Roman" w:eastAsia="Times New Roman" w:hAnsi="Times New Roman" w:cs="Times New Roman"/>
          <w:sz w:val="24"/>
          <w:szCs w:val="24"/>
        </w:rPr>
        <w:t xml:space="preserve">the </w:t>
      </w:r>
      <w:r w:rsidRPr="00BB2872">
        <w:rPr>
          <w:rFonts w:ascii="Times New Roman" w:eastAsia="Times New Roman" w:hAnsi="Times New Roman" w:cs="Times New Roman"/>
          <w:sz w:val="24"/>
          <w:szCs w:val="24"/>
        </w:rPr>
        <w:t>conclusion</w:t>
      </w:r>
      <w:proofErr w:type="gramEnd"/>
      <w:r w:rsidRPr="00BB2872">
        <w:rPr>
          <w:rFonts w:ascii="Times New Roman" w:eastAsia="Times New Roman" w:hAnsi="Times New Roman" w:cs="Times New Roman"/>
          <w:sz w:val="24"/>
          <w:szCs w:val="24"/>
        </w:rPr>
        <w:t xml:space="preserve"> that the market rate is insignificant </w:t>
      </w:r>
      <w:r w:rsidR="009D4487" w:rsidRPr="00BB2872">
        <w:rPr>
          <w:rFonts w:ascii="Times New Roman" w:eastAsia="Times New Roman" w:hAnsi="Times New Roman" w:cs="Times New Roman"/>
          <w:sz w:val="24"/>
          <w:szCs w:val="24"/>
        </w:rPr>
        <w:t>in</w:t>
      </w:r>
      <w:r w:rsidRPr="00BB2872">
        <w:rPr>
          <w:rFonts w:ascii="Times New Roman" w:eastAsia="Times New Roman" w:hAnsi="Times New Roman" w:cs="Times New Roman"/>
          <w:sz w:val="24"/>
          <w:szCs w:val="24"/>
        </w:rPr>
        <w:t xml:space="preserve"> mortgage pricing in the short </w:t>
      </w:r>
      <w:r w:rsidR="009D4487" w:rsidRPr="00BB2872">
        <w:rPr>
          <w:rFonts w:ascii="Times New Roman" w:eastAsia="Times New Roman" w:hAnsi="Times New Roman" w:cs="Times New Roman"/>
          <w:sz w:val="24"/>
          <w:szCs w:val="24"/>
        </w:rPr>
        <w:t>term</w:t>
      </w:r>
      <w:r w:rsidRPr="00BB2872">
        <w:rPr>
          <w:rFonts w:ascii="Times New Roman" w:eastAsia="Times New Roman" w:hAnsi="Times New Roman" w:cs="Times New Roman"/>
          <w:sz w:val="24"/>
          <w:szCs w:val="24"/>
        </w:rPr>
        <w:t xml:space="preserve">. </w:t>
      </w:r>
      <w:r w:rsidR="009D4487" w:rsidRPr="00BB2872">
        <w:rPr>
          <w:rFonts w:ascii="Times New Roman" w:eastAsia="Times New Roman" w:hAnsi="Times New Roman" w:cs="Times New Roman"/>
          <w:sz w:val="24"/>
          <w:szCs w:val="24"/>
        </w:rPr>
        <w:t xml:space="preserve">Because </w:t>
      </w:r>
      <w:r w:rsidRPr="00BB2872">
        <w:rPr>
          <w:rFonts w:ascii="Times New Roman" w:eastAsia="Times New Roman" w:hAnsi="Times New Roman" w:cs="Times New Roman"/>
          <w:sz w:val="24"/>
          <w:szCs w:val="24"/>
        </w:rPr>
        <w:t xml:space="preserve">this market segment is </w:t>
      </w:r>
      <w:r w:rsidR="009D4487" w:rsidRPr="00BB2872">
        <w:rPr>
          <w:rFonts w:ascii="Times New Roman" w:eastAsia="Times New Roman" w:hAnsi="Times New Roman" w:cs="Times New Roman"/>
          <w:sz w:val="24"/>
          <w:szCs w:val="24"/>
        </w:rPr>
        <w:t xml:space="preserve">rather </w:t>
      </w:r>
      <w:r w:rsidRPr="00BB2872">
        <w:rPr>
          <w:rFonts w:ascii="Times New Roman" w:eastAsia="Times New Roman" w:hAnsi="Times New Roman" w:cs="Times New Roman"/>
          <w:sz w:val="24"/>
          <w:szCs w:val="24"/>
        </w:rPr>
        <w:t>complex, it deserve</w:t>
      </w:r>
      <w:r w:rsidR="009D4487" w:rsidRPr="00BB2872">
        <w:rPr>
          <w:rFonts w:ascii="Times New Roman" w:eastAsia="Times New Roman" w:hAnsi="Times New Roman" w:cs="Times New Roman"/>
          <w:sz w:val="24"/>
          <w:szCs w:val="24"/>
        </w:rPr>
        <w:t>s</w:t>
      </w:r>
      <w:r w:rsidRPr="00BB2872">
        <w:rPr>
          <w:rFonts w:ascii="Times New Roman" w:eastAsia="Times New Roman" w:hAnsi="Times New Roman" w:cs="Times New Roman"/>
          <w:sz w:val="24"/>
          <w:szCs w:val="24"/>
        </w:rPr>
        <w:t xml:space="preserve"> special attention </w:t>
      </w:r>
      <w:r w:rsidR="009D4487" w:rsidRPr="00BB2872">
        <w:rPr>
          <w:rFonts w:ascii="Times New Roman" w:eastAsia="Times New Roman" w:hAnsi="Times New Roman" w:cs="Times New Roman"/>
          <w:sz w:val="24"/>
          <w:szCs w:val="24"/>
        </w:rPr>
        <w:t>as</w:t>
      </w:r>
      <w:r w:rsidRPr="00BB2872">
        <w:rPr>
          <w:rFonts w:ascii="Times New Roman" w:eastAsia="Times New Roman" w:hAnsi="Times New Roman" w:cs="Times New Roman"/>
          <w:sz w:val="24"/>
          <w:szCs w:val="24"/>
        </w:rPr>
        <w:t xml:space="preserve"> a separate research </w:t>
      </w:r>
      <w:proofErr w:type="gramStart"/>
      <w:r w:rsidR="009D4487" w:rsidRPr="00BB2872">
        <w:rPr>
          <w:rFonts w:ascii="Times New Roman" w:eastAsia="Times New Roman" w:hAnsi="Times New Roman" w:cs="Times New Roman"/>
          <w:sz w:val="24"/>
          <w:szCs w:val="24"/>
        </w:rPr>
        <w:t xml:space="preserve">topic, </w:t>
      </w:r>
      <w:r w:rsidRPr="00BB2872">
        <w:rPr>
          <w:rFonts w:ascii="Times New Roman" w:eastAsia="Times New Roman" w:hAnsi="Times New Roman" w:cs="Times New Roman"/>
          <w:sz w:val="24"/>
          <w:szCs w:val="24"/>
        </w:rPr>
        <w:t>if</w:t>
      </w:r>
      <w:proofErr w:type="gramEnd"/>
      <w:r w:rsidRPr="00BB2872">
        <w:rPr>
          <w:rFonts w:ascii="Times New Roman" w:eastAsia="Times New Roman" w:hAnsi="Times New Roman" w:cs="Times New Roman"/>
          <w:sz w:val="24"/>
          <w:szCs w:val="24"/>
        </w:rPr>
        <w:t xml:space="preserve"> one want</w:t>
      </w:r>
      <w:r w:rsidR="009D4487" w:rsidRPr="00BB2872">
        <w:rPr>
          <w:rFonts w:ascii="Times New Roman" w:eastAsia="Times New Roman" w:hAnsi="Times New Roman" w:cs="Times New Roman"/>
          <w:sz w:val="24"/>
          <w:szCs w:val="24"/>
        </w:rPr>
        <w:t>ed</w:t>
      </w:r>
      <w:r w:rsidRPr="00BB2872">
        <w:rPr>
          <w:rFonts w:ascii="Times New Roman" w:eastAsia="Times New Roman" w:hAnsi="Times New Roman" w:cs="Times New Roman"/>
          <w:sz w:val="24"/>
          <w:szCs w:val="24"/>
        </w:rPr>
        <w:t xml:space="preserve"> to deal with all aspects of this market more in detail. </w:t>
      </w:r>
    </w:p>
    <w:p w14:paraId="00000059" w14:textId="733FEFDA" w:rsidR="00345220" w:rsidRPr="00BB2872" w:rsidRDefault="009D4487">
      <w:pPr>
        <w:pStyle w:val="Nadpis2"/>
      </w:pPr>
      <w:r w:rsidRPr="00BB2872">
        <w:t>5</w:t>
      </w:r>
      <w:r w:rsidR="00D45E73" w:rsidRPr="00BB2872">
        <w:t xml:space="preserve">.5 </w:t>
      </w:r>
      <w:r w:rsidRPr="00BB2872">
        <w:t>E</w:t>
      </w:r>
      <w:r w:rsidR="00D45E73" w:rsidRPr="00BB2872">
        <w:t>ffect of exchange</w:t>
      </w:r>
      <w:r w:rsidR="00116237" w:rsidRPr="00BB2872">
        <w:t>-</w:t>
      </w:r>
      <w:r w:rsidR="00D45E73" w:rsidRPr="00BB2872">
        <w:t>rate interventions on corporate lending rates</w:t>
      </w:r>
    </w:p>
    <w:p w14:paraId="0000005A" w14:textId="751D4DDC" w:rsidR="00345220" w:rsidRPr="00BB2872" w:rsidRDefault="00D45E73">
      <w:pPr>
        <w:widowControl w:val="0"/>
        <w:spacing w:before="240" w:after="0" w:line="480" w:lineRule="auto"/>
        <w:rPr>
          <w:rFonts w:ascii="Times New Roman" w:eastAsia="Times New Roman" w:hAnsi="Times New Roman" w:cs="Times New Roman"/>
          <w:sz w:val="24"/>
          <w:szCs w:val="24"/>
        </w:rPr>
      </w:pPr>
      <w:r w:rsidRPr="00BB2872">
        <w:rPr>
          <w:rFonts w:ascii="Times New Roman" w:eastAsia="Times New Roman" w:hAnsi="Times New Roman" w:cs="Times New Roman"/>
          <w:sz w:val="24"/>
          <w:szCs w:val="24"/>
        </w:rPr>
        <w:t>We also observed the effect of exchange</w:t>
      </w:r>
      <w:r w:rsidR="00116237" w:rsidRPr="00BB2872">
        <w:rPr>
          <w:rFonts w:ascii="Times New Roman" w:eastAsia="Times New Roman" w:hAnsi="Times New Roman" w:cs="Times New Roman"/>
          <w:sz w:val="24"/>
          <w:szCs w:val="24"/>
        </w:rPr>
        <w:t>-</w:t>
      </w:r>
      <w:r w:rsidRPr="00BB2872">
        <w:rPr>
          <w:rFonts w:ascii="Times New Roman" w:eastAsia="Times New Roman" w:hAnsi="Times New Roman" w:cs="Times New Roman"/>
          <w:sz w:val="24"/>
          <w:szCs w:val="24"/>
        </w:rPr>
        <w:t>rate interventions</w:t>
      </w:r>
      <w:r w:rsidR="00D74793" w:rsidRPr="00BB2872">
        <w:rPr>
          <w:rFonts w:ascii="Times New Roman" w:eastAsia="Times New Roman" w:hAnsi="Times New Roman" w:cs="Times New Roman"/>
          <w:sz w:val="24"/>
          <w:szCs w:val="24"/>
        </w:rPr>
        <w:t>,</w:t>
      </w:r>
      <w:r w:rsidRPr="00BB2872">
        <w:rPr>
          <w:rFonts w:ascii="Times New Roman" w:eastAsia="Times New Roman" w:hAnsi="Times New Roman" w:cs="Times New Roman"/>
          <w:sz w:val="24"/>
          <w:szCs w:val="24"/>
        </w:rPr>
        <w:t xml:space="preserve"> which started in November 2013 and ended in April 2017. </w:t>
      </w:r>
      <w:r w:rsidR="00D74793" w:rsidRPr="00BB2872">
        <w:rPr>
          <w:rFonts w:ascii="Times New Roman" w:eastAsia="Times New Roman" w:hAnsi="Times New Roman" w:cs="Times New Roman"/>
          <w:sz w:val="24"/>
          <w:szCs w:val="24"/>
        </w:rPr>
        <w:t>U</w:t>
      </w:r>
      <w:r w:rsidRPr="00BB2872">
        <w:rPr>
          <w:rFonts w:ascii="Times New Roman" w:eastAsia="Times New Roman" w:hAnsi="Times New Roman" w:cs="Times New Roman"/>
          <w:sz w:val="24"/>
          <w:szCs w:val="24"/>
        </w:rPr>
        <w:t xml:space="preserve">sing the exchange rate in our SVAR model, the significance of this factor was not confirmed in any case. We also applied </w:t>
      </w:r>
      <w:r w:rsidR="00D74793" w:rsidRPr="00BB2872">
        <w:rPr>
          <w:rFonts w:ascii="Times New Roman" w:eastAsia="Times New Roman" w:hAnsi="Times New Roman" w:cs="Times New Roman"/>
          <w:sz w:val="24"/>
          <w:szCs w:val="24"/>
        </w:rPr>
        <w:t xml:space="preserve">a </w:t>
      </w:r>
      <w:r w:rsidRPr="00BB2872">
        <w:rPr>
          <w:rFonts w:ascii="Times New Roman" w:eastAsia="Times New Roman" w:hAnsi="Times New Roman" w:cs="Times New Roman"/>
          <w:sz w:val="24"/>
          <w:szCs w:val="24"/>
        </w:rPr>
        <w:t xml:space="preserve">dummy variable for the period of </w:t>
      </w:r>
      <w:r w:rsidR="00D74793" w:rsidRPr="00BB2872">
        <w:rPr>
          <w:rFonts w:ascii="Times New Roman" w:eastAsia="Times New Roman" w:hAnsi="Times New Roman" w:cs="Times New Roman"/>
          <w:sz w:val="24"/>
          <w:szCs w:val="24"/>
        </w:rPr>
        <w:t xml:space="preserve">the </w:t>
      </w:r>
      <w:r w:rsidRPr="00BB2872">
        <w:rPr>
          <w:rFonts w:ascii="Times New Roman" w:eastAsia="Times New Roman" w:hAnsi="Times New Roman" w:cs="Times New Roman"/>
          <w:sz w:val="24"/>
          <w:szCs w:val="24"/>
        </w:rPr>
        <w:t>exchange</w:t>
      </w:r>
      <w:r w:rsidR="00116237" w:rsidRPr="00BB2872">
        <w:rPr>
          <w:rFonts w:ascii="Times New Roman" w:eastAsia="Times New Roman" w:hAnsi="Times New Roman" w:cs="Times New Roman"/>
          <w:sz w:val="24"/>
          <w:szCs w:val="24"/>
        </w:rPr>
        <w:t>-</w:t>
      </w:r>
      <w:r w:rsidRPr="00BB2872">
        <w:rPr>
          <w:rFonts w:ascii="Times New Roman" w:eastAsia="Times New Roman" w:hAnsi="Times New Roman" w:cs="Times New Roman"/>
          <w:sz w:val="24"/>
          <w:szCs w:val="24"/>
        </w:rPr>
        <w:t>rate interventions</w:t>
      </w:r>
      <w:r w:rsidR="00D74793" w:rsidRPr="00BB2872">
        <w:rPr>
          <w:rFonts w:ascii="Times New Roman" w:eastAsia="Times New Roman" w:hAnsi="Times New Roman" w:cs="Times New Roman"/>
          <w:sz w:val="24"/>
          <w:szCs w:val="24"/>
        </w:rPr>
        <w:t>;</w:t>
      </w:r>
      <w:r w:rsidRPr="00BB2872">
        <w:rPr>
          <w:rFonts w:ascii="Times New Roman" w:eastAsia="Times New Roman" w:hAnsi="Times New Roman" w:cs="Times New Roman"/>
          <w:sz w:val="24"/>
          <w:szCs w:val="24"/>
        </w:rPr>
        <w:t xml:space="preserve"> however</w:t>
      </w:r>
      <w:r w:rsidR="00D74793" w:rsidRPr="00BB2872">
        <w:rPr>
          <w:rFonts w:ascii="Times New Roman" w:eastAsia="Times New Roman" w:hAnsi="Times New Roman" w:cs="Times New Roman"/>
          <w:sz w:val="24"/>
          <w:szCs w:val="24"/>
        </w:rPr>
        <w:t>,</w:t>
      </w:r>
      <w:r w:rsidRPr="00BB2872">
        <w:rPr>
          <w:rFonts w:ascii="Times New Roman" w:eastAsia="Times New Roman" w:hAnsi="Times New Roman" w:cs="Times New Roman"/>
          <w:sz w:val="24"/>
          <w:szCs w:val="24"/>
        </w:rPr>
        <w:t xml:space="preserve"> </w:t>
      </w:r>
      <w:r w:rsidR="00D74793" w:rsidRPr="00BB2872">
        <w:rPr>
          <w:rFonts w:ascii="Times New Roman" w:eastAsia="Times New Roman" w:hAnsi="Times New Roman" w:cs="Times New Roman"/>
          <w:sz w:val="24"/>
          <w:szCs w:val="24"/>
        </w:rPr>
        <w:t>we found no</w:t>
      </w:r>
      <w:r w:rsidRPr="00BB2872">
        <w:rPr>
          <w:rFonts w:ascii="Times New Roman" w:eastAsia="Times New Roman" w:hAnsi="Times New Roman" w:cs="Times New Roman"/>
          <w:sz w:val="24"/>
          <w:szCs w:val="24"/>
        </w:rPr>
        <w:t xml:space="preserve"> significant effect on the corporate lending rates. </w:t>
      </w:r>
      <w:r w:rsidR="00D74793" w:rsidRPr="00BB2872">
        <w:rPr>
          <w:rFonts w:ascii="Times New Roman" w:eastAsia="Times New Roman" w:hAnsi="Times New Roman" w:cs="Times New Roman"/>
          <w:sz w:val="24"/>
          <w:szCs w:val="24"/>
        </w:rPr>
        <w:t>E</w:t>
      </w:r>
      <w:r w:rsidRPr="00BB2872">
        <w:rPr>
          <w:rFonts w:ascii="Times New Roman" w:eastAsia="Times New Roman" w:hAnsi="Times New Roman" w:cs="Times New Roman"/>
          <w:sz w:val="24"/>
          <w:szCs w:val="24"/>
        </w:rPr>
        <w:t>xchange</w:t>
      </w:r>
      <w:r w:rsidR="00116237" w:rsidRPr="00BB2872">
        <w:rPr>
          <w:rFonts w:ascii="Times New Roman" w:eastAsia="Times New Roman" w:hAnsi="Times New Roman" w:cs="Times New Roman"/>
          <w:sz w:val="24"/>
          <w:szCs w:val="24"/>
        </w:rPr>
        <w:t>-</w:t>
      </w:r>
      <w:r w:rsidRPr="00BB2872">
        <w:rPr>
          <w:rFonts w:ascii="Times New Roman" w:eastAsia="Times New Roman" w:hAnsi="Times New Roman" w:cs="Times New Roman"/>
          <w:sz w:val="24"/>
          <w:szCs w:val="24"/>
        </w:rPr>
        <w:t>rate interventions can be used a tool in a small</w:t>
      </w:r>
      <w:r w:rsidR="00D74793" w:rsidRPr="00BB2872">
        <w:rPr>
          <w:rFonts w:ascii="Times New Roman" w:eastAsia="Times New Roman" w:hAnsi="Times New Roman" w:cs="Times New Roman"/>
          <w:sz w:val="24"/>
          <w:szCs w:val="24"/>
        </w:rPr>
        <w:t>,</w:t>
      </w:r>
      <w:r w:rsidRPr="00BB2872">
        <w:rPr>
          <w:rFonts w:ascii="Times New Roman" w:eastAsia="Times New Roman" w:hAnsi="Times New Roman" w:cs="Times New Roman"/>
          <w:sz w:val="24"/>
          <w:szCs w:val="24"/>
        </w:rPr>
        <w:t xml:space="preserve"> open economy with its own currency</w:t>
      </w:r>
      <w:r w:rsidR="00D74793" w:rsidRPr="00BB2872">
        <w:rPr>
          <w:rFonts w:ascii="Times New Roman" w:eastAsia="Times New Roman" w:hAnsi="Times New Roman" w:cs="Times New Roman"/>
          <w:sz w:val="24"/>
          <w:szCs w:val="24"/>
        </w:rPr>
        <w:t xml:space="preserve"> (however,</w:t>
      </w:r>
      <w:r w:rsidRPr="00BB2872">
        <w:rPr>
          <w:rFonts w:ascii="Times New Roman" w:eastAsia="Times New Roman" w:hAnsi="Times New Roman" w:cs="Times New Roman"/>
          <w:sz w:val="24"/>
          <w:szCs w:val="24"/>
        </w:rPr>
        <w:t xml:space="preserve"> this </w:t>
      </w:r>
      <w:r w:rsidR="00D74793" w:rsidRPr="00BB2872">
        <w:rPr>
          <w:rFonts w:ascii="Times New Roman" w:eastAsia="Times New Roman" w:hAnsi="Times New Roman" w:cs="Times New Roman"/>
          <w:sz w:val="24"/>
          <w:szCs w:val="24"/>
        </w:rPr>
        <w:t>wa</w:t>
      </w:r>
      <w:r w:rsidRPr="00BB2872">
        <w:rPr>
          <w:rFonts w:ascii="Times New Roman" w:eastAsia="Times New Roman" w:hAnsi="Times New Roman" w:cs="Times New Roman"/>
          <w:sz w:val="24"/>
          <w:szCs w:val="24"/>
        </w:rPr>
        <w:t>s not the task of this paper</w:t>
      </w:r>
      <w:r w:rsidR="00D74793" w:rsidRPr="00BB2872">
        <w:rPr>
          <w:rFonts w:ascii="Times New Roman" w:eastAsia="Times New Roman" w:hAnsi="Times New Roman" w:cs="Times New Roman"/>
          <w:sz w:val="24"/>
          <w:szCs w:val="24"/>
        </w:rPr>
        <w:t>;</w:t>
      </w:r>
      <w:r w:rsidRPr="00BB2872">
        <w:rPr>
          <w:rFonts w:ascii="Times New Roman" w:eastAsia="Times New Roman" w:hAnsi="Times New Roman" w:cs="Times New Roman"/>
          <w:sz w:val="24"/>
          <w:szCs w:val="24"/>
        </w:rPr>
        <w:t xml:space="preserve"> for more information</w:t>
      </w:r>
      <w:r w:rsidR="00D74793" w:rsidRPr="00BB2872">
        <w:rPr>
          <w:rFonts w:ascii="Times New Roman" w:eastAsia="Times New Roman" w:hAnsi="Times New Roman" w:cs="Times New Roman"/>
          <w:sz w:val="24"/>
          <w:szCs w:val="24"/>
        </w:rPr>
        <w:t>,</w:t>
      </w:r>
      <w:r w:rsidRPr="00BB2872">
        <w:rPr>
          <w:rFonts w:ascii="Times New Roman" w:eastAsia="Times New Roman" w:hAnsi="Times New Roman" w:cs="Times New Roman"/>
          <w:sz w:val="24"/>
          <w:szCs w:val="24"/>
        </w:rPr>
        <w:t xml:space="preserve"> see</w:t>
      </w:r>
      <w:r w:rsidR="00D74793" w:rsidRPr="00BB2872">
        <w:rPr>
          <w:rFonts w:ascii="Times New Roman" w:eastAsia="Times New Roman" w:hAnsi="Times New Roman" w:cs="Times New Roman"/>
          <w:sz w:val="24"/>
          <w:szCs w:val="24"/>
        </w:rPr>
        <w:t>, e.g.,</w:t>
      </w:r>
      <w:r w:rsidRPr="00BB2872">
        <w:rPr>
          <w:rFonts w:ascii="Times New Roman" w:eastAsia="Times New Roman" w:hAnsi="Times New Roman" w:cs="Times New Roman"/>
          <w:sz w:val="24"/>
          <w:szCs w:val="24"/>
        </w:rPr>
        <w:t xml:space="preserve"> </w:t>
      </w:r>
      <w:proofErr w:type="spellStart"/>
      <w:r w:rsidRPr="00BB2872">
        <w:rPr>
          <w:rFonts w:ascii="Times New Roman" w:eastAsia="Times New Roman" w:hAnsi="Times New Roman" w:cs="Times New Roman"/>
          <w:sz w:val="24"/>
          <w:szCs w:val="24"/>
        </w:rPr>
        <w:t>Hajkova</w:t>
      </w:r>
      <w:proofErr w:type="spellEnd"/>
      <w:r w:rsidRPr="00BB2872">
        <w:rPr>
          <w:rFonts w:ascii="Times New Roman" w:eastAsia="Times New Roman" w:hAnsi="Times New Roman" w:cs="Times New Roman"/>
          <w:sz w:val="24"/>
          <w:szCs w:val="24"/>
        </w:rPr>
        <w:t>, 2017) if the economy wants to prevent deflation through the effect on exports and</w:t>
      </w:r>
      <w:r w:rsidR="00D74793" w:rsidRPr="00BB2872">
        <w:rPr>
          <w:rFonts w:ascii="Times New Roman" w:eastAsia="Times New Roman" w:hAnsi="Times New Roman" w:cs="Times New Roman"/>
          <w:sz w:val="24"/>
          <w:szCs w:val="24"/>
        </w:rPr>
        <w:t>,</w:t>
      </w:r>
      <w:r w:rsidRPr="00BB2872">
        <w:rPr>
          <w:rFonts w:ascii="Times New Roman" w:eastAsia="Times New Roman" w:hAnsi="Times New Roman" w:cs="Times New Roman"/>
          <w:sz w:val="24"/>
          <w:szCs w:val="24"/>
        </w:rPr>
        <w:t xml:space="preserve"> consequently</w:t>
      </w:r>
      <w:r w:rsidR="00D74793" w:rsidRPr="00BB2872">
        <w:rPr>
          <w:rFonts w:ascii="Times New Roman" w:eastAsia="Times New Roman" w:hAnsi="Times New Roman" w:cs="Times New Roman"/>
          <w:sz w:val="24"/>
          <w:szCs w:val="24"/>
        </w:rPr>
        <w:t>,</w:t>
      </w:r>
      <w:r w:rsidRPr="00BB2872">
        <w:rPr>
          <w:rFonts w:ascii="Times New Roman" w:eastAsia="Times New Roman" w:hAnsi="Times New Roman" w:cs="Times New Roman"/>
          <w:sz w:val="24"/>
          <w:szCs w:val="24"/>
        </w:rPr>
        <w:t xml:space="preserve"> on aggregate demand and price level. However, the effect of interest</w:t>
      </w:r>
      <w:r w:rsidR="00E02BFF" w:rsidRPr="00BB2872">
        <w:rPr>
          <w:rFonts w:ascii="Times New Roman" w:eastAsia="Times New Roman" w:hAnsi="Times New Roman" w:cs="Times New Roman"/>
          <w:sz w:val="24"/>
          <w:szCs w:val="24"/>
        </w:rPr>
        <w:t xml:space="preserve"> </w:t>
      </w:r>
      <w:r w:rsidRPr="00BB2872">
        <w:rPr>
          <w:rFonts w:ascii="Times New Roman" w:eastAsia="Times New Roman" w:hAnsi="Times New Roman" w:cs="Times New Roman"/>
          <w:sz w:val="24"/>
          <w:szCs w:val="24"/>
        </w:rPr>
        <w:t>rate interventions on interest</w:t>
      </w:r>
      <w:r w:rsidR="00E02BFF" w:rsidRPr="00BB2872">
        <w:rPr>
          <w:rFonts w:ascii="Times New Roman" w:eastAsia="Times New Roman" w:hAnsi="Times New Roman" w:cs="Times New Roman"/>
          <w:sz w:val="24"/>
          <w:szCs w:val="24"/>
        </w:rPr>
        <w:t xml:space="preserve"> </w:t>
      </w:r>
      <w:r w:rsidRPr="00BB2872">
        <w:rPr>
          <w:rFonts w:ascii="Times New Roman" w:eastAsia="Times New Roman" w:hAnsi="Times New Roman" w:cs="Times New Roman"/>
          <w:sz w:val="24"/>
          <w:szCs w:val="24"/>
        </w:rPr>
        <w:t xml:space="preserve">rate pass-through </w:t>
      </w:r>
      <w:r w:rsidR="00D74793" w:rsidRPr="00BB2872">
        <w:rPr>
          <w:rFonts w:ascii="Times New Roman" w:eastAsia="Times New Roman" w:hAnsi="Times New Roman" w:cs="Times New Roman"/>
          <w:sz w:val="24"/>
          <w:szCs w:val="24"/>
        </w:rPr>
        <w:t>has</w:t>
      </w:r>
      <w:r w:rsidRPr="00BB2872">
        <w:rPr>
          <w:rFonts w:ascii="Times New Roman" w:eastAsia="Times New Roman" w:hAnsi="Times New Roman" w:cs="Times New Roman"/>
          <w:sz w:val="24"/>
          <w:szCs w:val="24"/>
        </w:rPr>
        <w:t xml:space="preserve"> still not </w:t>
      </w:r>
      <w:r w:rsidR="00D74793" w:rsidRPr="00BB2872">
        <w:rPr>
          <w:rFonts w:ascii="Times New Roman" w:eastAsia="Times New Roman" w:hAnsi="Times New Roman" w:cs="Times New Roman"/>
          <w:sz w:val="24"/>
          <w:szCs w:val="24"/>
        </w:rPr>
        <w:t xml:space="preserve">been </w:t>
      </w:r>
      <w:r w:rsidRPr="00BB2872">
        <w:rPr>
          <w:rFonts w:ascii="Times New Roman" w:eastAsia="Times New Roman" w:hAnsi="Times New Roman" w:cs="Times New Roman"/>
          <w:sz w:val="24"/>
          <w:szCs w:val="24"/>
        </w:rPr>
        <w:t>explained in detail. The use of foreign</w:t>
      </w:r>
      <w:r w:rsidR="00116237" w:rsidRPr="00BB2872">
        <w:rPr>
          <w:rFonts w:ascii="Times New Roman" w:eastAsia="Times New Roman" w:hAnsi="Times New Roman" w:cs="Times New Roman"/>
          <w:sz w:val="24"/>
          <w:szCs w:val="24"/>
        </w:rPr>
        <w:t>-</w:t>
      </w:r>
      <w:r w:rsidRPr="00BB2872">
        <w:rPr>
          <w:rFonts w:ascii="Times New Roman" w:eastAsia="Times New Roman" w:hAnsi="Times New Roman" w:cs="Times New Roman"/>
          <w:sz w:val="24"/>
          <w:szCs w:val="24"/>
        </w:rPr>
        <w:t xml:space="preserve">exchange reserves instead of </w:t>
      </w:r>
      <w:r w:rsidR="00D74793" w:rsidRPr="00BB2872">
        <w:rPr>
          <w:rFonts w:ascii="Times New Roman" w:eastAsia="Times New Roman" w:hAnsi="Times New Roman" w:cs="Times New Roman"/>
          <w:sz w:val="24"/>
          <w:szCs w:val="24"/>
        </w:rPr>
        <w:t xml:space="preserve">the </w:t>
      </w:r>
      <w:r w:rsidRPr="00BB2872">
        <w:rPr>
          <w:rFonts w:ascii="Times New Roman" w:eastAsia="Times New Roman" w:hAnsi="Times New Roman" w:cs="Times New Roman"/>
          <w:sz w:val="24"/>
          <w:szCs w:val="24"/>
        </w:rPr>
        <w:t xml:space="preserve">exchange rate or </w:t>
      </w:r>
      <w:r w:rsidR="00D74793" w:rsidRPr="00BB2872">
        <w:rPr>
          <w:rFonts w:ascii="Times New Roman" w:eastAsia="Times New Roman" w:hAnsi="Times New Roman" w:cs="Times New Roman"/>
          <w:sz w:val="24"/>
          <w:szCs w:val="24"/>
        </w:rPr>
        <w:t xml:space="preserve">a </w:t>
      </w:r>
      <w:r w:rsidRPr="00BB2872">
        <w:rPr>
          <w:rFonts w:ascii="Times New Roman" w:eastAsia="Times New Roman" w:hAnsi="Times New Roman" w:cs="Times New Roman"/>
          <w:sz w:val="24"/>
          <w:szCs w:val="24"/>
        </w:rPr>
        <w:t xml:space="preserve">dummy for </w:t>
      </w:r>
      <w:r w:rsidR="00D74793" w:rsidRPr="00BB2872">
        <w:rPr>
          <w:rFonts w:ascii="Times New Roman" w:eastAsia="Times New Roman" w:hAnsi="Times New Roman" w:cs="Times New Roman"/>
          <w:sz w:val="24"/>
          <w:szCs w:val="24"/>
        </w:rPr>
        <w:t xml:space="preserve">the </w:t>
      </w:r>
      <w:r w:rsidRPr="00BB2872">
        <w:rPr>
          <w:rFonts w:ascii="Times New Roman" w:eastAsia="Times New Roman" w:hAnsi="Times New Roman" w:cs="Times New Roman"/>
          <w:sz w:val="24"/>
          <w:szCs w:val="24"/>
        </w:rPr>
        <w:t>intervention period</w:t>
      </w:r>
      <w:r w:rsidR="00D74793" w:rsidRPr="00BB2872">
        <w:rPr>
          <w:rFonts w:ascii="Times New Roman" w:eastAsia="Times New Roman" w:hAnsi="Times New Roman" w:cs="Times New Roman"/>
          <w:sz w:val="24"/>
          <w:szCs w:val="24"/>
        </w:rPr>
        <w:t xml:space="preserve"> h</w:t>
      </w:r>
      <w:r w:rsidRPr="00BB2872">
        <w:rPr>
          <w:rFonts w:ascii="Times New Roman" w:eastAsia="Times New Roman" w:hAnsi="Times New Roman" w:cs="Times New Roman"/>
          <w:sz w:val="24"/>
          <w:szCs w:val="24"/>
        </w:rPr>
        <w:t xml:space="preserve">as </w:t>
      </w:r>
      <w:r w:rsidR="00D74793" w:rsidRPr="00BB2872">
        <w:rPr>
          <w:rFonts w:ascii="Times New Roman" w:eastAsia="Times New Roman" w:hAnsi="Times New Roman" w:cs="Times New Roman"/>
          <w:sz w:val="24"/>
          <w:szCs w:val="24"/>
        </w:rPr>
        <w:t xml:space="preserve">still </w:t>
      </w:r>
      <w:r w:rsidRPr="00BB2872">
        <w:rPr>
          <w:rFonts w:ascii="Times New Roman" w:eastAsia="Times New Roman" w:hAnsi="Times New Roman" w:cs="Times New Roman"/>
          <w:sz w:val="24"/>
          <w:szCs w:val="24"/>
        </w:rPr>
        <w:t xml:space="preserve">not </w:t>
      </w:r>
      <w:r w:rsidR="00D74793" w:rsidRPr="00BB2872">
        <w:rPr>
          <w:rFonts w:ascii="Times New Roman" w:eastAsia="Times New Roman" w:hAnsi="Times New Roman" w:cs="Times New Roman"/>
          <w:sz w:val="24"/>
          <w:szCs w:val="24"/>
        </w:rPr>
        <w:t xml:space="preserve">been </w:t>
      </w:r>
      <w:r w:rsidRPr="00BB2872">
        <w:rPr>
          <w:rFonts w:ascii="Times New Roman" w:eastAsia="Times New Roman" w:hAnsi="Times New Roman" w:cs="Times New Roman"/>
          <w:sz w:val="24"/>
          <w:szCs w:val="24"/>
        </w:rPr>
        <w:t xml:space="preserve">confirmed </w:t>
      </w:r>
      <w:r w:rsidR="00D74793" w:rsidRPr="00BB2872">
        <w:rPr>
          <w:rFonts w:ascii="Times New Roman" w:eastAsia="Times New Roman" w:hAnsi="Times New Roman" w:cs="Times New Roman"/>
          <w:sz w:val="24"/>
          <w:szCs w:val="24"/>
        </w:rPr>
        <w:t>as</w:t>
      </w:r>
      <w:r w:rsidRPr="00BB2872">
        <w:rPr>
          <w:rFonts w:ascii="Times New Roman" w:eastAsia="Times New Roman" w:hAnsi="Times New Roman" w:cs="Times New Roman"/>
          <w:sz w:val="24"/>
          <w:szCs w:val="24"/>
        </w:rPr>
        <w:t xml:space="preserve"> be</w:t>
      </w:r>
      <w:r w:rsidR="00D74793" w:rsidRPr="00BB2872">
        <w:rPr>
          <w:rFonts w:ascii="Times New Roman" w:eastAsia="Times New Roman" w:hAnsi="Times New Roman" w:cs="Times New Roman"/>
          <w:sz w:val="24"/>
          <w:szCs w:val="24"/>
        </w:rPr>
        <w:t>ing</w:t>
      </w:r>
      <w:r w:rsidRPr="00BB2872">
        <w:rPr>
          <w:rFonts w:ascii="Times New Roman" w:eastAsia="Times New Roman" w:hAnsi="Times New Roman" w:cs="Times New Roman"/>
          <w:sz w:val="24"/>
          <w:szCs w:val="24"/>
        </w:rPr>
        <w:t xml:space="preserve"> significant (see Gregor and </w:t>
      </w:r>
      <w:proofErr w:type="spellStart"/>
      <w:r w:rsidRPr="00BB2872">
        <w:rPr>
          <w:rFonts w:ascii="Times New Roman" w:eastAsia="Times New Roman" w:hAnsi="Times New Roman" w:cs="Times New Roman"/>
          <w:sz w:val="24"/>
          <w:szCs w:val="24"/>
        </w:rPr>
        <w:t>Melecky</w:t>
      </w:r>
      <w:proofErr w:type="spellEnd"/>
      <w:r w:rsidRPr="00BB2872">
        <w:rPr>
          <w:rFonts w:ascii="Times New Roman" w:eastAsia="Times New Roman" w:hAnsi="Times New Roman" w:cs="Times New Roman"/>
          <w:sz w:val="24"/>
          <w:szCs w:val="24"/>
        </w:rPr>
        <w:t xml:space="preserve">, 2018). Our </w:t>
      </w:r>
      <w:r w:rsidRPr="00BB2872">
        <w:rPr>
          <w:rFonts w:ascii="Times New Roman" w:eastAsia="Times New Roman" w:hAnsi="Times New Roman" w:cs="Times New Roman"/>
          <w:sz w:val="24"/>
          <w:szCs w:val="24"/>
        </w:rPr>
        <w:lastRenderedPageBreak/>
        <w:t xml:space="preserve">estimations in </w:t>
      </w:r>
      <w:r w:rsidR="00D74793" w:rsidRPr="00BB2872">
        <w:rPr>
          <w:rFonts w:ascii="Times New Roman" w:eastAsia="Times New Roman" w:hAnsi="Times New Roman" w:cs="Times New Roman"/>
          <w:sz w:val="24"/>
          <w:szCs w:val="24"/>
        </w:rPr>
        <w:t xml:space="preserve">the </w:t>
      </w:r>
      <w:r w:rsidRPr="00BB2872">
        <w:rPr>
          <w:rFonts w:ascii="Times New Roman" w:eastAsia="Times New Roman" w:hAnsi="Times New Roman" w:cs="Times New Roman"/>
          <w:sz w:val="24"/>
          <w:szCs w:val="24"/>
        </w:rPr>
        <w:t>defined SVAR model revealed that the period of exchange</w:t>
      </w:r>
      <w:r w:rsidR="00116237" w:rsidRPr="00BB2872">
        <w:rPr>
          <w:rFonts w:ascii="Times New Roman" w:eastAsia="Times New Roman" w:hAnsi="Times New Roman" w:cs="Times New Roman"/>
          <w:sz w:val="24"/>
          <w:szCs w:val="24"/>
        </w:rPr>
        <w:t>-</w:t>
      </w:r>
      <w:r w:rsidRPr="00BB2872">
        <w:rPr>
          <w:rFonts w:ascii="Times New Roman" w:eastAsia="Times New Roman" w:hAnsi="Times New Roman" w:cs="Times New Roman"/>
          <w:sz w:val="24"/>
          <w:szCs w:val="24"/>
        </w:rPr>
        <w:t>rate interventions affected business confidence</w:t>
      </w:r>
      <w:r w:rsidR="00D74793" w:rsidRPr="00BB2872">
        <w:rPr>
          <w:rFonts w:ascii="Times New Roman" w:eastAsia="Times New Roman" w:hAnsi="Times New Roman" w:cs="Times New Roman"/>
          <w:sz w:val="24"/>
          <w:szCs w:val="24"/>
        </w:rPr>
        <w:t>,</w:t>
      </w:r>
      <w:r w:rsidRPr="00BB2872">
        <w:rPr>
          <w:rFonts w:ascii="Times New Roman" w:eastAsia="Times New Roman" w:hAnsi="Times New Roman" w:cs="Times New Roman"/>
          <w:sz w:val="24"/>
          <w:szCs w:val="24"/>
        </w:rPr>
        <w:t xml:space="preserve"> which is </w:t>
      </w:r>
      <w:r w:rsidR="00D74793" w:rsidRPr="00BB2872">
        <w:rPr>
          <w:rFonts w:ascii="Times New Roman" w:eastAsia="Times New Roman" w:hAnsi="Times New Roman" w:cs="Times New Roman"/>
          <w:sz w:val="24"/>
          <w:szCs w:val="24"/>
        </w:rPr>
        <w:t xml:space="preserve">a </w:t>
      </w:r>
      <w:r w:rsidRPr="00BB2872">
        <w:rPr>
          <w:rFonts w:ascii="Times New Roman" w:eastAsia="Times New Roman" w:hAnsi="Times New Roman" w:cs="Times New Roman"/>
          <w:sz w:val="24"/>
          <w:szCs w:val="24"/>
        </w:rPr>
        <w:t>channel that could</w:t>
      </w:r>
      <w:r w:rsidR="00D74793" w:rsidRPr="00BB2872">
        <w:rPr>
          <w:rFonts w:ascii="Times New Roman" w:eastAsia="Times New Roman" w:hAnsi="Times New Roman" w:cs="Times New Roman"/>
          <w:sz w:val="24"/>
          <w:szCs w:val="24"/>
        </w:rPr>
        <w:t>,</w:t>
      </w:r>
      <w:r w:rsidRPr="00BB2872">
        <w:rPr>
          <w:rFonts w:ascii="Times New Roman" w:eastAsia="Times New Roman" w:hAnsi="Times New Roman" w:cs="Times New Roman"/>
          <w:sz w:val="24"/>
          <w:szCs w:val="24"/>
        </w:rPr>
        <w:t xml:space="preserve"> consequently</w:t>
      </w:r>
      <w:r w:rsidR="00D74793" w:rsidRPr="00BB2872">
        <w:rPr>
          <w:rFonts w:ascii="Times New Roman" w:eastAsia="Times New Roman" w:hAnsi="Times New Roman" w:cs="Times New Roman"/>
          <w:sz w:val="24"/>
          <w:szCs w:val="24"/>
        </w:rPr>
        <w:t>,</w:t>
      </w:r>
      <w:r w:rsidRPr="00BB2872">
        <w:rPr>
          <w:rFonts w:ascii="Times New Roman" w:eastAsia="Times New Roman" w:hAnsi="Times New Roman" w:cs="Times New Roman"/>
          <w:sz w:val="24"/>
          <w:szCs w:val="24"/>
        </w:rPr>
        <w:t xml:space="preserve"> affect </w:t>
      </w:r>
      <w:r w:rsidR="00D74793" w:rsidRPr="00BB2872">
        <w:rPr>
          <w:rFonts w:ascii="Times New Roman" w:eastAsia="Times New Roman" w:hAnsi="Times New Roman" w:cs="Times New Roman"/>
          <w:sz w:val="24"/>
          <w:szCs w:val="24"/>
        </w:rPr>
        <w:t xml:space="preserve">the </w:t>
      </w:r>
      <w:r w:rsidRPr="00BB2872">
        <w:rPr>
          <w:rFonts w:ascii="Times New Roman" w:eastAsia="Times New Roman" w:hAnsi="Times New Roman" w:cs="Times New Roman"/>
          <w:sz w:val="24"/>
          <w:szCs w:val="24"/>
        </w:rPr>
        <w:t>export side of the economy</w:t>
      </w:r>
      <w:r w:rsidR="00D74793" w:rsidRPr="00BB2872">
        <w:rPr>
          <w:rFonts w:ascii="Times New Roman" w:eastAsia="Times New Roman" w:hAnsi="Times New Roman" w:cs="Times New Roman"/>
          <w:sz w:val="24"/>
          <w:szCs w:val="24"/>
        </w:rPr>
        <w:t>,</w:t>
      </w:r>
      <w:r w:rsidRPr="00BB2872">
        <w:rPr>
          <w:rFonts w:ascii="Times New Roman" w:eastAsia="Times New Roman" w:hAnsi="Times New Roman" w:cs="Times New Roman"/>
          <w:sz w:val="24"/>
          <w:szCs w:val="24"/>
        </w:rPr>
        <w:t xml:space="preserve"> </w:t>
      </w:r>
      <w:r w:rsidR="00D74793" w:rsidRPr="00BB2872">
        <w:rPr>
          <w:rFonts w:ascii="Times New Roman" w:eastAsia="Times New Roman" w:hAnsi="Times New Roman" w:cs="Times New Roman"/>
          <w:sz w:val="24"/>
          <w:szCs w:val="24"/>
        </w:rPr>
        <w:t>thereby</w:t>
      </w:r>
      <w:r w:rsidRPr="00BB2872">
        <w:rPr>
          <w:rFonts w:ascii="Times New Roman" w:eastAsia="Times New Roman" w:hAnsi="Times New Roman" w:cs="Times New Roman"/>
          <w:sz w:val="24"/>
          <w:szCs w:val="24"/>
        </w:rPr>
        <w:t xml:space="preserve"> def</w:t>
      </w:r>
      <w:r w:rsidR="00D74793" w:rsidRPr="00BB2872">
        <w:rPr>
          <w:rFonts w:ascii="Times New Roman" w:eastAsia="Times New Roman" w:hAnsi="Times New Roman" w:cs="Times New Roman"/>
          <w:sz w:val="24"/>
          <w:szCs w:val="24"/>
        </w:rPr>
        <w:t>l</w:t>
      </w:r>
      <w:r w:rsidRPr="00BB2872">
        <w:rPr>
          <w:rFonts w:ascii="Times New Roman" w:eastAsia="Times New Roman" w:hAnsi="Times New Roman" w:cs="Times New Roman"/>
          <w:sz w:val="24"/>
          <w:szCs w:val="24"/>
        </w:rPr>
        <w:t>ect</w:t>
      </w:r>
      <w:r w:rsidR="00D74793" w:rsidRPr="00BB2872">
        <w:rPr>
          <w:rFonts w:ascii="Times New Roman" w:eastAsia="Times New Roman" w:hAnsi="Times New Roman" w:cs="Times New Roman"/>
          <w:sz w:val="24"/>
          <w:szCs w:val="24"/>
        </w:rPr>
        <w:t>ing</w:t>
      </w:r>
      <w:r w:rsidRPr="00BB2872">
        <w:rPr>
          <w:rFonts w:ascii="Times New Roman" w:eastAsia="Times New Roman" w:hAnsi="Times New Roman" w:cs="Times New Roman"/>
          <w:sz w:val="24"/>
          <w:szCs w:val="24"/>
        </w:rPr>
        <w:t xml:space="preserve"> the threat of deflation </w:t>
      </w:r>
      <w:r w:rsidR="00D74793" w:rsidRPr="00BB2872">
        <w:rPr>
          <w:rFonts w:ascii="Times New Roman" w:eastAsia="Times New Roman" w:hAnsi="Times New Roman" w:cs="Times New Roman"/>
          <w:sz w:val="24"/>
          <w:szCs w:val="24"/>
        </w:rPr>
        <w:t xml:space="preserve">in </w:t>
      </w:r>
      <w:r w:rsidRPr="00BB2872">
        <w:rPr>
          <w:rFonts w:ascii="Times New Roman" w:eastAsia="Times New Roman" w:hAnsi="Times New Roman" w:cs="Times New Roman"/>
          <w:sz w:val="24"/>
          <w:szCs w:val="24"/>
        </w:rPr>
        <w:t xml:space="preserve">the economy. </w:t>
      </w:r>
    </w:p>
    <w:p w14:paraId="0000005B" w14:textId="3D1CDCA9" w:rsidR="00345220" w:rsidRPr="00BB2872" w:rsidRDefault="00D74793">
      <w:pPr>
        <w:pStyle w:val="Nadpis1"/>
      </w:pPr>
      <w:r w:rsidRPr="00BB2872">
        <w:t>6</w:t>
      </w:r>
      <w:r w:rsidR="00D45E73" w:rsidRPr="00BB2872">
        <w:t xml:space="preserve"> Concluding </w:t>
      </w:r>
      <w:r w:rsidR="005571BC" w:rsidRPr="00BB2872">
        <w:t>r</w:t>
      </w:r>
      <w:r w:rsidR="00D45E73" w:rsidRPr="00BB2872">
        <w:t xml:space="preserve">emarks </w:t>
      </w:r>
    </w:p>
    <w:p w14:paraId="0000005C" w14:textId="48AB6636" w:rsidR="00345220" w:rsidRPr="00BB2872" w:rsidRDefault="00D45E73">
      <w:pPr>
        <w:widowControl w:val="0"/>
        <w:spacing w:before="240" w:after="0" w:line="480" w:lineRule="auto"/>
        <w:rPr>
          <w:rFonts w:ascii="Times New Roman" w:eastAsia="Times New Roman" w:hAnsi="Times New Roman" w:cs="Times New Roman"/>
          <w:sz w:val="24"/>
          <w:szCs w:val="24"/>
        </w:rPr>
      </w:pPr>
      <w:r w:rsidRPr="00BB2872">
        <w:rPr>
          <w:rFonts w:ascii="Times New Roman" w:eastAsia="Times New Roman" w:hAnsi="Times New Roman" w:cs="Times New Roman"/>
          <w:sz w:val="24"/>
          <w:szCs w:val="24"/>
        </w:rPr>
        <w:t>The interest</w:t>
      </w:r>
      <w:r w:rsidR="00E02BFF" w:rsidRPr="00BB2872">
        <w:rPr>
          <w:rFonts w:ascii="Times New Roman" w:eastAsia="Times New Roman" w:hAnsi="Times New Roman" w:cs="Times New Roman"/>
          <w:sz w:val="24"/>
          <w:szCs w:val="24"/>
        </w:rPr>
        <w:t xml:space="preserve"> </w:t>
      </w:r>
      <w:r w:rsidRPr="00BB2872">
        <w:rPr>
          <w:rFonts w:ascii="Times New Roman" w:eastAsia="Times New Roman" w:hAnsi="Times New Roman" w:cs="Times New Roman"/>
          <w:sz w:val="24"/>
          <w:szCs w:val="24"/>
        </w:rPr>
        <w:t>rate pass-through from the official policy rate to the money market rate and</w:t>
      </w:r>
      <w:r w:rsidR="0064481C" w:rsidRPr="00BB2872">
        <w:rPr>
          <w:rFonts w:ascii="Times New Roman" w:eastAsia="Times New Roman" w:hAnsi="Times New Roman" w:cs="Times New Roman"/>
          <w:sz w:val="24"/>
          <w:szCs w:val="24"/>
        </w:rPr>
        <w:t>,</w:t>
      </w:r>
      <w:r w:rsidRPr="00BB2872">
        <w:rPr>
          <w:rFonts w:ascii="Times New Roman" w:eastAsia="Times New Roman" w:hAnsi="Times New Roman" w:cs="Times New Roman"/>
          <w:sz w:val="24"/>
          <w:szCs w:val="24"/>
        </w:rPr>
        <w:t xml:space="preserve"> consequently</w:t>
      </w:r>
      <w:r w:rsidR="0064481C" w:rsidRPr="00BB2872">
        <w:rPr>
          <w:rFonts w:ascii="Times New Roman" w:eastAsia="Times New Roman" w:hAnsi="Times New Roman" w:cs="Times New Roman"/>
          <w:sz w:val="24"/>
          <w:szCs w:val="24"/>
        </w:rPr>
        <w:t>,</w:t>
      </w:r>
      <w:r w:rsidRPr="00BB2872">
        <w:rPr>
          <w:rFonts w:ascii="Times New Roman" w:eastAsia="Times New Roman" w:hAnsi="Times New Roman" w:cs="Times New Roman"/>
          <w:sz w:val="24"/>
          <w:szCs w:val="24"/>
        </w:rPr>
        <w:t xml:space="preserve"> to commercial lending rates in Czechia was estimated using SVAR models </w:t>
      </w:r>
      <w:r w:rsidR="0064481C" w:rsidRPr="00BB2872">
        <w:rPr>
          <w:rFonts w:ascii="Times New Roman" w:eastAsia="Times New Roman" w:hAnsi="Times New Roman" w:cs="Times New Roman"/>
          <w:sz w:val="24"/>
          <w:szCs w:val="24"/>
        </w:rPr>
        <w:t>for</w:t>
      </w:r>
      <w:r w:rsidRPr="00BB2872">
        <w:rPr>
          <w:rFonts w:ascii="Times New Roman" w:eastAsia="Times New Roman" w:hAnsi="Times New Roman" w:cs="Times New Roman"/>
          <w:sz w:val="24"/>
          <w:szCs w:val="24"/>
        </w:rPr>
        <w:t xml:space="preserve"> different period</w:t>
      </w:r>
      <w:r w:rsidR="0064481C" w:rsidRPr="00BB2872">
        <w:rPr>
          <w:rFonts w:ascii="Times New Roman" w:eastAsia="Times New Roman" w:hAnsi="Times New Roman" w:cs="Times New Roman"/>
          <w:sz w:val="24"/>
          <w:szCs w:val="24"/>
        </w:rPr>
        <w:t>s</w:t>
      </w:r>
      <w:r w:rsidRPr="00BB2872">
        <w:rPr>
          <w:rFonts w:ascii="Times New Roman" w:eastAsia="Times New Roman" w:hAnsi="Times New Roman" w:cs="Times New Roman"/>
          <w:sz w:val="24"/>
          <w:szCs w:val="24"/>
        </w:rPr>
        <w:t xml:space="preserve"> of monetary policy stances. The results on the pass-through from the official policy rate to the money market provided evidence that the money market rate responded to shocks in </w:t>
      </w:r>
      <w:r w:rsidR="0064481C" w:rsidRPr="00BB2872">
        <w:rPr>
          <w:rFonts w:ascii="Times New Roman" w:eastAsia="Times New Roman" w:hAnsi="Times New Roman" w:cs="Times New Roman"/>
          <w:sz w:val="24"/>
          <w:szCs w:val="24"/>
        </w:rPr>
        <w:t xml:space="preserve">the </w:t>
      </w:r>
      <w:r w:rsidRPr="00BB2872">
        <w:rPr>
          <w:rFonts w:ascii="Times New Roman" w:eastAsia="Times New Roman" w:hAnsi="Times New Roman" w:cs="Times New Roman"/>
          <w:sz w:val="24"/>
          <w:szCs w:val="24"/>
        </w:rPr>
        <w:t>repo rate during different monetary policy stances in three out of four period</w:t>
      </w:r>
      <w:r w:rsidR="0064481C" w:rsidRPr="00BB2872">
        <w:rPr>
          <w:rFonts w:ascii="Times New Roman" w:eastAsia="Times New Roman" w:hAnsi="Times New Roman" w:cs="Times New Roman"/>
          <w:sz w:val="24"/>
          <w:szCs w:val="24"/>
        </w:rPr>
        <w:t>s</w:t>
      </w:r>
      <w:r w:rsidRPr="00BB2872">
        <w:rPr>
          <w:rFonts w:ascii="Times New Roman" w:eastAsia="Times New Roman" w:hAnsi="Times New Roman" w:cs="Times New Roman"/>
          <w:sz w:val="24"/>
          <w:szCs w:val="24"/>
        </w:rPr>
        <w:t xml:space="preserve">. A very low response was identified </w:t>
      </w:r>
      <w:r w:rsidR="0064481C" w:rsidRPr="00BB2872">
        <w:rPr>
          <w:rFonts w:ascii="Times New Roman" w:eastAsia="Times New Roman" w:hAnsi="Times New Roman" w:cs="Times New Roman"/>
          <w:sz w:val="24"/>
          <w:szCs w:val="24"/>
        </w:rPr>
        <w:t>during</w:t>
      </w:r>
      <w:r w:rsidRPr="00BB2872">
        <w:rPr>
          <w:rFonts w:ascii="Times New Roman" w:eastAsia="Times New Roman" w:hAnsi="Times New Roman" w:cs="Times New Roman"/>
          <w:sz w:val="24"/>
          <w:szCs w:val="24"/>
        </w:rPr>
        <w:t xml:space="preserve"> the crisis period, confirm</w:t>
      </w:r>
      <w:r w:rsidR="0064481C" w:rsidRPr="00BB2872">
        <w:rPr>
          <w:rFonts w:ascii="Times New Roman" w:eastAsia="Times New Roman" w:hAnsi="Times New Roman" w:cs="Times New Roman"/>
          <w:sz w:val="24"/>
          <w:szCs w:val="24"/>
        </w:rPr>
        <w:t>ing</w:t>
      </w:r>
      <w:r w:rsidRPr="00BB2872">
        <w:rPr>
          <w:rFonts w:ascii="Times New Roman" w:eastAsia="Times New Roman" w:hAnsi="Times New Roman" w:cs="Times New Roman"/>
          <w:sz w:val="24"/>
          <w:szCs w:val="24"/>
        </w:rPr>
        <w:t xml:space="preserve"> disturbances identified in </w:t>
      </w:r>
      <w:r w:rsidR="0064481C" w:rsidRPr="00BB2872">
        <w:rPr>
          <w:rFonts w:ascii="Times New Roman" w:eastAsia="Times New Roman" w:hAnsi="Times New Roman" w:cs="Times New Roman"/>
          <w:sz w:val="24"/>
          <w:szCs w:val="24"/>
        </w:rPr>
        <w:t xml:space="preserve">the </w:t>
      </w:r>
      <w:r w:rsidRPr="00BB2872">
        <w:rPr>
          <w:rFonts w:ascii="Times New Roman" w:eastAsia="Times New Roman" w:hAnsi="Times New Roman" w:cs="Times New Roman"/>
          <w:sz w:val="24"/>
          <w:szCs w:val="24"/>
        </w:rPr>
        <w:t>literature</w:t>
      </w:r>
      <w:r w:rsidR="0064481C" w:rsidRPr="00BB2872">
        <w:rPr>
          <w:rFonts w:ascii="Times New Roman" w:eastAsia="Times New Roman" w:hAnsi="Times New Roman" w:cs="Times New Roman"/>
          <w:sz w:val="24"/>
          <w:szCs w:val="24"/>
        </w:rPr>
        <w:t>.</w:t>
      </w:r>
      <w:r w:rsidRPr="00BB2872">
        <w:rPr>
          <w:rFonts w:ascii="Times New Roman" w:eastAsia="Times New Roman" w:hAnsi="Times New Roman" w:cs="Times New Roman"/>
          <w:sz w:val="24"/>
          <w:szCs w:val="24"/>
        </w:rPr>
        <w:t xml:space="preserve"> </w:t>
      </w:r>
      <w:r w:rsidR="0064481C" w:rsidRPr="00BB2872">
        <w:rPr>
          <w:rFonts w:ascii="Times New Roman" w:eastAsia="Times New Roman" w:hAnsi="Times New Roman" w:cs="Times New Roman"/>
          <w:sz w:val="24"/>
          <w:szCs w:val="24"/>
        </w:rPr>
        <w:t>H</w:t>
      </w:r>
      <w:r w:rsidRPr="00BB2872">
        <w:rPr>
          <w:rFonts w:ascii="Times New Roman" w:eastAsia="Times New Roman" w:hAnsi="Times New Roman" w:cs="Times New Roman"/>
          <w:sz w:val="24"/>
          <w:szCs w:val="24"/>
        </w:rPr>
        <w:t>owever, the signalling role of changes in the official rate was found to be important for transmission in the consequent ZLB period.</w:t>
      </w:r>
    </w:p>
    <w:p w14:paraId="0000005D" w14:textId="256D3D23" w:rsidR="00345220" w:rsidRPr="00BB2872" w:rsidRDefault="00683E30">
      <w:pPr>
        <w:spacing w:after="0" w:line="480" w:lineRule="auto"/>
        <w:ind w:firstLine="720"/>
        <w:rPr>
          <w:rFonts w:ascii="Times New Roman" w:eastAsia="Times New Roman" w:hAnsi="Times New Roman" w:cs="Times New Roman"/>
          <w:sz w:val="24"/>
          <w:szCs w:val="24"/>
        </w:rPr>
      </w:pPr>
      <w:r w:rsidRPr="00BB2872">
        <w:rPr>
          <w:rFonts w:ascii="Times New Roman" w:eastAsia="Times New Roman" w:hAnsi="Times New Roman" w:cs="Times New Roman"/>
          <w:sz w:val="24"/>
          <w:szCs w:val="24"/>
        </w:rPr>
        <w:t>E</w:t>
      </w:r>
      <w:r w:rsidR="00D45E73" w:rsidRPr="00BB2872">
        <w:rPr>
          <w:rFonts w:ascii="Times New Roman" w:eastAsia="Times New Roman" w:hAnsi="Times New Roman" w:cs="Times New Roman"/>
          <w:sz w:val="24"/>
          <w:szCs w:val="24"/>
        </w:rPr>
        <w:t xml:space="preserve">stimates </w:t>
      </w:r>
      <w:r w:rsidRPr="00BB2872">
        <w:rPr>
          <w:rFonts w:ascii="Times New Roman" w:eastAsia="Times New Roman" w:hAnsi="Times New Roman" w:cs="Times New Roman"/>
          <w:sz w:val="24"/>
          <w:szCs w:val="24"/>
        </w:rPr>
        <w:t>for</w:t>
      </w:r>
      <w:r w:rsidR="00D45E73" w:rsidRPr="00BB2872">
        <w:rPr>
          <w:rFonts w:ascii="Times New Roman" w:eastAsia="Times New Roman" w:hAnsi="Times New Roman" w:cs="Times New Roman"/>
          <w:sz w:val="24"/>
          <w:szCs w:val="24"/>
        </w:rPr>
        <w:t xml:space="preserve"> the pass-through from the money market rate to commercial lending rates </w:t>
      </w:r>
      <w:r w:rsidRPr="00BB2872">
        <w:rPr>
          <w:rFonts w:ascii="Times New Roman" w:eastAsia="Times New Roman" w:hAnsi="Times New Roman" w:cs="Times New Roman"/>
          <w:sz w:val="24"/>
          <w:szCs w:val="24"/>
        </w:rPr>
        <w:t xml:space="preserve">provided </w:t>
      </w:r>
      <w:r w:rsidR="00D45E73" w:rsidRPr="00BB2872">
        <w:rPr>
          <w:rFonts w:ascii="Times New Roman" w:eastAsia="Times New Roman" w:hAnsi="Times New Roman" w:cs="Times New Roman"/>
          <w:sz w:val="24"/>
          <w:szCs w:val="24"/>
        </w:rPr>
        <w:t xml:space="preserve">evidence that rates on corporate loans </w:t>
      </w:r>
      <w:r w:rsidRPr="00BB2872">
        <w:rPr>
          <w:rFonts w:ascii="Times New Roman" w:eastAsia="Times New Roman" w:hAnsi="Times New Roman" w:cs="Times New Roman"/>
          <w:sz w:val="24"/>
          <w:szCs w:val="24"/>
        </w:rPr>
        <w:t xml:space="preserve">of </w:t>
      </w:r>
      <w:r w:rsidR="00D45E73" w:rsidRPr="00BB2872">
        <w:rPr>
          <w:rFonts w:ascii="Times New Roman" w:eastAsia="Times New Roman" w:hAnsi="Times New Roman" w:cs="Times New Roman"/>
          <w:sz w:val="24"/>
          <w:szCs w:val="24"/>
        </w:rPr>
        <w:t>up to 30 mil</w:t>
      </w:r>
      <w:r w:rsidRPr="00BB2872">
        <w:rPr>
          <w:rFonts w:ascii="Times New Roman" w:eastAsia="Times New Roman" w:hAnsi="Times New Roman" w:cs="Times New Roman"/>
          <w:sz w:val="24"/>
          <w:szCs w:val="24"/>
        </w:rPr>
        <w:t>lion</w:t>
      </w:r>
      <w:r w:rsidR="00D45E73" w:rsidRPr="00BB2872">
        <w:rPr>
          <w:rFonts w:ascii="Times New Roman" w:eastAsia="Times New Roman" w:hAnsi="Times New Roman" w:cs="Times New Roman"/>
          <w:sz w:val="24"/>
          <w:szCs w:val="24"/>
        </w:rPr>
        <w:t xml:space="preserve"> CZK were the most responsive to shocks in </w:t>
      </w:r>
      <w:r w:rsidRPr="00BB2872">
        <w:rPr>
          <w:rFonts w:ascii="Times New Roman" w:eastAsia="Times New Roman" w:hAnsi="Times New Roman" w:cs="Times New Roman"/>
          <w:sz w:val="24"/>
          <w:szCs w:val="24"/>
        </w:rPr>
        <w:t xml:space="preserve">the </w:t>
      </w:r>
      <w:r w:rsidR="00D45E73" w:rsidRPr="00BB2872">
        <w:rPr>
          <w:rFonts w:ascii="Times New Roman" w:eastAsia="Times New Roman" w:hAnsi="Times New Roman" w:cs="Times New Roman"/>
          <w:sz w:val="24"/>
          <w:szCs w:val="24"/>
        </w:rPr>
        <w:t xml:space="preserve">money market rates when </w:t>
      </w:r>
      <w:r w:rsidRPr="00BB2872">
        <w:rPr>
          <w:rFonts w:ascii="Times New Roman" w:eastAsia="Times New Roman" w:hAnsi="Times New Roman" w:cs="Times New Roman"/>
          <w:sz w:val="24"/>
          <w:szCs w:val="24"/>
        </w:rPr>
        <w:t xml:space="preserve">the </w:t>
      </w:r>
      <w:r w:rsidR="00D45E73" w:rsidRPr="00BB2872">
        <w:rPr>
          <w:rFonts w:ascii="Times New Roman" w:eastAsia="Times New Roman" w:hAnsi="Times New Roman" w:cs="Times New Roman"/>
          <w:sz w:val="24"/>
          <w:szCs w:val="24"/>
        </w:rPr>
        <w:t xml:space="preserve">monetary policy </w:t>
      </w:r>
      <w:r w:rsidRPr="00BB2872">
        <w:rPr>
          <w:rFonts w:ascii="Times New Roman" w:eastAsia="Times New Roman" w:hAnsi="Times New Roman" w:cs="Times New Roman"/>
          <w:sz w:val="24"/>
          <w:szCs w:val="24"/>
        </w:rPr>
        <w:t xml:space="preserve">was </w:t>
      </w:r>
      <w:r w:rsidR="00D45E73" w:rsidRPr="00BB2872">
        <w:rPr>
          <w:rFonts w:ascii="Times New Roman" w:eastAsia="Times New Roman" w:hAnsi="Times New Roman" w:cs="Times New Roman"/>
          <w:sz w:val="24"/>
          <w:szCs w:val="24"/>
        </w:rPr>
        <w:t>tightened in the fourth period. We also detected that</w:t>
      </w:r>
      <w:r w:rsidRPr="00BB2872">
        <w:rPr>
          <w:rFonts w:ascii="Times New Roman" w:eastAsia="Times New Roman" w:hAnsi="Times New Roman" w:cs="Times New Roman"/>
          <w:sz w:val="24"/>
          <w:szCs w:val="24"/>
        </w:rPr>
        <w:t>,</w:t>
      </w:r>
      <w:r w:rsidR="00D45E73" w:rsidRPr="00BB2872">
        <w:rPr>
          <w:rFonts w:ascii="Times New Roman" w:eastAsia="Times New Roman" w:hAnsi="Times New Roman" w:cs="Times New Roman"/>
          <w:sz w:val="24"/>
          <w:szCs w:val="24"/>
        </w:rPr>
        <w:t xml:space="preserve"> during this period, the responsiveness to shocks in business confidence increased significantly compared to </w:t>
      </w:r>
      <w:r w:rsidRPr="00BB2872">
        <w:rPr>
          <w:rFonts w:ascii="Times New Roman" w:eastAsia="Times New Roman" w:hAnsi="Times New Roman" w:cs="Times New Roman"/>
          <w:sz w:val="24"/>
          <w:szCs w:val="24"/>
        </w:rPr>
        <w:t xml:space="preserve">the </w:t>
      </w:r>
      <w:r w:rsidR="00D45E73" w:rsidRPr="00BB2872">
        <w:rPr>
          <w:rFonts w:ascii="Times New Roman" w:eastAsia="Times New Roman" w:hAnsi="Times New Roman" w:cs="Times New Roman"/>
          <w:sz w:val="24"/>
          <w:szCs w:val="24"/>
        </w:rPr>
        <w:t xml:space="preserve">previous periods. The reaction to shocks in prices was detected </w:t>
      </w:r>
      <w:r w:rsidRPr="00BB2872">
        <w:rPr>
          <w:rFonts w:ascii="Times New Roman" w:eastAsia="Times New Roman" w:hAnsi="Times New Roman" w:cs="Times New Roman"/>
          <w:sz w:val="24"/>
          <w:szCs w:val="24"/>
        </w:rPr>
        <w:t xml:space="preserve">particularly </w:t>
      </w:r>
      <w:r w:rsidR="00D45E73" w:rsidRPr="00BB2872">
        <w:rPr>
          <w:rFonts w:ascii="Times New Roman" w:eastAsia="Times New Roman" w:hAnsi="Times New Roman" w:cs="Times New Roman"/>
          <w:sz w:val="24"/>
          <w:szCs w:val="24"/>
        </w:rPr>
        <w:t xml:space="preserve">during the fourth period, </w:t>
      </w:r>
      <w:r w:rsidRPr="00BB2872">
        <w:rPr>
          <w:rFonts w:ascii="Times New Roman" w:eastAsia="Times New Roman" w:hAnsi="Times New Roman" w:cs="Times New Roman"/>
          <w:sz w:val="24"/>
          <w:szCs w:val="24"/>
        </w:rPr>
        <w:t>during</w:t>
      </w:r>
      <w:r w:rsidR="00D45E73" w:rsidRPr="00BB2872">
        <w:rPr>
          <w:rFonts w:ascii="Times New Roman" w:eastAsia="Times New Roman" w:hAnsi="Times New Roman" w:cs="Times New Roman"/>
          <w:sz w:val="24"/>
          <w:szCs w:val="24"/>
        </w:rPr>
        <w:t xml:space="preserve"> which inflation started to increase significantly in Czechia. During the financial crisis and the ZLB period, </w:t>
      </w:r>
      <w:r w:rsidRPr="00BB2872">
        <w:rPr>
          <w:rFonts w:ascii="Times New Roman" w:eastAsia="Times New Roman" w:hAnsi="Times New Roman" w:cs="Times New Roman"/>
          <w:sz w:val="24"/>
          <w:szCs w:val="24"/>
        </w:rPr>
        <w:t xml:space="preserve">the </w:t>
      </w:r>
      <w:r w:rsidR="00D45E73" w:rsidRPr="00BB2872">
        <w:rPr>
          <w:rFonts w:ascii="Times New Roman" w:eastAsia="Times New Roman" w:hAnsi="Times New Roman" w:cs="Times New Roman"/>
          <w:sz w:val="24"/>
          <w:szCs w:val="24"/>
        </w:rPr>
        <w:t xml:space="preserve">responses to macroeconomic factors were very low for this loan category. The responsiveness of rates on corporate loans </w:t>
      </w:r>
      <w:r w:rsidR="004357DF" w:rsidRPr="00BB2872">
        <w:rPr>
          <w:rFonts w:ascii="Times New Roman" w:eastAsia="Times New Roman" w:hAnsi="Times New Roman" w:cs="Times New Roman"/>
          <w:sz w:val="24"/>
          <w:szCs w:val="24"/>
        </w:rPr>
        <w:t xml:space="preserve">of </w:t>
      </w:r>
      <w:r w:rsidR="00D45E73" w:rsidRPr="00BB2872">
        <w:rPr>
          <w:rFonts w:ascii="Times New Roman" w:eastAsia="Times New Roman" w:hAnsi="Times New Roman" w:cs="Times New Roman"/>
          <w:sz w:val="24"/>
          <w:szCs w:val="24"/>
        </w:rPr>
        <w:t>over 30 mil</w:t>
      </w:r>
      <w:r w:rsidR="004357DF" w:rsidRPr="00BB2872">
        <w:rPr>
          <w:rFonts w:ascii="Times New Roman" w:eastAsia="Times New Roman" w:hAnsi="Times New Roman" w:cs="Times New Roman"/>
          <w:sz w:val="24"/>
          <w:szCs w:val="24"/>
        </w:rPr>
        <w:t>lion</w:t>
      </w:r>
      <w:r w:rsidR="00D45E73" w:rsidRPr="00BB2872">
        <w:rPr>
          <w:rFonts w:ascii="Times New Roman" w:eastAsia="Times New Roman" w:hAnsi="Times New Roman" w:cs="Times New Roman"/>
          <w:sz w:val="24"/>
          <w:szCs w:val="24"/>
        </w:rPr>
        <w:t xml:space="preserve"> CZK to shocks in the money market was very limited, </w:t>
      </w:r>
      <w:r w:rsidR="004357DF" w:rsidRPr="00BB2872">
        <w:rPr>
          <w:rFonts w:ascii="Times New Roman" w:eastAsia="Times New Roman" w:hAnsi="Times New Roman" w:cs="Times New Roman"/>
          <w:sz w:val="24"/>
          <w:szCs w:val="24"/>
        </w:rPr>
        <w:t>and only</w:t>
      </w:r>
      <w:r w:rsidR="00D45E73" w:rsidRPr="00BB2872">
        <w:rPr>
          <w:rFonts w:ascii="Times New Roman" w:eastAsia="Times New Roman" w:hAnsi="Times New Roman" w:cs="Times New Roman"/>
          <w:sz w:val="24"/>
          <w:szCs w:val="24"/>
        </w:rPr>
        <w:t xml:space="preserve"> confirmed for the crisis period. This loan category might be affected by bank</w:t>
      </w:r>
      <w:r w:rsidR="004357DF" w:rsidRPr="00BB2872">
        <w:rPr>
          <w:rFonts w:ascii="Times New Roman" w:eastAsia="Times New Roman" w:hAnsi="Times New Roman" w:cs="Times New Roman"/>
          <w:sz w:val="24"/>
          <w:szCs w:val="24"/>
        </w:rPr>
        <w:t>-</w:t>
      </w:r>
      <w:r w:rsidR="00D45E73" w:rsidRPr="00BB2872">
        <w:rPr>
          <w:rFonts w:ascii="Times New Roman" w:eastAsia="Times New Roman" w:hAnsi="Times New Roman" w:cs="Times New Roman"/>
          <w:sz w:val="24"/>
          <w:szCs w:val="24"/>
        </w:rPr>
        <w:t xml:space="preserve">specific factors (see </w:t>
      </w:r>
      <w:proofErr w:type="spellStart"/>
      <w:r w:rsidR="00D45E73" w:rsidRPr="00BB2872">
        <w:rPr>
          <w:rFonts w:ascii="Times New Roman" w:eastAsia="Times New Roman" w:hAnsi="Times New Roman" w:cs="Times New Roman"/>
          <w:sz w:val="24"/>
          <w:szCs w:val="24"/>
        </w:rPr>
        <w:t>Hainz</w:t>
      </w:r>
      <w:proofErr w:type="spellEnd"/>
      <w:r w:rsidR="00D45E73" w:rsidRPr="00BB2872">
        <w:rPr>
          <w:rFonts w:ascii="Times New Roman" w:eastAsia="Times New Roman" w:hAnsi="Times New Roman" w:cs="Times New Roman"/>
          <w:sz w:val="24"/>
          <w:szCs w:val="24"/>
        </w:rPr>
        <w:t xml:space="preserve"> et al., 2014</w:t>
      </w:r>
      <w:r w:rsidR="00B56951" w:rsidRPr="00BB2872">
        <w:rPr>
          <w:rFonts w:ascii="Times New Roman" w:eastAsia="Times New Roman" w:hAnsi="Times New Roman" w:cs="Times New Roman"/>
          <w:sz w:val="24"/>
          <w:szCs w:val="24"/>
        </w:rPr>
        <w:t>;</w:t>
      </w:r>
      <w:r w:rsidR="00D45E73" w:rsidRPr="00BB2872">
        <w:rPr>
          <w:rFonts w:ascii="Times New Roman" w:eastAsia="Times New Roman" w:hAnsi="Times New Roman" w:cs="Times New Roman"/>
          <w:sz w:val="24"/>
          <w:szCs w:val="24"/>
        </w:rPr>
        <w:t xml:space="preserve"> Gregor and </w:t>
      </w:r>
      <w:proofErr w:type="spellStart"/>
      <w:r w:rsidR="00D45E73" w:rsidRPr="00BB2872">
        <w:rPr>
          <w:rFonts w:ascii="Times New Roman" w:eastAsia="Times New Roman" w:hAnsi="Times New Roman" w:cs="Times New Roman"/>
          <w:sz w:val="24"/>
          <w:szCs w:val="24"/>
        </w:rPr>
        <w:t>Melecky</w:t>
      </w:r>
      <w:proofErr w:type="spellEnd"/>
      <w:r w:rsidR="00D45E73" w:rsidRPr="00BB2872">
        <w:rPr>
          <w:rFonts w:ascii="Times New Roman" w:eastAsia="Times New Roman" w:hAnsi="Times New Roman" w:cs="Times New Roman"/>
          <w:sz w:val="24"/>
          <w:szCs w:val="24"/>
        </w:rPr>
        <w:t>, 2018) and client</w:t>
      </w:r>
      <w:r w:rsidR="004357DF" w:rsidRPr="00BB2872">
        <w:rPr>
          <w:rFonts w:ascii="Times New Roman" w:eastAsia="Times New Roman" w:hAnsi="Times New Roman" w:cs="Times New Roman"/>
          <w:sz w:val="24"/>
          <w:szCs w:val="24"/>
        </w:rPr>
        <w:t>-</w:t>
      </w:r>
      <w:r w:rsidR="00D45E73" w:rsidRPr="00BB2872">
        <w:rPr>
          <w:rFonts w:ascii="Times New Roman" w:eastAsia="Times New Roman" w:hAnsi="Times New Roman" w:cs="Times New Roman"/>
          <w:sz w:val="24"/>
          <w:szCs w:val="24"/>
        </w:rPr>
        <w:t xml:space="preserve">specific factors. </w:t>
      </w:r>
    </w:p>
    <w:p w14:paraId="0000005E" w14:textId="121D1DA4" w:rsidR="00345220" w:rsidRPr="00BB2872" w:rsidRDefault="00D45E73">
      <w:pPr>
        <w:spacing w:after="0" w:line="480" w:lineRule="auto"/>
        <w:ind w:firstLine="720"/>
        <w:rPr>
          <w:rFonts w:ascii="Times New Roman" w:eastAsia="Times New Roman" w:hAnsi="Times New Roman" w:cs="Times New Roman"/>
          <w:sz w:val="24"/>
          <w:szCs w:val="24"/>
        </w:rPr>
      </w:pPr>
      <w:r w:rsidRPr="00BB2872">
        <w:rPr>
          <w:rFonts w:ascii="Times New Roman" w:eastAsia="Times New Roman" w:hAnsi="Times New Roman" w:cs="Times New Roman"/>
          <w:sz w:val="24"/>
          <w:szCs w:val="24"/>
        </w:rPr>
        <w:lastRenderedPageBreak/>
        <w:t>Rates on consumer loans were found to be non</w:t>
      </w:r>
      <w:r w:rsidR="00857B50" w:rsidRPr="00BB2872">
        <w:rPr>
          <w:rFonts w:ascii="Times New Roman" w:eastAsia="Times New Roman" w:hAnsi="Times New Roman" w:cs="Times New Roman"/>
          <w:sz w:val="24"/>
          <w:szCs w:val="24"/>
        </w:rPr>
        <w:t>-</w:t>
      </w:r>
      <w:r w:rsidRPr="00BB2872">
        <w:rPr>
          <w:rFonts w:ascii="Times New Roman" w:eastAsia="Times New Roman" w:hAnsi="Times New Roman" w:cs="Times New Roman"/>
          <w:sz w:val="24"/>
          <w:szCs w:val="24"/>
        </w:rPr>
        <w:t>responsive to the shocks in the money market rate during all the observed periods. However, this market segment ha</w:t>
      </w:r>
      <w:r w:rsidR="002F63ED" w:rsidRPr="00BB2872">
        <w:rPr>
          <w:rFonts w:ascii="Times New Roman" w:eastAsia="Times New Roman" w:hAnsi="Times New Roman" w:cs="Times New Roman"/>
          <w:sz w:val="24"/>
          <w:szCs w:val="24"/>
        </w:rPr>
        <w:t>d</w:t>
      </w:r>
      <w:r w:rsidRPr="00BB2872">
        <w:rPr>
          <w:rFonts w:ascii="Times New Roman" w:eastAsia="Times New Roman" w:hAnsi="Times New Roman" w:cs="Times New Roman"/>
          <w:sz w:val="24"/>
          <w:szCs w:val="24"/>
        </w:rPr>
        <w:t xml:space="preserve"> its own specifics</w:t>
      </w:r>
      <w:r w:rsidR="002F63ED" w:rsidRPr="00BB2872">
        <w:rPr>
          <w:rFonts w:ascii="Times New Roman" w:eastAsia="Times New Roman" w:hAnsi="Times New Roman" w:cs="Times New Roman"/>
          <w:sz w:val="24"/>
          <w:szCs w:val="24"/>
        </w:rPr>
        <w:t>,</w:t>
      </w:r>
      <w:r w:rsidRPr="00BB2872">
        <w:rPr>
          <w:rFonts w:ascii="Times New Roman" w:eastAsia="Times New Roman" w:hAnsi="Times New Roman" w:cs="Times New Roman"/>
          <w:sz w:val="24"/>
          <w:szCs w:val="24"/>
        </w:rPr>
        <w:t xml:space="preserve"> </w:t>
      </w:r>
      <w:r w:rsidR="002F63ED" w:rsidRPr="00BB2872">
        <w:rPr>
          <w:rFonts w:ascii="Times New Roman" w:eastAsia="Times New Roman" w:hAnsi="Times New Roman" w:cs="Times New Roman"/>
          <w:sz w:val="24"/>
          <w:szCs w:val="24"/>
        </w:rPr>
        <w:t>being</w:t>
      </w:r>
      <w:r w:rsidRPr="00BB2872">
        <w:rPr>
          <w:rFonts w:ascii="Times New Roman" w:eastAsia="Times New Roman" w:hAnsi="Times New Roman" w:cs="Times New Roman"/>
          <w:sz w:val="24"/>
          <w:szCs w:val="24"/>
        </w:rPr>
        <w:t xml:space="preserve"> very rigid to </w:t>
      </w:r>
      <w:r w:rsidR="002F63ED" w:rsidRPr="00BB2872">
        <w:rPr>
          <w:rFonts w:ascii="Times New Roman" w:eastAsia="Times New Roman" w:hAnsi="Times New Roman" w:cs="Times New Roman"/>
          <w:sz w:val="24"/>
          <w:szCs w:val="24"/>
        </w:rPr>
        <w:t xml:space="preserve">the </w:t>
      </w:r>
      <w:r w:rsidRPr="00BB2872">
        <w:rPr>
          <w:rFonts w:ascii="Times New Roman" w:eastAsia="Times New Roman" w:hAnsi="Times New Roman" w:cs="Times New Roman"/>
          <w:sz w:val="24"/>
          <w:szCs w:val="24"/>
        </w:rPr>
        <w:t xml:space="preserve">changes in rates during the first two periods, </w:t>
      </w:r>
      <w:r w:rsidR="002F63ED" w:rsidRPr="00BB2872">
        <w:rPr>
          <w:rFonts w:ascii="Times New Roman" w:eastAsia="Times New Roman" w:hAnsi="Times New Roman" w:cs="Times New Roman"/>
          <w:sz w:val="24"/>
          <w:szCs w:val="24"/>
        </w:rPr>
        <w:t xml:space="preserve">with </w:t>
      </w:r>
      <w:r w:rsidRPr="00BB2872">
        <w:rPr>
          <w:rFonts w:ascii="Times New Roman" w:eastAsia="Times New Roman" w:hAnsi="Times New Roman" w:cs="Times New Roman"/>
          <w:sz w:val="24"/>
          <w:szCs w:val="24"/>
        </w:rPr>
        <w:t>low competition in this segment contribut</w:t>
      </w:r>
      <w:r w:rsidR="002F63ED" w:rsidRPr="00BB2872">
        <w:rPr>
          <w:rFonts w:ascii="Times New Roman" w:eastAsia="Times New Roman" w:hAnsi="Times New Roman" w:cs="Times New Roman"/>
          <w:sz w:val="24"/>
          <w:szCs w:val="24"/>
        </w:rPr>
        <w:t>ing</w:t>
      </w:r>
      <w:r w:rsidRPr="00BB2872">
        <w:rPr>
          <w:rFonts w:ascii="Times New Roman" w:eastAsia="Times New Roman" w:hAnsi="Times New Roman" w:cs="Times New Roman"/>
          <w:sz w:val="24"/>
          <w:szCs w:val="24"/>
        </w:rPr>
        <w:t xml:space="preserve"> to that </w:t>
      </w:r>
      <w:r w:rsidR="002F63ED" w:rsidRPr="00BB2872">
        <w:rPr>
          <w:rFonts w:ascii="Times New Roman" w:eastAsia="Times New Roman" w:hAnsi="Times New Roman" w:cs="Times New Roman"/>
          <w:sz w:val="24"/>
          <w:szCs w:val="24"/>
        </w:rPr>
        <w:t>situation</w:t>
      </w:r>
      <w:r w:rsidRPr="00BB2872">
        <w:rPr>
          <w:rFonts w:ascii="Times New Roman" w:eastAsia="Times New Roman" w:hAnsi="Times New Roman" w:cs="Times New Roman"/>
          <w:sz w:val="24"/>
          <w:szCs w:val="24"/>
        </w:rPr>
        <w:t xml:space="preserve">. Currently, the market is </w:t>
      </w:r>
      <w:r w:rsidR="001B16D5" w:rsidRPr="00BB2872">
        <w:rPr>
          <w:rFonts w:ascii="Times New Roman" w:eastAsia="Times New Roman" w:hAnsi="Times New Roman" w:cs="Times New Roman"/>
          <w:sz w:val="24"/>
          <w:szCs w:val="24"/>
        </w:rPr>
        <w:t>the</w:t>
      </w:r>
      <w:r w:rsidRPr="00BB2872">
        <w:rPr>
          <w:rFonts w:ascii="Times New Roman" w:eastAsia="Times New Roman" w:hAnsi="Times New Roman" w:cs="Times New Roman"/>
          <w:sz w:val="24"/>
          <w:szCs w:val="24"/>
        </w:rPr>
        <w:t xml:space="preserve"> subject of a long-term interest</w:t>
      </w:r>
      <w:r w:rsidR="00E02BFF" w:rsidRPr="00BB2872">
        <w:rPr>
          <w:rFonts w:ascii="Times New Roman" w:eastAsia="Times New Roman" w:hAnsi="Times New Roman" w:cs="Times New Roman"/>
          <w:sz w:val="24"/>
          <w:szCs w:val="24"/>
        </w:rPr>
        <w:t xml:space="preserve"> </w:t>
      </w:r>
      <w:r w:rsidRPr="00BB2872">
        <w:rPr>
          <w:rFonts w:ascii="Times New Roman" w:eastAsia="Times New Roman" w:hAnsi="Times New Roman" w:cs="Times New Roman"/>
          <w:sz w:val="24"/>
          <w:szCs w:val="24"/>
        </w:rPr>
        <w:t>rate decrease</w:t>
      </w:r>
      <w:r w:rsidR="001B16D5" w:rsidRPr="00BB2872">
        <w:rPr>
          <w:rFonts w:ascii="Times New Roman" w:eastAsia="Times New Roman" w:hAnsi="Times New Roman" w:cs="Times New Roman"/>
          <w:sz w:val="24"/>
          <w:szCs w:val="24"/>
        </w:rPr>
        <w:t>,</w:t>
      </w:r>
      <w:r w:rsidRPr="00BB2872">
        <w:rPr>
          <w:rFonts w:ascii="Times New Roman" w:eastAsia="Times New Roman" w:hAnsi="Times New Roman" w:cs="Times New Roman"/>
          <w:sz w:val="24"/>
          <w:szCs w:val="24"/>
        </w:rPr>
        <w:t xml:space="preserve"> caused </w:t>
      </w:r>
      <w:r w:rsidR="001B16D5" w:rsidRPr="00BB2872">
        <w:rPr>
          <w:rFonts w:ascii="Times New Roman" w:eastAsia="Times New Roman" w:hAnsi="Times New Roman" w:cs="Times New Roman"/>
          <w:sz w:val="24"/>
          <w:szCs w:val="24"/>
        </w:rPr>
        <w:t xml:space="preserve">particularly </w:t>
      </w:r>
      <w:r w:rsidRPr="00BB2872">
        <w:rPr>
          <w:rFonts w:ascii="Times New Roman" w:eastAsia="Times New Roman" w:hAnsi="Times New Roman" w:cs="Times New Roman"/>
          <w:sz w:val="24"/>
          <w:szCs w:val="24"/>
        </w:rPr>
        <w:t>by changes in market competition</w:t>
      </w:r>
      <w:r w:rsidR="001B16D5" w:rsidRPr="00BB2872">
        <w:rPr>
          <w:rFonts w:ascii="Times New Roman" w:eastAsia="Times New Roman" w:hAnsi="Times New Roman" w:cs="Times New Roman"/>
          <w:sz w:val="24"/>
          <w:szCs w:val="24"/>
        </w:rPr>
        <w:t>,</w:t>
      </w:r>
      <w:r w:rsidRPr="00BB2872">
        <w:rPr>
          <w:rFonts w:ascii="Times New Roman" w:eastAsia="Times New Roman" w:hAnsi="Times New Roman" w:cs="Times New Roman"/>
          <w:sz w:val="24"/>
          <w:szCs w:val="24"/>
        </w:rPr>
        <w:t xml:space="preserve"> as well as other structural and cyclical factors (see Broz and </w:t>
      </w:r>
      <w:proofErr w:type="spellStart"/>
      <w:r w:rsidRPr="00BB2872">
        <w:rPr>
          <w:rFonts w:ascii="Times New Roman" w:eastAsia="Times New Roman" w:hAnsi="Times New Roman" w:cs="Times New Roman"/>
          <w:sz w:val="24"/>
          <w:szCs w:val="24"/>
        </w:rPr>
        <w:t>Hlavacek</w:t>
      </w:r>
      <w:proofErr w:type="spellEnd"/>
      <w:r w:rsidRPr="00BB2872">
        <w:rPr>
          <w:rFonts w:ascii="Times New Roman" w:eastAsia="Times New Roman" w:hAnsi="Times New Roman" w:cs="Times New Roman"/>
          <w:sz w:val="24"/>
          <w:szCs w:val="24"/>
        </w:rPr>
        <w:t xml:space="preserve">, 2019, for more information on these factors). Mortgage rates were also </w:t>
      </w:r>
      <w:r w:rsidR="00563D2F" w:rsidRPr="00BB2872">
        <w:rPr>
          <w:rFonts w:ascii="Times New Roman" w:eastAsia="Times New Roman" w:hAnsi="Times New Roman" w:cs="Times New Roman"/>
          <w:sz w:val="24"/>
          <w:szCs w:val="24"/>
        </w:rPr>
        <w:t xml:space="preserve">not </w:t>
      </w:r>
      <w:r w:rsidRPr="00BB2872">
        <w:rPr>
          <w:rFonts w:ascii="Times New Roman" w:eastAsia="Times New Roman" w:hAnsi="Times New Roman" w:cs="Times New Roman"/>
          <w:sz w:val="24"/>
          <w:szCs w:val="24"/>
        </w:rPr>
        <w:t xml:space="preserve">responsive to shocks in the money market rate. The shocks in </w:t>
      </w:r>
      <w:r w:rsidR="00563D2F" w:rsidRPr="00BB2872">
        <w:rPr>
          <w:rFonts w:ascii="Times New Roman" w:eastAsia="Times New Roman" w:hAnsi="Times New Roman" w:cs="Times New Roman"/>
          <w:sz w:val="24"/>
          <w:szCs w:val="24"/>
        </w:rPr>
        <w:t xml:space="preserve">the </w:t>
      </w:r>
      <w:r w:rsidRPr="00BB2872">
        <w:rPr>
          <w:rFonts w:ascii="Times New Roman" w:eastAsia="Times New Roman" w:hAnsi="Times New Roman" w:cs="Times New Roman"/>
          <w:sz w:val="24"/>
          <w:szCs w:val="24"/>
        </w:rPr>
        <w:t>EURIBOR were found to be important for this loan segment from the ZLB period</w:t>
      </w:r>
      <w:r w:rsidR="00563D2F" w:rsidRPr="00BB2872">
        <w:rPr>
          <w:rFonts w:ascii="Times New Roman" w:eastAsia="Times New Roman" w:hAnsi="Times New Roman" w:cs="Times New Roman"/>
          <w:sz w:val="24"/>
          <w:szCs w:val="24"/>
        </w:rPr>
        <w:t>,</w:t>
      </w:r>
      <w:r w:rsidRPr="00BB2872">
        <w:rPr>
          <w:rFonts w:ascii="Times New Roman" w:eastAsia="Times New Roman" w:hAnsi="Times New Roman" w:cs="Times New Roman"/>
          <w:sz w:val="24"/>
          <w:szCs w:val="24"/>
        </w:rPr>
        <w:t xml:space="preserve"> which might point to </w:t>
      </w:r>
      <w:r w:rsidR="00563D2F" w:rsidRPr="00BB2872">
        <w:rPr>
          <w:rFonts w:ascii="Times New Roman" w:eastAsia="Times New Roman" w:hAnsi="Times New Roman" w:cs="Times New Roman"/>
          <w:sz w:val="24"/>
          <w:szCs w:val="24"/>
        </w:rPr>
        <w:t xml:space="preserve">a </w:t>
      </w:r>
      <w:proofErr w:type="spellStart"/>
      <w:r w:rsidRPr="00BB2872">
        <w:rPr>
          <w:rFonts w:ascii="Times New Roman" w:eastAsia="Times New Roman" w:hAnsi="Times New Roman" w:cs="Times New Roman"/>
          <w:sz w:val="24"/>
          <w:szCs w:val="24"/>
        </w:rPr>
        <w:t>spillover</w:t>
      </w:r>
      <w:proofErr w:type="spellEnd"/>
      <w:r w:rsidRPr="00BB2872">
        <w:rPr>
          <w:rFonts w:ascii="Times New Roman" w:eastAsia="Times New Roman" w:hAnsi="Times New Roman" w:cs="Times New Roman"/>
          <w:sz w:val="24"/>
          <w:szCs w:val="24"/>
        </w:rPr>
        <w:t xml:space="preserve"> significance for long</w:t>
      </w:r>
      <w:r w:rsidR="00563D2F" w:rsidRPr="00BB2872">
        <w:rPr>
          <w:rFonts w:ascii="Times New Roman" w:eastAsia="Times New Roman" w:hAnsi="Times New Roman" w:cs="Times New Roman"/>
          <w:sz w:val="24"/>
          <w:szCs w:val="24"/>
        </w:rPr>
        <w:t>-term</w:t>
      </w:r>
      <w:r w:rsidRPr="00BB2872">
        <w:rPr>
          <w:rFonts w:ascii="Times New Roman" w:eastAsia="Times New Roman" w:hAnsi="Times New Roman" w:cs="Times New Roman"/>
          <w:sz w:val="24"/>
          <w:szCs w:val="24"/>
        </w:rPr>
        <w:t xml:space="preserve"> yields (see </w:t>
      </w:r>
      <w:proofErr w:type="spellStart"/>
      <w:r w:rsidRPr="00BB2872">
        <w:rPr>
          <w:rFonts w:ascii="Times New Roman" w:eastAsia="Times New Roman" w:hAnsi="Times New Roman" w:cs="Times New Roman"/>
          <w:sz w:val="24"/>
          <w:szCs w:val="24"/>
        </w:rPr>
        <w:t>ter</w:t>
      </w:r>
      <w:proofErr w:type="spellEnd"/>
      <w:r w:rsidRPr="00BB2872">
        <w:rPr>
          <w:rFonts w:ascii="Times New Roman" w:eastAsia="Times New Roman" w:hAnsi="Times New Roman" w:cs="Times New Roman"/>
          <w:sz w:val="24"/>
          <w:szCs w:val="24"/>
        </w:rPr>
        <w:t xml:space="preserve"> Ellen et al., 2020).  </w:t>
      </w:r>
    </w:p>
    <w:p w14:paraId="0000005F" w14:textId="3E7AA2E1" w:rsidR="00345220" w:rsidRPr="00BB2872" w:rsidRDefault="00D45E73">
      <w:pPr>
        <w:spacing w:after="0" w:line="480" w:lineRule="auto"/>
        <w:ind w:firstLine="720"/>
        <w:rPr>
          <w:rFonts w:ascii="Times New Roman" w:eastAsia="Times New Roman" w:hAnsi="Times New Roman" w:cs="Times New Roman"/>
          <w:sz w:val="24"/>
          <w:szCs w:val="24"/>
        </w:rPr>
      </w:pPr>
      <w:r w:rsidRPr="00BB2872">
        <w:rPr>
          <w:rFonts w:ascii="Times New Roman" w:eastAsia="Times New Roman" w:hAnsi="Times New Roman" w:cs="Times New Roman"/>
          <w:sz w:val="24"/>
          <w:szCs w:val="24"/>
        </w:rPr>
        <w:t xml:space="preserve">The effect of shocks in the EA money market was also </w:t>
      </w:r>
      <w:r w:rsidR="0043228B" w:rsidRPr="00BB2872">
        <w:rPr>
          <w:rFonts w:ascii="Times New Roman" w:eastAsia="Times New Roman" w:hAnsi="Times New Roman" w:cs="Times New Roman"/>
          <w:sz w:val="24"/>
          <w:szCs w:val="24"/>
        </w:rPr>
        <w:t xml:space="preserve">determined, with </w:t>
      </w:r>
      <w:r w:rsidRPr="00BB2872">
        <w:rPr>
          <w:rFonts w:ascii="Times New Roman" w:eastAsia="Times New Roman" w:hAnsi="Times New Roman" w:cs="Times New Roman"/>
          <w:sz w:val="24"/>
          <w:szCs w:val="24"/>
        </w:rPr>
        <w:t>Czechia, as a small</w:t>
      </w:r>
      <w:r w:rsidR="0043228B" w:rsidRPr="00BB2872">
        <w:rPr>
          <w:rFonts w:ascii="Times New Roman" w:eastAsia="Times New Roman" w:hAnsi="Times New Roman" w:cs="Times New Roman"/>
          <w:sz w:val="24"/>
          <w:szCs w:val="24"/>
        </w:rPr>
        <w:t>,</w:t>
      </w:r>
      <w:r w:rsidRPr="00BB2872">
        <w:rPr>
          <w:rFonts w:ascii="Times New Roman" w:eastAsia="Times New Roman" w:hAnsi="Times New Roman" w:cs="Times New Roman"/>
          <w:sz w:val="24"/>
          <w:szCs w:val="24"/>
        </w:rPr>
        <w:t xml:space="preserve"> open economy, </w:t>
      </w:r>
      <w:r w:rsidR="0043228B" w:rsidRPr="00BB2872">
        <w:rPr>
          <w:rFonts w:ascii="Times New Roman" w:eastAsia="Times New Roman" w:hAnsi="Times New Roman" w:cs="Times New Roman"/>
          <w:sz w:val="24"/>
          <w:szCs w:val="24"/>
        </w:rPr>
        <w:t>being</w:t>
      </w:r>
      <w:r w:rsidRPr="00BB2872">
        <w:rPr>
          <w:rFonts w:ascii="Times New Roman" w:eastAsia="Times New Roman" w:hAnsi="Times New Roman" w:cs="Times New Roman"/>
          <w:sz w:val="24"/>
          <w:szCs w:val="24"/>
        </w:rPr>
        <w:t xml:space="preserve"> undoubtedly affected by external shocks. We </w:t>
      </w:r>
      <w:r w:rsidR="0043228B" w:rsidRPr="00BB2872">
        <w:rPr>
          <w:rFonts w:ascii="Times New Roman" w:eastAsia="Times New Roman" w:hAnsi="Times New Roman" w:cs="Times New Roman"/>
          <w:sz w:val="24"/>
          <w:szCs w:val="24"/>
        </w:rPr>
        <w:t xml:space="preserve">found </w:t>
      </w:r>
      <w:r w:rsidRPr="00BB2872">
        <w:rPr>
          <w:rFonts w:ascii="Times New Roman" w:eastAsia="Times New Roman" w:hAnsi="Times New Roman" w:cs="Times New Roman"/>
          <w:sz w:val="24"/>
          <w:szCs w:val="24"/>
        </w:rPr>
        <w:t>that the responsiveness of the Czech money market rate to shocks in</w:t>
      </w:r>
      <w:r w:rsidR="0043228B" w:rsidRPr="00BB2872">
        <w:rPr>
          <w:rFonts w:ascii="Times New Roman" w:eastAsia="Times New Roman" w:hAnsi="Times New Roman" w:cs="Times New Roman"/>
          <w:sz w:val="24"/>
          <w:szCs w:val="24"/>
        </w:rPr>
        <w:t xml:space="preserve"> the</w:t>
      </w:r>
      <w:r w:rsidRPr="00BB2872">
        <w:rPr>
          <w:rFonts w:ascii="Times New Roman" w:eastAsia="Times New Roman" w:hAnsi="Times New Roman" w:cs="Times New Roman"/>
          <w:sz w:val="24"/>
          <w:szCs w:val="24"/>
        </w:rPr>
        <w:t xml:space="preserve"> EURIBOR </w:t>
      </w:r>
      <w:r w:rsidR="0043228B" w:rsidRPr="00BB2872">
        <w:rPr>
          <w:rFonts w:ascii="Times New Roman" w:eastAsia="Times New Roman" w:hAnsi="Times New Roman" w:cs="Times New Roman"/>
          <w:sz w:val="24"/>
          <w:szCs w:val="24"/>
        </w:rPr>
        <w:t>wa</w:t>
      </w:r>
      <w:r w:rsidRPr="00BB2872">
        <w:rPr>
          <w:rFonts w:ascii="Times New Roman" w:eastAsia="Times New Roman" w:hAnsi="Times New Roman" w:cs="Times New Roman"/>
          <w:sz w:val="24"/>
          <w:szCs w:val="24"/>
        </w:rPr>
        <w:t xml:space="preserve">s no longer </w:t>
      </w:r>
      <w:r w:rsidR="00475E28" w:rsidRPr="00BB2872">
        <w:rPr>
          <w:rFonts w:ascii="Times New Roman" w:eastAsia="Times New Roman" w:hAnsi="Times New Roman" w:cs="Times New Roman"/>
          <w:sz w:val="24"/>
          <w:szCs w:val="24"/>
        </w:rPr>
        <w:t>the case</w:t>
      </w:r>
      <w:r w:rsidR="0043228B" w:rsidRPr="00BB2872">
        <w:rPr>
          <w:rFonts w:ascii="Times New Roman" w:eastAsia="Times New Roman" w:hAnsi="Times New Roman" w:cs="Times New Roman"/>
          <w:sz w:val="24"/>
          <w:szCs w:val="24"/>
        </w:rPr>
        <w:t>,</w:t>
      </w:r>
      <w:r w:rsidRPr="00BB2872">
        <w:rPr>
          <w:rFonts w:ascii="Times New Roman" w:eastAsia="Times New Roman" w:hAnsi="Times New Roman" w:cs="Times New Roman"/>
          <w:sz w:val="24"/>
          <w:szCs w:val="24"/>
        </w:rPr>
        <w:t xml:space="preserve"> even though Czechia </w:t>
      </w:r>
      <w:r w:rsidR="00475E28" w:rsidRPr="00BB2872">
        <w:rPr>
          <w:rFonts w:ascii="Times New Roman" w:eastAsia="Times New Roman" w:hAnsi="Times New Roman" w:cs="Times New Roman"/>
          <w:sz w:val="24"/>
          <w:szCs w:val="24"/>
        </w:rPr>
        <w:t xml:space="preserve">will likely </w:t>
      </w:r>
      <w:r w:rsidRPr="00BB2872">
        <w:rPr>
          <w:rFonts w:ascii="Times New Roman" w:eastAsia="Times New Roman" w:hAnsi="Times New Roman" w:cs="Times New Roman"/>
          <w:sz w:val="24"/>
          <w:szCs w:val="24"/>
        </w:rPr>
        <w:t xml:space="preserve">adopt </w:t>
      </w:r>
      <w:r w:rsidR="00475E28" w:rsidRPr="00BB2872">
        <w:rPr>
          <w:rFonts w:ascii="Times New Roman" w:eastAsia="Times New Roman" w:hAnsi="Times New Roman" w:cs="Times New Roman"/>
          <w:sz w:val="24"/>
          <w:szCs w:val="24"/>
        </w:rPr>
        <w:t xml:space="preserve">the </w:t>
      </w:r>
      <w:r w:rsidRPr="00BB2872">
        <w:rPr>
          <w:rFonts w:ascii="Times New Roman" w:eastAsia="Times New Roman" w:hAnsi="Times New Roman" w:cs="Times New Roman"/>
          <w:sz w:val="24"/>
          <w:szCs w:val="24"/>
        </w:rPr>
        <w:t xml:space="preserve">euro in </w:t>
      </w:r>
      <w:r w:rsidR="00475E28" w:rsidRPr="00BB2872">
        <w:rPr>
          <w:rFonts w:ascii="Times New Roman" w:eastAsia="Times New Roman" w:hAnsi="Times New Roman" w:cs="Times New Roman"/>
          <w:sz w:val="24"/>
          <w:szCs w:val="24"/>
        </w:rPr>
        <w:t xml:space="preserve">the </w:t>
      </w:r>
      <w:r w:rsidRPr="00BB2872">
        <w:rPr>
          <w:rFonts w:ascii="Times New Roman" w:eastAsia="Times New Roman" w:hAnsi="Times New Roman" w:cs="Times New Roman"/>
          <w:sz w:val="24"/>
          <w:szCs w:val="24"/>
        </w:rPr>
        <w:t>future. The effect of exchange</w:t>
      </w:r>
      <w:r w:rsidR="00475E28" w:rsidRPr="00BB2872">
        <w:rPr>
          <w:rFonts w:ascii="Times New Roman" w:eastAsia="Times New Roman" w:hAnsi="Times New Roman" w:cs="Times New Roman"/>
          <w:sz w:val="24"/>
          <w:szCs w:val="24"/>
        </w:rPr>
        <w:t>-</w:t>
      </w:r>
      <w:r w:rsidRPr="00BB2872">
        <w:rPr>
          <w:rFonts w:ascii="Times New Roman" w:eastAsia="Times New Roman" w:hAnsi="Times New Roman" w:cs="Times New Roman"/>
          <w:sz w:val="24"/>
          <w:szCs w:val="24"/>
        </w:rPr>
        <w:t>rate interventions on commercial lending rates has not been confirmed, but the significance of interventions on business confidence was revealed.</w:t>
      </w:r>
    </w:p>
    <w:p w14:paraId="00000060" w14:textId="3DC35AF3" w:rsidR="00345220" w:rsidRPr="00BB2872" w:rsidRDefault="00D45E73">
      <w:pPr>
        <w:spacing w:before="240" w:after="240" w:line="480" w:lineRule="auto"/>
        <w:ind w:firstLine="720"/>
        <w:jc w:val="both"/>
        <w:rPr>
          <w:rFonts w:ascii="Times New Roman" w:eastAsia="Times New Roman" w:hAnsi="Times New Roman" w:cs="Times New Roman"/>
          <w:sz w:val="24"/>
          <w:szCs w:val="24"/>
        </w:rPr>
      </w:pPr>
      <w:r w:rsidRPr="00BB2872">
        <w:rPr>
          <w:rFonts w:ascii="Times New Roman" w:eastAsia="Times New Roman" w:hAnsi="Times New Roman" w:cs="Times New Roman"/>
          <w:sz w:val="24"/>
          <w:szCs w:val="24"/>
        </w:rPr>
        <w:t xml:space="preserve">Generally, </w:t>
      </w:r>
      <w:r w:rsidR="00542596" w:rsidRPr="00BB2872">
        <w:rPr>
          <w:rFonts w:ascii="Times New Roman" w:eastAsia="Times New Roman" w:hAnsi="Times New Roman" w:cs="Times New Roman"/>
          <w:sz w:val="24"/>
          <w:szCs w:val="24"/>
        </w:rPr>
        <w:t xml:space="preserve">a </w:t>
      </w:r>
      <w:r w:rsidRPr="00BB2872">
        <w:rPr>
          <w:rFonts w:ascii="Times New Roman" w:eastAsia="Times New Roman" w:hAnsi="Times New Roman" w:cs="Times New Roman"/>
          <w:sz w:val="24"/>
          <w:szCs w:val="24"/>
        </w:rPr>
        <w:t>low</w:t>
      </w:r>
      <w:r w:rsidR="00542596" w:rsidRPr="00BB2872">
        <w:rPr>
          <w:rFonts w:ascii="Times New Roman" w:eastAsia="Times New Roman" w:hAnsi="Times New Roman" w:cs="Times New Roman"/>
          <w:sz w:val="24"/>
          <w:szCs w:val="24"/>
        </w:rPr>
        <w:t>-</w:t>
      </w:r>
      <w:r w:rsidRPr="00BB2872">
        <w:rPr>
          <w:rFonts w:ascii="Times New Roman" w:eastAsia="Times New Roman" w:hAnsi="Times New Roman" w:cs="Times New Roman"/>
          <w:sz w:val="24"/>
          <w:szCs w:val="24"/>
        </w:rPr>
        <w:t>interest</w:t>
      </w:r>
      <w:r w:rsidR="00E02BFF" w:rsidRPr="00BB2872">
        <w:rPr>
          <w:rFonts w:ascii="Times New Roman" w:eastAsia="Times New Roman" w:hAnsi="Times New Roman" w:cs="Times New Roman"/>
          <w:sz w:val="24"/>
          <w:szCs w:val="24"/>
        </w:rPr>
        <w:t xml:space="preserve"> </w:t>
      </w:r>
      <w:r w:rsidRPr="00BB2872">
        <w:rPr>
          <w:rFonts w:ascii="Times New Roman" w:eastAsia="Times New Roman" w:hAnsi="Times New Roman" w:cs="Times New Roman"/>
          <w:sz w:val="24"/>
          <w:szCs w:val="24"/>
        </w:rPr>
        <w:t xml:space="preserve">rate policy is expected to dominate in the </w:t>
      </w:r>
      <w:r w:rsidR="00E22D39" w:rsidRPr="00BB2872">
        <w:rPr>
          <w:rFonts w:ascii="Times New Roman" w:eastAsia="Times New Roman" w:hAnsi="Times New Roman" w:cs="Times New Roman"/>
          <w:sz w:val="24"/>
          <w:szCs w:val="24"/>
        </w:rPr>
        <w:t>EA</w:t>
      </w:r>
      <w:r w:rsidRPr="00BB2872">
        <w:rPr>
          <w:rFonts w:ascii="Times New Roman" w:eastAsia="Times New Roman" w:hAnsi="Times New Roman" w:cs="Times New Roman"/>
          <w:sz w:val="24"/>
          <w:szCs w:val="24"/>
        </w:rPr>
        <w:t>. Nevertheless, based on the recent macroeconomic situation</w:t>
      </w:r>
      <w:r w:rsidR="00542596" w:rsidRPr="00BB2872">
        <w:rPr>
          <w:rFonts w:ascii="Times New Roman" w:eastAsia="Times New Roman" w:hAnsi="Times New Roman" w:cs="Times New Roman"/>
          <w:sz w:val="24"/>
          <w:szCs w:val="24"/>
        </w:rPr>
        <w:t>,</w:t>
      </w:r>
      <w:r w:rsidRPr="00BB2872">
        <w:rPr>
          <w:rFonts w:ascii="Times New Roman" w:eastAsia="Times New Roman" w:hAnsi="Times New Roman" w:cs="Times New Roman"/>
          <w:sz w:val="24"/>
          <w:szCs w:val="24"/>
        </w:rPr>
        <w:t xml:space="preserve"> the setting of monetary policy in the Czech Republic diverges from the official ECB monetary policy regime. The ECB is going to continue with </w:t>
      </w:r>
      <w:r w:rsidR="00542596" w:rsidRPr="00BB2872">
        <w:rPr>
          <w:rFonts w:ascii="Times New Roman" w:eastAsia="Times New Roman" w:hAnsi="Times New Roman" w:cs="Times New Roman"/>
          <w:sz w:val="24"/>
          <w:szCs w:val="24"/>
        </w:rPr>
        <w:t xml:space="preserve">a </w:t>
      </w:r>
      <w:r w:rsidRPr="00BB2872">
        <w:rPr>
          <w:rFonts w:ascii="Times New Roman" w:eastAsia="Times New Roman" w:hAnsi="Times New Roman" w:cs="Times New Roman"/>
          <w:sz w:val="24"/>
          <w:szCs w:val="24"/>
        </w:rPr>
        <w:t xml:space="preserve">low level </w:t>
      </w:r>
      <w:r w:rsidR="00542596" w:rsidRPr="00BB2872">
        <w:rPr>
          <w:rFonts w:ascii="Times New Roman" w:eastAsia="Times New Roman" w:hAnsi="Times New Roman" w:cs="Times New Roman"/>
          <w:sz w:val="24"/>
          <w:szCs w:val="24"/>
        </w:rPr>
        <w:t>for</w:t>
      </w:r>
      <w:r w:rsidRPr="00BB2872">
        <w:rPr>
          <w:rFonts w:ascii="Times New Roman" w:eastAsia="Times New Roman" w:hAnsi="Times New Roman" w:cs="Times New Roman"/>
          <w:sz w:val="24"/>
          <w:szCs w:val="24"/>
        </w:rPr>
        <w:t xml:space="preserve"> key interest rates</w:t>
      </w:r>
      <w:r w:rsidR="00542596" w:rsidRPr="00BB2872">
        <w:rPr>
          <w:rFonts w:ascii="Times New Roman" w:eastAsia="Times New Roman" w:hAnsi="Times New Roman" w:cs="Times New Roman"/>
          <w:sz w:val="24"/>
          <w:szCs w:val="24"/>
        </w:rPr>
        <w:t xml:space="preserve">, with a </w:t>
      </w:r>
      <w:r w:rsidRPr="00BB2872">
        <w:rPr>
          <w:rFonts w:ascii="Times New Roman" w:eastAsia="Times New Roman" w:hAnsi="Times New Roman" w:cs="Times New Roman"/>
          <w:sz w:val="24"/>
          <w:szCs w:val="24"/>
        </w:rPr>
        <w:t xml:space="preserve">further decrease not </w:t>
      </w:r>
      <w:r w:rsidR="00542596" w:rsidRPr="00BB2872">
        <w:rPr>
          <w:rFonts w:ascii="Times New Roman" w:eastAsia="Times New Roman" w:hAnsi="Times New Roman" w:cs="Times New Roman"/>
          <w:sz w:val="24"/>
          <w:szCs w:val="24"/>
        </w:rPr>
        <w:t xml:space="preserve">being </w:t>
      </w:r>
      <w:r w:rsidRPr="00BB2872">
        <w:rPr>
          <w:rFonts w:ascii="Times New Roman" w:eastAsia="Times New Roman" w:hAnsi="Times New Roman" w:cs="Times New Roman"/>
          <w:sz w:val="24"/>
          <w:szCs w:val="24"/>
        </w:rPr>
        <w:t xml:space="preserve">ruled out. </w:t>
      </w:r>
      <w:r w:rsidR="00542596" w:rsidRPr="00BB2872">
        <w:rPr>
          <w:rFonts w:ascii="Times New Roman" w:eastAsia="Times New Roman" w:hAnsi="Times New Roman" w:cs="Times New Roman"/>
          <w:sz w:val="24"/>
          <w:szCs w:val="24"/>
        </w:rPr>
        <w:t xml:space="preserve">The </w:t>
      </w:r>
      <w:r w:rsidRPr="00BB2872">
        <w:rPr>
          <w:rFonts w:ascii="Times New Roman" w:eastAsia="Times New Roman" w:hAnsi="Times New Roman" w:cs="Times New Roman"/>
          <w:sz w:val="24"/>
          <w:szCs w:val="24"/>
        </w:rPr>
        <w:t xml:space="preserve">EBC </w:t>
      </w:r>
      <w:r w:rsidR="00542596" w:rsidRPr="00BB2872">
        <w:rPr>
          <w:rFonts w:ascii="Times New Roman" w:eastAsia="Times New Roman" w:hAnsi="Times New Roman" w:cs="Times New Roman"/>
          <w:sz w:val="24"/>
          <w:szCs w:val="24"/>
        </w:rPr>
        <w:t xml:space="preserve">has </w:t>
      </w:r>
      <w:r w:rsidRPr="00BB2872">
        <w:rPr>
          <w:rFonts w:ascii="Times New Roman" w:eastAsia="Times New Roman" w:hAnsi="Times New Roman" w:cs="Times New Roman"/>
          <w:sz w:val="24"/>
          <w:szCs w:val="24"/>
        </w:rPr>
        <w:t>point</w:t>
      </w:r>
      <w:r w:rsidR="00542596" w:rsidRPr="00BB2872">
        <w:rPr>
          <w:rFonts w:ascii="Times New Roman" w:eastAsia="Times New Roman" w:hAnsi="Times New Roman" w:cs="Times New Roman"/>
          <w:sz w:val="24"/>
          <w:szCs w:val="24"/>
        </w:rPr>
        <w:t>ed</w:t>
      </w:r>
      <w:r w:rsidRPr="00BB2872">
        <w:rPr>
          <w:rFonts w:ascii="Times New Roman" w:eastAsia="Times New Roman" w:hAnsi="Times New Roman" w:cs="Times New Roman"/>
          <w:sz w:val="24"/>
          <w:szCs w:val="24"/>
        </w:rPr>
        <w:t xml:space="preserve"> out that interest rates will remain at their present or lower levels until it has seen the inflation outlook robustly converge </w:t>
      </w:r>
      <w:r w:rsidR="00542596" w:rsidRPr="00BB2872">
        <w:rPr>
          <w:rFonts w:ascii="Times New Roman" w:eastAsia="Times New Roman" w:hAnsi="Times New Roman" w:cs="Times New Roman"/>
          <w:sz w:val="24"/>
          <w:szCs w:val="24"/>
        </w:rPr>
        <w:t>on</w:t>
      </w:r>
      <w:r w:rsidRPr="00BB2872">
        <w:rPr>
          <w:rFonts w:ascii="Times New Roman" w:eastAsia="Times New Roman" w:hAnsi="Times New Roman" w:cs="Times New Roman"/>
          <w:sz w:val="24"/>
          <w:szCs w:val="24"/>
        </w:rPr>
        <w:t xml:space="preserve"> a level close to 2%. Furthermore, the future determination of key rates depend</w:t>
      </w:r>
      <w:r w:rsidR="00542596" w:rsidRPr="00BB2872">
        <w:rPr>
          <w:rFonts w:ascii="Times New Roman" w:eastAsia="Times New Roman" w:hAnsi="Times New Roman" w:cs="Times New Roman"/>
          <w:sz w:val="24"/>
          <w:szCs w:val="24"/>
        </w:rPr>
        <w:t>s</w:t>
      </w:r>
      <w:r w:rsidRPr="00BB2872">
        <w:rPr>
          <w:rFonts w:ascii="Times New Roman" w:eastAsia="Times New Roman" w:hAnsi="Times New Roman" w:cs="Times New Roman"/>
          <w:sz w:val="24"/>
          <w:szCs w:val="24"/>
        </w:rPr>
        <w:t xml:space="preserve"> not only on the level of inflation in the </w:t>
      </w:r>
      <w:r w:rsidR="00E22D39" w:rsidRPr="00BB2872">
        <w:rPr>
          <w:rFonts w:ascii="Times New Roman" w:eastAsia="Times New Roman" w:hAnsi="Times New Roman" w:cs="Times New Roman"/>
          <w:sz w:val="24"/>
          <w:szCs w:val="24"/>
        </w:rPr>
        <w:t>EA</w:t>
      </w:r>
      <w:r w:rsidR="00542596" w:rsidRPr="00BB2872">
        <w:rPr>
          <w:rFonts w:ascii="Times New Roman" w:eastAsia="Times New Roman" w:hAnsi="Times New Roman" w:cs="Times New Roman"/>
          <w:sz w:val="24"/>
          <w:szCs w:val="24"/>
        </w:rPr>
        <w:t>,</w:t>
      </w:r>
      <w:r w:rsidRPr="00BB2872">
        <w:rPr>
          <w:rFonts w:ascii="Times New Roman" w:eastAsia="Times New Roman" w:hAnsi="Times New Roman" w:cs="Times New Roman"/>
          <w:sz w:val="24"/>
          <w:szCs w:val="24"/>
        </w:rPr>
        <w:t xml:space="preserve"> but also on its dynamics. </w:t>
      </w:r>
      <w:r w:rsidR="00542596" w:rsidRPr="00BB2872">
        <w:rPr>
          <w:rFonts w:ascii="Times New Roman" w:eastAsia="Times New Roman" w:hAnsi="Times New Roman" w:cs="Times New Roman"/>
          <w:sz w:val="24"/>
          <w:szCs w:val="24"/>
        </w:rPr>
        <w:t xml:space="preserve">The </w:t>
      </w:r>
      <w:r w:rsidRPr="00BB2872">
        <w:rPr>
          <w:rFonts w:ascii="Times New Roman" w:eastAsia="Times New Roman" w:hAnsi="Times New Roman" w:cs="Times New Roman"/>
          <w:sz w:val="24"/>
          <w:szCs w:val="24"/>
        </w:rPr>
        <w:t xml:space="preserve">ECB </w:t>
      </w:r>
      <w:r w:rsidR="00150F67" w:rsidRPr="00BB2872">
        <w:rPr>
          <w:rFonts w:ascii="Times New Roman" w:eastAsia="Times New Roman" w:hAnsi="Times New Roman" w:cs="Times New Roman"/>
          <w:sz w:val="24"/>
          <w:szCs w:val="24"/>
        </w:rPr>
        <w:t xml:space="preserve">has </w:t>
      </w:r>
      <w:r w:rsidRPr="00BB2872">
        <w:rPr>
          <w:rFonts w:ascii="Times New Roman" w:eastAsia="Times New Roman" w:hAnsi="Times New Roman" w:cs="Times New Roman"/>
          <w:sz w:val="24"/>
          <w:szCs w:val="24"/>
        </w:rPr>
        <w:t xml:space="preserve">also confirmed </w:t>
      </w:r>
      <w:r w:rsidR="00542596" w:rsidRPr="00BB2872">
        <w:rPr>
          <w:rFonts w:ascii="Times New Roman" w:eastAsia="Times New Roman" w:hAnsi="Times New Roman" w:cs="Times New Roman"/>
          <w:sz w:val="24"/>
          <w:szCs w:val="24"/>
        </w:rPr>
        <w:t xml:space="preserve">that </w:t>
      </w:r>
      <w:r w:rsidRPr="00BB2872">
        <w:rPr>
          <w:rFonts w:ascii="Times New Roman" w:eastAsia="Times New Roman" w:hAnsi="Times New Roman" w:cs="Times New Roman"/>
          <w:sz w:val="24"/>
          <w:szCs w:val="24"/>
        </w:rPr>
        <w:t xml:space="preserve">it will continue in its supporting programmes (ECB </w:t>
      </w:r>
      <w:r w:rsidR="006F36E8" w:rsidRPr="00BB2872">
        <w:rPr>
          <w:rFonts w:ascii="Times New Roman" w:eastAsia="Times New Roman" w:hAnsi="Times New Roman" w:cs="Times New Roman"/>
          <w:sz w:val="24"/>
          <w:szCs w:val="24"/>
        </w:rPr>
        <w:t>m</w:t>
      </w:r>
      <w:r w:rsidRPr="00BB2872">
        <w:rPr>
          <w:rFonts w:ascii="Times New Roman" w:eastAsia="Times New Roman" w:hAnsi="Times New Roman" w:cs="Times New Roman"/>
          <w:sz w:val="24"/>
          <w:szCs w:val="24"/>
        </w:rPr>
        <w:t xml:space="preserve">onetary policy decisions, 2021). However, the CNB expected a rise in main rates in the middle </w:t>
      </w:r>
      <w:r w:rsidRPr="00BB2872">
        <w:rPr>
          <w:rFonts w:ascii="Times New Roman" w:eastAsia="Times New Roman" w:hAnsi="Times New Roman" w:cs="Times New Roman"/>
          <w:sz w:val="24"/>
          <w:szCs w:val="24"/>
        </w:rPr>
        <w:lastRenderedPageBreak/>
        <w:t>of 2021</w:t>
      </w:r>
      <w:r w:rsidR="00150F67" w:rsidRPr="00BB2872">
        <w:rPr>
          <w:rFonts w:ascii="Times New Roman" w:eastAsia="Times New Roman" w:hAnsi="Times New Roman" w:cs="Times New Roman"/>
          <w:sz w:val="24"/>
          <w:szCs w:val="24"/>
        </w:rPr>
        <w:t>,</w:t>
      </w:r>
      <w:r w:rsidRPr="00BB2872">
        <w:rPr>
          <w:rFonts w:ascii="Times New Roman" w:eastAsia="Times New Roman" w:hAnsi="Times New Roman" w:cs="Times New Roman"/>
          <w:sz w:val="24"/>
          <w:szCs w:val="24"/>
        </w:rPr>
        <w:t xml:space="preserve"> when the previous need for </w:t>
      </w:r>
      <w:r w:rsidR="00150F67" w:rsidRPr="00BB2872">
        <w:rPr>
          <w:rFonts w:ascii="Times New Roman" w:eastAsia="Times New Roman" w:hAnsi="Times New Roman" w:cs="Times New Roman"/>
          <w:sz w:val="24"/>
          <w:szCs w:val="24"/>
        </w:rPr>
        <w:t xml:space="preserve">an </w:t>
      </w:r>
      <w:r w:rsidRPr="00BB2872">
        <w:rPr>
          <w:rFonts w:ascii="Times New Roman" w:eastAsia="Times New Roman" w:hAnsi="Times New Roman" w:cs="Times New Roman"/>
          <w:sz w:val="24"/>
          <w:szCs w:val="24"/>
        </w:rPr>
        <w:t>easy monetary policy was based on necessary responses to pandemic and government epidemic restrictions. Nevertheless, in August 2021</w:t>
      </w:r>
      <w:r w:rsidR="00150F67" w:rsidRPr="00BB2872">
        <w:rPr>
          <w:rFonts w:ascii="Times New Roman" w:eastAsia="Times New Roman" w:hAnsi="Times New Roman" w:cs="Times New Roman"/>
          <w:sz w:val="24"/>
          <w:szCs w:val="24"/>
        </w:rPr>
        <w:t>,</w:t>
      </w:r>
      <w:r w:rsidRPr="00BB2872">
        <w:rPr>
          <w:rFonts w:ascii="Times New Roman" w:eastAsia="Times New Roman" w:hAnsi="Times New Roman" w:cs="Times New Roman"/>
          <w:sz w:val="24"/>
          <w:szCs w:val="24"/>
        </w:rPr>
        <w:t xml:space="preserve"> </w:t>
      </w:r>
      <w:r w:rsidRPr="00BB2872">
        <w:rPr>
          <w:rFonts w:ascii="Times New Roman" w:eastAsia="Arial" w:hAnsi="Times New Roman" w:cs="Times New Roman"/>
          <w:sz w:val="24"/>
          <w:szCs w:val="24"/>
        </w:rPr>
        <w:t>the CNB’s Bank Board increased the two-week repo rate to 0.75%</w:t>
      </w:r>
      <w:r w:rsidR="00150F67" w:rsidRPr="00BB2872">
        <w:rPr>
          <w:rFonts w:ascii="Times New Roman" w:eastAsia="Arial" w:hAnsi="Times New Roman" w:cs="Times New Roman"/>
          <w:sz w:val="24"/>
          <w:szCs w:val="24"/>
        </w:rPr>
        <w:t>,</w:t>
      </w:r>
      <w:r w:rsidRPr="00BB2872">
        <w:rPr>
          <w:rFonts w:ascii="Times New Roman" w:eastAsia="Arial" w:hAnsi="Times New Roman" w:cs="Times New Roman"/>
          <w:sz w:val="24"/>
          <w:szCs w:val="24"/>
        </w:rPr>
        <w:t xml:space="preserve"> expecting the growth in the official rate </w:t>
      </w:r>
      <w:r w:rsidR="00150F67" w:rsidRPr="00BB2872">
        <w:rPr>
          <w:rFonts w:ascii="Times New Roman" w:eastAsia="Arial" w:hAnsi="Times New Roman" w:cs="Times New Roman"/>
          <w:sz w:val="24"/>
          <w:szCs w:val="24"/>
        </w:rPr>
        <w:t xml:space="preserve">to </w:t>
      </w:r>
      <w:r w:rsidRPr="00BB2872">
        <w:rPr>
          <w:rFonts w:ascii="Times New Roman" w:eastAsia="Arial" w:hAnsi="Times New Roman" w:cs="Times New Roman"/>
          <w:sz w:val="24"/>
          <w:szCs w:val="24"/>
        </w:rPr>
        <w:t xml:space="preserve">cause inflation to fall close to the official target over the period </w:t>
      </w:r>
      <w:r w:rsidR="00150F67" w:rsidRPr="00BB2872">
        <w:rPr>
          <w:rFonts w:ascii="Times New Roman" w:eastAsia="Arial" w:hAnsi="Times New Roman" w:cs="Times New Roman"/>
          <w:sz w:val="24"/>
          <w:szCs w:val="24"/>
        </w:rPr>
        <w:t>to</w:t>
      </w:r>
      <w:r w:rsidRPr="00BB2872">
        <w:rPr>
          <w:rFonts w:ascii="Times New Roman" w:eastAsia="Arial" w:hAnsi="Times New Roman" w:cs="Times New Roman"/>
          <w:sz w:val="24"/>
          <w:szCs w:val="24"/>
        </w:rPr>
        <w:t xml:space="preserve"> the end </w:t>
      </w:r>
      <w:r w:rsidR="00150F67" w:rsidRPr="00BB2872">
        <w:rPr>
          <w:rFonts w:ascii="Times New Roman" w:eastAsia="Arial" w:hAnsi="Times New Roman" w:cs="Times New Roman"/>
          <w:sz w:val="24"/>
          <w:szCs w:val="24"/>
        </w:rPr>
        <w:t xml:space="preserve">of </w:t>
      </w:r>
      <w:r w:rsidRPr="00BB2872">
        <w:rPr>
          <w:rFonts w:ascii="Times New Roman" w:eastAsia="Arial" w:hAnsi="Times New Roman" w:cs="Times New Roman"/>
          <w:sz w:val="24"/>
          <w:szCs w:val="24"/>
        </w:rPr>
        <w:t xml:space="preserve">2022. This decision was based on </w:t>
      </w:r>
      <w:r w:rsidR="001D2718" w:rsidRPr="00BB2872">
        <w:rPr>
          <w:rFonts w:ascii="Times New Roman" w:eastAsia="Arial" w:hAnsi="Times New Roman" w:cs="Times New Roman"/>
          <w:sz w:val="24"/>
          <w:szCs w:val="24"/>
        </w:rPr>
        <w:t xml:space="preserve">a </w:t>
      </w:r>
      <w:r w:rsidRPr="00BB2872">
        <w:rPr>
          <w:rFonts w:ascii="Times New Roman" w:eastAsia="Arial" w:hAnsi="Times New Roman" w:cs="Times New Roman"/>
          <w:sz w:val="24"/>
          <w:szCs w:val="24"/>
        </w:rPr>
        <w:t xml:space="preserve">new macroeconomic forecast </w:t>
      </w:r>
      <w:r w:rsidR="001D2718" w:rsidRPr="00BB2872">
        <w:rPr>
          <w:rFonts w:ascii="Times New Roman" w:eastAsia="Arial" w:hAnsi="Times New Roman" w:cs="Times New Roman"/>
          <w:sz w:val="24"/>
          <w:szCs w:val="24"/>
        </w:rPr>
        <w:t>that expected</w:t>
      </w:r>
      <w:r w:rsidRPr="00BB2872">
        <w:rPr>
          <w:rFonts w:ascii="Times New Roman" w:eastAsia="Arial" w:hAnsi="Times New Roman" w:cs="Times New Roman"/>
          <w:sz w:val="24"/>
          <w:szCs w:val="24"/>
        </w:rPr>
        <w:t xml:space="preserve"> inflation to rise well above the upper boundary of the tolerance band</w:t>
      </w:r>
      <w:r w:rsidR="001D2718" w:rsidRPr="00BB2872">
        <w:rPr>
          <w:rFonts w:ascii="Times New Roman" w:eastAsia="Arial" w:hAnsi="Times New Roman" w:cs="Times New Roman"/>
          <w:sz w:val="24"/>
          <w:szCs w:val="24"/>
        </w:rPr>
        <w:t>,</w:t>
      </w:r>
      <w:r w:rsidRPr="00BB2872">
        <w:rPr>
          <w:rFonts w:ascii="Times New Roman" w:eastAsia="Arial" w:hAnsi="Times New Roman" w:cs="Times New Roman"/>
          <w:sz w:val="24"/>
          <w:szCs w:val="24"/>
        </w:rPr>
        <w:t xml:space="preserve"> driven by stronger inflation pressures from the domestic and foreign economies </w:t>
      </w:r>
      <w:r w:rsidRPr="00BB2872">
        <w:rPr>
          <w:rFonts w:ascii="Times New Roman" w:eastAsia="Times New Roman" w:hAnsi="Times New Roman" w:cs="Times New Roman"/>
          <w:sz w:val="24"/>
          <w:szCs w:val="24"/>
        </w:rPr>
        <w:t>(Monetary Policy Report, 2021). Based on our findings</w:t>
      </w:r>
      <w:r w:rsidR="001D2718" w:rsidRPr="00BB2872">
        <w:rPr>
          <w:rFonts w:ascii="Times New Roman" w:eastAsia="Times New Roman" w:hAnsi="Times New Roman" w:cs="Times New Roman"/>
          <w:sz w:val="24"/>
          <w:szCs w:val="24"/>
        </w:rPr>
        <w:t>,</w:t>
      </w:r>
      <w:r w:rsidRPr="00BB2872">
        <w:rPr>
          <w:rFonts w:ascii="Times New Roman" w:eastAsia="Times New Roman" w:hAnsi="Times New Roman" w:cs="Times New Roman"/>
          <w:sz w:val="24"/>
          <w:szCs w:val="24"/>
        </w:rPr>
        <w:t xml:space="preserve"> we </w:t>
      </w:r>
      <w:r w:rsidR="001D2718" w:rsidRPr="00BB2872">
        <w:rPr>
          <w:rFonts w:ascii="Times New Roman" w:eastAsia="Times New Roman" w:hAnsi="Times New Roman" w:cs="Times New Roman"/>
          <w:sz w:val="24"/>
          <w:szCs w:val="24"/>
        </w:rPr>
        <w:t xml:space="preserve">might </w:t>
      </w:r>
      <w:r w:rsidRPr="00BB2872">
        <w:rPr>
          <w:rFonts w:ascii="Times New Roman" w:eastAsia="Times New Roman" w:hAnsi="Times New Roman" w:cs="Times New Roman"/>
          <w:sz w:val="24"/>
          <w:szCs w:val="24"/>
        </w:rPr>
        <w:t xml:space="preserve">expect </w:t>
      </w:r>
      <w:r w:rsidR="001D2718" w:rsidRPr="00BB2872">
        <w:rPr>
          <w:rFonts w:ascii="Times New Roman" w:eastAsia="Times New Roman" w:hAnsi="Times New Roman" w:cs="Times New Roman"/>
          <w:sz w:val="24"/>
          <w:szCs w:val="24"/>
        </w:rPr>
        <w:t xml:space="preserve">a </w:t>
      </w:r>
      <w:r w:rsidRPr="00BB2872">
        <w:rPr>
          <w:rFonts w:ascii="Times New Roman" w:eastAsia="Times New Roman" w:hAnsi="Times New Roman" w:cs="Times New Roman"/>
          <w:sz w:val="24"/>
          <w:szCs w:val="24"/>
        </w:rPr>
        <w:t xml:space="preserve">reaction in the money market rate </w:t>
      </w:r>
      <w:r w:rsidR="001D2718" w:rsidRPr="00BB2872">
        <w:rPr>
          <w:rFonts w:ascii="Times New Roman" w:eastAsia="Times New Roman" w:hAnsi="Times New Roman" w:cs="Times New Roman"/>
          <w:sz w:val="24"/>
          <w:szCs w:val="24"/>
        </w:rPr>
        <w:t>because</w:t>
      </w:r>
      <w:r w:rsidRPr="00BB2872">
        <w:rPr>
          <w:rFonts w:ascii="Times New Roman" w:eastAsia="Times New Roman" w:hAnsi="Times New Roman" w:cs="Times New Roman"/>
          <w:sz w:val="24"/>
          <w:szCs w:val="24"/>
        </w:rPr>
        <w:t xml:space="preserve"> our findings suggest </w:t>
      </w:r>
      <w:r w:rsidR="001D2718" w:rsidRPr="00BB2872">
        <w:rPr>
          <w:rFonts w:ascii="Times New Roman" w:eastAsia="Times New Roman" w:hAnsi="Times New Roman" w:cs="Times New Roman"/>
          <w:sz w:val="24"/>
          <w:szCs w:val="24"/>
        </w:rPr>
        <w:t xml:space="preserve">greater </w:t>
      </w:r>
      <w:r w:rsidRPr="00BB2872">
        <w:rPr>
          <w:rFonts w:ascii="Times New Roman" w:eastAsia="Times New Roman" w:hAnsi="Times New Roman" w:cs="Times New Roman"/>
          <w:sz w:val="24"/>
          <w:szCs w:val="24"/>
        </w:rPr>
        <w:t>responses in periods of monetary policy tightening.</w:t>
      </w:r>
    </w:p>
    <w:p w14:paraId="00000061" w14:textId="29BAE144" w:rsidR="00345220" w:rsidRPr="00BB2872" w:rsidRDefault="00D45E73">
      <w:pPr>
        <w:spacing w:before="240" w:after="240" w:line="480" w:lineRule="auto"/>
        <w:ind w:firstLine="720"/>
        <w:jc w:val="both"/>
        <w:rPr>
          <w:rFonts w:ascii="Times New Roman" w:eastAsia="Times New Roman" w:hAnsi="Times New Roman" w:cs="Times New Roman"/>
          <w:sz w:val="24"/>
          <w:szCs w:val="24"/>
        </w:rPr>
      </w:pPr>
      <w:r w:rsidRPr="00BB2872">
        <w:rPr>
          <w:rFonts w:ascii="Times New Roman" w:eastAsia="Times New Roman" w:hAnsi="Times New Roman" w:cs="Times New Roman"/>
          <w:sz w:val="24"/>
          <w:szCs w:val="24"/>
        </w:rPr>
        <w:t>The C</w:t>
      </w:r>
      <w:r w:rsidR="001D2718" w:rsidRPr="00BB2872">
        <w:rPr>
          <w:rFonts w:ascii="Times New Roman" w:eastAsia="Times New Roman" w:hAnsi="Times New Roman" w:cs="Times New Roman"/>
          <w:sz w:val="24"/>
          <w:szCs w:val="24"/>
        </w:rPr>
        <w:t>OVID-</w:t>
      </w:r>
      <w:r w:rsidRPr="00BB2872">
        <w:rPr>
          <w:rFonts w:ascii="Times New Roman" w:eastAsia="Times New Roman" w:hAnsi="Times New Roman" w:cs="Times New Roman"/>
          <w:sz w:val="24"/>
          <w:szCs w:val="24"/>
        </w:rPr>
        <w:t xml:space="preserve">19 pandemic </w:t>
      </w:r>
      <w:r w:rsidR="001D2718" w:rsidRPr="00BB2872">
        <w:rPr>
          <w:rFonts w:ascii="Times New Roman" w:eastAsia="Times New Roman" w:hAnsi="Times New Roman" w:cs="Times New Roman"/>
          <w:sz w:val="24"/>
          <w:szCs w:val="24"/>
        </w:rPr>
        <w:t xml:space="preserve">has </w:t>
      </w:r>
      <w:r w:rsidRPr="00BB2872">
        <w:rPr>
          <w:rFonts w:ascii="Times New Roman" w:eastAsia="Times New Roman" w:hAnsi="Times New Roman" w:cs="Times New Roman"/>
          <w:sz w:val="24"/>
          <w:szCs w:val="24"/>
        </w:rPr>
        <w:t xml:space="preserve">caused a sharp </w:t>
      </w:r>
      <w:r w:rsidR="001D2718" w:rsidRPr="00BB2872">
        <w:rPr>
          <w:rFonts w:ascii="Times New Roman" w:eastAsia="Times New Roman" w:hAnsi="Times New Roman" w:cs="Times New Roman"/>
          <w:sz w:val="24"/>
          <w:szCs w:val="24"/>
        </w:rPr>
        <w:t xml:space="preserve">decline </w:t>
      </w:r>
      <w:r w:rsidRPr="00BB2872">
        <w:rPr>
          <w:rFonts w:ascii="Times New Roman" w:eastAsia="Times New Roman" w:hAnsi="Times New Roman" w:cs="Times New Roman"/>
          <w:sz w:val="24"/>
          <w:szCs w:val="24"/>
        </w:rPr>
        <w:t>in economic activity. The part</w:t>
      </w:r>
      <w:r w:rsidR="0099527C" w:rsidRPr="00BB2872">
        <w:rPr>
          <w:rFonts w:ascii="Times New Roman" w:eastAsia="Times New Roman" w:hAnsi="Times New Roman" w:cs="Times New Roman"/>
          <w:sz w:val="24"/>
          <w:szCs w:val="24"/>
        </w:rPr>
        <w:t>ial</w:t>
      </w:r>
      <w:r w:rsidRPr="00BB2872">
        <w:rPr>
          <w:rFonts w:ascii="Times New Roman" w:eastAsia="Times New Roman" w:hAnsi="Times New Roman" w:cs="Times New Roman"/>
          <w:sz w:val="24"/>
          <w:szCs w:val="24"/>
        </w:rPr>
        <w:t xml:space="preserve"> improvement at the end of 2020 was caused </w:t>
      </w:r>
      <w:r w:rsidR="0099527C" w:rsidRPr="00BB2872">
        <w:rPr>
          <w:rFonts w:ascii="Times New Roman" w:eastAsia="Times New Roman" w:hAnsi="Times New Roman" w:cs="Times New Roman"/>
          <w:sz w:val="24"/>
          <w:szCs w:val="24"/>
        </w:rPr>
        <w:t>by a</w:t>
      </w:r>
      <w:r w:rsidRPr="00BB2872">
        <w:rPr>
          <w:rFonts w:ascii="Times New Roman" w:eastAsia="Times New Roman" w:hAnsi="Times New Roman" w:cs="Times New Roman"/>
          <w:sz w:val="24"/>
          <w:szCs w:val="24"/>
        </w:rPr>
        <w:t xml:space="preserve"> contribution </w:t>
      </w:r>
      <w:r w:rsidR="0099527C" w:rsidRPr="00BB2872">
        <w:rPr>
          <w:rFonts w:ascii="Times New Roman" w:eastAsia="Times New Roman" w:hAnsi="Times New Roman" w:cs="Times New Roman"/>
          <w:sz w:val="24"/>
          <w:szCs w:val="24"/>
        </w:rPr>
        <w:t>from</w:t>
      </w:r>
      <w:r w:rsidRPr="00BB2872">
        <w:rPr>
          <w:rFonts w:ascii="Times New Roman" w:eastAsia="Times New Roman" w:hAnsi="Times New Roman" w:cs="Times New Roman"/>
          <w:sz w:val="24"/>
          <w:szCs w:val="24"/>
        </w:rPr>
        <w:t xml:space="preserve"> the previous large-scale monetary and fiscal easing. </w:t>
      </w:r>
      <w:r w:rsidR="0099527C" w:rsidRPr="00BB2872">
        <w:rPr>
          <w:rFonts w:ascii="Times New Roman" w:eastAsia="Times New Roman" w:hAnsi="Times New Roman" w:cs="Times New Roman"/>
          <w:sz w:val="24"/>
          <w:szCs w:val="24"/>
        </w:rPr>
        <w:t>E</w:t>
      </w:r>
      <w:r w:rsidRPr="00BB2872">
        <w:rPr>
          <w:rFonts w:ascii="Times New Roman" w:eastAsia="Times New Roman" w:hAnsi="Times New Roman" w:cs="Times New Roman"/>
          <w:sz w:val="24"/>
          <w:szCs w:val="24"/>
        </w:rPr>
        <w:t xml:space="preserve">conomic activity </w:t>
      </w:r>
      <w:r w:rsidR="0099527C" w:rsidRPr="00BB2872">
        <w:rPr>
          <w:rFonts w:ascii="Times New Roman" w:eastAsia="Times New Roman" w:hAnsi="Times New Roman" w:cs="Times New Roman"/>
          <w:sz w:val="24"/>
          <w:szCs w:val="24"/>
        </w:rPr>
        <w:t xml:space="preserve">in the V4 countries did </w:t>
      </w:r>
      <w:r w:rsidRPr="00BB2872">
        <w:rPr>
          <w:rFonts w:ascii="Times New Roman" w:eastAsia="Times New Roman" w:hAnsi="Times New Roman" w:cs="Times New Roman"/>
          <w:sz w:val="24"/>
          <w:szCs w:val="24"/>
        </w:rPr>
        <w:t xml:space="preserve">not </w:t>
      </w:r>
      <w:r w:rsidR="00887636" w:rsidRPr="00BB2872">
        <w:rPr>
          <w:rFonts w:ascii="Times New Roman" w:eastAsia="Times New Roman" w:hAnsi="Times New Roman" w:cs="Times New Roman"/>
          <w:sz w:val="24"/>
          <w:szCs w:val="24"/>
        </w:rPr>
        <w:t>reach</w:t>
      </w:r>
      <w:r w:rsidRPr="00BB2872">
        <w:rPr>
          <w:rFonts w:ascii="Times New Roman" w:eastAsia="Times New Roman" w:hAnsi="Times New Roman" w:cs="Times New Roman"/>
          <w:sz w:val="24"/>
          <w:szCs w:val="24"/>
        </w:rPr>
        <w:t xml:space="preserve"> pre</w:t>
      </w:r>
      <w:r w:rsidR="0099527C" w:rsidRPr="00BB2872">
        <w:rPr>
          <w:rFonts w:ascii="Times New Roman" w:eastAsia="Times New Roman" w:hAnsi="Times New Roman" w:cs="Times New Roman"/>
          <w:sz w:val="24"/>
          <w:szCs w:val="24"/>
        </w:rPr>
        <w:t>-</w:t>
      </w:r>
      <w:r w:rsidRPr="00BB2872">
        <w:rPr>
          <w:rFonts w:ascii="Times New Roman" w:eastAsia="Times New Roman" w:hAnsi="Times New Roman" w:cs="Times New Roman"/>
          <w:sz w:val="24"/>
          <w:szCs w:val="24"/>
        </w:rPr>
        <w:t>C</w:t>
      </w:r>
      <w:r w:rsidR="0099527C" w:rsidRPr="00BB2872">
        <w:rPr>
          <w:rFonts w:ascii="Times New Roman" w:eastAsia="Times New Roman" w:hAnsi="Times New Roman" w:cs="Times New Roman"/>
          <w:sz w:val="24"/>
          <w:szCs w:val="24"/>
        </w:rPr>
        <w:t>OVID-</w:t>
      </w:r>
      <w:r w:rsidRPr="00BB2872">
        <w:rPr>
          <w:rFonts w:ascii="Times New Roman" w:eastAsia="Times New Roman" w:hAnsi="Times New Roman" w:cs="Times New Roman"/>
          <w:sz w:val="24"/>
          <w:szCs w:val="24"/>
        </w:rPr>
        <w:t>19 level</w:t>
      </w:r>
      <w:r w:rsidR="0099527C" w:rsidRPr="00BB2872">
        <w:rPr>
          <w:rFonts w:ascii="Times New Roman" w:eastAsia="Times New Roman" w:hAnsi="Times New Roman" w:cs="Times New Roman"/>
          <w:sz w:val="24"/>
          <w:szCs w:val="24"/>
        </w:rPr>
        <w:t>s</w:t>
      </w:r>
      <w:r w:rsidRPr="00BB2872">
        <w:rPr>
          <w:rFonts w:ascii="Times New Roman" w:eastAsia="Times New Roman" w:hAnsi="Times New Roman" w:cs="Times New Roman"/>
          <w:sz w:val="24"/>
          <w:szCs w:val="24"/>
        </w:rPr>
        <w:t xml:space="preserve"> in 2020. Inflation in the </w:t>
      </w:r>
      <w:r w:rsidR="00123ACB" w:rsidRPr="00BB2872">
        <w:rPr>
          <w:rFonts w:ascii="Times New Roman" w:eastAsia="Times New Roman" w:hAnsi="Times New Roman" w:cs="Times New Roman"/>
          <w:sz w:val="24"/>
          <w:szCs w:val="24"/>
        </w:rPr>
        <w:t>Czech Republic</w:t>
      </w:r>
      <w:r w:rsidRPr="00BB2872">
        <w:rPr>
          <w:rFonts w:ascii="Times New Roman" w:eastAsia="Times New Roman" w:hAnsi="Times New Roman" w:cs="Times New Roman"/>
          <w:sz w:val="24"/>
          <w:szCs w:val="24"/>
        </w:rPr>
        <w:t xml:space="preserve"> was 3.3%</w:t>
      </w:r>
      <w:r w:rsidR="0099527C" w:rsidRPr="00BB2872">
        <w:rPr>
          <w:rFonts w:ascii="Times New Roman" w:eastAsia="Times New Roman" w:hAnsi="Times New Roman" w:cs="Times New Roman"/>
          <w:sz w:val="24"/>
          <w:szCs w:val="24"/>
        </w:rPr>
        <w:t>,</w:t>
      </w:r>
      <w:r w:rsidRPr="00BB2872">
        <w:rPr>
          <w:rFonts w:ascii="Times New Roman" w:eastAsia="Times New Roman" w:hAnsi="Times New Roman" w:cs="Times New Roman"/>
          <w:sz w:val="24"/>
          <w:szCs w:val="24"/>
        </w:rPr>
        <w:t xml:space="preserve"> significantly above the inflation target in 2020</w:t>
      </w:r>
      <w:r w:rsidR="0099527C" w:rsidRPr="00BB2872">
        <w:rPr>
          <w:rFonts w:ascii="Times New Roman" w:eastAsia="Times New Roman" w:hAnsi="Times New Roman" w:cs="Times New Roman"/>
          <w:sz w:val="24"/>
          <w:szCs w:val="24"/>
        </w:rPr>
        <w:t>,</w:t>
      </w:r>
      <w:r w:rsidRPr="00BB2872">
        <w:rPr>
          <w:rFonts w:ascii="Times New Roman" w:eastAsia="Times New Roman" w:hAnsi="Times New Roman" w:cs="Times New Roman"/>
          <w:sz w:val="24"/>
          <w:szCs w:val="24"/>
        </w:rPr>
        <w:t xml:space="preserve"> mostly because of </w:t>
      </w:r>
      <w:r w:rsidR="0099527C" w:rsidRPr="00BB2872">
        <w:rPr>
          <w:rFonts w:ascii="Times New Roman" w:eastAsia="Times New Roman" w:hAnsi="Times New Roman" w:cs="Times New Roman"/>
          <w:sz w:val="24"/>
          <w:szCs w:val="24"/>
        </w:rPr>
        <w:t xml:space="preserve">a </w:t>
      </w:r>
      <w:r w:rsidRPr="00BB2872">
        <w:rPr>
          <w:rFonts w:ascii="Times New Roman" w:eastAsia="Times New Roman" w:hAnsi="Times New Roman" w:cs="Times New Roman"/>
          <w:sz w:val="24"/>
          <w:szCs w:val="24"/>
        </w:rPr>
        <w:t>very high level of heading inflation (CNB Inflation Report IV/2020, 2020). The C</w:t>
      </w:r>
      <w:r w:rsidR="0099527C" w:rsidRPr="00BB2872">
        <w:rPr>
          <w:rFonts w:ascii="Times New Roman" w:eastAsia="Times New Roman" w:hAnsi="Times New Roman" w:cs="Times New Roman"/>
          <w:sz w:val="24"/>
          <w:szCs w:val="24"/>
        </w:rPr>
        <w:t>OVID</w:t>
      </w:r>
      <w:r w:rsidRPr="00BB2872">
        <w:rPr>
          <w:rFonts w:ascii="Times New Roman" w:eastAsia="Times New Roman" w:hAnsi="Times New Roman" w:cs="Times New Roman"/>
          <w:sz w:val="24"/>
          <w:szCs w:val="24"/>
        </w:rPr>
        <w:t xml:space="preserve">-19 pandemic </w:t>
      </w:r>
      <w:r w:rsidR="0099527C" w:rsidRPr="00BB2872">
        <w:rPr>
          <w:rFonts w:ascii="Times New Roman" w:eastAsia="Times New Roman" w:hAnsi="Times New Roman" w:cs="Times New Roman"/>
          <w:sz w:val="24"/>
          <w:szCs w:val="24"/>
        </w:rPr>
        <w:t xml:space="preserve">brought </w:t>
      </w:r>
      <w:r w:rsidRPr="00BB2872">
        <w:rPr>
          <w:rFonts w:ascii="Times New Roman" w:eastAsia="Times New Roman" w:hAnsi="Times New Roman" w:cs="Times New Roman"/>
          <w:sz w:val="24"/>
          <w:szCs w:val="24"/>
        </w:rPr>
        <w:t>economic challenges, including a challenge to monetary authorities in the future.</w:t>
      </w:r>
    </w:p>
    <w:p w14:paraId="4971E977" w14:textId="77777777" w:rsidR="00345220" w:rsidRPr="00BB2872" w:rsidRDefault="00D45E73">
      <w:pPr>
        <w:spacing w:after="0" w:line="480" w:lineRule="auto"/>
        <w:ind w:firstLine="720"/>
        <w:rPr>
          <w:rFonts w:ascii="Times New Roman" w:eastAsia="Times New Roman" w:hAnsi="Times New Roman" w:cs="Times New Roman"/>
          <w:sz w:val="24"/>
          <w:szCs w:val="24"/>
        </w:rPr>
      </w:pPr>
      <w:r w:rsidRPr="00BB2872">
        <w:rPr>
          <w:rFonts w:ascii="Times New Roman" w:eastAsia="Times New Roman" w:hAnsi="Times New Roman" w:cs="Times New Roman"/>
          <w:sz w:val="24"/>
          <w:szCs w:val="24"/>
        </w:rPr>
        <w:t xml:space="preserve">Future research </w:t>
      </w:r>
      <w:r w:rsidR="00261B4A" w:rsidRPr="00BB2872">
        <w:rPr>
          <w:rFonts w:ascii="Times New Roman" w:eastAsia="Times New Roman" w:hAnsi="Times New Roman" w:cs="Times New Roman"/>
          <w:sz w:val="24"/>
          <w:szCs w:val="24"/>
        </w:rPr>
        <w:t>should</w:t>
      </w:r>
      <w:r w:rsidRPr="00BB2872">
        <w:rPr>
          <w:rFonts w:ascii="Times New Roman" w:eastAsia="Times New Roman" w:hAnsi="Times New Roman" w:cs="Times New Roman"/>
          <w:sz w:val="24"/>
          <w:szCs w:val="24"/>
        </w:rPr>
        <w:t xml:space="preserve"> be </w:t>
      </w:r>
      <w:r w:rsidR="00261B4A" w:rsidRPr="00BB2872">
        <w:rPr>
          <w:rFonts w:ascii="Times New Roman" w:eastAsia="Times New Roman" w:hAnsi="Times New Roman" w:cs="Times New Roman"/>
          <w:sz w:val="24"/>
          <w:szCs w:val="24"/>
        </w:rPr>
        <w:t xml:space="preserve">directed </w:t>
      </w:r>
      <w:r w:rsidRPr="00BB2872">
        <w:rPr>
          <w:rFonts w:ascii="Times New Roman" w:eastAsia="Times New Roman" w:hAnsi="Times New Roman" w:cs="Times New Roman"/>
          <w:sz w:val="24"/>
          <w:szCs w:val="24"/>
        </w:rPr>
        <w:t>to</w:t>
      </w:r>
      <w:r w:rsidR="00261B4A" w:rsidRPr="00BB2872">
        <w:rPr>
          <w:rFonts w:ascii="Times New Roman" w:eastAsia="Times New Roman" w:hAnsi="Times New Roman" w:cs="Times New Roman"/>
          <w:sz w:val="24"/>
          <w:szCs w:val="24"/>
        </w:rPr>
        <w:t>wards</w:t>
      </w:r>
      <w:r w:rsidRPr="00BB2872">
        <w:rPr>
          <w:rFonts w:ascii="Times New Roman" w:eastAsia="Times New Roman" w:hAnsi="Times New Roman" w:cs="Times New Roman"/>
          <w:sz w:val="24"/>
          <w:szCs w:val="24"/>
        </w:rPr>
        <w:t xml:space="preserve"> the factors that were not usual prior to both </w:t>
      </w:r>
      <w:r w:rsidR="00261B4A" w:rsidRPr="00BB2872">
        <w:rPr>
          <w:rFonts w:ascii="Times New Roman" w:eastAsia="Times New Roman" w:hAnsi="Times New Roman" w:cs="Times New Roman"/>
          <w:sz w:val="24"/>
          <w:szCs w:val="24"/>
        </w:rPr>
        <w:t xml:space="preserve">economic </w:t>
      </w:r>
      <w:r w:rsidRPr="00BB2872">
        <w:rPr>
          <w:rFonts w:ascii="Times New Roman" w:eastAsia="Times New Roman" w:hAnsi="Times New Roman" w:cs="Times New Roman"/>
          <w:sz w:val="24"/>
          <w:szCs w:val="24"/>
        </w:rPr>
        <w:t>crises, such as business confidence, which was found to be of increas</w:t>
      </w:r>
      <w:r w:rsidR="00261B4A" w:rsidRPr="00BB2872">
        <w:rPr>
          <w:rFonts w:ascii="Times New Roman" w:eastAsia="Times New Roman" w:hAnsi="Times New Roman" w:cs="Times New Roman"/>
          <w:sz w:val="24"/>
          <w:szCs w:val="24"/>
        </w:rPr>
        <w:t>ed</w:t>
      </w:r>
      <w:r w:rsidRPr="00BB2872">
        <w:rPr>
          <w:rFonts w:ascii="Times New Roman" w:eastAsia="Times New Roman" w:hAnsi="Times New Roman" w:cs="Times New Roman"/>
          <w:sz w:val="24"/>
          <w:szCs w:val="24"/>
        </w:rPr>
        <w:t xml:space="preserve"> importance for </w:t>
      </w:r>
      <w:r w:rsidR="00261B4A" w:rsidRPr="00BB2872">
        <w:rPr>
          <w:rFonts w:ascii="Times New Roman" w:eastAsia="Times New Roman" w:hAnsi="Times New Roman" w:cs="Times New Roman"/>
          <w:sz w:val="24"/>
          <w:szCs w:val="24"/>
        </w:rPr>
        <w:t xml:space="preserve">the </w:t>
      </w:r>
      <w:r w:rsidRPr="00BB2872">
        <w:rPr>
          <w:rFonts w:ascii="Times New Roman" w:eastAsia="Times New Roman" w:hAnsi="Times New Roman" w:cs="Times New Roman"/>
          <w:sz w:val="24"/>
          <w:szCs w:val="24"/>
        </w:rPr>
        <w:t xml:space="preserve">market segment </w:t>
      </w:r>
      <w:r w:rsidR="00261B4A" w:rsidRPr="00BB2872">
        <w:rPr>
          <w:rFonts w:ascii="Times New Roman" w:eastAsia="Times New Roman" w:hAnsi="Times New Roman" w:cs="Times New Roman"/>
          <w:sz w:val="24"/>
          <w:szCs w:val="24"/>
        </w:rPr>
        <w:t>involving</w:t>
      </w:r>
      <w:r w:rsidRPr="00BB2872">
        <w:rPr>
          <w:rFonts w:ascii="Times New Roman" w:eastAsia="Times New Roman" w:hAnsi="Times New Roman" w:cs="Times New Roman"/>
          <w:sz w:val="24"/>
          <w:szCs w:val="24"/>
        </w:rPr>
        <w:t xml:space="preserve"> loans </w:t>
      </w:r>
      <w:r w:rsidR="00261B4A" w:rsidRPr="00BB2872">
        <w:rPr>
          <w:rFonts w:ascii="Times New Roman" w:eastAsia="Times New Roman" w:hAnsi="Times New Roman" w:cs="Times New Roman"/>
          <w:sz w:val="24"/>
          <w:szCs w:val="24"/>
        </w:rPr>
        <w:t xml:space="preserve">of </w:t>
      </w:r>
      <w:r w:rsidRPr="00BB2872">
        <w:rPr>
          <w:rFonts w:ascii="Times New Roman" w:eastAsia="Times New Roman" w:hAnsi="Times New Roman" w:cs="Times New Roman"/>
          <w:sz w:val="24"/>
          <w:szCs w:val="24"/>
        </w:rPr>
        <w:t>up to 30 mil</w:t>
      </w:r>
      <w:r w:rsidR="00261B4A" w:rsidRPr="00BB2872">
        <w:rPr>
          <w:rFonts w:ascii="Times New Roman" w:eastAsia="Times New Roman" w:hAnsi="Times New Roman" w:cs="Times New Roman"/>
          <w:sz w:val="24"/>
          <w:szCs w:val="24"/>
        </w:rPr>
        <w:t>lion</w:t>
      </w:r>
      <w:r w:rsidRPr="00BB2872">
        <w:rPr>
          <w:rFonts w:ascii="Times New Roman" w:eastAsia="Times New Roman" w:hAnsi="Times New Roman" w:cs="Times New Roman"/>
          <w:sz w:val="24"/>
          <w:szCs w:val="24"/>
        </w:rPr>
        <w:t xml:space="preserve"> CZK. It </w:t>
      </w:r>
      <w:r w:rsidR="00261B4A" w:rsidRPr="00BB2872">
        <w:rPr>
          <w:rFonts w:ascii="Times New Roman" w:eastAsia="Times New Roman" w:hAnsi="Times New Roman" w:cs="Times New Roman"/>
          <w:sz w:val="24"/>
          <w:szCs w:val="24"/>
        </w:rPr>
        <w:t xml:space="preserve">may </w:t>
      </w:r>
      <w:r w:rsidRPr="00BB2872">
        <w:rPr>
          <w:rFonts w:ascii="Times New Roman" w:eastAsia="Times New Roman" w:hAnsi="Times New Roman" w:cs="Times New Roman"/>
          <w:sz w:val="24"/>
          <w:szCs w:val="24"/>
        </w:rPr>
        <w:t>have important implications for future monetary policy framework</w:t>
      </w:r>
      <w:r w:rsidR="00261B4A" w:rsidRPr="00BB2872">
        <w:rPr>
          <w:rFonts w:ascii="Times New Roman" w:eastAsia="Times New Roman" w:hAnsi="Times New Roman" w:cs="Times New Roman"/>
          <w:sz w:val="24"/>
          <w:szCs w:val="24"/>
        </w:rPr>
        <w:t>s</w:t>
      </w:r>
      <w:r w:rsidRPr="00BB2872">
        <w:rPr>
          <w:rFonts w:ascii="Times New Roman" w:eastAsia="Times New Roman" w:hAnsi="Times New Roman" w:cs="Times New Roman"/>
          <w:sz w:val="24"/>
          <w:szCs w:val="24"/>
        </w:rPr>
        <w:t xml:space="preserve"> </w:t>
      </w:r>
      <w:r w:rsidR="00261B4A" w:rsidRPr="00BB2872">
        <w:rPr>
          <w:rFonts w:ascii="Times New Roman" w:eastAsia="Times New Roman" w:hAnsi="Times New Roman" w:cs="Times New Roman"/>
          <w:sz w:val="24"/>
          <w:szCs w:val="24"/>
        </w:rPr>
        <w:t xml:space="preserve">because </w:t>
      </w:r>
      <w:r w:rsidRPr="00BB2872">
        <w:rPr>
          <w:rFonts w:ascii="Times New Roman" w:eastAsia="Times New Roman" w:hAnsi="Times New Roman" w:cs="Times New Roman"/>
          <w:sz w:val="24"/>
          <w:szCs w:val="24"/>
        </w:rPr>
        <w:t>the role of this segment is crucial in the economy. Additionally, confidence seems to be an important feature</w:t>
      </w:r>
      <w:r w:rsidR="00261B4A" w:rsidRPr="00BB2872">
        <w:rPr>
          <w:rFonts w:ascii="Times New Roman" w:eastAsia="Times New Roman" w:hAnsi="Times New Roman" w:cs="Times New Roman"/>
          <w:sz w:val="24"/>
          <w:szCs w:val="24"/>
        </w:rPr>
        <w:t>,</w:t>
      </w:r>
      <w:r w:rsidRPr="00BB2872">
        <w:rPr>
          <w:rFonts w:ascii="Times New Roman" w:eastAsia="Times New Roman" w:hAnsi="Times New Roman" w:cs="Times New Roman"/>
          <w:sz w:val="24"/>
          <w:szCs w:val="24"/>
        </w:rPr>
        <w:t xml:space="preserve"> and we believe that it should be </w:t>
      </w:r>
      <w:r w:rsidR="00261B4A" w:rsidRPr="00BB2872">
        <w:rPr>
          <w:rFonts w:ascii="Times New Roman" w:eastAsia="Times New Roman" w:hAnsi="Times New Roman" w:cs="Times New Roman"/>
          <w:sz w:val="24"/>
          <w:szCs w:val="24"/>
        </w:rPr>
        <w:t>a focus of study because</w:t>
      </w:r>
      <w:r w:rsidRPr="00BB2872">
        <w:rPr>
          <w:rFonts w:ascii="Times New Roman" w:eastAsia="Times New Roman" w:hAnsi="Times New Roman" w:cs="Times New Roman"/>
          <w:sz w:val="24"/>
          <w:szCs w:val="24"/>
        </w:rPr>
        <w:t xml:space="preserve"> it could shed some light on pass-through functioning in a challenging environment.</w:t>
      </w:r>
    </w:p>
    <w:p w14:paraId="0349F8A5" w14:textId="77777777" w:rsidR="00466AD9" w:rsidRPr="00BB2872" w:rsidRDefault="00466AD9" w:rsidP="00466AD9">
      <w:pPr>
        <w:pStyle w:val="Nadpis1"/>
      </w:pPr>
      <w:r w:rsidRPr="00BB2872">
        <w:rPr>
          <w:szCs w:val="24"/>
        </w:rPr>
        <w:lastRenderedPageBreak/>
        <w:t>Acknowledgements</w:t>
      </w:r>
    </w:p>
    <w:p w14:paraId="0224C2D7" w14:textId="77777777" w:rsidR="009911CA" w:rsidRPr="00BB2872" w:rsidRDefault="009911CA" w:rsidP="009911CA">
      <w:pPr>
        <w:spacing w:line="480" w:lineRule="auto"/>
        <w:jc w:val="both"/>
        <w:rPr>
          <w:rFonts w:ascii="Times New Roman" w:eastAsia="Times New Roman" w:hAnsi="Times New Roman" w:cs="Times New Roman"/>
          <w:sz w:val="24"/>
          <w:szCs w:val="24"/>
        </w:rPr>
      </w:pPr>
      <w:r w:rsidRPr="00BB2872">
        <w:rPr>
          <w:rFonts w:ascii="Times New Roman" w:eastAsia="Times New Roman" w:hAnsi="Times New Roman" w:cs="Times New Roman"/>
          <w:sz w:val="24"/>
          <w:szCs w:val="24"/>
        </w:rPr>
        <w:t xml:space="preserve">The work was funded by the Czech Science Foundation via grant No. 19-22488S “Interactions between the financial sector and the real economy” and by the Masaryk University via grant </w:t>
      </w:r>
      <w:r w:rsidRPr="00BB2872">
        <w:rPr>
          <w:rFonts w:ascii="Times New Roman" w:eastAsia="Times New Roman" w:hAnsi="Times New Roman" w:cs="Times New Roman"/>
          <w:sz w:val="24"/>
          <w:szCs w:val="24"/>
          <w:highlight w:val="white"/>
        </w:rPr>
        <w:t>MUNI/A/1219/2020.</w:t>
      </w:r>
    </w:p>
    <w:p w14:paraId="3F1D8AE6" w14:textId="77777777" w:rsidR="00466AD9" w:rsidRPr="00BB2872" w:rsidRDefault="00466AD9" w:rsidP="00466AD9">
      <w:pPr>
        <w:pStyle w:val="Nadpis1"/>
      </w:pPr>
      <w:r w:rsidRPr="00BB2872">
        <w:rPr>
          <w:szCs w:val="24"/>
        </w:rPr>
        <w:t>Declaration of Interest Statement</w:t>
      </w:r>
    </w:p>
    <w:p w14:paraId="6B667557" w14:textId="77777777" w:rsidR="00466AD9" w:rsidRPr="00BB2872" w:rsidRDefault="00466AD9" w:rsidP="00466AD9">
      <w:pPr>
        <w:pStyle w:val="Normlnweb"/>
        <w:spacing w:before="240" w:beforeAutospacing="0" w:after="0" w:afterAutospacing="0" w:line="480" w:lineRule="auto"/>
      </w:pPr>
      <w:r w:rsidRPr="00BB2872">
        <w:t xml:space="preserve">No </w:t>
      </w:r>
      <w:proofErr w:type="spellStart"/>
      <w:r w:rsidRPr="00BB2872">
        <w:t>potential</w:t>
      </w:r>
      <w:proofErr w:type="spellEnd"/>
      <w:r w:rsidRPr="00BB2872">
        <w:t xml:space="preserve"> </w:t>
      </w:r>
      <w:proofErr w:type="spellStart"/>
      <w:r w:rsidRPr="00BB2872">
        <w:t>competing</w:t>
      </w:r>
      <w:proofErr w:type="spellEnd"/>
      <w:r w:rsidRPr="00BB2872">
        <w:t xml:space="preserve"> </w:t>
      </w:r>
      <w:proofErr w:type="spellStart"/>
      <w:r w:rsidRPr="00BB2872">
        <w:t>interest</w:t>
      </w:r>
      <w:proofErr w:type="spellEnd"/>
      <w:r w:rsidRPr="00BB2872">
        <w:t xml:space="preserve"> </w:t>
      </w:r>
      <w:proofErr w:type="spellStart"/>
      <w:r w:rsidRPr="00BB2872">
        <w:t>was</w:t>
      </w:r>
      <w:proofErr w:type="spellEnd"/>
      <w:r w:rsidRPr="00BB2872">
        <w:t xml:space="preserve"> </w:t>
      </w:r>
      <w:proofErr w:type="spellStart"/>
      <w:r w:rsidRPr="00BB2872">
        <w:t>reported</w:t>
      </w:r>
      <w:proofErr w:type="spellEnd"/>
      <w:r w:rsidRPr="00BB2872">
        <w:t xml:space="preserve"> by </w:t>
      </w:r>
      <w:proofErr w:type="spellStart"/>
      <w:r w:rsidRPr="00BB2872">
        <w:t>the</w:t>
      </w:r>
      <w:proofErr w:type="spellEnd"/>
      <w:r w:rsidRPr="00BB2872">
        <w:t xml:space="preserve"> </w:t>
      </w:r>
      <w:proofErr w:type="spellStart"/>
      <w:r w:rsidRPr="00BB2872">
        <w:t>authors</w:t>
      </w:r>
      <w:proofErr w:type="spellEnd"/>
      <w:r w:rsidRPr="00BB2872">
        <w:t>.</w:t>
      </w:r>
    </w:p>
    <w:p w14:paraId="54B07800" w14:textId="77777777" w:rsidR="00466AD9" w:rsidRPr="00BB2872" w:rsidRDefault="00466AD9" w:rsidP="00466AD9">
      <w:pPr>
        <w:pStyle w:val="Nadpis1"/>
      </w:pPr>
      <w:r w:rsidRPr="00BB2872">
        <w:rPr>
          <w:szCs w:val="24"/>
        </w:rPr>
        <w:t>References</w:t>
      </w:r>
    </w:p>
    <w:p w14:paraId="10F87956" w14:textId="77777777" w:rsidR="00466AD9" w:rsidRPr="00BB2872" w:rsidRDefault="00466AD9" w:rsidP="00466AD9">
      <w:pPr>
        <w:pStyle w:val="Normlnweb"/>
        <w:spacing w:before="120" w:beforeAutospacing="0" w:after="200" w:afterAutospacing="0"/>
        <w:jc w:val="both"/>
      </w:pPr>
      <w:proofErr w:type="spellStart"/>
      <w:r w:rsidRPr="00BB2872">
        <w:t>Afonso</w:t>
      </w:r>
      <w:proofErr w:type="spellEnd"/>
      <w:r w:rsidRPr="00BB2872">
        <w:t xml:space="preserve">, A. and L. </w:t>
      </w:r>
      <w:proofErr w:type="spellStart"/>
      <w:r w:rsidRPr="00BB2872">
        <w:t>Goncalves</w:t>
      </w:r>
      <w:proofErr w:type="spellEnd"/>
      <w:r w:rsidRPr="00BB2872">
        <w:t>. 2020. “</w:t>
      </w:r>
      <w:proofErr w:type="spellStart"/>
      <w:r w:rsidRPr="00BB2872">
        <w:t>The</w:t>
      </w:r>
      <w:proofErr w:type="spellEnd"/>
      <w:r w:rsidRPr="00BB2872">
        <w:t xml:space="preserve"> </w:t>
      </w:r>
      <w:proofErr w:type="spellStart"/>
      <w:r w:rsidRPr="00BB2872">
        <w:t>Policy</w:t>
      </w:r>
      <w:proofErr w:type="spellEnd"/>
      <w:r w:rsidRPr="00BB2872">
        <w:t xml:space="preserve"> Mix in </w:t>
      </w:r>
      <w:proofErr w:type="spellStart"/>
      <w:r w:rsidRPr="00BB2872">
        <w:t>the</w:t>
      </w:r>
      <w:proofErr w:type="spellEnd"/>
      <w:r w:rsidRPr="00BB2872">
        <w:t xml:space="preserve"> US and EMU: Evidence </w:t>
      </w:r>
      <w:proofErr w:type="spellStart"/>
      <w:r w:rsidRPr="00BB2872">
        <w:t>from</w:t>
      </w:r>
      <w:proofErr w:type="spellEnd"/>
      <w:r w:rsidRPr="00BB2872">
        <w:t xml:space="preserve"> a SVAR </w:t>
      </w:r>
      <w:proofErr w:type="spellStart"/>
      <w:r w:rsidRPr="00BB2872">
        <w:t>Analysis</w:t>
      </w:r>
      <w:proofErr w:type="spellEnd"/>
      <w:r w:rsidRPr="00BB2872">
        <w:t xml:space="preserve">.” </w:t>
      </w:r>
      <w:proofErr w:type="spellStart"/>
      <w:r w:rsidRPr="00BB2872">
        <w:rPr>
          <w:i/>
          <w:iCs/>
        </w:rPr>
        <w:t>The</w:t>
      </w:r>
      <w:proofErr w:type="spellEnd"/>
      <w:r w:rsidRPr="00BB2872">
        <w:rPr>
          <w:i/>
          <w:iCs/>
        </w:rPr>
        <w:t xml:space="preserve"> </w:t>
      </w:r>
      <w:proofErr w:type="spellStart"/>
      <w:r w:rsidRPr="00BB2872">
        <w:rPr>
          <w:i/>
          <w:iCs/>
        </w:rPr>
        <w:t>North</w:t>
      </w:r>
      <w:proofErr w:type="spellEnd"/>
      <w:r w:rsidRPr="00BB2872">
        <w:rPr>
          <w:i/>
          <w:iCs/>
        </w:rPr>
        <w:t xml:space="preserve"> </w:t>
      </w:r>
      <w:proofErr w:type="spellStart"/>
      <w:r w:rsidRPr="00BB2872">
        <w:rPr>
          <w:i/>
          <w:iCs/>
        </w:rPr>
        <w:t>American</w:t>
      </w:r>
      <w:proofErr w:type="spellEnd"/>
      <w:r w:rsidRPr="00BB2872">
        <w:rPr>
          <w:i/>
          <w:iCs/>
        </w:rPr>
        <w:t xml:space="preserve"> </w:t>
      </w:r>
      <w:proofErr w:type="spellStart"/>
      <w:r w:rsidRPr="00BB2872">
        <w:rPr>
          <w:i/>
          <w:iCs/>
        </w:rPr>
        <w:t>Journal</w:t>
      </w:r>
      <w:proofErr w:type="spellEnd"/>
      <w:r w:rsidRPr="00BB2872">
        <w:rPr>
          <w:i/>
          <w:iCs/>
        </w:rPr>
        <w:t xml:space="preserve"> </w:t>
      </w:r>
      <w:proofErr w:type="spellStart"/>
      <w:r w:rsidRPr="00BB2872">
        <w:rPr>
          <w:i/>
          <w:iCs/>
        </w:rPr>
        <w:t>of</w:t>
      </w:r>
      <w:proofErr w:type="spellEnd"/>
      <w:r w:rsidRPr="00BB2872">
        <w:rPr>
          <w:i/>
          <w:iCs/>
        </w:rPr>
        <w:t xml:space="preserve"> </w:t>
      </w:r>
      <w:proofErr w:type="spellStart"/>
      <w:r w:rsidRPr="00BB2872">
        <w:rPr>
          <w:i/>
          <w:iCs/>
        </w:rPr>
        <w:t>Economics</w:t>
      </w:r>
      <w:proofErr w:type="spellEnd"/>
      <w:r w:rsidRPr="00BB2872">
        <w:rPr>
          <w:i/>
          <w:iCs/>
        </w:rPr>
        <w:t xml:space="preserve"> and Finance</w:t>
      </w:r>
      <w:r w:rsidRPr="00BB2872">
        <w:t xml:space="preserve"> 51: 1-19.</w:t>
      </w:r>
    </w:p>
    <w:p w14:paraId="275389D9" w14:textId="77777777" w:rsidR="00466AD9" w:rsidRPr="00BB2872" w:rsidRDefault="00466AD9" w:rsidP="00466AD9">
      <w:pPr>
        <w:pStyle w:val="Normlnweb"/>
        <w:spacing w:before="120" w:beforeAutospacing="0" w:after="200" w:afterAutospacing="0"/>
        <w:jc w:val="both"/>
      </w:pPr>
      <w:proofErr w:type="spellStart"/>
      <w:r w:rsidRPr="00BB2872">
        <w:t>Altavilla</w:t>
      </w:r>
      <w:proofErr w:type="spellEnd"/>
      <w:r w:rsidRPr="00BB2872">
        <w:t xml:space="preserve">, C., F. </w:t>
      </w:r>
      <w:proofErr w:type="spellStart"/>
      <w:r w:rsidRPr="00BB2872">
        <w:t>Canova</w:t>
      </w:r>
      <w:proofErr w:type="spellEnd"/>
      <w:r w:rsidRPr="00BB2872">
        <w:t xml:space="preserve"> and M. </w:t>
      </w:r>
      <w:proofErr w:type="spellStart"/>
      <w:r w:rsidRPr="00BB2872">
        <w:t>Ciccarelli</w:t>
      </w:r>
      <w:proofErr w:type="spellEnd"/>
      <w:r w:rsidRPr="00BB2872">
        <w:t>. 2020. “</w:t>
      </w:r>
      <w:proofErr w:type="spellStart"/>
      <w:r w:rsidRPr="00BB2872">
        <w:t>Mending</w:t>
      </w:r>
      <w:proofErr w:type="spellEnd"/>
      <w:r w:rsidRPr="00BB2872">
        <w:t xml:space="preserve"> </w:t>
      </w:r>
      <w:proofErr w:type="spellStart"/>
      <w:r w:rsidRPr="00BB2872">
        <w:t>the</w:t>
      </w:r>
      <w:proofErr w:type="spellEnd"/>
      <w:r w:rsidRPr="00BB2872">
        <w:t xml:space="preserve"> </w:t>
      </w:r>
      <w:proofErr w:type="spellStart"/>
      <w:r w:rsidRPr="00BB2872">
        <w:t>Broken</w:t>
      </w:r>
      <w:proofErr w:type="spellEnd"/>
      <w:r w:rsidRPr="00BB2872">
        <w:t xml:space="preserve"> Link: </w:t>
      </w:r>
      <w:proofErr w:type="spellStart"/>
      <w:r w:rsidRPr="00BB2872">
        <w:t>Heterogeneous</w:t>
      </w:r>
      <w:proofErr w:type="spellEnd"/>
      <w:r w:rsidRPr="00BB2872">
        <w:t xml:space="preserve"> Bank </w:t>
      </w:r>
      <w:proofErr w:type="spellStart"/>
      <w:r w:rsidRPr="00BB2872">
        <w:t>Lending</w:t>
      </w:r>
      <w:proofErr w:type="spellEnd"/>
      <w:r w:rsidRPr="00BB2872">
        <w:t xml:space="preserve"> </w:t>
      </w:r>
      <w:proofErr w:type="spellStart"/>
      <w:r w:rsidRPr="00BB2872">
        <w:t>Rates</w:t>
      </w:r>
      <w:proofErr w:type="spellEnd"/>
      <w:r w:rsidRPr="00BB2872">
        <w:t xml:space="preserve"> and </w:t>
      </w:r>
      <w:proofErr w:type="spellStart"/>
      <w:r w:rsidRPr="00BB2872">
        <w:t>Monetary</w:t>
      </w:r>
      <w:proofErr w:type="spellEnd"/>
      <w:r w:rsidRPr="00BB2872">
        <w:t xml:space="preserve"> </w:t>
      </w:r>
      <w:proofErr w:type="spellStart"/>
      <w:r w:rsidRPr="00BB2872">
        <w:t>Policy</w:t>
      </w:r>
      <w:proofErr w:type="spellEnd"/>
      <w:r w:rsidRPr="00BB2872">
        <w:t xml:space="preserve"> </w:t>
      </w:r>
      <w:proofErr w:type="spellStart"/>
      <w:r w:rsidRPr="00BB2872">
        <w:t>Pass-Through</w:t>
      </w:r>
      <w:proofErr w:type="spellEnd"/>
      <w:r w:rsidRPr="00BB2872">
        <w:t xml:space="preserve">.” </w:t>
      </w:r>
      <w:proofErr w:type="spellStart"/>
      <w:r w:rsidRPr="00BB2872">
        <w:rPr>
          <w:i/>
          <w:iCs/>
        </w:rPr>
        <w:t>Journal</w:t>
      </w:r>
      <w:proofErr w:type="spellEnd"/>
      <w:r w:rsidRPr="00BB2872">
        <w:rPr>
          <w:i/>
          <w:iCs/>
        </w:rPr>
        <w:t xml:space="preserve"> </w:t>
      </w:r>
      <w:proofErr w:type="spellStart"/>
      <w:r w:rsidRPr="00BB2872">
        <w:rPr>
          <w:i/>
          <w:iCs/>
        </w:rPr>
        <w:t>of</w:t>
      </w:r>
      <w:proofErr w:type="spellEnd"/>
      <w:r w:rsidRPr="00BB2872">
        <w:rPr>
          <w:i/>
          <w:iCs/>
        </w:rPr>
        <w:t xml:space="preserve"> </w:t>
      </w:r>
      <w:proofErr w:type="spellStart"/>
      <w:r w:rsidRPr="00BB2872">
        <w:rPr>
          <w:i/>
          <w:iCs/>
        </w:rPr>
        <w:t>Monetary</w:t>
      </w:r>
      <w:proofErr w:type="spellEnd"/>
      <w:r w:rsidRPr="00BB2872">
        <w:rPr>
          <w:i/>
          <w:iCs/>
        </w:rPr>
        <w:t xml:space="preserve"> </w:t>
      </w:r>
      <w:proofErr w:type="spellStart"/>
      <w:r w:rsidRPr="00BB2872">
        <w:rPr>
          <w:i/>
          <w:iCs/>
        </w:rPr>
        <w:t>Economics</w:t>
      </w:r>
      <w:proofErr w:type="spellEnd"/>
      <w:r w:rsidRPr="00BB2872">
        <w:t xml:space="preserve"> 110: 81-98. </w:t>
      </w:r>
    </w:p>
    <w:p w14:paraId="4ADC06C0" w14:textId="1407666B" w:rsidR="00466AD9" w:rsidRPr="00BB2872" w:rsidRDefault="00466AD9" w:rsidP="00466AD9">
      <w:pPr>
        <w:pStyle w:val="Normlnweb"/>
        <w:spacing w:before="120" w:beforeAutospacing="0" w:after="200" w:afterAutospacing="0"/>
        <w:jc w:val="both"/>
      </w:pPr>
      <w:proofErr w:type="spellStart"/>
      <w:r w:rsidRPr="00BB2872">
        <w:t>Avouy</w:t>
      </w:r>
      <w:r w:rsidR="00186DB1" w:rsidRPr="00BB2872">
        <w:t>i</w:t>
      </w:r>
      <w:r w:rsidRPr="00BB2872">
        <w:t>-Dovi</w:t>
      </w:r>
      <w:proofErr w:type="spellEnd"/>
      <w:r w:rsidRPr="00BB2872">
        <w:t xml:space="preserve">, S., G. Horny. and P. </w:t>
      </w:r>
      <w:proofErr w:type="spellStart"/>
      <w:r w:rsidRPr="00BB2872">
        <w:t>Sevestre</w:t>
      </w:r>
      <w:proofErr w:type="spellEnd"/>
      <w:r w:rsidRPr="00BB2872">
        <w:t xml:space="preserve">. 2017. “Stability </w:t>
      </w:r>
      <w:proofErr w:type="spellStart"/>
      <w:r w:rsidRPr="00BB2872">
        <w:t>of</w:t>
      </w:r>
      <w:proofErr w:type="spellEnd"/>
      <w:r w:rsidRPr="00BB2872">
        <w:t xml:space="preserve"> </w:t>
      </w:r>
      <w:proofErr w:type="spellStart"/>
      <w:r w:rsidRPr="00BB2872">
        <w:t>Short</w:t>
      </w:r>
      <w:proofErr w:type="spellEnd"/>
      <w:r w:rsidRPr="00BB2872">
        <w:t xml:space="preserve">-Term </w:t>
      </w:r>
      <w:proofErr w:type="spellStart"/>
      <w:r w:rsidRPr="00BB2872">
        <w:t>Interest</w:t>
      </w:r>
      <w:proofErr w:type="spellEnd"/>
      <w:r w:rsidRPr="00BB2872">
        <w:t xml:space="preserve"> </w:t>
      </w:r>
      <w:proofErr w:type="spellStart"/>
      <w:r w:rsidRPr="00BB2872">
        <w:t>Rate</w:t>
      </w:r>
      <w:proofErr w:type="spellEnd"/>
      <w:r w:rsidRPr="00BB2872">
        <w:t xml:space="preserve"> </w:t>
      </w:r>
      <w:proofErr w:type="spellStart"/>
      <w:r w:rsidRPr="00BB2872">
        <w:t>Pass-Through</w:t>
      </w:r>
      <w:proofErr w:type="spellEnd"/>
      <w:r w:rsidRPr="00BB2872">
        <w:t xml:space="preserve"> in </w:t>
      </w:r>
      <w:proofErr w:type="spellStart"/>
      <w:r w:rsidRPr="00BB2872">
        <w:t>the</w:t>
      </w:r>
      <w:proofErr w:type="spellEnd"/>
      <w:r w:rsidRPr="00BB2872">
        <w:t xml:space="preserve"> Euro Area </w:t>
      </w:r>
      <w:proofErr w:type="spellStart"/>
      <w:r w:rsidRPr="00BB2872">
        <w:t>During</w:t>
      </w:r>
      <w:proofErr w:type="spellEnd"/>
      <w:r w:rsidRPr="00BB2872">
        <w:t xml:space="preserve"> </w:t>
      </w:r>
      <w:proofErr w:type="spellStart"/>
      <w:r w:rsidRPr="00BB2872">
        <w:t>the</w:t>
      </w:r>
      <w:proofErr w:type="spellEnd"/>
      <w:r w:rsidRPr="00BB2872">
        <w:t xml:space="preserve"> </w:t>
      </w:r>
      <w:proofErr w:type="spellStart"/>
      <w:r w:rsidRPr="00BB2872">
        <w:t>Financial</w:t>
      </w:r>
      <w:proofErr w:type="spellEnd"/>
      <w:r w:rsidRPr="00BB2872">
        <w:t xml:space="preserve"> Market and Sovereign </w:t>
      </w:r>
      <w:proofErr w:type="spellStart"/>
      <w:r w:rsidRPr="00BB2872">
        <w:t>Debt</w:t>
      </w:r>
      <w:proofErr w:type="spellEnd"/>
      <w:r w:rsidRPr="00BB2872">
        <w:t xml:space="preserve"> </w:t>
      </w:r>
      <w:proofErr w:type="spellStart"/>
      <w:r w:rsidRPr="00BB2872">
        <w:t>Crises</w:t>
      </w:r>
      <w:proofErr w:type="spellEnd"/>
      <w:r w:rsidRPr="00BB2872">
        <w:t xml:space="preserve">.” </w:t>
      </w:r>
      <w:proofErr w:type="spellStart"/>
      <w:r w:rsidRPr="00BB2872">
        <w:rPr>
          <w:i/>
          <w:iCs/>
        </w:rPr>
        <w:t>Journal</w:t>
      </w:r>
      <w:proofErr w:type="spellEnd"/>
      <w:r w:rsidRPr="00BB2872">
        <w:rPr>
          <w:i/>
          <w:iCs/>
        </w:rPr>
        <w:t xml:space="preserve"> </w:t>
      </w:r>
      <w:proofErr w:type="spellStart"/>
      <w:r w:rsidRPr="00BB2872">
        <w:rPr>
          <w:i/>
          <w:iCs/>
        </w:rPr>
        <w:t>of</w:t>
      </w:r>
      <w:proofErr w:type="spellEnd"/>
      <w:r w:rsidRPr="00BB2872">
        <w:rPr>
          <w:i/>
          <w:iCs/>
        </w:rPr>
        <w:t xml:space="preserve"> Banking and Finance</w:t>
      </w:r>
      <w:r w:rsidRPr="00BB2872">
        <w:t xml:space="preserve"> 79: 74-94. </w:t>
      </w:r>
    </w:p>
    <w:p w14:paraId="75FBC113" w14:textId="77777777" w:rsidR="00466AD9" w:rsidRPr="00BB2872" w:rsidRDefault="00466AD9" w:rsidP="00466AD9">
      <w:pPr>
        <w:pStyle w:val="Normlnweb"/>
        <w:spacing w:before="120" w:beforeAutospacing="0" w:after="200" w:afterAutospacing="0"/>
        <w:jc w:val="both"/>
      </w:pPr>
      <w:proofErr w:type="spellStart"/>
      <w:r w:rsidRPr="00BB2872">
        <w:t>Babecka</w:t>
      </w:r>
      <w:proofErr w:type="spellEnd"/>
      <w:r w:rsidRPr="00BB2872">
        <w:t xml:space="preserve"> </w:t>
      </w:r>
      <w:proofErr w:type="spellStart"/>
      <w:r w:rsidRPr="00BB2872">
        <w:t>Kucharcukova</w:t>
      </w:r>
      <w:proofErr w:type="spellEnd"/>
      <w:r w:rsidRPr="00BB2872">
        <w:t xml:space="preserve">, O., P. </w:t>
      </w:r>
      <w:proofErr w:type="spellStart"/>
      <w:r w:rsidRPr="00BB2872">
        <w:t>Claeys</w:t>
      </w:r>
      <w:proofErr w:type="spellEnd"/>
      <w:r w:rsidRPr="00BB2872">
        <w:t xml:space="preserve"> and B. </w:t>
      </w:r>
      <w:proofErr w:type="spellStart"/>
      <w:r w:rsidRPr="00BB2872">
        <w:t>Vasicek</w:t>
      </w:r>
      <w:proofErr w:type="spellEnd"/>
      <w:r w:rsidRPr="00BB2872">
        <w:t>. 2016. “</w:t>
      </w:r>
      <w:proofErr w:type="spellStart"/>
      <w:r w:rsidRPr="00BB2872">
        <w:t>Spillover</w:t>
      </w:r>
      <w:proofErr w:type="spellEnd"/>
      <w:r w:rsidRPr="00BB2872">
        <w:t xml:space="preserve"> </w:t>
      </w:r>
      <w:proofErr w:type="spellStart"/>
      <w:r w:rsidRPr="00BB2872">
        <w:t>of</w:t>
      </w:r>
      <w:proofErr w:type="spellEnd"/>
      <w:r w:rsidRPr="00BB2872">
        <w:t xml:space="preserve"> </w:t>
      </w:r>
      <w:proofErr w:type="spellStart"/>
      <w:r w:rsidRPr="00BB2872">
        <w:t>the</w:t>
      </w:r>
      <w:proofErr w:type="spellEnd"/>
      <w:r w:rsidRPr="00BB2872">
        <w:t xml:space="preserve"> </w:t>
      </w:r>
      <w:proofErr w:type="spellStart"/>
      <w:r w:rsidRPr="00BB2872">
        <w:t>ECB's</w:t>
      </w:r>
      <w:proofErr w:type="spellEnd"/>
      <w:r w:rsidRPr="00BB2872">
        <w:t xml:space="preserve"> </w:t>
      </w:r>
      <w:proofErr w:type="spellStart"/>
      <w:r w:rsidRPr="00BB2872">
        <w:t>Monetary</w:t>
      </w:r>
      <w:proofErr w:type="spellEnd"/>
      <w:r w:rsidRPr="00BB2872">
        <w:t xml:space="preserve"> </w:t>
      </w:r>
      <w:proofErr w:type="spellStart"/>
      <w:r w:rsidRPr="00BB2872">
        <w:t>Policy</w:t>
      </w:r>
      <w:proofErr w:type="spellEnd"/>
      <w:r w:rsidRPr="00BB2872">
        <w:t xml:space="preserve"> </w:t>
      </w:r>
      <w:proofErr w:type="spellStart"/>
      <w:r w:rsidRPr="00BB2872">
        <w:t>Outside</w:t>
      </w:r>
      <w:proofErr w:type="spellEnd"/>
      <w:r w:rsidRPr="00BB2872">
        <w:t xml:space="preserve"> </w:t>
      </w:r>
      <w:proofErr w:type="spellStart"/>
      <w:r w:rsidRPr="00BB2872">
        <w:t>the</w:t>
      </w:r>
      <w:proofErr w:type="spellEnd"/>
      <w:r w:rsidRPr="00BB2872">
        <w:t xml:space="preserve"> Euro Area: </w:t>
      </w:r>
      <w:proofErr w:type="spellStart"/>
      <w:r w:rsidRPr="00BB2872">
        <w:t>How</w:t>
      </w:r>
      <w:proofErr w:type="spellEnd"/>
      <w:r w:rsidRPr="00BB2872">
        <w:t xml:space="preserve"> </w:t>
      </w:r>
      <w:proofErr w:type="spellStart"/>
      <w:r w:rsidRPr="00BB2872">
        <w:t>Different</w:t>
      </w:r>
      <w:proofErr w:type="spellEnd"/>
      <w:r w:rsidRPr="00BB2872">
        <w:t xml:space="preserve"> </w:t>
      </w:r>
      <w:proofErr w:type="spellStart"/>
      <w:r w:rsidRPr="00BB2872">
        <w:t>is</w:t>
      </w:r>
      <w:proofErr w:type="spellEnd"/>
      <w:r w:rsidRPr="00BB2872">
        <w:t xml:space="preserve"> </w:t>
      </w:r>
      <w:proofErr w:type="spellStart"/>
      <w:r w:rsidRPr="00BB2872">
        <w:t>Conventional</w:t>
      </w:r>
      <w:proofErr w:type="spellEnd"/>
      <w:r w:rsidRPr="00BB2872">
        <w:t xml:space="preserve"> </w:t>
      </w:r>
      <w:proofErr w:type="spellStart"/>
      <w:r w:rsidRPr="00BB2872">
        <w:t>from</w:t>
      </w:r>
      <w:proofErr w:type="spellEnd"/>
      <w:r w:rsidRPr="00BB2872">
        <w:t xml:space="preserve"> </w:t>
      </w:r>
      <w:proofErr w:type="spellStart"/>
      <w:r w:rsidRPr="00BB2872">
        <w:t>Unconventional</w:t>
      </w:r>
      <w:proofErr w:type="spellEnd"/>
      <w:r w:rsidRPr="00BB2872">
        <w:t xml:space="preserve"> </w:t>
      </w:r>
      <w:proofErr w:type="spellStart"/>
      <w:r w:rsidRPr="00BB2872">
        <w:t>Policy</w:t>
      </w:r>
      <w:proofErr w:type="spellEnd"/>
      <w:r w:rsidRPr="00BB2872">
        <w:t xml:space="preserve">?” </w:t>
      </w:r>
      <w:proofErr w:type="spellStart"/>
      <w:r w:rsidRPr="00BB2872">
        <w:rPr>
          <w:i/>
          <w:iCs/>
        </w:rPr>
        <w:t>Journal</w:t>
      </w:r>
      <w:proofErr w:type="spellEnd"/>
      <w:r w:rsidRPr="00BB2872">
        <w:rPr>
          <w:i/>
          <w:iCs/>
        </w:rPr>
        <w:t xml:space="preserve"> </w:t>
      </w:r>
      <w:proofErr w:type="spellStart"/>
      <w:r w:rsidRPr="00BB2872">
        <w:rPr>
          <w:i/>
          <w:iCs/>
        </w:rPr>
        <w:t>of</w:t>
      </w:r>
      <w:proofErr w:type="spellEnd"/>
      <w:r w:rsidRPr="00BB2872">
        <w:rPr>
          <w:i/>
          <w:iCs/>
        </w:rPr>
        <w:t xml:space="preserve"> </w:t>
      </w:r>
      <w:proofErr w:type="spellStart"/>
      <w:r w:rsidRPr="00BB2872">
        <w:rPr>
          <w:i/>
          <w:iCs/>
        </w:rPr>
        <w:t>Policy</w:t>
      </w:r>
      <w:proofErr w:type="spellEnd"/>
      <w:r w:rsidRPr="00BB2872">
        <w:rPr>
          <w:i/>
          <w:iCs/>
        </w:rPr>
        <w:t xml:space="preserve"> Modeling</w:t>
      </w:r>
      <w:r w:rsidRPr="00BB2872">
        <w:t xml:space="preserve"> 38(2): 199-225. </w:t>
      </w:r>
    </w:p>
    <w:p w14:paraId="562AE120" w14:textId="77777777" w:rsidR="00466AD9" w:rsidRPr="00BB2872" w:rsidRDefault="00466AD9" w:rsidP="00466AD9">
      <w:pPr>
        <w:pStyle w:val="Normlnweb"/>
        <w:spacing w:before="120" w:beforeAutospacing="0" w:after="200" w:afterAutospacing="0"/>
        <w:jc w:val="both"/>
      </w:pPr>
      <w:proofErr w:type="spellStart"/>
      <w:r w:rsidRPr="00BB2872">
        <w:t>Banerjee</w:t>
      </w:r>
      <w:proofErr w:type="spellEnd"/>
      <w:r w:rsidRPr="00BB2872">
        <w:t xml:space="preserve">, A., V. </w:t>
      </w:r>
      <w:proofErr w:type="spellStart"/>
      <w:r w:rsidRPr="00BB2872">
        <w:t>Bystrov</w:t>
      </w:r>
      <w:proofErr w:type="spellEnd"/>
      <w:r w:rsidRPr="00BB2872">
        <w:t xml:space="preserve"> and P. Mizen. 2013. “</w:t>
      </w:r>
      <w:proofErr w:type="spellStart"/>
      <w:r w:rsidRPr="00BB2872">
        <w:t>How</w:t>
      </w:r>
      <w:proofErr w:type="spellEnd"/>
      <w:r w:rsidRPr="00BB2872">
        <w:t xml:space="preserve"> Do </w:t>
      </w:r>
      <w:proofErr w:type="spellStart"/>
      <w:r w:rsidRPr="00BB2872">
        <w:t>Anticipated</w:t>
      </w:r>
      <w:proofErr w:type="spellEnd"/>
      <w:r w:rsidRPr="00BB2872">
        <w:t xml:space="preserve"> </w:t>
      </w:r>
      <w:proofErr w:type="spellStart"/>
      <w:r w:rsidRPr="00BB2872">
        <w:t>Changes</w:t>
      </w:r>
      <w:proofErr w:type="spellEnd"/>
      <w:r w:rsidRPr="00BB2872">
        <w:t xml:space="preserve"> to </w:t>
      </w:r>
      <w:proofErr w:type="spellStart"/>
      <w:r w:rsidRPr="00BB2872">
        <w:t>Short</w:t>
      </w:r>
      <w:proofErr w:type="spellEnd"/>
      <w:r w:rsidRPr="00BB2872">
        <w:t xml:space="preserve">-Term Market </w:t>
      </w:r>
      <w:proofErr w:type="spellStart"/>
      <w:r w:rsidRPr="00BB2872">
        <w:t>Rates</w:t>
      </w:r>
      <w:proofErr w:type="spellEnd"/>
      <w:r w:rsidRPr="00BB2872">
        <w:t xml:space="preserve"> Influence </w:t>
      </w:r>
      <w:proofErr w:type="spellStart"/>
      <w:r w:rsidRPr="00BB2872">
        <w:t>Banks</w:t>
      </w:r>
      <w:proofErr w:type="spellEnd"/>
      <w:r w:rsidRPr="00BB2872">
        <w:t xml:space="preserve">’ Retail </w:t>
      </w:r>
      <w:proofErr w:type="spellStart"/>
      <w:r w:rsidRPr="00BB2872">
        <w:t>Interest</w:t>
      </w:r>
      <w:proofErr w:type="spellEnd"/>
      <w:r w:rsidRPr="00BB2872">
        <w:t xml:space="preserve"> </w:t>
      </w:r>
      <w:proofErr w:type="spellStart"/>
      <w:r w:rsidRPr="00BB2872">
        <w:t>Rates</w:t>
      </w:r>
      <w:proofErr w:type="spellEnd"/>
      <w:r w:rsidRPr="00BB2872">
        <w:t xml:space="preserve">? Evidence </w:t>
      </w:r>
      <w:proofErr w:type="spellStart"/>
      <w:r w:rsidRPr="00BB2872">
        <w:t>from</w:t>
      </w:r>
      <w:proofErr w:type="spellEnd"/>
      <w:r w:rsidRPr="00BB2872">
        <w:t xml:space="preserve"> </w:t>
      </w:r>
      <w:proofErr w:type="spellStart"/>
      <w:r w:rsidRPr="00BB2872">
        <w:t>the</w:t>
      </w:r>
      <w:proofErr w:type="spellEnd"/>
      <w:r w:rsidRPr="00BB2872">
        <w:t xml:space="preserve"> </w:t>
      </w:r>
      <w:proofErr w:type="spellStart"/>
      <w:r w:rsidRPr="00BB2872">
        <w:t>Four</w:t>
      </w:r>
      <w:proofErr w:type="spellEnd"/>
      <w:r w:rsidRPr="00BB2872">
        <w:t xml:space="preserve"> Major Euro Area </w:t>
      </w:r>
      <w:proofErr w:type="spellStart"/>
      <w:r w:rsidRPr="00BB2872">
        <w:t>Economies</w:t>
      </w:r>
      <w:proofErr w:type="spellEnd"/>
      <w:r w:rsidRPr="00BB2872">
        <w:t xml:space="preserve">.” </w:t>
      </w:r>
      <w:proofErr w:type="spellStart"/>
      <w:r w:rsidRPr="00BB2872">
        <w:rPr>
          <w:i/>
          <w:iCs/>
        </w:rPr>
        <w:t>Journal</w:t>
      </w:r>
      <w:proofErr w:type="spellEnd"/>
      <w:r w:rsidRPr="00BB2872">
        <w:rPr>
          <w:i/>
          <w:iCs/>
        </w:rPr>
        <w:t xml:space="preserve"> </w:t>
      </w:r>
      <w:proofErr w:type="spellStart"/>
      <w:r w:rsidRPr="00BB2872">
        <w:rPr>
          <w:i/>
          <w:iCs/>
        </w:rPr>
        <w:t>of</w:t>
      </w:r>
      <w:proofErr w:type="spellEnd"/>
      <w:r w:rsidRPr="00BB2872">
        <w:rPr>
          <w:i/>
          <w:iCs/>
        </w:rPr>
        <w:t xml:space="preserve"> Money, </w:t>
      </w:r>
      <w:proofErr w:type="spellStart"/>
      <w:r w:rsidRPr="00BB2872">
        <w:rPr>
          <w:i/>
          <w:iCs/>
        </w:rPr>
        <w:t>Credit</w:t>
      </w:r>
      <w:proofErr w:type="spellEnd"/>
      <w:r w:rsidRPr="00BB2872">
        <w:rPr>
          <w:i/>
          <w:iCs/>
        </w:rPr>
        <w:t xml:space="preserve"> and Banking</w:t>
      </w:r>
      <w:r w:rsidRPr="00BB2872">
        <w:t xml:space="preserve"> 45(7): 1375-1414. </w:t>
      </w:r>
    </w:p>
    <w:p w14:paraId="460B5FC4" w14:textId="77777777" w:rsidR="00466AD9" w:rsidRPr="00BB2872" w:rsidRDefault="00466AD9" w:rsidP="00466AD9">
      <w:pPr>
        <w:pStyle w:val="Normlnweb"/>
        <w:spacing w:before="120" w:beforeAutospacing="0" w:after="200" w:afterAutospacing="0"/>
        <w:jc w:val="both"/>
      </w:pPr>
      <w:proofErr w:type="spellStart"/>
      <w:r w:rsidRPr="00BB2872">
        <w:t>Blot</w:t>
      </w:r>
      <w:proofErr w:type="spellEnd"/>
      <w:r w:rsidRPr="00BB2872">
        <w:t xml:space="preserve">, C. and F. </w:t>
      </w:r>
      <w:proofErr w:type="spellStart"/>
      <w:r w:rsidRPr="00BB2872">
        <w:t>Labondance</w:t>
      </w:r>
      <w:proofErr w:type="spellEnd"/>
      <w:r w:rsidRPr="00BB2872">
        <w:t xml:space="preserve">. 2013. “Business </w:t>
      </w:r>
      <w:proofErr w:type="spellStart"/>
      <w:r w:rsidRPr="00BB2872">
        <w:t>Lending</w:t>
      </w:r>
      <w:proofErr w:type="spellEnd"/>
      <w:r w:rsidRPr="00BB2872">
        <w:t xml:space="preserve"> </w:t>
      </w:r>
      <w:proofErr w:type="spellStart"/>
      <w:r w:rsidRPr="00BB2872">
        <w:t>Rate</w:t>
      </w:r>
      <w:proofErr w:type="spellEnd"/>
      <w:r w:rsidRPr="00BB2872">
        <w:t xml:space="preserve"> </w:t>
      </w:r>
      <w:proofErr w:type="spellStart"/>
      <w:r w:rsidRPr="00BB2872">
        <w:t>Pass-through</w:t>
      </w:r>
      <w:proofErr w:type="spellEnd"/>
      <w:r w:rsidRPr="00BB2872">
        <w:t xml:space="preserve"> in </w:t>
      </w:r>
      <w:proofErr w:type="spellStart"/>
      <w:r w:rsidRPr="00BB2872">
        <w:t>the</w:t>
      </w:r>
      <w:proofErr w:type="spellEnd"/>
      <w:r w:rsidRPr="00BB2872">
        <w:t xml:space="preserve"> </w:t>
      </w:r>
      <w:proofErr w:type="spellStart"/>
      <w:r w:rsidRPr="00BB2872">
        <w:t>Eurozone</w:t>
      </w:r>
      <w:proofErr w:type="spellEnd"/>
      <w:r w:rsidRPr="00BB2872">
        <w:t xml:space="preserve">: </w:t>
      </w:r>
      <w:proofErr w:type="spellStart"/>
      <w:r w:rsidRPr="00BB2872">
        <w:t>Monetary</w:t>
      </w:r>
      <w:proofErr w:type="spellEnd"/>
      <w:r w:rsidRPr="00BB2872">
        <w:t xml:space="preserve"> </w:t>
      </w:r>
      <w:proofErr w:type="spellStart"/>
      <w:r w:rsidRPr="00BB2872">
        <w:t>Policy</w:t>
      </w:r>
      <w:proofErr w:type="spellEnd"/>
      <w:r w:rsidRPr="00BB2872">
        <w:t xml:space="preserve"> </w:t>
      </w:r>
      <w:proofErr w:type="spellStart"/>
      <w:r w:rsidRPr="00BB2872">
        <w:t>Transmission</w:t>
      </w:r>
      <w:proofErr w:type="spellEnd"/>
      <w:r w:rsidRPr="00BB2872">
        <w:t xml:space="preserve"> </w:t>
      </w:r>
      <w:proofErr w:type="spellStart"/>
      <w:r w:rsidRPr="00BB2872">
        <w:t>Before</w:t>
      </w:r>
      <w:proofErr w:type="spellEnd"/>
      <w:r w:rsidRPr="00BB2872">
        <w:t xml:space="preserve"> and </w:t>
      </w:r>
      <w:proofErr w:type="spellStart"/>
      <w:r w:rsidRPr="00BB2872">
        <w:t>After</w:t>
      </w:r>
      <w:proofErr w:type="spellEnd"/>
      <w:r w:rsidRPr="00BB2872">
        <w:t xml:space="preserve"> </w:t>
      </w:r>
      <w:proofErr w:type="spellStart"/>
      <w:r w:rsidRPr="00BB2872">
        <w:t>the</w:t>
      </w:r>
      <w:proofErr w:type="spellEnd"/>
      <w:r w:rsidRPr="00BB2872">
        <w:t xml:space="preserve"> </w:t>
      </w:r>
      <w:proofErr w:type="spellStart"/>
      <w:r w:rsidRPr="00BB2872">
        <w:t>Financial</w:t>
      </w:r>
      <w:proofErr w:type="spellEnd"/>
      <w:r w:rsidRPr="00BB2872">
        <w:t xml:space="preserve"> </w:t>
      </w:r>
      <w:proofErr w:type="spellStart"/>
      <w:r w:rsidRPr="00BB2872">
        <w:t>Crash</w:t>
      </w:r>
      <w:proofErr w:type="spellEnd"/>
      <w:r w:rsidRPr="00BB2872">
        <w:t xml:space="preserve">” </w:t>
      </w:r>
      <w:proofErr w:type="spellStart"/>
      <w:r w:rsidRPr="00BB2872">
        <w:rPr>
          <w:i/>
          <w:iCs/>
        </w:rPr>
        <w:t>Economic</w:t>
      </w:r>
      <w:proofErr w:type="spellEnd"/>
      <w:r w:rsidRPr="00BB2872">
        <w:rPr>
          <w:i/>
          <w:iCs/>
        </w:rPr>
        <w:t xml:space="preserve"> Bulletin</w:t>
      </w:r>
      <w:r w:rsidRPr="00BB2872">
        <w:t xml:space="preserve">, </w:t>
      </w:r>
      <w:proofErr w:type="spellStart"/>
      <w:r w:rsidRPr="00BB2872">
        <w:rPr>
          <w:i/>
          <w:iCs/>
        </w:rPr>
        <w:t>AccessEcon</w:t>
      </w:r>
      <w:proofErr w:type="spellEnd"/>
      <w:r w:rsidRPr="00BB2872">
        <w:t xml:space="preserve"> 33(2): 973-985.</w:t>
      </w:r>
    </w:p>
    <w:p w14:paraId="3D65C58F" w14:textId="77777777" w:rsidR="00466AD9" w:rsidRPr="00BB2872" w:rsidRDefault="00466AD9" w:rsidP="00466AD9">
      <w:pPr>
        <w:pStyle w:val="Normlnweb"/>
        <w:spacing w:before="120" w:beforeAutospacing="0" w:after="200" w:afterAutospacing="0"/>
        <w:jc w:val="both"/>
      </w:pPr>
      <w:r w:rsidRPr="00BB2872">
        <w:t xml:space="preserve">von </w:t>
      </w:r>
      <w:proofErr w:type="spellStart"/>
      <w:r w:rsidRPr="00BB2872">
        <w:t>Borstel</w:t>
      </w:r>
      <w:proofErr w:type="spellEnd"/>
      <w:r w:rsidRPr="00BB2872">
        <w:t xml:space="preserve">, J., S. </w:t>
      </w:r>
      <w:proofErr w:type="spellStart"/>
      <w:r w:rsidRPr="00BB2872">
        <w:t>Eickmeier</w:t>
      </w:r>
      <w:proofErr w:type="spellEnd"/>
      <w:r w:rsidRPr="00BB2872">
        <w:t xml:space="preserve"> and L. </w:t>
      </w:r>
      <w:proofErr w:type="spellStart"/>
      <w:r w:rsidRPr="00BB2872">
        <w:t>Krippner</w:t>
      </w:r>
      <w:proofErr w:type="spellEnd"/>
      <w:r w:rsidRPr="00BB2872">
        <w:t>. 2016. “</w:t>
      </w:r>
      <w:proofErr w:type="spellStart"/>
      <w:r w:rsidRPr="00BB2872">
        <w:t>The</w:t>
      </w:r>
      <w:proofErr w:type="spellEnd"/>
      <w:r w:rsidRPr="00BB2872">
        <w:t xml:space="preserve"> </w:t>
      </w:r>
      <w:proofErr w:type="spellStart"/>
      <w:r w:rsidRPr="00BB2872">
        <w:t>Interest</w:t>
      </w:r>
      <w:proofErr w:type="spellEnd"/>
      <w:r w:rsidRPr="00BB2872">
        <w:t xml:space="preserve"> </w:t>
      </w:r>
      <w:proofErr w:type="spellStart"/>
      <w:r w:rsidRPr="00BB2872">
        <w:t>Rate</w:t>
      </w:r>
      <w:proofErr w:type="spellEnd"/>
      <w:r w:rsidRPr="00BB2872">
        <w:t xml:space="preserve"> </w:t>
      </w:r>
      <w:proofErr w:type="spellStart"/>
      <w:r w:rsidRPr="00BB2872">
        <w:t>Pass-through</w:t>
      </w:r>
      <w:proofErr w:type="spellEnd"/>
      <w:r w:rsidRPr="00BB2872">
        <w:t xml:space="preserve"> in </w:t>
      </w:r>
      <w:proofErr w:type="spellStart"/>
      <w:r w:rsidRPr="00BB2872">
        <w:t>the</w:t>
      </w:r>
      <w:proofErr w:type="spellEnd"/>
      <w:r w:rsidRPr="00BB2872">
        <w:t xml:space="preserve"> Euro Area </w:t>
      </w:r>
      <w:proofErr w:type="spellStart"/>
      <w:r w:rsidRPr="00BB2872">
        <w:t>during</w:t>
      </w:r>
      <w:proofErr w:type="spellEnd"/>
      <w:r w:rsidRPr="00BB2872">
        <w:t xml:space="preserve"> </w:t>
      </w:r>
      <w:proofErr w:type="spellStart"/>
      <w:r w:rsidRPr="00BB2872">
        <w:t>the</w:t>
      </w:r>
      <w:proofErr w:type="spellEnd"/>
      <w:r w:rsidRPr="00BB2872">
        <w:t xml:space="preserve"> Sovereign </w:t>
      </w:r>
      <w:proofErr w:type="spellStart"/>
      <w:r w:rsidRPr="00BB2872">
        <w:t>Debt</w:t>
      </w:r>
      <w:proofErr w:type="spellEnd"/>
      <w:r w:rsidRPr="00BB2872">
        <w:t xml:space="preserve"> </w:t>
      </w:r>
      <w:proofErr w:type="spellStart"/>
      <w:r w:rsidRPr="00BB2872">
        <w:t>Crisis</w:t>
      </w:r>
      <w:proofErr w:type="spellEnd"/>
      <w:r w:rsidRPr="00BB2872">
        <w:rPr>
          <w:i/>
          <w:iCs/>
        </w:rPr>
        <w:t xml:space="preserve">.” </w:t>
      </w:r>
      <w:proofErr w:type="spellStart"/>
      <w:r w:rsidRPr="00BB2872">
        <w:rPr>
          <w:i/>
          <w:iCs/>
        </w:rPr>
        <w:t>Journal</w:t>
      </w:r>
      <w:proofErr w:type="spellEnd"/>
      <w:r w:rsidRPr="00BB2872">
        <w:rPr>
          <w:i/>
          <w:iCs/>
        </w:rPr>
        <w:t xml:space="preserve"> </w:t>
      </w:r>
      <w:proofErr w:type="spellStart"/>
      <w:r w:rsidRPr="00BB2872">
        <w:rPr>
          <w:i/>
          <w:iCs/>
        </w:rPr>
        <w:t>of</w:t>
      </w:r>
      <w:proofErr w:type="spellEnd"/>
      <w:r w:rsidRPr="00BB2872">
        <w:rPr>
          <w:i/>
          <w:iCs/>
        </w:rPr>
        <w:t xml:space="preserve"> International Money and Finance</w:t>
      </w:r>
      <w:r w:rsidRPr="00BB2872">
        <w:t xml:space="preserve"> 68: 386-402. </w:t>
      </w:r>
    </w:p>
    <w:p w14:paraId="0458D33F" w14:textId="77777777" w:rsidR="00466AD9" w:rsidRPr="00BB2872" w:rsidRDefault="00466AD9" w:rsidP="00466AD9">
      <w:pPr>
        <w:pStyle w:val="Normlnweb"/>
        <w:spacing w:before="120" w:beforeAutospacing="0" w:after="200" w:afterAutospacing="0"/>
        <w:jc w:val="both"/>
      </w:pPr>
      <w:proofErr w:type="spellStart"/>
      <w:r w:rsidRPr="00BB2872">
        <w:t>Broz</w:t>
      </w:r>
      <w:proofErr w:type="spellEnd"/>
      <w:r w:rsidRPr="00BB2872">
        <w:t xml:space="preserve">, V. and M. </w:t>
      </w:r>
      <w:proofErr w:type="spellStart"/>
      <w:r w:rsidRPr="00BB2872">
        <w:t>Hlavacek</w:t>
      </w:r>
      <w:proofErr w:type="spellEnd"/>
      <w:r w:rsidRPr="00BB2872">
        <w:t>. 2019. “</w:t>
      </w:r>
      <w:proofErr w:type="spellStart"/>
      <w:r w:rsidRPr="00BB2872">
        <w:t>What</w:t>
      </w:r>
      <w:proofErr w:type="spellEnd"/>
      <w:r w:rsidRPr="00BB2872">
        <w:t xml:space="preserve"> </w:t>
      </w:r>
      <w:proofErr w:type="spellStart"/>
      <w:r w:rsidRPr="00BB2872">
        <w:t>Drives</w:t>
      </w:r>
      <w:proofErr w:type="spellEnd"/>
      <w:r w:rsidRPr="00BB2872">
        <w:t xml:space="preserve"> </w:t>
      </w:r>
      <w:proofErr w:type="spellStart"/>
      <w:r w:rsidRPr="00BB2872">
        <w:t>the</w:t>
      </w:r>
      <w:proofErr w:type="spellEnd"/>
      <w:r w:rsidRPr="00BB2872">
        <w:t xml:space="preserve"> </w:t>
      </w:r>
      <w:proofErr w:type="spellStart"/>
      <w:r w:rsidRPr="00BB2872">
        <w:t>Distributional</w:t>
      </w:r>
      <w:proofErr w:type="spellEnd"/>
      <w:r w:rsidRPr="00BB2872">
        <w:t xml:space="preserve"> Dynamics </w:t>
      </w:r>
      <w:proofErr w:type="spellStart"/>
      <w:r w:rsidRPr="00BB2872">
        <w:t>of</w:t>
      </w:r>
      <w:proofErr w:type="spellEnd"/>
      <w:r w:rsidRPr="00BB2872">
        <w:t xml:space="preserve"> </w:t>
      </w:r>
      <w:proofErr w:type="spellStart"/>
      <w:r w:rsidRPr="00BB2872">
        <w:t>Client</w:t>
      </w:r>
      <w:proofErr w:type="spellEnd"/>
      <w:r w:rsidRPr="00BB2872">
        <w:t xml:space="preserve"> </w:t>
      </w:r>
      <w:proofErr w:type="spellStart"/>
      <w:r w:rsidRPr="00BB2872">
        <w:t>Interest</w:t>
      </w:r>
      <w:proofErr w:type="spellEnd"/>
      <w:r w:rsidRPr="00BB2872">
        <w:t xml:space="preserve"> </w:t>
      </w:r>
      <w:proofErr w:type="spellStart"/>
      <w:r w:rsidRPr="00BB2872">
        <w:t>Rates</w:t>
      </w:r>
      <w:proofErr w:type="spellEnd"/>
      <w:r w:rsidRPr="00BB2872">
        <w:t xml:space="preserve"> on </w:t>
      </w:r>
      <w:proofErr w:type="spellStart"/>
      <w:r w:rsidRPr="00BB2872">
        <w:t>Consumer</w:t>
      </w:r>
      <w:proofErr w:type="spellEnd"/>
      <w:r w:rsidRPr="00BB2872">
        <w:t xml:space="preserve"> </w:t>
      </w:r>
      <w:proofErr w:type="spellStart"/>
      <w:r w:rsidRPr="00BB2872">
        <w:t>Loans</w:t>
      </w:r>
      <w:proofErr w:type="spellEnd"/>
      <w:r w:rsidRPr="00BB2872">
        <w:t xml:space="preserve"> in </w:t>
      </w:r>
      <w:proofErr w:type="spellStart"/>
      <w:r w:rsidRPr="00BB2872">
        <w:t>the</w:t>
      </w:r>
      <w:proofErr w:type="spellEnd"/>
      <w:r w:rsidRPr="00BB2872">
        <w:t xml:space="preserve"> Czech Republic?” </w:t>
      </w:r>
      <w:r w:rsidRPr="00BB2872">
        <w:rPr>
          <w:i/>
          <w:iCs/>
        </w:rPr>
        <w:t xml:space="preserve">Czech </w:t>
      </w:r>
      <w:proofErr w:type="spellStart"/>
      <w:r w:rsidRPr="00BB2872">
        <w:rPr>
          <w:i/>
          <w:iCs/>
        </w:rPr>
        <w:t>Journal</w:t>
      </w:r>
      <w:proofErr w:type="spellEnd"/>
      <w:r w:rsidRPr="00BB2872">
        <w:rPr>
          <w:i/>
          <w:iCs/>
        </w:rPr>
        <w:t xml:space="preserve"> </w:t>
      </w:r>
      <w:proofErr w:type="spellStart"/>
      <w:r w:rsidRPr="00BB2872">
        <w:rPr>
          <w:i/>
          <w:iCs/>
        </w:rPr>
        <w:t>of</w:t>
      </w:r>
      <w:proofErr w:type="spellEnd"/>
      <w:r w:rsidRPr="00BB2872">
        <w:rPr>
          <w:i/>
          <w:iCs/>
        </w:rPr>
        <w:t xml:space="preserve"> </w:t>
      </w:r>
      <w:proofErr w:type="spellStart"/>
      <w:r w:rsidRPr="00BB2872">
        <w:rPr>
          <w:i/>
          <w:iCs/>
        </w:rPr>
        <w:t>Economics</w:t>
      </w:r>
      <w:proofErr w:type="spellEnd"/>
      <w:r w:rsidRPr="00BB2872">
        <w:rPr>
          <w:i/>
          <w:iCs/>
        </w:rPr>
        <w:t xml:space="preserve"> and Finance</w:t>
      </w:r>
      <w:r w:rsidRPr="00BB2872">
        <w:t xml:space="preserve"> 69(3): 275-297.</w:t>
      </w:r>
    </w:p>
    <w:p w14:paraId="5EACD8A0" w14:textId="77777777" w:rsidR="00466AD9" w:rsidRPr="00BB2872" w:rsidRDefault="00466AD9" w:rsidP="00466AD9">
      <w:pPr>
        <w:pStyle w:val="Normlnweb"/>
        <w:spacing w:before="120" w:beforeAutospacing="0" w:after="200" w:afterAutospacing="0"/>
        <w:jc w:val="both"/>
      </w:pPr>
      <w:r w:rsidRPr="00BB2872">
        <w:t>Bruna, K. 2008. “</w:t>
      </w:r>
      <w:proofErr w:type="spellStart"/>
      <w:r w:rsidRPr="00BB2872">
        <w:t>Monetary</w:t>
      </w:r>
      <w:proofErr w:type="spellEnd"/>
      <w:r w:rsidRPr="00BB2872">
        <w:t xml:space="preserve"> </w:t>
      </w:r>
      <w:proofErr w:type="spellStart"/>
      <w:r w:rsidRPr="00BB2872">
        <w:t>Policy</w:t>
      </w:r>
      <w:proofErr w:type="spellEnd"/>
      <w:r w:rsidRPr="00BB2872">
        <w:t xml:space="preserve"> </w:t>
      </w:r>
      <w:proofErr w:type="spellStart"/>
      <w:r w:rsidRPr="00BB2872">
        <w:t>Stabilisation</w:t>
      </w:r>
      <w:proofErr w:type="spellEnd"/>
      <w:r w:rsidRPr="00BB2872">
        <w:t xml:space="preserve">, </w:t>
      </w:r>
      <w:proofErr w:type="spellStart"/>
      <w:r w:rsidRPr="00BB2872">
        <w:t>Changes</w:t>
      </w:r>
      <w:proofErr w:type="spellEnd"/>
      <w:r w:rsidRPr="00BB2872">
        <w:t xml:space="preserve"> in </w:t>
      </w:r>
      <w:proofErr w:type="spellStart"/>
      <w:r w:rsidRPr="00BB2872">
        <w:t>the</w:t>
      </w:r>
      <w:proofErr w:type="spellEnd"/>
      <w:r w:rsidRPr="00BB2872">
        <w:t xml:space="preserve"> Banking </w:t>
      </w:r>
      <w:proofErr w:type="spellStart"/>
      <w:r w:rsidRPr="00BB2872">
        <w:t>System</w:t>
      </w:r>
      <w:proofErr w:type="spellEnd"/>
      <w:r w:rsidRPr="00BB2872">
        <w:t xml:space="preserve"> and </w:t>
      </w:r>
      <w:proofErr w:type="spellStart"/>
      <w:r w:rsidRPr="00BB2872">
        <w:t>Interest</w:t>
      </w:r>
      <w:proofErr w:type="spellEnd"/>
      <w:r w:rsidRPr="00BB2872">
        <w:t xml:space="preserve"> </w:t>
      </w:r>
      <w:proofErr w:type="spellStart"/>
      <w:r w:rsidRPr="00BB2872">
        <w:t>Rate</w:t>
      </w:r>
      <w:proofErr w:type="spellEnd"/>
      <w:r w:rsidRPr="00BB2872">
        <w:t xml:space="preserve"> </w:t>
      </w:r>
      <w:proofErr w:type="spellStart"/>
      <w:r w:rsidRPr="00BB2872">
        <w:t>Pass-through</w:t>
      </w:r>
      <w:proofErr w:type="spellEnd"/>
      <w:r w:rsidRPr="00BB2872">
        <w:t xml:space="preserve">: </w:t>
      </w:r>
      <w:proofErr w:type="spellStart"/>
      <w:r w:rsidRPr="00BB2872">
        <w:t>The</w:t>
      </w:r>
      <w:proofErr w:type="spellEnd"/>
      <w:r w:rsidRPr="00BB2872">
        <w:t xml:space="preserve"> Czech Republic 1999–2006.” </w:t>
      </w:r>
      <w:r w:rsidRPr="00BB2872">
        <w:rPr>
          <w:i/>
          <w:iCs/>
        </w:rPr>
        <w:t>Post-</w:t>
      </w:r>
      <w:proofErr w:type="spellStart"/>
      <w:r w:rsidRPr="00BB2872">
        <w:rPr>
          <w:i/>
          <w:iCs/>
        </w:rPr>
        <w:t>Communist</w:t>
      </w:r>
      <w:proofErr w:type="spellEnd"/>
      <w:r w:rsidRPr="00BB2872">
        <w:rPr>
          <w:i/>
          <w:iCs/>
        </w:rPr>
        <w:t xml:space="preserve"> </w:t>
      </w:r>
      <w:proofErr w:type="spellStart"/>
      <w:r w:rsidRPr="00BB2872">
        <w:rPr>
          <w:i/>
          <w:iCs/>
        </w:rPr>
        <w:t>Economies</w:t>
      </w:r>
      <w:proofErr w:type="spellEnd"/>
      <w:r w:rsidRPr="00BB2872">
        <w:t xml:space="preserve"> 20(4): 413-429.</w:t>
      </w:r>
    </w:p>
    <w:p w14:paraId="27FF4991" w14:textId="77777777" w:rsidR="00466AD9" w:rsidRPr="00BB2872" w:rsidRDefault="00466AD9" w:rsidP="00466AD9">
      <w:pPr>
        <w:pStyle w:val="Normlnweb"/>
        <w:spacing w:before="120" w:beforeAutospacing="0" w:after="200" w:afterAutospacing="0"/>
        <w:jc w:val="both"/>
      </w:pPr>
      <w:r w:rsidRPr="00BB2872">
        <w:lastRenderedPageBreak/>
        <w:t>Bruna, K. and Q. van Tran. 2018. “</w:t>
      </w:r>
      <w:proofErr w:type="spellStart"/>
      <w:r w:rsidRPr="00BB2872">
        <w:t>Inflation</w:t>
      </w:r>
      <w:proofErr w:type="spellEnd"/>
      <w:r w:rsidRPr="00BB2872">
        <w:t xml:space="preserve"> </w:t>
      </w:r>
      <w:proofErr w:type="spellStart"/>
      <w:r w:rsidRPr="00BB2872">
        <w:t>Targeting</w:t>
      </w:r>
      <w:proofErr w:type="spellEnd"/>
      <w:r w:rsidRPr="00BB2872">
        <w:t xml:space="preserve"> and Variability </w:t>
      </w:r>
      <w:proofErr w:type="spellStart"/>
      <w:r w:rsidRPr="00BB2872">
        <w:t>of</w:t>
      </w:r>
      <w:proofErr w:type="spellEnd"/>
      <w:r w:rsidRPr="00BB2872">
        <w:t xml:space="preserve"> Money Market </w:t>
      </w:r>
      <w:proofErr w:type="spellStart"/>
      <w:r w:rsidRPr="00BB2872">
        <w:t>Interest</w:t>
      </w:r>
      <w:proofErr w:type="spellEnd"/>
      <w:r w:rsidRPr="00BB2872">
        <w:t xml:space="preserve"> </w:t>
      </w:r>
      <w:proofErr w:type="spellStart"/>
      <w:r w:rsidRPr="00BB2872">
        <w:t>Rates</w:t>
      </w:r>
      <w:proofErr w:type="spellEnd"/>
      <w:r w:rsidRPr="00BB2872">
        <w:t xml:space="preserve"> </w:t>
      </w:r>
      <w:proofErr w:type="spellStart"/>
      <w:r w:rsidRPr="00BB2872">
        <w:t>Under</w:t>
      </w:r>
      <w:proofErr w:type="spellEnd"/>
      <w:r w:rsidRPr="00BB2872">
        <w:t xml:space="preserve"> a </w:t>
      </w:r>
      <w:proofErr w:type="spellStart"/>
      <w:r w:rsidRPr="00BB2872">
        <w:t>Zero</w:t>
      </w:r>
      <w:proofErr w:type="spellEnd"/>
      <w:r w:rsidRPr="00BB2872">
        <w:t xml:space="preserve"> </w:t>
      </w:r>
      <w:proofErr w:type="spellStart"/>
      <w:r w:rsidRPr="00BB2872">
        <w:t>Lower</w:t>
      </w:r>
      <w:proofErr w:type="spellEnd"/>
      <w:r w:rsidRPr="00BB2872">
        <w:t xml:space="preserve"> </w:t>
      </w:r>
      <w:proofErr w:type="spellStart"/>
      <w:r w:rsidRPr="00BB2872">
        <w:t>Bound</w:t>
      </w:r>
      <w:proofErr w:type="spellEnd"/>
      <w:r w:rsidRPr="00BB2872">
        <w:t xml:space="preserve">.” </w:t>
      </w:r>
      <w:r w:rsidRPr="00BB2872">
        <w:rPr>
          <w:i/>
          <w:iCs/>
        </w:rPr>
        <w:t xml:space="preserve">Czech </w:t>
      </w:r>
      <w:proofErr w:type="spellStart"/>
      <w:r w:rsidRPr="00BB2872">
        <w:rPr>
          <w:i/>
          <w:iCs/>
        </w:rPr>
        <w:t>Journal</w:t>
      </w:r>
      <w:proofErr w:type="spellEnd"/>
      <w:r w:rsidRPr="00BB2872">
        <w:rPr>
          <w:i/>
          <w:iCs/>
        </w:rPr>
        <w:t xml:space="preserve"> </w:t>
      </w:r>
      <w:proofErr w:type="spellStart"/>
      <w:r w:rsidRPr="00BB2872">
        <w:rPr>
          <w:i/>
          <w:iCs/>
        </w:rPr>
        <w:t>of</w:t>
      </w:r>
      <w:proofErr w:type="spellEnd"/>
      <w:r w:rsidRPr="00BB2872">
        <w:rPr>
          <w:i/>
          <w:iCs/>
        </w:rPr>
        <w:t xml:space="preserve"> </w:t>
      </w:r>
      <w:proofErr w:type="spellStart"/>
      <w:r w:rsidRPr="00BB2872">
        <w:rPr>
          <w:i/>
          <w:iCs/>
        </w:rPr>
        <w:t>Economics</w:t>
      </w:r>
      <w:proofErr w:type="spellEnd"/>
      <w:r w:rsidRPr="00BB2872">
        <w:rPr>
          <w:i/>
          <w:iCs/>
        </w:rPr>
        <w:t xml:space="preserve"> and Finance</w:t>
      </w:r>
      <w:r w:rsidRPr="00BB2872">
        <w:t xml:space="preserve"> 68(6): 519-536.</w:t>
      </w:r>
    </w:p>
    <w:p w14:paraId="07B6188B" w14:textId="77777777" w:rsidR="00466AD9" w:rsidRPr="00BB2872" w:rsidRDefault="00466AD9" w:rsidP="00466AD9">
      <w:pPr>
        <w:pStyle w:val="Normlnweb"/>
        <w:spacing w:before="120" w:beforeAutospacing="0" w:after="200" w:afterAutospacing="0"/>
        <w:jc w:val="both"/>
      </w:pPr>
      <w:r w:rsidRPr="00BB2872">
        <w:t>Bruna K. and N. Blahová. 2018. “</w:t>
      </w:r>
      <w:proofErr w:type="spellStart"/>
      <w:r w:rsidRPr="00BB2872">
        <w:t>Constraints</w:t>
      </w:r>
      <w:proofErr w:type="spellEnd"/>
      <w:r w:rsidRPr="00BB2872">
        <w:t xml:space="preserve"> in </w:t>
      </w:r>
      <w:proofErr w:type="spellStart"/>
      <w:r w:rsidRPr="00BB2872">
        <w:t>the</w:t>
      </w:r>
      <w:proofErr w:type="spellEnd"/>
      <w:r w:rsidRPr="00BB2872">
        <w:t xml:space="preserve"> Supply </w:t>
      </w:r>
      <w:proofErr w:type="spellStart"/>
      <w:r w:rsidRPr="00BB2872">
        <w:t>of</w:t>
      </w:r>
      <w:proofErr w:type="spellEnd"/>
      <w:r w:rsidRPr="00BB2872">
        <w:t xml:space="preserve"> </w:t>
      </w:r>
      <w:proofErr w:type="spellStart"/>
      <w:r w:rsidRPr="00BB2872">
        <w:t>Credit</w:t>
      </w:r>
      <w:proofErr w:type="spellEnd"/>
      <w:r w:rsidRPr="00BB2872">
        <w:t xml:space="preserve"> in </w:t>
      </w:r>
      <w:proofErr w:type="spellStart"/>
      <w:r w:rsidRPr="00BB2872">
        <w:t>an</w:t>
      </w:r>
      <w:proofErr w:type="spellEnd"/>
      <w:r w:rsidRPr="00BB2872">
        <w:t xml:space="preserve"> Open </w:t>
      </w:r>
      <w:proofErr w:type="spellStart"/>
      <w:r w:rsidRPr="00BB2872">
        <w:t>Transition</w:t>
      </w:r>
      <w:proofErr w:type="spellEnd"/>
      <w:r w:rsidRPr="00BB2872">
        <w:t xml:space="preserve"> </w:t>
      </w:r>
      <w:proofErr w:type="spellStart"/>
      <w:r w:rsidRPr="00BB2872">
        <w:t>Economy</w:t>
      </w:r>
      <w:proofErr w:type="spellEnd"/>
      <w:r w:rsidRPr="00BB2872">
        <w:t xml:space="preserve"> </w:t>
      </w:r>
      <w:proofErr w:type="spellStart"/>
      <w:r w:rsidRPr="00BB2872">
        <w:t>under</w:t>
      </w:r>
      <w:proofErr w:type="spellEnd"/>
      <w:r w:rsidRPr="00BB2872">
        <w:t xml:space="preserve"> New </w:t>
      </w:r>
      <w:proofErr w:type="spellStart"/>
      <w:r w:rsidRPr="00BB2872">
        <w:t>Basel</w:t>
      </w:r>
      <w:proofErr w:type="spellEnd"/>
      <w:r w:rsidRPr="00BB2872">
        <w:t xml:space="preserve"> III </w:t>
      </w:r>
      <w:proofErr w:type="spellStart"/>
      <w:r w:rsidRPr="00BB2872">
        <w:t>Requirements</w:t>
      </w:r>
      <w:proofErr w:type="spellEnd"/>
      <w:r w:rsidRPr="00BB2872">
        <w:t xml:space="preserve">: </w:t>
      </w:r>
      <w:proofErr w:type="spellStart"/>
      <w:r w:rsidRPr="00BB2872">
        <w:t>The</w:t>
      </w:r>
      <w:proofErr w:type="spellEnd"/>
      <w:r w:rsidRPr="00BB2872">
        <w:t xml:space="preserve"> Case </w:t>
      </w:r>
      <w:proofErr w:type="spellStart"/>
      <w:r w:rsidRPr="00BB2872">
        <w:t>of</w:t>
      </w:r>
      <w:proofErr w:type="spellEnd"/>
      <w:r w:rsidRPr="00BB2872">
        <w:t xml:space="preserve"> </w:t>
      </w:r>
      <w:proofErr w:type="spellStart"/>
      <w:r w:rsidRPr="00BB2872">
        <w:t>the</w:t>
      </w:r>
      <w:proofErr w:type="spellEnd"/>
      <w:r w:rsidRPr="00BB2872">
        <w:t xml:space="preserve"> Czech Republic.” </w:t>
      </w:r>
      <w:proofErr w:type="spellStart"/>
      <w:r w:rsidRPr="00BB2872">
        <w:rPr>
          <w:i/>
          <w:iCs/>
        </w:rPr>
        <w:t>Eastern</w:t>
      </w:r>
      <w:proofErr w:type="spellEnd"/>
      <w:r w:rsidRPr="00BB2872">
        <w:rPr>
          <w:i/>
          <w:iCs/>
        </w:rPr>
        <w:t xml:space="preserve"> </w:t>
      </w:r>
      <w:proofErr w:type="spellStart"/>
      <w:r w:rsidRPr="00BB2872">
        <w:rPr>
          <w:i/>
          <w:iCs/>
        </w:rPr>
        <w:t>European</w:t>
      </w:r>
      <w:proofErr w:type="spellEnd"/>
      <w:r w:rsidRPr="00BB2872">
        <w:rPr>
          <w:i/>
          <w:iCs/>
        </w:rPr>
        <w:t xml:space="preserve"> </w:t>
      </w:r>
      <w:proofErr w:type="spellStart"/>
      <w:r w:rsidRPr="00BB2872">
        <w:rPr>
          <w:i/>
          <w:iCs/>
        </w:rPr>
        <w:t>Economics</w:t>
      </w:r>
      <w:proofErr w:type="spellEnd"/>
      <w:r w:rsidRPr="00BB2872">
        <w:rPr>
          <w:i/>
          <w:iCs/>
        </w:rPr>
        <w:t xml:space="preserve"> </w:t>
      </w:r>
      <w:r w:rsidRPr="00BB2872">
        <w:t>57(1): 70-85. </w:t>
      </w:r>
    </w:p>
    <w:p w14:paraId="6FD8504E" w14:textId="77777777" w:rsidR="00466AD9" w:rsidRPr="00BB2872" w:rsidRDefault="00466AD9" w:rsidP="00466AD9">
      <w:pPr>
        <w:pStyle w:val="Normlnweb"/>
        <w:spacing w:before="120" w:beforeAutospacing="0" w:after="200" w:afterAutospacing="0"/>
        <w:jc w:val="both"/>
      </w:pPr>
      <w:proofErr w:type="spellStart"/>
      <w:r w:rsidRPr="00BB2872">
        <w:t>Can</w:t>
      </w:r>
      <w:proofErr w:type="spellEnd"/>
      <w:r w:rsidRPr="00BB2872">
        <w:t>, U. 2020. “</w:t>
      </w:r>
      <w:proofErr w:type="spellStart"/>
      <w:r w:rsidRPr="00BB2872">
        <w:t>How</w:t>
      </w:r>
      <w:proofErr w:type="spellEnd"/>
      <w:r w:rsidRPr="00BB2872">
        <w:t xml:space="preserve"> </w:t>
      </w:r>
      <w:proofErr w:type="spellStart"/>
      <w:r w:rsidRPr="00BB2872">
        <w:t>Does</w:t>
      </w:r>
      <w:proofErr w:type="spellEnd"/>
      <w:r w:rsidRPr="00BB2872">
        <w:t xml:space="preserve"> </w:t>
      </w:r>
      <w:proofErr w:type="spellStart"/>
      <w:r w:rsidRPr="00BB2872">
        <w:t>the</w:t>
      </w:r>
      <w:proofErr w:type="spellEnd"/>
      <w:r w:rsidRPr="00BB2872">
        <w:t xml:space="preserve"> </w:t>
      </w:r>
      <w:proofErr w:type="spellStart"/>
      <w:r w:rsidRPr="00BB2872">
        <w:t>Monetary</w:t>
      </w:r>
      <w:proofErr w:type="spellEnd"/>
      <w:r w:rsidRPr="00BB2872">
        <w:t xml:space="preserve"> </w:t>
      </w:r>
      <w:proofErr w:type="spellStart"/>
      <w:r w:rsidRPr="00BB2872">
        <w:t>Transmission</w:t>
      </w:r>
      <w:proofErr w:type="spellEnd"/>
      <w:r w:rsidRPr="00BB2872">
        <w:t xml:space="preserve"> </w:t>
      </w:r>
      <w:proofErr w:type="spellStart"/>
      <w:r w:rsidRPr="00BB2872">
        <w:t>Mechanism</w:t>
      </w:r>
      <w:proofErr w:type="spellEnd"/>
      <w:r w:rsidRPr="00BB2872">
        <w:t xml:space="preserve"> </w:t>
      </w:r>
      <w:proofErr w:type="spellStart"/>
      <w:r w:rsidRPr="00BB2872">
        <w:t>Work</w:t>
      </w:r>
      <w:proofErr w:type="spellEnd"/>
      <w:r w:rsidRPr="00BB2872">
        <w:t xml:space="preserve">? Evidence </w:t>
      </w:r>
      <w:proofErr w:type="spellStart"/>
      <w:r w:rsidRPr="00BB2872">
        <w:t>from</w:t>
      </w:r>
      <w:proofErr w:type="spellEnd"/>
      <w:r w:rsidRPr="00BB2872">
        <w:t xml:space="preserve"> </w:t>
      </w:r>
      <w:proofErr w:type="spellStart"/>
      <w:r w:rsidRPr="00BB2872">
        <w:t>Turkey</w:t>
      </w:r>
      <w:proofErr w:type="spellEnd"/>
      <w:r w:rsidRPr="00BB2872">
        <w:t xml:space="preserve">.” </w:t>
      </w:r>
      <w:proofErr w:type="spellStart"/>
      <w:r w:rsidRPr="00BB2872">
        <w:rPr>
          <w:i/>
          <w:iCs/>
        </w:rPr>
        <w:t>Borsa</w:t>
      </w:r>
      <w:proofErr w:type="spellEnd"/>
      <w:r w:rsidRPr="00BB2872">
        <w:rPr>
          <w:i/>
          <w:iCs/>
        </w:rPr>
        <w:t xml:space="preserve"> Istanbul </w:t>
      </w:r>
      <w:proofErr w:type="spellStart"/>
      <w:r w:rsidRPr="00BB2872">
        <w:rPr>
          <w:i/>
          <w:iCs/>
        </w:rPr>
        <w:t>Review</w:t>
      </w:r>
      <w:proofErr w:type="spellEnd"/>
      <w:r w:rsidRPr="00BB2872">
        <w:t xml:space="preserve">, </w:t>
      </w:r>
      <w:r w:rsidRPr="00BB2872">
        <w:rPr>
          <w:i/>
          <w:iCs/>
        </w:rPr>
        <w:t xml:space="preserve">in </w:t>
      </w:r>
      <w:proofErr w:type="spellStart"/>
      <w:r w:rsidRPr="00BB2872">
        <w:rPr>
          <w:i/>
          <w:iCs/>
        </w:rPr>
        <w:t>press</w:t>
      </w:r>
      <w:proofErr w:type="spellEnd"/>
      <w:r w:rsidRPr="00BB2872">
        <w:t>, https://doi.org/10.1016/j.bir.2020.05.004</w:t>
      </w:r>
    </w:p>
    <w:p w14:paraId="588DA8EF" w14:textId="77777777" w:rsidR="00466AD9" w:rsidRPr="00BB2872" w:rsidRDefault="00466AD9" w:rsidP="00466AD9">
      <w:pPr>
        <w:pStyle w:val="Normlnweb"/>
        <w:spacing w:before="120" w:beforeAutospacing="0" w:after="200" w:afterAutospacing="0"/>
        <w:jc w:val="both"/>
      </w:pPr>
      <w:proofErr w:type="spellStart"/>
      <w:r w:rsidRPr="00BB2872">
        <w:t>Chakraborty</w:t>
      </w:r>
      <w:proofErr w:type="spellEnd"/>
      <w:r w:rsidRPr="00BB2872">
        <w:t xml:space="preserve">, I., R. Hai, H.A. </w:t>
      </w:r>
      <w:proofErr w:type="spellStart"/>
      <w:r w:rsidRPr="00BB2872">
        <w:t>Holter</w:t>
      </w:r>
      <w:proofErr w:type="spellEnd"/>
      <w:r w:rsidRPr="00BB2872">
        <w:t xml:space="preserve"> and S. </w:t>
      </w:r>
      <w:proofErr w:type="spellStart"/>
      <w:r w:rsidRPr="00BB2872">
        <w:t>Stepanchuk</w:t>
      </w:r>
      <w:proofErr w:type="spellEnd"/>
      <w:r w:rsidRPr="00BB2872">
        <w:t>. 2017. “</w:t>
      </w:r>
      <w:proofErr w:type="spellStart"/>
      <w:r w:rsidRPr="00BB2872">
        <w:t>The</w:t>
      </w:r>
      <w:proofErr w:type="spellEnd"/>
      <w:r w:rsidRPr="00BB2872">
        <w:t xml:space="preserve"> Real </w:t>
      </w:r>
      <w:proofErr w:type="spellStart"/>
      <w:r w:rsidRPr="00BB2872">
        <w:t>Effects</w:t>
      </w:r>
      <w:proofErr w:type="spellEnd"/>
      <w:r w:rsidRPr="00BB2872">
        <w:t xml:space="preserve"> </w:t>
      </w:r>
      <w:proofErr w:type="spellStart"/>
      <w:r w:rsidRPr="00BB2872">
        <w:t>of</w:t>
      </w:r>
      <w:proofErr w:type="spellEnd"/>
      <w:r w:rsidRPr="00BB2872">
        <w:t xml:space="preserve"> </w:t>
      </w:r>
      <w:proofErr w:type="spellStart"/>
      <w:r w:rsidRPr="00BB2872">
        <w:t>Financial</w:t>
      </w:r>
      <w:proofErr w:type="spellEnd"/>
      <w:r w:rsidRPr="00BB2872">
        <w:t xml:space="preserve"> (Dis)</w:t>
      </w:r>
      <w:proofErr w:type="spellStart"/>
      <w:r w:rsidRPr="00BB2872">
        <w:t>Integration</w:t>
      </w:r>
      <w:proofErr w:type="spellEnd"/>
      <w:r w:rsidRPr="00BB2872">
        <w:t xml:space="preserve">: A </w:t>
      </w:r>
      <w:proofErr w:type="spellStart"/>
      <w:r w:rsidRPr="00BB2872">
        <w:t>Multi</w:t>
      </w:r>
      <w:proofErr w:type="spellEnd"/>
      <w:r w:rsidRPr="00BB2872">
        <w:t xml:space="preserve">-Country </w:t>
      </w:r>
      <w:proofErr w:type="spellStart"/>
      <w:r w:rsidRPr="00BB2872">
        <w:t>Equilibrium</w:t>
      </w:r>
      <w:proofErr w:type="spellEnd"/>
      <w:r w:rsidRPr="00BB2872">
        <w:t xml:space="preserve"> </w:t>
      </w:r>
      <w:proofErr w:type="spellStart"/>
      <w:r w:rsidRPr="00BB2872">
        <w:t>Analysis</w:t>
      </w:r>
      <w:proofErr w:type="spellEnd"/>
      <w:r w:rsidRPr="00BB2872">
        <w:t xml:space="preserve"> </w:t>
      </w:r>
      <w:proofErr w:type="spellStart"/>
      <w:r w:rsidRPr="00BB2872">
        <w:t>of</w:t>
      </w:r>
      <w:proofErr w:type="spellEnd"/>
      <w:r w:rsidRPr="00BB2872">
        <w:t xml:space="preserve"> </w:t>
      </w:r>
      <w:proofErr w:type="spellStart"/>
      <w:r w:rsidRPr="00BB2872">
        <w:t>Europe</w:t>
      </w:r>
      <w:proofErr w:type="spellEnd"/>
      <w:r w:rsidRPr="00BB2872">
        <w:t xml:space="preserve">.” </w:t>
      </w:r>
      <w:proofErr w:type="spellStart"/>
      <w:r w:rsidRPr="00BB2872">
        <w:rPr>
          <w:i/>
          <w:iCs/>
        </w:rPr>
        <w:t>Journal</w:t>
      </w:r>
      <w:proofErr w:type="spellEnd"/>
      <w:r w:rsidRPr="00BB2872">
        <w:rPr>
          <w:i/>
          <w:iCs/>
        </w:rPr>
        <w:t xml:space="preserve"> </w:t>
      </w:r>
      <w:proofErr w:type="spellStart"/>
      <w:r w:rsidRPr="00BB2872">
        <w:rPr>
          <w:i/>
          <w:iCs/>
        </w:rPr>
        <w:t>of</w:t>
      </w:r>
      <w:proofErr w:type="spellEnd"/>
      <w:r w:rsidRPr="00BB2872">
        <w:rPr>
          <w:i/>
          <w:iCs/>
        </w:rPr>
        <w:t xml:space="preserve"> </w:t>
      </w:r>
      <w:proofErr w:type="spellStart"/>
      <w:r w:rsidRPr="00BB2872">
        <w:rPr>
          <w:i/>
          <w:iCs/>
        </w:rPr>
        <w:t>Monetary</w:t>
      </w:r>
      <w:proofErr w:type="spellEnd"/>
      <w:r w:rsidRPr="00BB2872">
        <w:rPr>
          <w:i/>
          <w:iCs/>
        </w:rPr>
        <w:t xml:space="preserve"> </w:t>
      </w:r>
      <w:proofErr w:type="spellStart"/>
      <w:r w:rsidRPr="00BB2872">
        <w:rPr>
          <w:i/>
          <w:iCs/>
        </w:rPr>
        <w:t>Economics</w:t>
      </w:r>
      <w:proofErr w:type="spellEnd"/>
      <w:r w:rsidRPr="00BB2872">
        <w:t xml:space="preserve"> 85: 28-45. </w:t>
      </w:r>
    </w:p>
    <w:p w14:paraId="4D96C88B" w14:textId="77777777" w:rsidR="00466AD9" w:rsidRPr="00BB2872" w:rsidRDefault="00466AD9" w:rsidP="00466AD9">
      <w:pPr>
        <w:pStyle w:val="Normlnweb"/>
        <w:spacing w:before="120" w:beforeAutospacing="0" w:after="200" w:afterAutospacing="0"/>
        <w:jc w:val="both"/>
      </w:pPr>
      <w:proofErr w:type="spellStart"/>
      <w:r w:rsidRPr="00BB2872">
        <w:t>Colciago</w:t>
      </w:r>
      <w:proofErr w:type="spellEnd"/>
      <w:r w:rsidRPr="00BB2872">
        <w:t xml:space="preserve">, A., A. </w:t>
      </w:r>
      <w:proofErr w:type="spellStart"/>
      <w:r w:rsidRPr="00BB2872">
        <w:t>Samarina</w:t>
      </w:r>
      <w:proofErr w:type="spellEnd"/>
      <w:r w:rsidRPr="00BB2872">
        <w:t xml:space="preserve"> and J. de </w:t>
      </w:r>
      <w:proofErr w:type="spellStart"/>
      <w:r w:rsidRPr="00BB2872">
        <w:t>Haan</w:t>
      </w:r>
      <w:proofErr w:type="spellEnd"/>
      <w:r w:rsidRPr="00BB2872">
        <w:t>. 2019. “</w:t>
      </w:r>
      <w:proofErr w:type="spellStart"/>
      <w:r w:rsidRPr="00BB2872">
        <w:t>Central</w:t>
      </w:r>
      <w:proofErr w:type="spellEnd"/>
      <w:r w:rsidRPr="00BB2872">
        <w:t xml:space="preserve"> Bank </w:t>
      </w:r>
      <w:proofErr w:type="spellStart"/>
      <w:r w:rsidRPr="00BB2872">
        <w:t>Policies</w:t>
      </w:r>
      <w:proofErr w:type="spellEnd"/>
      <w:r w:rsidRPr="00BB2872">
        <w:t xml:space="preserve"> and </w:t>
      </w:r>
      <w:proofErr w:type="spellStart"/>
      <w:r w:rsidRPr="00BB2872">
        <w:t>Income</w:t>
      </w:r>
      <w:proofErr w:type="spellEnd"/>
      <w:r w:rsidRPr="00BB2872">
        <w:t xml:space="preserve"> and </w:t>
      </w:r>
      <w:proofErr w:type="spellStart"/>
      <w:r w:rsidRPr="00BB2872">
        <w:t>Wealth</w:t>
      </w:r>
      <w:proofErr w:type="spellEnd"/>
      <w:r w:rsidRPr="00BB2872">
        <w:t xml:space="preserve"> </w:t>
      </w:r>
      <w:proofErr w:type="spellStart"/>
      <w:r w:rsidRPr="00BB2872">
        <w:t>Inequality</w:t>
      </w:r>
      <w:proofErr w:type="spellEnd"/>
      <w:r w:rsidRPr="00BB2872">
        <w:t xml:space="preserve">: A </w:t>
      </w:r>
      <w:proofErr w:type="spellStart"/>
      <w:r w:rsidRPr="00BB2872">
        <w:t>Survey</w:t>
      </w:r>
      <w:proofErr w:type="spellEnd"/>
      <w:r w:rsidRPr="00BB2872">
        <w:t xml:space="preserve">.” </w:t>
      </w:r>
      <w:proofErr w:type="spellStart"/>
      <w:r w:rsidRPr="00BB2872">
        <w:rPr>
          <w:i/>
          <w:iCs/>
        </w:rPr>
        <w:t>Journal</w:t>
      </w:r>
      <w:proofErr w:type="spellEnd"/>
      <w:r w:rsidRPr="00BB2872">
        <w:rPr>
          <w:i/>
          <w:iCs/>
        </w:rPr>
        <w:t xml:space="preserve"> </w:t>
      </w:r>
      <w:proofErr w:type="spellStart"/>
      <w:r w:rsidRPr="00BB2872">
        <w:rPr>
          <w:i/>
          <w:iCs/>
        </w:rPr>
        <w:t>of</w:t>
      </w:r>
      <w:proofErr w:type="spellEnd"/>
      <w:r w:rsidRPr="00BB2872">
        <w:rPr>
          <w:i/>
          <w:iCs/>
        </w:rPr>
        <w:t xml:space="preserve"> </w:t>
      </w:r>
      <w:proofErr w:type="spellStart"/>
      <w:r w:rsidRPr="00BB2872">
        <w:rPr>
          <w:i/>
          <w:iCs/>
        </w:rPr>
        <w:t>Economic</w:t>
      </w:r>
      <w:proofErr w:type="spellEnd"/>
      <w:r w:rsidRPr="00BB2872">
        <w:rPr>
          <w:i/>
          <w:iCs/>
        </w:rPr>
        <w:t xml:space="preserve"> </w:t>
      </w:r>
      <w:proofErr w:type="spellStart"/>
      <w:r w:rsidRPr="00BB2872">
        <w:rPr>
          <w:i/>
          <w:iCs/>
        </w:rPr>
        <w:t>Surveys</w:t>
      </w:r>
      <w:proofErr w:type="spellEnd"/>
      <w:r w:rsidRPr="00BB2872">
        <w:t xml:space="preserve"> 33(4): 1199-1231. </w:t>
      </w:r>
    </w:p>
    <w:p w14:paraId="2C984FAB" w14:textId="77777777" w:rsidR="00466AD9" w:rsidRPr="00BB2872" w:rsidRDefault="00466AD9" w:rsidP="00466AD9">
      <w:pPr>
        <w:pStyle w:val="Normlnweb"/>
        <w:spacing w:before="120" w:beforeAutospacing="0" w:after="200" w:afterAutospacing="0"/>
        <w:jc w:val="both"/>
      </w:pPr>
      <w:r w:rsidRPr="00BB2872">
        <w:t xml:space="preserve">Czech </w:t>
      </w:r>
      <w:proofErr w:type="spellStart"/>
      <w:r w:rsidRPr="00BB2872">
        <w:t>National</w:t>
      </w:r>
      <w:proofErr w:type="spellEnd"/>
      <w:r w:rsidRPr="00BB2872">
        <w:t xml:space="preserve"> Bank. 2018. “Report on </w:t>
      </w:r>
      <w:proofErr w:type="spellStart"/>
      <w:r w:rsidRPr="00BB2872">
        <w:t>Inflation</w:t>
      </w:r>
      <w:proofErr w:type="spellEnd"/>
      <w:r w:rsidRPr="00BB2872">
        <w:t xml:space="preserve"> – </w:t>
      </w:r>
      <w:proofErr w:type="spellStart"/>
      <w:r w:rsidRPr="00BB2872">
        <w:t>The</w:t>
      </w:r>
      <w:proofErr w:type="spellEnd"/>
      <w:r w:rsidRPr="00BB2872">
        <w:t xml:space="preserve"> </w:t>
      </w:r>
      <w:proofErr w:type="spellStart"/>
      <w:r w:rsidRPr="00BB2872">
        <w:t>Impact</w:t>
      </w:r>
      <w:proofErr w:type="spellEnd"/>
      <w:r w:rsidRPr="00BB2872">
        <w:t xml:space="preserve"> </w:t>
      </w:r>
      <w:proofErr w:type="spellStart"/>
      <w:r w:rsidRPr="00BB2872">
        <w:t>of</w:t>
      </w:r>
      <w:proofErr w:type="spellEnd"/>
      <w:r w:rsidRPr="00BB2872">
        <w:t xml:space="preserve"> </w:t>
      </w:r>
      <w:proofErr w:type="spellStart"/>
      <w:r w:rsidRPr="00BB2872">
        <w:t>Increasing</w:t>
      </w:r>
      <w:proofErr w:type="spellEnd"/>
      <w:r w:rsidRPr="00BB2872">
        <w:t xml:space="preserve"> </w:t>
      </w:r>
      <w:proofErr w:type="spellStart"/>
      <w:r w:rsidRPr="00BB2872">
        <w:t>of</w:t>
      </w:r>
      <w:proofErr w:type="spellEnd"/>
      <w:r w:rsidRPr="00BB2872">
        <w:t xml:space="preserve"> </w:t>
      </w:r>
      <w:proofErr w:type="spellStart"/>
      <w:r w:rsidRPr="00BB2872">
        <w:t>CNBs</w:t>
      </w:r>
      <w:proofErr w:type="spellEnd"/>
      <w:r w:rsidRPr="00BB2872">
        <w:t xml:space="preserve"> </w:t>
      </w:r>
      <w:proofErr w:type="spellStart"/>
      <w:r w:rsidRPr="00BB2872">
        <w:t>Policy</w:t>
      </w:r>
      <w:proofErr w:type="spellEnd"/>
      <w:r w:rsidRPr="00BB2872">
        <w:t xml:space="preserve"> </w:t>
      </w:r>
      <w:proofErr w:type="spellStart"/>
      <w:r w:rsidRPr="00BB2872">
        <w:t>Rates</w:t>
      </w:r>
      <w:proofErr w:type="spellEnd"/>
      <w:r w:rsidRPr="00BB2872">
        <w:t xml:space="preserve"> on </w:t>
      </w:r>
      <w:proofErr w:type="spellStart"/>
      <w:r w:rsidRPr="00BB2872">
        <w:t>Client</w:t>
      </w:r>
      <w:proofErr w:type="spellEnd"/>
      <w:r w:rsidRPr="00BB2872">
        <w:t xml:space="preserve"> </w:t>
      </w:r>
      <w:proofErr w:type="spellStart"/>
      <w:r w:rsidRPr="00BB2872">
        <w:t>Rates</w:t>
      </w:r>
      <w:proofErr w:type="spellEnd"/>
      <w:r w:rsidRPr="00BB2872">
        <w:t xml:space="preserve">.” </w:t>
      </w:r>
      <w:proofErr w:type="spellStart"/>
      <w:r w:rsidRPr="00BB2872">
        <w:t>Accessed</w:t>
      </w:r>
      <w:proofErr w:type="spellEnd"/>
      <w:r w:rsidRPr="00BB2872">
        <w:t xml:space="preserve"> 9 August 2020. https://www.cnb.cz/cs/menova-politika/zpravy-o-inflaci/tematicke-prilohy-a-boxy/Dopad-zvyseni-urokovych-sazeb-CNB-do-klientskych-sazeb</w:t>
      </w:r>
    </w:p>
    <w:p w14:paraId="6A351E6C" w14:textId="77777777" w:rsidR="00466AD9" w:rsidRPr="00BB2872" w:rsidRDefault="00466AD9" w:rsidP="00466AD9">
      <w:pPr>
        <w:pStyle w:val="Normlnweb"/>
        <w:spacing w:before="120" w:beforeAutospacing="0" w:after="200" w:afterAutospacing="0"/>
        <w:jc w:val="both"/>
      </w:pPr>
      <w:r w:rsidRPr="00BB2872">
        <w:t xml:space="preserve">Czech </w:t>
      </w:r>
      <w:proofErr w:type="spellStart"/>
      <w:r w:rsidRPr="00BB2872">
        <w:t>National</w:t>
      </w:r>
      <w:proofErr w:type="spellEnd"/>
      <w:r w:rsidRPr="00BB2872">
        <w:t xml:space="preserve"> Bank. 2020. “ARAD Database – Time </w:t>
      </w:r>
      <w:proofErr w:type="spellStart"/>
      <w:r w:rsidRPr="00BB2872">
        <w:t>Series</w:t>
      </w:r>
      <w:proofErr w:type="spellEnd"/>
      <w:r w:rsidRPr="00BB2872">
        <w:t xml:space="preserve"> </w:t>
      </w:r>
      <w:proofErr w:type="spellStart"/>
      <w:r w:rsidRPr="00BB2872">
        <w:t>System</w:t>
      </w:r>
      <w:proofErr w:type="spellEnd"/>
      <w:r w:rsidRPr="00BB2872">
        <w:t xml:space="preserve">.” </w:t>
      </w:r>
      <w:proofErr w:type="spellStart"/>
      <w:r w:rsidRPr="00BB2872">
        <w:t>Accessed</w:t>
      </w:r>
      <w:proofErr w:type="spellEnd"/>
      <w:r w:rsidRPr="00BB2872">
        <w:t xml:space="preserve"> 9 June 2020. </w:t>
      </w:r>
      <w:hyperlink r:id="rId12" w:history="1">
        <w:r w:rsidRPr="00BB2872">
          <w:rPr>
            <w:rStyle w:val="Hypertextovodkaz"/>
            <w:color w:val="auto"/>
          </w:rPr>
          <w:t>https://www.cnb.cz/docs/ARADY/HTML/index.htm</w:t>
        </w:r>
      </w:hyperlink>
    </w:p>
    <w:p w14:paraId="12DD0422" w14:textId="77777777" w:rsidR="00466AD9" w:rsidRPr="00BB2872" w:rsidRDefault="00466AD9" w:rsidP="00466AD9">
      <w:pPr>
        <w:pStyle w:val="Normlnweb"/>
        <w:spacing w:before="120" w:beforeAutospacing="0" w:after="200" w:afterAutospacing="0"/>
        <w:jc w:val="both"/>
      </w:pPr>
      <w:r w:rsidRPr="00BB2872">
        <w:t xml:space="preserve">Czech </w:t>
      </w:r>
      <w:proofErr w:type="spellStart"/>
      <w:r w:rsidRPr="00BB2872">
        <w:t>National</w:t>
      </w:r>
      <w:proofErr w:type="spellEnd"/>
      <w:r w:rsidRPr="00BB2872">
        <w:t xml:space="preserve"> Bank. 2020. “</w:t>
      </w:r>
      <w:proofErr w:type="spellStart"/>
      <w:r w:rsidRPr="00BB2872">
        <w:t>Inflation</w:t>
      </w:r>
      <w:proofErr w:type="spellEnd"/>
      <w:r w:rsidRPr="00BB2872">
        <w:t xml:space="preserve"> Report IV/2020.” </w:t>
      </w:r>
      <w:proofErr w:type="spellStart"/>
      <w:r w:rsidRPr="00BB2872">
        <w:t>Accessed</w:t>
      </w:r>
      <w:proofErr w:type="spellEnd"/>
      <w:r w:rsidRPr="00BB2872">
        <w:t xml:space="preserve"> 5 June 2021. https://www.cnb.cz/export/sites/cnb/en/monetary-policy/.galleries/inflation_reports/2020/2020_IV/download/ir_IV_2020.pdf </w:t>
      </w:r>
    </w:p>
    <w:p w14:paraId="43F4393C" w14:textId="77777777" w:rsidR="00466AD9" w:rsidRPr="00BB2872" w:rsidRDefault="00466AD9" w:rsidP="00466AD9">
      <w:pPr>
        <w:pStyle w:val="Normlnweb"/>
        <w:spacing w:before="120" w:beforeAutospacing="0" w:after="200" w:afterAutospacing="0"/>
        <w:jc w:val="both"/>
      </w:pPr>
      <w:r w:rsidRPr="00BB2872">
        <w:t xml:space="preserve">Czech </w:t>
      </w:r>
      <w:proofErr w:type="spellStart"/>
      <w:r w:rsidRPr="00BB2872">
        <w:t>National</w:t>
      </w:r>
      <w:proofErr w:type="spellEnd"/>
      <w:r w:rsidRPr="00BB2872">
        <w:t xml:space="preserve"> Bank. 2021. “</w:t>
      </w:r>
      <w:proofErr w:type="spellStart"/>
      <w:r w:rsidRPr="00BB2872">
        <w:t>Monetary</w:t>
      </w:r>
      <w:proofErr w:type="spellEnd"/>
      <w:r w:rsidRPr="00BB2872">
        <w:t xml:space="preserve"> </w:t>
      </w:r>
      <w:proofErr w:type="spellStart"/>
      <w:r w:rsidRPr="00BB2872">
        <w:t>Policy</w:t>
      </w:r>
      <w:proofErr w:type="spellEnd"/>
      <w:r w:rsidRPr="00BB2872">
        <w:t xml:space="preserve"> </w:t>
      </w:r>
      <w:proofErr w:type="gramStart"/>
      <w:r w:rsidRPr="00BB2872">
        <w:t xml:space="preserve">Report - </w:t>
      </w:r>
      <w:proofErr w:type="spellStart"/>
      <w:r w:rsidRPr="00BB2872">
        <w:t>Summer</w:t>
      </w:r>
      <w:proofErr w:type="spellEnd"/>
      <w:proofErr w:type="gramEnd"/>
      <w:r w:rsidRPr="00BB2872">
        <w:t xml:space="preserve"> 2021.” </w:t>
      </w:r>
      <w:proofErr w:type="spellStart"/>
      <w:r w:rsidRPr="00BB2872">
        <w:t>Accessed</w:t>
      </w:r>
      <w:proofErr w:type="spellEnd"/>
      <w:r w:rsidRPr="00BB2872">
        <w:t xml:space="preserve"> 15 August 2021. https://www.cnb.cz/en/monetary-policy/monetary-policy-reports/Monetary-Policy-Report-Summer-2021/</w:t>
      </w:r>
    </w:p>
    <w:p w14:paraId="0B448512" w14:textId="77777777" w:rsidR="00466AD9" w:rsidRPr="00BB2872" w:rsidRDefault="00466AD9" w:rsidP="00466AD9">
      <w:pPr>
        <w:pStyle w:val="Normlnweb"/>
        <w:spacing w:before="120" w:beforeAutospacing="0" w:after="0" w:afterAutospacing="0"/>
        <w:jc w:val="both"/>
      </w:pPr>
      <w:r w:rsidRPr="00BB2872">
        <w:t xml:space="preserve">Czech </w:t>
      </w:r>
      <w:proofErr w:type="spellStart"/>
      <w:r w:rsidRPr="00BB2872">
        <w:t>Statistical</w:t>
      </w:r>
      <w:proofErr w:type="spellEnd"/>
      <w:r w:rsidRPr="00BB2872">
        <w:t xml:space="preserve"> Office. 2020. “</w:t>
      </w:r>
      <w:proofErr w:type="spellStart"/>
      <w:r w:rsidRPr="00BB2872">
        <w:t>Statistics</w:t>
      </w:r>
      <w:proofErr w:type="spellEnd"/>
      <w:r w:rsidRPr="00BB2872">
        <w:t xml:space="preserve"> – </w:t>
      </w:r>
      <w:proofErr w:type="spellStart"/>
      <w:r w:rsidRPr="00BB2872">
        <w:t>Inflation</w:t>
      </w:r>
      <w:proofErr w:type="spellEnd"/>
      <w:r w:rsidRPr="00BB2872">
        <w:t xml:space="preserve">, </w:t>
      </w:r>
      <w:proofErr w:type="spellStart"/>
      <w:r w:rsidRPr="00BB2872">
        <w:t>Consumer</w:t>
      </w:r>
      <w:proofErr w:type="spellEnd"/>
      <w:r w:rsidRPr="00BB2872">
        <w:t xml:space="preserve"> </w:t>
      </w:r>
      <w:proofErr w:type="spellStart"/>
      <w:r w:rsidRPr="00BB2872">
        <w:t>Prices</w:t>
      </w:r>
      <w:proofErr w:type="spellEnd"/>
      <w:r w:rsidRPr="00BB2872">
        <w:t xml:space="preserve">.” </w:t>
      </w:r>
      <w:proofErr w:type="spellStart"/>
      <w:r w:rsidRPr="00BB2872">
        <w:t>Accessed</w:t>
      </w:r>
      <w:proofErr w:type="spellEnd"/>
      <w:r w:rsidRPr="00BB2872">
        <w:t xml:space="preserve"> 9 June 2020.  https://www.czso.cz/csu/czso/inflation_consumer_prices_ekon</w:t>
      </w:r>
    </w:p>
    <w:p w14:paraId="5EB1C7F2" w14:textId="77777777" w:rsidR="00466AD9" w:rsidRPr="00BB2872" w:rsidRDefault="00466AD9" w:rsidP="00466AD9">
      <w:pPr>
        <w:pStyle w:val="Normlnweb"/>
        <w:spacing w:before="120" w:beforeAutospacing="0" w:after="0" w:afterAutospacing="0"/>
        <w:jc w:val="both"/>
      </w:pPr>
      <w:proofErr w:type="spellStart"/>
      <w:r w:rsidRPr="00BB2872">
        <w:t>Dahlhaus</w:t>
      </w:r>
      <w:proofErr w:type="spellEnd"/>
      <w:r w:rsidRPr="00BB2872">
        <w:t xml:space="preserve">, R., I.Z. Kiss and J.C. </w:t>
      </w:r>
      <w:proofErr w:type="spellStart"/>
      <w:r w:rsidRPr="00BB2872">
        <w:t>Neddermeyer</w:t>
      </w:r>
      <w:proofErr w:type="spellEnd"/>
      <w:r w:rsidRPr="00BB2872">
        <w:t xml:space="preserve">. 2018. “On </w:t>
      </w:r>
      <w:proofErr w:type="spellStart"/>
      <w:r w:rsidRPr="00BB2872">
        <w:t>the</w:t>
      </w:r>
      <w:proofErr w:type="spellEnd"/>
      <w:r w:rsidRPr="00BB2872">
        <w:t xml:space="preserve"> </w:t>
      </w:r>
      <w:proofErr w:type="spellStart"/>
      <w:r w:rsidRPr="00BB2872">
        <w:t>Relationship</w:t>
      </w:r>
      <w:proofErr w:type="spellEnd"/>
      <w:r w:rsidRPr="00BB2872">
        <w:t xml:space="preserve"> </w:t>
      </w:r>
      <w:proofErr w:type="spellStart"/>
      <w:r w:rsidRPr="00BB2872">
        <w:t>Between</w:t>
      </w:r>
      <w:proofErr w:type="spellEnd"/>
      <w:r w:rsidRPr="00BB2872">
        <w:t xml:space="preserve"> </w:t>
      </w:r>
      <w:proofErr w:type="spellStart"/>
      <w:r w:rsidRPr="00BB2872">
        <w:t>the</w:t>
      </w:r>
      <w:proofErr w:type="spellEnd"/>
      <w:r w:rsidRPr="00BB2872">
        <w:t xml:space="preserve"> </w:t>
      </w:r>
      <w:proofErr w:type="spellStart"/>
      <w:r w:rsidRPr="00BB2872">
        <w:t>Theory</w:t>
      </w:r>
      <w:proofErr w:type="spellEnd"/>
      <w:r w:rsidRPr="00BB2872">
        <w:t xml:space="preserve"> </w:t>
      </w:r>
      <w:proofErr w:type="spellStart"/>
      <w:r w:rsidRPr="00BB2872">
        <w:t>of</w:t>
      </w:r>
      <w:proofErr w:type="spellEnd"/>
      <w:r w:rsidRPr="00BB2872">
        <w:t xml:space="preserve"> </w:t>
      </w:r>
      <w:proofErr w:type="spellStart"/>
      <w:r w:rsidRPr="00BB2872">
        <w:t>Cointegration</w:t>
      </w:r>
      <w:proofErr w:type="spellEnd"/>
      <w:r w:rsidRPr="00BB2872">
        <w:t xml:space="preserve"> and </w:t>
      </w:r>
      <w:proofErr w:type="spellStart"/>
      <w:r w:rsidRPr="00BB2872">
        <w:t>the</w:t>
      </w:r>
      <w:proofErr w:type="spellEnd"/>
      <w:r w:rsidRPr="00BB2872">
        <w:t xml:space="preserve"> </w:t>
      </w:r>
      <w:proofErr w:type="spellStart"/>
      <w:r w:rsidRPr="00BB2872">
        <w:t>Theory</w:t>
      </w:r>
      <w:proofErr w:type="spellEnd"/>
      <w:r w:rsidRPr="00BB2872">
        <w:t xml:space="preserve"> </w:t>
      </w:r>
      <w:proofErr w:type="spellStart"/>
      <w:r w:rsidRPr="00BB2872">
        <w:t>of</w:t>
      </w:r>
      <w:proofErr w:type="spellEnd"/>
      <w:r w:rsidRPr="00BB2872">
        <w:t xml:space="preserve"> </w:t>
      </w:r>
      <w:proofErr w:type="spellStart"/>
      <w:r w:rsidRPr="00BB2872">
        <w:t>Phase</w:t>
      </w:r>
      <w:proofErr w:type="spellEnd"/>
      <w:r w:rsidRPr="00BB2872">
        <w:t xml:space="preserve"> </w:t>
      </w:r>
      <w:proofErr w:type="spellStart"/>
      <w:r w:rsidRPr="00BB2872">
        <w:t>Synchronization</w:t>
      </w:r>
      <w:proofErr w:type="spellEnd"/>
      <w:r w:rsidRPr="00BB2872">
        <w:t xml:space="preserve">.” </w:t>
      </w:r>
      <w:proofErr w:type="spellStart"/>
      <w:r w:rsidRPr="00BB2872">
        <w:rPr>
          <w:i/>
          <w:iCs/>
        </w:rPr>
        <w:t>Statistical</w:t>
      </w:r>
      <w:proofErr w:type="spellEnd"/>
      <w:r w:rsidRPr="00BB2872">
        <w:rPr>
          <w:i/>
          <w:iCs/>
        </w:rPr>
        <w:t xml:space="preserve"> Science</w:t>
      </w:r>
      <w:r w:rsidRPr="00BB2872">
        <w:t xml:space="preserve"> 33(3): 334–357.</w:t>
      </w:r>
    </w:p>
    <w:p w14:paraId="655088E5" w14:textId="4B9E25E5" w:rsidR="00466AD9" w:rsidRPr="00BB2872" w:rsidRDefault="00684BC8" w:rsidP="00466AD9">
      <w:pPr>
        <w:pStyle w:val="Normlnweb"/>
        <w:spacing w:before="120" w:beforeAutospacing="0" w:after="0" w:afterAutospacing="0"/>
        <w:jc w:val="both"/>
      </w:pPr>
      <w:r w:rsidRPr="00BB2872">
        <w:t xml:space="preserve">De </w:t>
      </w:r>
      <w:proofErr w:type="spellStart"/>
      <w:r w:rsidRPr="00BB2872">
        <w:t>Bond</w:t>
      </w:r>
      <w:r w:rsidR="00466AD9" w:rsidRPr="00BB2872">
        <w:t>t</w:t>
      </w:r>
      <w:proofErr w:type="spellEnd"/>
      <w:r w:rsidR="00466AD9" w:rsidRPr="00BB2872">
        <w:t xml:space="preserve">, G. 2002. “Retail Bank </w:t>
      </w:r>
      <w:proofErr w:type="spellStart"/>
      <w:r w:rsidR="00466AD9" w:rsidRPr="00BB2872">
        <w:t>Interest</w:t>
      </w:r>
      <w:proofErr w:type="spellEnd"/>
      <w:r w:rsidR="00466AD9" w:rsidRPr="00BB2872">
        <w:t xml:space="preserve"> </w:t>
      </w:r>
      <w:proofErr w:type="spellStart"/>
      <w:r w:rsidR="00466AD9" w:rsidRPr="00BB2872">
        <w:t>Rate</w:t>
      </w:r>
      <w:proofErr w:type="spellEnd"/>
      <w:r w:rsidR="00466AD9" w:rsidRPr="00BB2872">
        <w:t xml:space="preserve"> </w:t>
      </w:r>
      <w:proofErr w:type="spellStart"/>
      <w:r w:rsidR="00466AD9" w:rsidRPr="00BB2872">
        <w:t>Pass-Through</w:t>
      </w:r>
      <w:proofErr w:type="spellEnd"/>
      <w:r w:rsidR="00466AD9" w:rsidRPr="00BB2872">
        <w:t xml:space="preserve">: New Evidence </w:t>
      </w:r>
      <w:proofErr w:type="spellStart"/>
      <w:r w:rsidR="00466AD9" w:rsidRPr="00BB2872">
        <w:t>at</w:t>
      </w:r>
      <w:proofErr w:type="spellEnd"/>
      <w:r w:rsidR="00466AD9" w:rsidRPr="00BB2872">
        <w:t xml:space="preserve"> </w:t>
      </w:r>
      <w:proofErr w:type="spellStart"/>
      <w:r w:rsidR="00466AD9" w:rsidRPr="00BB2872">
        <w:t>the</w:t>
      </w:r>
      <w:proofErr w:type="spellEnd"/>
      <w:r w:rsidR="00466AD9" w:rsidRPr="00BB2872">
        <w:t xml:space="preserve"> Area Level.” </w:t>
      </w:r>
      <w:r w:rsidR="00466AD9" w:rsidRPr="00BB2872">
        <w:rPr>
          <w:i/>
          <w:iCs/>
        </w:rPr>
        <w:t xml:space="preserve">ECB </w:t>
      </w:r>
      <w:proofErr w:type="spellStart"/>
      <w:r w:rsidR="00466AD9" w:rsidRPr="00BB2872">
        <w:rPr>
          <w:i/>
          <w:iCs/>
        </w:rPr>
        <w:t>Working</w:t>
      </w:r>
      <w:proofErr w:type="spellEnd"/>
      <w:r w:rsidR="00466AD9" w:rsidRPr="00BB2872">
        <w:rPr>
          <w:i/>
          <w:iCs/>
        </w:rPr>
        <w:t xml:space="preserve"> </w:t>
      </w:r>
      <w:proofErr w:type="spellStart"/>
      <w:r w:rsidR="00466AD9" w:rsidRPr="00BB2872">
        <w:rPr>
          <w:i/>
          <w:iCs/>
        </w:rPr>
        <w:t>Paper</w:t>
      </w:r>
      <w:proofErr w:type="spellEnd"/>
      <w:r w:rsidR="00466AD9" w:rsidRPr="00BB2872">
        <w:rPr>
          <w:i/>
          <w:iCs/>
        </w:rPr>
        <w:t xml:space="preserve"> No 136. </w:t>
      </w:r>
    </w:p>
    <w:p w14:paraId="5DA0AE4E" w14:textId="77777777" w:rsidR="00466AD9" w:rsidRPr="00BB2872" w:rsidRDefault="00466AD9" w:rsidP="00466AD9">
      <w:pPr>
        <w:pStyle w:val="Normlnweb"/>
        <w:spacing w:before="120" w:beforeAutospacing="0" w:after="200" w:afterAutospacing="0"/>
        <w:jc w:val="both"/>
      </w:pPr>
      <w:proofErr w:type="spellStart"/>
      <w:r w:rsidRPr="00BB2872">
        <w:t>Deutsche</w:t>
      </w:r>
      <w:proofErr w:type="spellEnd"/>
      <w:r w:rsidRPr="00BB2872">
        <w:t xml:space="preserve"> Bundesbank. 2019. “</w:t>
      </w:r>
      <w:proofErr w:type="spellStart"/>
      <w:r w:rsidRPr="00BB2872">
        <w:t>Interest</w:t>
      </w:r>
      <w:proofErr w:type="spellEnd"/>
      <w:r w:rsidRPr="00BB2872">
        <w:t xml:space="preserve"> </w:t>
      </w:r>
      <w:proofErr w:type="spellStart"/>
      <w:r w:rsidRPr="00BB2872">
        <w:t>rate</w:t>
      </w:r>
      <w:proofErr w:type="spellEnd"/>
      <w:r w:rsidRPr="00BB2872">
        <w:t xml:space="preserve"> </w:t>
      </w:r>
      <w:proofErr w:type="spellStart"/>
      <w:proofErr w:type="gramStart"/>
      <w:r w:rsidRPr="00BB2872">
        <w:t>pass</w:t>
      </w:r>
      <w:proofErr w:type="spellEnd"/>
      <w:r w:rsidRPr="00BB2872">
        <w:t xml:space="preserve">- </w:t>
      </w:r>
      <w:proofErr w:type="spellStart"/>
      <w:r w:rsidRPr="00BB2872">
        <w:t>through</w:t>
      </w:r>
      <w:proofErr w:type="spellEnd"/>
      <w:proofErr w:type="gramEnd"/>
      <w:r w:rsidRPr="00BB2872">
        <w:t xml:space="preserve"> in </w:t>
      </w:r>
      <w:proofErr w:type="spellStart"/>
      <w:r w:rsidRPr="00BB2872">
        <w:t>the</w:t>
      </w:r>
      <w:proofErr w:type="spellEnd"/>
      <w:r w:rsidRPr="00BB2872">
        <w:t xml:space="preserve"> </w:t>
      </w:r>
      <w:proofErr w:type="spellStart"/>
      <w:r w:rsidRPr="00BB2872">
        <w:t>low</w:t>
      </w:r>
      <w:proofErr w:type="spellEnd"/>
      <w:r w:rsidRPr="00BB2872">
        <w:t xml:space="preserve"> </w:t>
      </w:r>
      <w:proofErr w:type="spellStart"/>
      <w:r w:rsidRPr="00BB2872">
        <w:t>interest</w:t>
      </w:r>
      <w:proofErr w:type="spellEnd"/>
      <w:r w:rsidRPr="00BB2872">
        <w:t xml:space="preserve"> </w:t>
      </w:r>
      <w:proofErr w:type="spellStart"/>
      <w:r w:rsidRPr="00BB2872">
        <w:t>rate</w:t>
      </w:r>
      <w:proofErr w:type="spellEnd"/>
      <w:r w:rsidRPr="00BB2872">
        <w:t xml:space="preserve"> environment. </w:t>
      </w:r>
      <w:proofErr w:type="spellStart"/>
      <w:r w:rsidRPr="00BB2872">
        <w:t>Monthly</w:t>
      </w:r>
      <w:proofErr w:type="spellEnd"/>
      <w:r w:rsidRPr="00BB2872">
        <w:t xml:space="preserve"> report – </w:t>
      </w:r>
      <w:proofErr w:type="spellStart"/>
      <w:r w:rsidRPr="00BB2872">
        <w:t>April</w:t>
      </w:r>
      <w:proofErr w:type="spellEnd"/>
      <w:r w:rsidRPr="00BB2872">
        <w:t xml:space="preserve"> 2019.” </w:t>
      </w:r>
      <w:proofErr w:type="spellStart"/>
      <w:r w:rsidRPr="00BB2872">
        <w:t>Accessed</w:t>
      </w:r>
      <w:proofErr w:type="spellEnd"/>
      <w:r w:rsidRPr="00BB2872">
        <w:t xml:space="preserve"> 9 June 2020. </w:t>
      </w:r>
      <w:hyperlink r:id="rId13" w:history="1">
        <w:r w:rsidRPr="00BB2872">
          <w:rPr>
            <w:rStyle w:val="Hypertextovodkaz"/>
            <w:color w:val="auto"/>
          </w:rPr>
          <w:t>https://www.bundesbank.de/resource/blob/796272/ec49e9b5c50664abddbe319d673d14f4/mL/2019-04-niedrigzinsumfeld-data.pdf</w:t>
        </w:r>
      </w:hyperlink>
    </w:p>
    <w:p w14:paraId="784BBC80" w14:textId="77777777" w:rsidR="00466AD9" w:rsidRPr="00BB2872" w:rsidRDefault="00466AD9" w:rsidP="00466AD9">
      <w:pPr>
        <w:pStyle w:val="Normlnweb"/>
        <w:spacing w:before="120" w:beforeAutospacing="0" w:after="200" w:afterAutospacing="0"/>
        <w:jc w:val="both"/>
      </w:pPr>
      <w:proofErr w:type="spellStart"/>
      <w:r w:rsidRPr="00BB2872">
        <w:t>European</w:t>
      </w:r>
      <w:proofErr w:type="spellEnd"/>
      <w:r w:rsidRPr="00BB2872">
        <w:t xml:space="preserve"> </w:t>
      </w:r>
      <w:proofErr w:type="spellStart"/>
      <w:r w:rsidRPr="00BB2872">
        <w:t>Central</w:t>
      </w:r>
      <w:proofErr w:type="spellEnd"/>
      <w:r w:rsidRPr="00BB2872">
        <w:t xml:space="preserve"> Bank. 2021. “</w:t>
      </w:r>
      <w:proofErr w:type="spellStart"/>
      <w:r w:rsidRPr="00BB2872">
        <w:t>Monetary</w:t>
      </w:r>
      <w:proofErr w:type="spellEnd"/>
      <w:r w:rsidRPr="00BB2872">
        <w:t xml:space="preserve"> </w:t>
      </w:r>
      <w:proofErr w:type="spellStart"/>
      <w:r w:rsidRPr="00BB2872">
        <w:t>policy</w:t>
      </w:r>
      <w:proofErr w:type="spellEnd"/>
      <w:r w:rsidRPr="00BB2872">
        <w:t xml:space="preserve"> </w:t>
      </w:r>
      <w:proofErr w:type="spellStart"/>
      <w:r w:rsidRPr="00BB2872">
        <w:t>decisions</w:t>
      </w:r>
      <w:proofErr w:type="spellEnd"/>
      <w:r w:rsidRPr="00BB2872">
        <w:t>.”</w:t>
      </w:r>
      <w:proofErr w:type="spellStart"/>
      <w:r w:rsidRPr="00BB2872">
        <w:t>Accessed</w:t>
      </w:r>
      <w:proofErr w:type="spellEnd"/>
      <w:r w:rsidRPr="00BB2872">
        <w:t xml:space="preserve"> 9 August 2021. </w:t>
      </w:r>
      <w:hyperlink r:id="rId14" w:history="1">
        <w:r w:rsidRPr="00BB2872">
          <w:rPr>
            <w:rStyle w:val="Hypertextovodkaz"/>
            <w:color w:val="auto"/>
          </w:rPr>
          <w:t>https://www.ecb.europa.eu/press/pr/date/2021/html/ecb.mp210722~48dc3b436b.en.html</w:t>
        </w:r>
      </w:hyperlink>
    </w:p>
    <w:p w14:paraId="0C8B765C" w14:textId="77777777" w:rsidR="00466AD9" w:rsidRPr="00BB2872" w:rsidRDefault="00466AD9" w:rsidP="00466AD9">
      <w:pPr>
        <w:pStyle w:val="Normlnweb"/>
        <w:spacing w:before="120" w:beforeAutospacing="0" w:after="240" w:afterAutospacing="0"/>
        <w:jc w:val="both"/>
      </w:pPr>
      <w:proofErr w:type="spellStart"/>
      <w:r w:rsidRPr="00BB2872">
        <w:t>European</w:t>
      </w:r>
      <w:proofErr w:type="spellEnd"/>
      <w:r w:rsidRPr="00BB2872">
        <w:t xml:space="preserve"> </w:t>
      </w:r>
      <w:proofErr w:type="spellStart"/>
      <w:r w:rsidRPr="00BB2872">
        <w:t>Central</w:t>
      </w:r>
      <w:proofErr w:type="spellEnd"/>
      <w:r w:rsidRPr="00BB2872">
        <w:t xml:space="preserve"> Bank. 2011. “</w:t>
      </w:r>
      <w:proofErr w:type="spellStart"/>
      <w:r w:rsidRPr="00BB2872">
        <w:t>Annual</w:t>
      </w:r>
      <w:proofErr w:type="spellEnd"/>
      <w:r w:rsidRPr="00BB2872">
        <w:t xml:space="preserve"> Report 2011.” </w:t>
      </w:r>
      <w:proofErr w:type="spellStart"/>
      <w:r w:rsidRPr="00BB2872">
        <w:t>Accessed</w:t>
      </w:r>
      <w:proofErr w:type="spellEnd"/>
      <w:r w:rsidRPr="00BB2872">
        <w:t xml:space="preserve"> 8 June 2021. https://www.ecb.europa.eu/pub/pdf/annrep/ar2011en.pdf</w:t>
      </w:r>
    </w:p>
    <w:p w14:paraId="5D4864A3" w14:textId="77777777" w:rsidR="00466AD9" w:rsidRPr="00BB2872" w:rsidRDefault="00466AD9" w:rsidP="00466AD9">
      <w:pPr>
        <w:pStyle w:val="Normlnweb"/>
        <w:spacing w:before="120" w:beforeAutospacing="0" w:after="240" w:afterAutospacing="0"/>
        <w:jc w:val="both"/>
      </w:pPr>
      <w:proofErr w:type="spellStart"/>
      <w:r w:rsidRPr="00BB2872">
        <w:t>European</w:t>
      </w:r>
      <w:proofErr w:type="spellEnd"/>
      <w:r w:rsidRPr="00BB2872">
        <w:t xml:space="preserve"> </w:t>
      </w:r>
      <w:proofErr w:type="spellStart"/>
      <w:r w:rsidRPr="00BB2872">
        <w:t>Central</w:t>
      </w:r>
      <w:proofErr w:type="spellEnd"/>
      <w:r w:rsidRPr="00BB2872">
        <w:t xml:space="preserve"> Bank. 2013. “</w:t>
      </w:r>
      <w:proofErr w:type="spellStart"/>
      <w:r w:rsidRPr="00BB2872">
        <w:t>Annual</w:t>
      </w:r>
      <w:proofErr w:type="spellEnd"/>
      <w:r w:rsidRPr="00BB2872">
        <w:t xml:space="preserve"> Report 2013.” </w:t>
      </w:r>
      <w:proofErr w:type="spellStart"/>
      <w:r w:rsidRPr="00BB2872">
        <w:t>Accessed</w:t>
      </w:r>
      <w:proofErr w:type="spellEnd"/>
      <w:r w:rsidRPr="00BB2872">
        <w:t xml:space="preserve"> 10 June 2021. </w:t>
      </w:r>
      <w:hyperlink r:id="rId15" w:history="1">
        <w:r w:rsidRPr="00BB2872">
          <w:rPr>
            <w:rStyle w:val="Hypertextovodkaz"/>
            <w:color w:val="auto"/>
          </w:rPr>
          <w:t>https://www.ecb.europa.eu/pub/pdf/annrep/ar2013en.pdf</w:t>
        </w:r>
      </w:hyperlink>
    </w:p>
    <w:p w14:paraId="3D49AA6A" w14:textId="77777777" w:rsidR="00466AD9" w:rsidRPr="00BB2872" w:rsidRDefault="00466AD9" w:rsidP="00466AD9">
      <w:pPr>
        <w:pStyle w:val="Normlnweb"/>
        <w:spacing w:before="120" w:beforeAutospacing="0" w:after="240" w:afterAutospacing="0"/>
        <w:jc w:val="both"/>
      </w:pPr>
      <w:proofErr w:type="spellStart"/>
      <w:r w:rsidRPr="00BB2872">
        <w:lastRenderedPageBreak/>
        <w:t>European</w:t>
      </w:r>
      <w:proofErr w:type="spellEnd"/>
      <w:r w:rsidRPr="00BB2872">
        <w:t xml:space="preserve"> </w:t>
      </w:r>
      <w:proofErr w:type="spellStart"/>
      <w:r w:rsidRPr="00BB2872">
        <w:t>Central</w:t>
      </w:r>
      <w:proofErr w:type="spellEnd"/>
      <w:r w:rsidRPr="00BB2872">
        <w:t xml:space="preserve"> Bank. 2019. “</w:t>
      </w:r>
      <w:proofErr w:type="spellStart"/>
      <w:r w:rsidRPr="00BB2872">
        <w:t>Statistical</w:t>
      </w:r>
      <w:proofErr w:type="spellEnd"/>
      <w:r w:rsidRPr="00BB2872">
        <w:t xml:space="preserve"> Data </w:t>
      </w:r>
      <w:proofErr w:type="spellStart"/>
      <w:r w:rsidRPr="00BB2872">
        <w:t>Warehouse</w:t>
      </w:r>
      <w:proofErr w:type="spellEnd"/>
      <w:r w:rsidRPr="00BB2872">
        <w:t xml:space="preserve">.” </w:t>
      </w:r>
      <w:proofErr w:type="spellStart"/>
      <w:r w:rsidRPr="00BB2872">
        <w:t>Accessed</w:t>
      </w:r>
      <w:proofErr w:type="spellEnd"/>
      <w:r w:rsidRPr="00BB2872">
        <w:t xml:space="preserve"> 9 June 2020. </w:t>
      </w:r>
      <w:hyperlink r:id="rId16" w:history="1">
        <w:r w:rsidRPr="00BB2872">
          <w:rPr>
            <w:rStyle w:val="Hypertextovodkaz"/>
            <w:color w:val="auto"/>
          </w:rPr>
          <w:t>https://sdw.ecb.europa.eu/quickview.do?SERIES_KEY=143.FM.M.U2.EUR.RT.MM.EURIBOR3MD_.HSTA</w:t>
        </w:r>
      </w:hyperlink>
    </w:p>
    <w:p w14:paraId="4E1B7F3F" w14:textId="77777777" w:rsidR="00466AD9" w:rsidRPr="00BB2872" w:rsidRDefault="00466AD9" w:rsidP="00466AD9">
      <w:pPr>
        <w:pStyle w:val="Normlnweb"/>
        <w:spacing w:before="120" w:beforeAutospacing="0" w:after="240" w:afterAutospacing="0"/>
        <w:jc w:val="both"/>
      </w:pPr>
      <w:proofErr w:type="spellStart"/>
      <w:r w:rsidRPr="00BB2872">
        <w:t>Federal</w:t>
      </w:r>
      <w:proofErr w:type="spellEnd"/>
      <w:r w:rsidRPr="00BB2872">
        <w:t xml:space="preserve"> </w:t>
      </w:r>
      <w:proofErr w:type="spellStart"/>
      <w:r w:rsidRPr="00BB2872">
        <w:t>Reserve</w:t>
      </w:r>
      <w:proofErr w:type="spellEnd"/>
      <w:r w:rsidRPr="00BB2872">
        <w:t xml:space="preserve"> Bank </w:t>
      </w:r>
      <w:proofErr w:type="spellStart"/>
      <w:r w:rsidRPr="00BB2872">
        <w:t>of</w:t>
      </w:r>
      <w:proofErr w:type="spellEnd"/>
      <w:r w:rsidRPr="00BB2872">
        <w:t xml:space="preserve"> </w:t>
      </w:r>
      <w:proofErr w:type="spellStart"/>
      <w:r w:rsidRPr="00BB2872">
        <w:t>Richmond</w:t>
      </w:r>
      <w:proofErr w:type="spellEnd"/>
      <w:r w:rsidRPr="00BB2872">
        <w:t xml:space="preserve">. 2019. </w:t>
      </w:r>
      <w:proofErr w:type="spellStart"/>
      <w:r w:rsidRPr="00BB2872">
        <w:t>Speeches</w:t>
      </w:r>
      <w:proofErr w:type="spellEnd"/>
      <w:r w:rsidRPr="00BB2872">
        <w:t xml:space="preserve"> – Tom </w:t>
      </w:r>
      <w:proofErr w:type="spellStart"/>
      <w:r w:rsidRPr="00BB2872">
        <w:t>Barkin</w:t>
      </w:r>
      <w:proofErr w:type="spellEnd"/>
      <w:r w:rsidRPr="00BB2872">
        <w:t xml:space="preserve"> – </w:t>
      </w:r>
      <w:proofErr w:type="spellStart"/>
      <w:r w:rsidRPr="00BB2872">
        <w:t>Confidence</w:t>
      </w:r>
      <w:proofErr w:type="spellEnd"/>
      <w:r w:rsidRPr="00BB2872">
        <w:t xml:space="preserve">, </w:t>
      </w:r>
      <w:proofErr w:type="spellStart"/>
      <w:r w:rsidRPr="00BB2872">
        <w:t>Expectations</w:t>
      </w:r>
      <w:proofErr w:type="spellEnd"/>
      <w:r w:rsidRPr="00BB2872">
        <w:t xml:space="preserve"> and </w:t>
      </w:r>
      <w:proofErr w:type="spellStart"/>
      <w:r w:rsidRPr="00BB2872">
        <w:t>Implications</w:t>
      </w:r>
      <w:proofErr w:type="spellEnd"/>
      <w:r w:rsidRPr="00BB2872">
        <w:t xml:space="preserve"> </w:t>
      </w:r>
      <w:proofErr w:type="spellStart"/>
      <w:r w:rsidRPr="00BB2872">
        <w:t>for</w:t>
      </w:r>
      <w:proofErr w:type="spellEnd"/>
      <w:r w:rsidRPr="00BB2872">
        <w:t xml:space="preserve"> </w:t>
      </w:r>
      <w:proofErr w:type="spellStart"/>
      <w:r w:rsidRPr="00BB2872">
        <w:t>Monetary</w:t>
      </w:r>
      <w:proofErr w:type="spellEnd"/>
      <w:r w:rsidRPr="00BB2872">
        <w:t xml:space="preserve"> </w:t>
      </w:r>
      <w:proofErr w:type="spellStart"/>
      <w:r w:rsidRPr="00BB2872">
        <w:t>Policy</w:t>
      </w:r>
      <w:proofErr w:type="spellEnd"/>
      <w:r w:rsidRPr="00BB2872">
        <w:t xml:space="preserve">. </w:t>
      </w:r>
      <w:proofErr w:type="spellStart"/>
      <w:r w:rsidRPr="00BB2872">
        <w:t>Accessed</w:t>
      </w:r>
      <w:proofErr w:type="spellEnd"/>
      <w:r w:rsidRPr="00BB2872">
        <w:t xml:space="preserve"> 9 July 2021. </w:t>
      </w:r>
      <w:hyperlink r:id="rId17" w:history="1">
        <w:r w:rsidRPr="00BB2872">
          <w:rPr>
            <w:rStyle w:val="Hypertextovodkaz"/>
            <w:color w:val="auto"/>
          </w:rPr>
          <w:t>https://www.richmondfed.org/press_room/speeches/thomas_i_barkin/2019/barkin_speech_20190711</w:t>
        </w:r>
      </w:hyperlink>
    </w:p>
    <w:p w14:paraId="5F9090FD" w14:textId="6477BFE5" w:rsidR="00AE179E" w:rsidRPr="00BB2872" w:rsidRDefault="00AE179E" w:rsidP="00AE179E">
      <w:pPr>
        <w:rPr>
          <w:rFonts w:ascii="Times New Roman" w:eastAsia="Times New Roman" w:hAnsi="Times New Roman" w:cs="Times New Roman"/>
          <w:sz w:val="24"/>
          <w:szCs w:val="24"/>
          <w:lang w:val="cs-CZ"/>
        </w:rPr>
      </w:pPr>
      <w:proofErr w:type="spellStart"/>
      <w:r w:rsidRPr="00BB2872">
        <w:rPr>
          <w:rFonts w:ascii="Times New Roman" w:eastAsia="Times New Roman" w:hAnsi="Times New Roman" w:cs="Times New Roman"/>
          <w:sz w:val="24"/>
          <w:szCs w:val="24"/>
          <w:lang w:val="cs-CZ"/>
        </w:rPr>
        <w:t>Filáček</w:t>
      </w:r>
      <w:proofErr w:type="spellEnd"/>
      <w:r w:rsidRPr="00BB2872">
        <w:rPr>
          <w:rFonts w:ascii="Times New Roman" w:eastAsia="Times New Roman" w:hAnsi="Times New Roman" w:cs="Times New Roman"/>
          <w:sz w:val="24"/>
          <w:szCs w:val="24"/>
          <w:lang w:val="cs-CZ"/>
        </w:rPr>
        <w:t xml:space="preserve"> J.</w:t>
      </w:r>
      <w:proofErr w:type="gramStart"/>
      <w:r w:rsidRPr="00BB2872">
        <w:rPr>
          <w:rFonts w:ascii="Times New Roman" w:eastAsia="Times New Roman" w:hAnsi="Times New Roman" w:cs="Times New Roman"/>
          <w:sz w:val="24"/>
          <w:szCs w:val="24"/>
          <w:lang w:val="cs-CZ"/>
        </w:rPr>
        <w:t>,  D.</w:t>
      </w:r>
      <w:proofErr w:type="gramEnd"/>
      <w:r w:rsidRPr="00BB2872">
        <w:rPr>
          <w:rFonts w:ascii="Times New Roman" w:eastAsia="Times New Roman" w:hAnsi="Times New Roman" w:cs="Times New Roman"/>
          <w:sz w:val="24"/>
          <w:szCs w:val="24"/>
          <w:lang w:val="cs-CZ"/>
        </w:rPr>
        <w:t xml:space="preserve"> Hájková,  P. Král and B. </w:t>
      </w:r>
      <w:proofErr w:type="spellStart"/>
      <w:r w:rsidRPr="00BB2872">
        <w:rPr>
          <w:rFonts w:ascii="Times New Roman" w:eastAsia="Times New Roman" w:hAnsi="Times New Roman" w:cs="Times New Roman"/>
          <w:sz w:val="24"/>
          <w:szCs w:val="24"/>
          <w:lang w:val="cs-CZ"/>
        </w:rPr>
        <w:t>Saxa</w:t>
      </w:r>
      <w:proofErr w:type="spellEnd"/>
      <w:r w:rsidRPr="00BB2872">
        <w:rPr>
          <w:rFonts w:ascii="Times New Roman" w:eastAsia="Times New Roman" w:hAnsi="Times New Roman" w:cs="Times New Roman"/>
          <w:sz w:val="24"/>
          <w:szCs w:val="24"/>
          <w:lang w:val="cs-CZ"/>
        </w:rPr>
        <w:t>. 2018. “</w:t>
      </w:r>
      <w:proofErr w:type="spellStart"/>
      <w:r w:rsidRPr="00BB2872">
        <w:rPr>
          <w:rFonts w:ascii="Times New Roman" w:eastAsia="Times New Roman" w:hAnsi="Times New Roman" w:cs="Times New Roman"/>
          <w:sz w:val="24"/>
          <w:szCs w:val="24"/>
          <w:lang w:val="cs-CZ"/>
        </w:rPr>
        <w:t>Monetary</w:t>
      </w:r>
      <w:proofErr w:type="spellEnd"/>
      <w:r w:rsidRPr="00BB2872">
        <w:rPr>
          <w:rFonts w:ascii="Times New Roman" w:eastAsia="Times New Roman" w:hAnsi="Times New Roman" w:cs="Times New Roman"/>
          <w:sz w:val="24"/>
          <w:szCs w:val="24"/>
          <w:lang w:val="cs-CZ"/>
        </w:rPr>
        <w:t xml:space="preserve"> </w:t>
      </w:r>
      <w:proofErr w:type="spellStart"/>
      <w:r w:rsidRPr="00BB2872">
        <w:rPr>
          <w:rFonts w:ascii="Times New Roman" w:eastAsia="Times New Roman" w:hAnsi="Times New Roman" w:cs="Times New Roman"/>
          <w:sz w:val="24"/>
          <w:szCs w:val="24"/>
          <w:lang w:val="cs-CZ"/>
        </w:rPr>
        <w:t>policy</w:t>
      </w:r>
      <w:proofErr w:type="spellEnd"/>
      <w:r w:rsidRPr="00BB2872">
        <w:rPr>
          <w:rFonts w:ascii="Times New Roman" w:eastAsia="Times New Roman" w:hAnsi="Times New Roman" w:cs="Times New Roman"/>
          <w:sz w:val="24"/>
          <w:szCs w:val="24"/>
          <w:lang w:val="cs-CZ"/>
        </w:rPr>
        <w:t xml:space="preserve"> </w:t>
      </w:r>
      <w:proofErr w:type="spellStart"/>
      <w:r w:rsidRPr="00BB2872">
        <w:rPr>
          <w:rFonts w:ascii="Times New Roman" w:eastAsia="Times New Roman" w:hAnsi="Times New Roman" w:cs="Times New Roman"/>
          <w:sz w:val="24"/>
          <w:szCs w:val="24"/>
          <w:lang w:val="cs-CZ"/>
        </w:rPr>
        <w:t>transmission</w:t>
      </w:r>
      <w:proofErr w:type="spellEnd"/>
      <w:r w:rsidRPr="00BB2872">
        <w:rPr>
          <w:rFonts w:ascii="Times New Roman" w:eastAsia="Times New Roman" w:hAnsi="Times New Roman" w:cs="Times New Roman"/>
          <w:sz w:val="24"/>
          <w:szCs w:val="24"/>
          <w:lang w:val="cs-CZ"/>
        </w:rPr>
        <w:t xml:space="preserve"> </w:t>
      </w:r>
      <w:proofErr w:type="spellStart"/>
      <w:r w:rsidRPr="00BB2872">
        <w:rPr>
          <w:rFonts w:ascii="Times New Roman" w:eastAsia="Times New Roman" w:hAnsi="Times New Roman" w:cs="Times New Roman"/>
          <w:sz w:val="24"/>
          <w:szCs w:val="24"/>
          <w:lang w:val="cs-CZ"/>
        </w:rPr>
        <w:t>is</w:t>
      </w:r>
      <w:proofErr w:type="spellEnd"/>
      <w:r w:rsidRPr="00BB2872">
        <w:rPr>
          <w:rFonts w:ascii="Times New Roman" w:eastAsia="Times New Roman" w:hAnsi="Times New Roman" w:cs="Times New Roman"/>
          <w:sz w:val="24"/>
          <w:szCs w:val="24"/>
          <w:lang w:val="cs-CZ"/>
        </w:rPr>
        <w:t xml:space="preserve"> </w:t>
      </w:r>
      <w:proofErr w:type="spellStart"/>
      <w:r w:rsidRPr="00BB2872">
        <w:rPr>
          <w:rFonts w:ascii="Times New Roman" w:eastAsia="Times New Roman" w:hAnsi="Times New Roman" w:cs="Times New Roman"/>
          <w:sz w:val="24"/>
          <w:szCs w:val="24"/>
          <w:lang w:val="cs-CZ"/>
        </w:rPr>
        <w:t>working</w:t>
      </w:r>
      <w:proofErr w:type="spellEnd"/>
      <w:r w:rsidRPr="00BB2872">
        <w:rPr>
          <w:rFonts w:ascii="Times New Roman" w:eastAsia="Times New Roman" w:hAnsi="Times New Roman" w:cs="Times New Roman"/>
          <w:sz w:val="24"/>
          <w:szCs w:val="24"/>
          <w:lang w:val="cs-CZ"/>
        </w:rPr>
        <w:t xml:space="preserve">.” </w:t>
      </w:r>
      <w:proofErr w:type="spellStart"/>
      <w:r w:rsidRPr="00BB2872">
        <w:rPr>
          <w:rFonts w:ascii="Times New Roman" w:eastAsia="Times New Roman" w:hAnsi="Times New Roman" w:cs="Times New Roman"/>
          <w:sz w:val="24"/>
          <w:szCs w:val="24"/>
          <w:lang w:val="cs-CZ"/>
        </w:rPr>
        <w:t>cnBlog</w:t>
      </w:r>
      <w:proofErr w:type="spellEnd"/>
      <w:r w:rsidRPr="00BB2872">
        <w:rPr>
          <w:rFonts w:ascii="Times New Roman" w:eastAsia="Times New Roman" w:hAnsi="Times New Roman" w:cs="Times New Roman"/>
          <w:sz w:val="24"/>
          <w:szCs w:val="24"/>
          <w:lang w:val="cs-CZ"/>
        </w:rPr>
        <w:t xml:space="preserve"> – </w:t>
      </w:r>
      <w:proofErr w:type="spellStart"/>
      <w:r w:rsidRPr="00BB2872">
        <w:rPr>
          <w:rFonts w:ascii="Times New Roman" w:eastAsia="Times New Roman" w:hAnsi="Times New Roman" w:cs="Times New Roman"/>
          <w:sz w:val="24"/>
          <w:szCs w:val="24"/>
          <w:lang w:val="cs-CZ"/>
        </w:rPr>
        <w:t>the</w:t>
      </w:r>
      <w:proofErr w:type="spellEnd"/>
      <w:r w:rsidRPr="00BB2872">
        <w:rPr>
          <w:rFonts w:ascii="Times New Roman" w:eastAsia="Times New Roman" w:hAnsi="Times New Roman" w:cs="Times New Roman"/>
          <w:sz w:val="24"/>
          <w:szCs w:val="24"/>
          <w:lang w:val="cs-CZ"/>
        </w:rPr>
        <w:t xml:space="preserve"> </w:t>
      </w:r>
      <w:proofErr w:type="spellStart"/>
      <w:r w:rsidRPr="00BB2872">
        <w:rPr>
          <w:rFonts w:ascii="Times New Roman" w:eastAsia="Times New Roman" w:hAnsi="Times New Roman" w:cs="Times New Roman"/>
          <w:sz w:val="24"/>
          <w:szCs w:val="24"/>
          <w:lang w:val="cs-CZ"/>
        </w:rPr>
        <w:t>official</w:t>
      </w:r>
      <w:proofErr w:type="spellEnd"/>
      <w:r w:rsidRPr="00BB2872">
        <w:rPr>
          <w:rFonts w:ascii="Times New Roman" w:eastAsia="Times New Roman" w:hAnsi="Times New Roman" w:cs="Times New Roman"/>
          <w:sz w:val="24"/>
          <w:szCs w:val="24"/>
          <w:lang w:val="cs-CZ"/>
        </w:rPr>
        <w:t xml:space="preserve"> blog </w:t>
      </w:r>
      <w:proofErr w:type="spellStart"/>
      <w:r w:rsidRPr="00BB2872">
        <w:rPr>
          <w:rFonts w:ascii="Times New Roman" w:eastAsia="Times New Roman" w:hAnsi="Times New Roman" w:cs="Times New Roman"/>
          <w:sz w:val="24"/>
          <w:szCs w:val="24"/>
          <w:lang w:val="cs-CZ"/>
        </w:rPr>
        <w:t>of</w:t>
      </w:r>
      <w:proofErr w:type="spellEnd"/>
      <w:r w:rsidRPr="00BB2872">
        <w:rPr>
          <w:rFonts w:ascii="Times New Roman" w:eastAsia="Times New Roman" w:hAnsi="Times New Roman" w:cs="Times New Roman"/>
          <w:sz w:val="24"/>
          <w:szCs w:val="24"/>
          <w:lang w:val="cs-CZ"/>
        </w:rPr>
        <w:t xml:space="preserve"> </w:t>
      </w:r>
      <w:proofErr w:type="spellStart"/>
      <w:r w:rsidRPr="00BB2872">
        <w:rPr>
          <w:rFonts w:ascii="Times New Roman" w:eastAsia="Times New Roman" w:hAnsi="Times New Roman" w:cs="Times New Roman"/>
          <w:sz w:val="24"/>
          <w:szCs w:val="24"/>
          <w:lang w:val="cs-CZ"/>
        </w:rPr>
        <w:t>the</w:t>
      </w:r>
      <w:proofErr w:type="spellEnd"/>
      <w:r w:rsidRPr="00BB2872">
        <w:rPr>
          <w:rFonts w:ascii="Times New Roman" w:eastAsia="Times New Roman" w:hAnsi="Times New Roman" w:cs="Times New Roman"/>
          <w:sz w:val="24"/>
          <w:szCs w:val="24"/>
          <w:lang w:val="cs-CZ"/>
        </w:rPr>
        <w:t xml:space="preserve"> Czech </w:t>
      </w:r>
      <w:proofErr w:type="spellStart"/>
      <w:r w:rsidRPr="00BB2872">
        <w:rPr>
          <w:rFonts w:ascii="Times New Roman" w:eastAsia="Times New Roman" w:hAnsi="Times New Roman" w:cs="Times New Roman"/>
          <w:sz w:val="24"/>
          <w:szCs w:val="24"/>
          <w:lang w:val="cs-CZ"/>
        </w:rPr>
        <w:t>National</w:t>
      </w:r>
      <w:proofErr w:type="spellEnd"/>
      <w:r w:rsidRPr="00BB2872">
        <w:rPr>
          <w:rFonts w:ascii="Times New Roman" w:eastAsia="Times New Roman" w:hAnsi="Times New Roman" w:cs="Times New Roman"/>
          <w:sz w:val="24"/>
          <w:szCs w:val="24"/>
          <w:lang w:val="cs-CZ"/>
        </w:rPr>
        <w:t xml:space="preserve"> Bank. </w:t>
      </w:r>
      <w:proofErr w:type="spellStart"/>
      <w:r w:rsidRPr="00BB2872">
        <w:rPr>
          <w:rFonts w:ascii="Times New Roman" w:eastAsia="Times New Roman" w:hAnsi="Times New Roman" w:cs="Times New Roman"/>
          <w:sz w:val="24"/>
          <w:szCs w:val="24"/>
          <w:lang w:val="cs-CZ"/>
        </w:rPr>
        <w:t>Accessed</w:t>
      </w:r>
      <w:proofErr w:type="spellEnd"/>
      <w:r w:rsidRPr="00BB2872">
        <w:rPr>
          <w:rFonts w:ascii="Times New Roman" w:eastAsia="Times New Roman" w:hAnsi="Times New Roman" w:cs="Times New Roman"/>
          <w:sz w:val="24"/>
          <w:szCs w:val="24"/>
          <w:lang w:val="cs-CZ"/>
        </w:rPr>
        <w:t xml:space="preserve"> 10 June 2021. https://www.cnb.cz/en/about_cnb/cnblog/Monetary-policy-transmission-is-working/</w:t>
      </w:r>
    </w:p>
    <w:p w14:paraId="22666C71" w14:textId="5090D6E3" w:rsidR="00466AD9" w:rsidRPr="00BB2872" w:rsidRDefault="00466AD9" w:rsidP="00466AD9">
      <w:pPr>
        <w:pStyle w:val="Normlnweb"/>
        <w:spacing w:before="120" w:beforeAutospacing="0" w:after="240" w:afterAutospacing="0"/>
        <w:jc w:val="both"/>
      </w:pPr>
      <w:proofErr w:type="spellStart"/>
      <w:r w:rsidRPr="00BB2872">
        <w:t>Funashima</w:t>
      </w:r>
      <w:proofErr w:type="spellEnd"/>
      <w:r w:rsidRPr="00BB2872">
        <w:t>, Y. 2021. “</w:t>
      </w:r>
      <w:proofErr w:type="spellStart"/>
      <w:r w:rsidRPr="00BB2872">
        <w:t>Effects</w:t>
      </w:r>
      <w:proofErr w:type="spellEnd"/>
      <w:r w:rsidRPr="00BB2872">
        <w:t xml:space="preserve"> </w:t>
      </w:r>
      <w:proofErr w:type="spellStart"/>
      <w:r w:rsidRPr="00BB2872">
        <w:t>of</w:t>
      </w:r>
      <w:proofErr w:type="spellEnd"/>
      <w:r w:rsidRPr="00BB2872">
        <w:t xml:space="preserve"> </w:t>
      </w:r>
      <w:proofErr w:type="spellStart"/>
      <w:r w:rsidRPr="00BB2872">
        <w:t>Unanticipated</w:t>
      </w:r>
      <w:proofErr w:type="spellEnd"/>
      <w:r w:rsidRPr="00BB2872">
        <w:t xml:space="preserve"> </w:t>
      </w:r>
      <w:proofErr w:type="spellStart"/>
      <w:r w:rsidRPr="00BB2872">
        <w:t>Monetary</w:t>
      </w:r>
      <w:proofErr w:type="spellEnd"/>
      <w:r w:rsidRPr="00BB2872">
        <w:t xml:space="preserve"> </w:t>
      </w:r>
      <w:proofErr w:type="spellStart"/>
      <w:r w:rsidRPr="00BB2872">
        <w:t>Policy</w:t>
      </w:r>
      <w:proofErr w:type="spellEnd"/>
      <w:r w:rsidRPr="00BB2872">
        <w:t xml:space="preserve"> </w:t>
      </w:r>
      <w:proofErr w:type="spellStart"/>
      <w:r w:rsidRPr="00BB2872">
        <w:t>Shocks</w:t>
      </w:r>
      <w:proofErr w:type="spellEnd"/>
      <w:r w:rsidRPr="00BB2872">
        <w:t xml:space="preserve"> on </w:t>
      </w:r>
      <w:proofErr w:type="spellStart"/>
      <w:r w:rsidRPr="00BB2872">
        <w:t>Monetary</w:t>
      </w:r>
      <w:proofErr w:type="spellEnd"/>
      <w:r w:rsidRPr="00BB2872">
        <w:t xml:space="preserve"> </w:t>
      </w:r>
      <w:proofErr w:type="spellStart"/>
      <w:r w:rsidRPr="00BB2872">
        <w:t>Policy</w:t>
      </w:r>
      <w:proofErr w:type="spellEnd"/>
      <w:r w:rsidRPr="00BB2872">
        <w:t xml:space="preserve"> </w:t>
      </w:r>
      <w:proofErr w:type="spellStart"/>
      <w:r w:rsidRPr="00BB2872">
        <w:t>Uncertainty</w:t>
      </w:r>
      <w:proofErr w:type="spellEnd"/>
      <w:r w:rsidRPr="00BB2872">
        <w:t xml:space="preserve">.” </w:t>
      </w:r>
      <w:r w:rsidRPr="00BB2872">
        <w:rPr>
          <w:i/>
          <w:iCs/>
        </w:rPr>
        <w:t xml:space="preserve">Finance </w:t>
      </w:r>
      <w:proofErr w:type="spellStart"/>
      <w:r w:rsidRPr="00BB2872">
        <w:rPr>
          <w:i/>
          <w:iCs/>
        </w:rPr>
        <w:t>Research</w:t>
      </w:r>
      <w:proofErr w:type="spellEnd"/>
      <w:r w:rsidRPr="00BB2872">
        <w:rPr>
          <w:i/>
          <w:iCs/>
        </w:rPr>
        <w:t xml:space="preserve"> </w:t>
      </w:r>
      <w:proofErr w:type="spellStart"/>
      <w:r w:rsidRPr="00BB2872">
        <w:rPr>
          <w:i/>
          <w:iCs/>
        </w:rPr>
        <w:t>Letters</w:t>
      </w:r>
      <w:proofErr w:type="spellEnd"/>
      <w:r w:rsidRPr="00BB2872">
        <w:t xml:space="preserve">, in </w:t>
      </w:r>
      <w:proofErr w:type="spellStart"/>
      <w:r w:rsidRPr="00BB2872">
        <w:t>press</w:t>
      </w:r>
      <w:proofErr w:type="spellEnd"/>
      <w:r w:rsidRPr="00BB2872">
        <w:t>.</w:t>
      </w:r>
    </w:p>
    <w:p w14:paraId="4E5AFDC5" w14:textId="77777777" w:rsidR="00466AD9" w:rsidRPr="00BB2872" w:rsidRDefault="00466AD9" w:rsidP="00466AD9">
      <w:pPr>
        <w:pStyle w:val="Normlnweb"/>
        <w:spacing w:before="120" w:beforeAutospacing="0" w:after="240" w:afterAutospacing="0"/>
        <w:jc w:val="both"/>
      </w:pPr>
      <w:r w:rsidRPr="00BB2872">
        <w:t xml:space="preserve">Gregor, J. and M. </w:t>
      </w:r>
      <w:proofErr w:type="spellStart"/>
      <w:r w:rsidRPr="00BB2872">
        <w:t>Melecky</w:t>
      </w:r>
      <w:proofErr w:type="spellEnd"/>
      <w:r w:rsidRPr="00BB2872">
        <w:t>. 2018. “</w:t>
      </w:r>
      <w:proofErr w:type="spellStart"/>
      <w:r w:rsidRPr="00BB2872">
        <w:t>The</w:t>
      </w:r>
      <w:proofErr w:type="spellEnd"/>
      <w:r w:rsidRPr="00BB2872">
        <w:t xml:space="preserve"> </w:t>
      </w:r>
      <w:proofErr w:type="spellStart"/>
      <w:r w:rsidRPr="00BB2872">
        <w:t>Pass-Through</w:t>
      </w:r>
      <w:proofErr w:type="spellEnd"/>
      <w:r w:rsidRPr="00BB2872">
        <w:t xml:space="preserve"> </w:t>
      </w:r>
      <w:proofErr w:type="spellStart"/>
      <w:r w:rsidRPr="00BB2872">
        <w:t>of</w:t>
      </w:r>
      <w:proofErr w:type="spellEnd"/>
      <w:r w:rsidRPr="00BB2872">
        <w:t xml:space="preserve"> </w:t>
      </w:r>
      <w:proofErr w:type="spellStart"/>
      <w:r w:rsidRPr="00BB2872">
        <w:t>Monetary</w:t>
      </w:r>
      <w:proofErr w:type="spellEnd"/>
      <w:r w:rsidRPr="00BB2872">
        <w:t xml:space="preserve"> </w:t>
      </w:r>
      <w:proofErr w:type="spellStart"/>
      <w:r w:rsidRPr="00BB2872">
        <w:t>Policy</w:t>
      </w:r>
      <w:proofErr w:type="spellEnd"/>
      <w:r w:rsidRPr="00BB2872">
        <w:t xml:space="preserve"> </w:t>
      </w:r>
      <w:proofErr w:type="spellStart"/>
      <w:r w:rsidRPr="00BB2872">
        <w:t>rate</w:t>
      </w:r>
      <w:proofErr w:type="spellEnd"/>
      <w:r w:rsidRPr="00BB2872">
        <w:t xml:space="preserve"> to </w:t>
      </w:r>
      <w:proofErr w:type="spellStart"/>
      <w:r w:rsidRPr="00BB2872">
        <w:t>Lending</w:t>
      </w:r>
      <w:proofErr w:type="spellEnd"/>
      <w:r w:rsidRPr="00BB2872">
        <w:t xml:space="preserve"> </w:t>
      </w:r>
      <w:proofErr w:type="spellStart"/>
      <w:r w:rsidRPr="00BB2872">
        <w:t>Rates</w:t>
      </w:r>
      <w:proofErr w:type="spellEnd"/>
      <w:r w:rsidRPr="00BB2872">
        <w:t xml:space="preserve">: </w:t>
      </w:r>
      <w:proofErr w:type="spellStart"/>
      <w:r w:rsidRPr="00BB2872">
        <w:t>The</w:t>
      </w:r>
      <w:proofErr w:type="spellEnd"/>
      <w:r w:rsidRPr="00BB2872">
        <w:t xml:space="preserve"> Role </w:t>
      </w:r>
      <w:proofErr w:type="spellStart"/>
      <w:r w:rsidRPr="00BB2872">
        <w:t>of</w:t>
      </w:r>
      <w:proofErr w:type="spellEnd"/>
      <w:r w:rsidRPr="00BB2872">
        <w:t xml:space="preserve"> </w:t>
      </w:r>
      <w:proofErr w:type="spellStart"/>
      <w:r w:rsidRPr="00BB2872">
        <w:t>Macro-Financial</w:t>
      </w:r>
      <w:proofErr w:type="spellEnd"/>
      <w:r w:rsidRPr="00BB2872">
        <w:t xml:space="preserve"> </w:t>
      </w:r>
      <w:proofErr w:type="spellStart"/>
      <w:r w:rsidRPr="00BB2872">
        <w:t>Factors</w:t>
      </w:r>
      <w:proofErr w:type="spellEnd"/>
      <w:r w:rsidRPr="00BB2872">
        <w:t xml:space="preserve">.” </w:t>
      </w:r>
      <w:proofErr w:type="spellStart"/>
      <w:r w:rsidRPr="00BB2872">
        <w:rPr>
          <w:i/>
          <w:iCs/>
        </w:rPr>
        <w:t>Economic</w:t>
      </w:r>
      <w:proofErr w:type="spellEnd"/>
      <w:r w:rsidRPr="00BB2872">
        <w:rPr>
          <w:i/>
          <w:iCs/>
        </w:rPr>
        <w:t xml:space="preserve"> Modelling</w:t>
      </w:r>
      <w:r w:rsidRPr="00BB2872">
        <w:t xml:space="preserve"> 73: 71-88. </w:t>
      </w:r>
    </w:p>
    <w:p w14:paraId="13C65CCA" w14:textId="77777777" w:rsidR="00466AD9" w:rsidRPr="00BB2872" w:rsidRDefault="00466AD9" w:rsidP="00466AD9">
      <w:pPr>
        <w:pStyle w:val="Normlnweb"/>
        <w:spacing w:before="120" w:beforeAutospacing="0" w:after="120" w:afterAutospacing="0"/>
        <w:jc w:val="both"/>
      </w:pPr>
      <w:proofErr w:type="spellStart"/>
      <w:r w:rsidRPr="00BB2872">
        <w:t>Hainz</w:t>
      </w:r>
      <w:proofErr w:type="spellEnd"/>
      <w:r w:rsidRPr="00BB2872">
        <w:t xml:space="preserve">, C., R. </w:t>
      </w:r>
      <w:proofErr w:type="spellStart"/>
      <w:r w:rsidRPr="00BB2872">
        <w:t>Horvath</w:t>
      </w:r>
      <w:proofErr w:type="spellEnd"/>
      <w:r w:rsidRPr="00BB2872">
        <w:t xml:space="preserve"> and M. </w:t>
      </w:r>
      <w:proofErr w:type="spellStart"/>
      <w:r w:rsidRPr="00BB2872">
        <w:t>Hlavacek</w:t>
      </w:r>
      <w:proofErr w:type="spellEnd"/>
      <w:r w:rsidRPr="00BB2872">
        <w:t>. 2014. “</w:t>
      </w:r>
      <w:proofErr w:type="spellStart"/>
      <w:r w:rsidRPr="00BB2872">
        <w:t>The</w:t>
      </w:r>
      <w:proofErr w:type="spellEnd"/>
      <w:r w:rsidRPr="00BB2872">
        <w:t xml:space="preserve"> </w:t>
      </w:r>
      <w:proofErr w:type="spellStart"/>
      <w:r w:rsidRPr="00BB2872">
        <w:t>Interest</w:t>
      </w:r>
      <w:proofErr w:type="spellEnd"/>
      <w:r w:rsidRPr="00BB2872">
        <w:t xml:space="preserve"> </w:t>
      </w:r>
      <w:proofErr w:type="spellStart"/>
      <w:r w:rsidRPr="00BB2872">
        <w:t>Rate</w:t>
      </w:r>
      <w:proofErr w:type="spellEnd"/>
      <w:r w:rsidRPr="00BB2872">
        <w:t xml:space="preserve"> </w:t>
      </w:r>
      <w:proofErr w:type="spellStart"/>
      <w:r w:rsidRPr="00BB2872">
        <w:t>Spreads</w:t>
      </w:r>
      <w:proofErr w:type="spellEnd"/>
      <w:r w:rsidRPr="00BB2872">
        <w:t xml:space="preserve"> in </w:t>
      </w:r>
      <w:proofErr w:type="spellStart"/>
      <w:r w:rsidRPr="00BB2872">
        <w:t>the</w:t>
      </w:r>
      <w:proofErr w:type="spellEnd"/>
      <w:r w:rsidRPr="00BB2872">
        <w:t xml:space="preserve"> Czech Republic: </w:t>
      </w:r>
      <w:proofErr w:type="spellStart"/>
      <w:r w:rsidRPr="00BB2872">
        <w:t>Different</w:t>
      </w:r>
      <w:proofErr w:type="spellEnd"/>
      <w:r w:rsidRPr="00BB2872">
        <w:t xml:space="preserve"> </w:t>
      </w:r>
      <w:proofErr w:type="spellStart"/>
      <w:r w:rsidRPr="00BB2872">
        <w:t>Loans</w:t>
      </w:r>
      <w:proofErr w:type="spellEnd"/>
      <w:r w:rsidRPr="00BB2872">
        <w:t xml:space="preserve">, </w:t>
      </w:r>
      <w:proofErr w:type="spellStart"/>
      <w:r w:rsidRPr="00BB2872">
        <w:t>Different</w:t>
      </w:r>
      <w:proofErr w:type="spellEnd"/>
      <w:r w:rsidRPr="00BB2872">
        <w:t xml:space="preserve"> </w:t>
      </w:r>
      <w:proofErr w:type="spellStart"/>
      <w:r w:rsidRPr="00BB2872">
        <w:t>Determinants</w:t>
      </w:r>
      <w:proofErr w:type="spellEnd"/>
      <w:r w:rsidRPr="00BB2872">
        <w:t xml:space="preserve">?” </w:t>
      </w:r>
      <w:proofErr w:type="spellStart"/>
      <w:r w:rsidRPr="00BB2872">
        <w:rPr>
          <w:i/>
          <w:iCs/>
        </w:rPr>
        <w:t>Economic</w:t>
      </w:r>
      <w:proofErr w:type="spellEnd"/>
      <w:r w:rsidRPr="00BB2872">
        <w:rPr>
          <w:i/>
          <w:iCs/>
        </w:rPr>
        <w:t xml:space="preserve"> Systems</w:t>
      </w:r>
      <w:r w:rsidRPr="00BB2872">
        <w:t xml:space="preserve"> 38(1): 43-54. </w:t>
      </w:r>
    </w:p>
    <w:p w14:paraId="3BE26C47" w14:textId="1FD3C387" w:rsidR="00466AD9" w:rsidRPr="00BB2872" w:rsidRDefault="00466AD9" w:rsidP="00466AD9">
      <w:pPr>
        <w:pStyle w:val="Normlnweb"/>
        <w:spacing w:before="120" w:beforeAutospacing="0" w:after="200" w:afterAutospacing="0"/>
      </w:pPr>
      <w:r w:rsidRPr="00BB2872">
        <w:t>H</w:t>
      </w:r>
      <w:r w:rsidR="00A8689E" w:rsidRPr="00BB2872">
        <w:t>á</w:t>
      </w:r>
      <w:r w:rsidRPr="00BB2872">
        <w:t xml:space="preserve">jek, J. and R. </w:t>
      </w:r>
      <w:proofErr w:type="spellStart"/>
      <w:r w:rsidRPr="00BB2872">
        <w:t>Horvath</w:t>
      </w:r>
      <w:proofErr w:type="spellEnd"/>
      <w:r w:rsidRPr="00BB2872">
        <w:t xml:space="preserve">. 2018. “International </w:t>
      </w:r>
      <w:proofErr w:type="spellStart"/>
      <w:r w:rsidRPr="00BB2872">
        <w:t>Spillovers</w:t>
      </w:r>
      <w:proofErr w:type="spellEnd"/>
      <w:r w:rsidRPr="00BB2872">
        <w:t xml:space="preserve"> </w:t>
      </w:r>
      <w:proofErr w:type="spellStart"/>
      <w:r w:rsidRPr="00BB2872">
        <w:t>of</w:t>
      </w:r>
      <w:proofErr w:type="spellEnd"/>
      <w:r w:rsidRPr="00BB2872">
        <w:t xml:space="preserve"> (</w:t>
      </w:r>
      <w:proofErr w:type="spellStart"/>
      <w:r w:rsidRPr="00BB2872">
        <w:t>Un</w:t>
      </w:r>
      <w:proofErr w:type="spellEnd"/>
      <w:r w:rsidRPr="00BB2872">
        <w:t>)</w:t>
      </w:r>
      <w:proofErr w:type="spellStart"/>
      <w:r w:rsidRPr="00BB2872">
        <w:t>Conventional</w:t>
      </w:r>
      <w:proofErr w:type="spellEnd"/>
      <w:r w:rsidRPr="00BB2872">
        <w:t xml:space="preserve"> </w:t>
      </w:r>
      <w:proofErr w:type="spellStart"/>
      <w:r w:rsidRPr="00BB2872">
        <w:t>Monetary</w:t>
      </w:r>
      <w:proofErr w:type="spellEnd"/>
      <w:r w:rsidRPr="00BB2872">
        <w:t xml:space="preserve"> </w:t>
      </w:r>
      <w:proofErr w:type="spellStart"/>
      <w:r w:rsidRPr="00BB2872">
        <w:t>Policy</w:t>
      </w:r>
      <w:proofErr w:type="spellEnd"/>
      <w:r w:rsidRPr="00BB2872">
        <w:t xml:space="preserve">: </w:t>
      </w:r>
      <w:proofErr w:type="spellStart"/>
      <w:r w:rsidRPr="00BB2872">
        <w:t>The</w:t>
      </w:r>
      <w:proofErr w:type="spellEnd"/>
      <w:r w:rsidRPr="00BB2872">
        <w:t xml:space="preserve"> </w:t>
      </w:r>
      <w:proofErr w:type="spellStart"/>
      <w:r w:rsidRPr="00BB2872">
        <w:t>Effect</w:t>
      </w:r>
      <w:proofErr w:type="spellEnd"/>
      <w:r w:rsidRPr="00BB2872">
        <w:t xml:space="preserve"> </w:t>
      </w:r>
      <w:proofErr w:type="spellStart"/>
      <w:r w:rsidRPr="00BB2872">
        <w:t>of</w:t>
      </w:r>
      <w:proofErr w:type="spellEnd"/>
      <w:r w:rsidRPr="00BB2872">
        <w:t xml:space="preserve"> </w:t>
      </w:r>
      <w:proofErr w:type="spellStart"/>
      <w:r w:rsidRPr="00BB2872">
        <w:t>the</w:t>
      </w:r>
      <w:proofErr w:type="spellEnd"/>
      <w:r w:rsidRPr="00BB2872">
        <w:t xml:space="preserve"> ECB and </w:t>
      </w:r>
      <w:proofErr w:type="spellStart"/>
      <w:r w:rsidRPr="00BB2872">
        <w:t>the</w:t>
      </w:r>
      <w:proofErr w:type="spellEnd"/>
      <w:r w:rsidRPr="00BB2872">
        <w:t xml:space="preserve"> US Fed on Non-Euro EU </w:t>
      </w:r>
      <w:proofErr w:type="spellStart"/>
      <w:r w:rsidRPr="00BB2872">
        <w:t>Countries</w:t>
      </w:r>
      <w:proofErr w:type="spellEnd"/>
      <w:r w:rsidRPr="00BB2872">
        <w:t xml:space="preserve">.” </w:t>
      </w:r>
      <w:proofErr w:type="spellStart"/>
      <w:r w:rsidRPr="00BB2872">
        <w:rPr>
          <w:i/>
          <w:iCs/>
        </w:rPr>
        <w:t>Economic</w:t>
      </w:r>
      <w:proofErr w:type="spellEnd"/>
      <w:r w:rsidRPr="00BB2872">
        <w:rPr>
          <w:i/>
          <w:iCs/>
        </w:rPr>
        <w:t xml:space="preserve"> Systems</w:t>
      </w:r>
      <w:r w:rsidRPr="00BB2872">
        <w:t xml:space="preserve"> 42(1): 91-105. </w:t>
      </w:r>
    </w:p>
    <w:p w14:paraId="7860B0CA" w14:textId="77777777" w:rsidR="00466AD9" w:rsidRPr="00BB2872" w:rsidRDefault="00466AD9" w:rsidP="00466AD9">
      <w:pPr>
        <w:pStyle w:val="Normlnweb"/>
        <w:spacing w:before="120" w:beforeAutospacing="0" w:after="200" w:afterAutospacing="0"/>
      </w:pPr>
      <w:proofErr w:type="spellStart"/>
      <w:r w:rsidRPr="00BB2872">
        <w:t>Hajkova</w:t>
      </w:r>
      <w:proofErr w:type="spellEnd"/>
      <w:r w:rsidRPr="00BB2872">
        <w:t>, D. 2017. “</w:t>
      </w:r>
      <w:proofErr w:type="spellStart"/>
      <w:r w:rsidRPr="00BB2872">
        <w:t>Monetary</w:t>
      </w:r>
      <w:proofErr w:type="spellEnd"/>
      <w:r w:rsidRPr="00BB2872">
        <w:t xml:space="preserve"> </w:t>
      </w:r>
      <w:proofErr w:type="spellStart"/>
      <w:r w:rsidRPr="00BB2872">
        <w:t>Policy</w:t>
      </w:r>
      <w:proofErr w:type="spellEnd"/>
      <w:r w:rsidRPr="00BB2872">
        <w:t xml:space="preserve"> and Exchange </w:t>
      </w:r>
      <w:proofErr w:type="spellStart"/>
      <w:r w:rsidRPr="00BB2872">
        <w:t>Rate</w:t>
      </w:r>
      <w:proofErr w:type="spellEnd"/>
      <w:r w:rsidRPr="00BB2872">
        <w:t xml:space="preserve"> </w:t>
      </w:r>
      <w:proofErr w:type="spellStart"/>
      <w:r w:rsidRPr="00BB2872">
        <w:t>Commitment</w:t>
      </w:r>
      <w:proofErr w:type="spellEnd"/>
      <w:r w:rsidRPr="00BB2872">
        <w:t xml:space="preserve"> in </w:t>
      </w:r>
      <w:proofErr w:type="spellStart"/>
      <w:r w:rsidRPr="00BB2872">
        <w:t>the</w:t>
      </w:r>
      <w:proofErr w:type="spellEnd"/>
      <w:r w:rsidRPr="00BB2872">
        <w:t xml:space="preserve"> Czech Republic.” In: </w:t>
      </w:r>
      <w:proofErr w:type="spellStart"/>
      <w:r w:rsidRPr="00BB2872">
        <w:t>Valle</w:t>
      </w:r>
      <w:proofErr w:type="spellEnd"/>
      <w:r w:rsidRPr="00BB2872">
        <w:t xml:space="preserve">, G. D., </w:t>
      </w:r>
      <w:proofErr w:type="spellStart"/>
      <w:r w:rsidRPr="00BB2872">
        <w:t>Themeli</w:t>
      </w:r>
      <w:proofErr w:type="spellEnd"/>
      <w:r w:rsidRPr="00BB2872">
        <w:t xml:space="preserve">, E. and </w:t>
      </w:r>
      <w:proofErr w:type="spellStart"/>
      <w:r w:rsidRPr="00BB2872">
        <w:t>Veyrune</w:t>
      </w:r>
      <w:proofErr w:type="spellEnd"/>
      <w:r w:rsidRPr="00BB2872">
        <w:t>, R. (</w:t>
      </w:r>
      <w:proofErr w:type="spellStart"/>
      <w:r w:rsidRPr="00BB2872">
        <w:t>eds</w:t>
      </w:r>
      <w:proofErr w:type="spellEnd"/>
      <w:r w:rsidRPr="00BB2872">
        <w:t xml:space="preserve">.). </w:t>
      </w:r>
      <w:proofErr w:type="spellStart"/>
      <w:r w:rsidRPr="00BB2872">
        <w:rPr>
          <w:i/>
          <w:iCs/>
        </w:rPr>
        <w:t>Proceeding</w:t>
      </w:r>
      <w:proofErr w:type="spellEnd"/>
      <w:r w:rsidRPr="00BB2872">
        <w:rPr>
          <w:i/>
          <w:iCs/>
        </w:rPr>
        <w:t xml:space="preserve"> </w:t>
      </w:r>
      <w:proofErr w:type="spellStart"/>
      <w:r w:rsidRPr="00BB2872">
        <w:rPr>
          <w:i/>
          <w:iCs/>
        </w:rPr>
        <w:t>of</w:t>
      </w:r>
      <w:proofErr w:type="spellEnd"/>
      <w:r w:rsidRPr="00BB2872">
        <w:rPr>
          <w:i/>
          <w:iCs/>
        </w:rPr>
        <w:t xml:space="preserve"> </w:t>
      </w:r>
      <w:proofErr w:type="spellStart"/>
      <w:r w:rsidRPr="00BB2872">
        <w:rPr>
          <w:i/>
          <w:iCs/>
        </w:rPr>
        <w:t>the</w:t>
      </w:r>
      <w:proofErr w:type="spellEnd"/>
      <w:r w:rsidRPr="00BB2872">
        <w:rPr>
          <w:i/>
          <w:iCs/>
        </w:rPr>
        <w:t xml:space="preserve"> </w:t>
      </w:r>
      <w:proofErr w:type="spellStart"/>
      <w:r w:rsidRPr="00BB2872">
        <w:rPr>
          <w:i/>
          <w:iCs/>
        </w:rPr>
        <w:t>conference</w:t>
      </w:r>
      <w:proofErr w:type="spellEnd"/>
      <w:r w:rsidRPr="00BB2872">
        <w:rPr>
          <w:i/>
          <w:iCs/>
        </w:rPr>
        <w:t xml:space="preserve"> co-</w:t>
      </w:r>
      <w:proofErr w:type="spellStart"/>
      <w:r w:rsidRPr="00BB2872">
        <w:rPr>
          <w:i/>
          <w:iCs/>
        </w:rPr>
        <w:t>hosted</w:t>
      </w:r>
      <w:proofErr w:type="spellEnd"/>
      <w:r w:rsidRPr="00BB2872">
        <w:rPr>
          <w:i/>
          <w:iCs/>
        </w:rPr>
        <w:t xml:space="preserve"> by </w:t>
      </w:r>
      <w:proofErr w:type="spellStart"/>
      <w:r w:rsidRPr="00BB2872">
        <w:rPr>
          <w:i/>
          <w:iCs/>
        </w:rPr>
        <w:t>the</w:t>
      </w:r>
      <w:proofErr w:type="spellEnd"/>
      <w:r w:rsidRPr="00BB2872">
        <w:rPr>
          <w:i/>
          <w:iCs/>
        </w:rPr>
        <w:t xml:space="preserve"> Bank </w:t>
      </w:r>
      <w:proofErr w:type="spellStart"/>
      <w:r w:rsidRPr="00BB2872">
        <w:rPr>
          <w:i/>
          <w:iCs/>
        </w:rPr>
        <w:t>of</w:t>
      </w:r>
      <w:proofErr w:type="spellEnd"/>
      <w:r w:rsidRPr="00BB2872">
        <w:rPr>
          <w:i/>
          <w:iCs/>
        </w:rPr>
        <w:t xml:space="preserve"> </w:t>
      </w:r>
      <w:proofErr w:type="spellStart"/>
      <w:r w:rsidRPr="00BB2872">
        <w:rPr>
          <w:i/>
          <w:iCs/>
        </w:rPr>
        <w:t>Albania</w:t>
      </w:r>
      <w:proofErr w:type="spellEnd"/>
      <w:r w:rsidRPr="00BB2872">
        <w:rPr>
          <w:i/>
          <w:iCs/>
        </w:rPr>
        <w:t xml:space="preserve"> and International </w:t>
      </w:r>
      <w:proofErr w:type="spellStart"/>
      <w:r w:rsidRPr="00BB2872">
        <w:rPr>
          <w:i/>
          <w:iCs/>
        </w:rPr>
        <w:t>Monetary</w:t>
      </w:r>
      <w:proofErr w:type="spellEnd"/>
      <w:r w:rsidRPr="00BB2872">
        <w:rPr>
          <w:i/>
          <w:iCs/>
        </w:rPr>
        <w:t xml:space="preserve"> </w:t>
      </w:r>
      <w:proofErr w:type="spellStart"/>
      <w:r w:rsidRPr="00BB2872">
        <w:rPr>
          <w:i/>
          <w:iCs/>
        </w:rPr>
        <w:t>Fund</w:t>
      </w:r>
      <w:proofErr w:type="spellEnd"/>
      <w:r w:rsidRPr="00BB2872">
        <w:rPr>
          <w:i/>
          <w:iCs/>
        </w:rPr>
        <w:t xml:space="preserve">: Negative Euro Area </w:t>
      </w:r>
      <w:proofErr w:type="spellStart"/>
      <w:r w:rsidRPr="00BB2872">
        <w:rPr>
          <w:i/>
          <w:iCs/>
        </w:rPr>
        <w:t>Interest</w:t>
      </w:r>
      <w:proofErr w:type="spellEnd"/>
      <w:r w:rsidRPr="00BB2872">
        <w:rPr>
          <w:i/>
          <w:iCs/>
        </w:rPr>
        <w:t xml:space="preserve"> </w:t>
      </w:r>
      <w:proofErr w:type="spellStart"/>
      <w:r w:rsidRPr="00BB2872">
        <w:rPr>
          <w:i/>
          <w:iCs/>
        </w:rPr>
        <w:t>Rates</w:t>
      </w:r>
      <w:proofErr w:type="spellEnd"/>
      <w:r w:rsidRPr="00BB2872">
        <w:rPr>
          <w:i/>
          <w:iCs/>
        </w:rPr>
        <w:t xml:space="preserve"> and </w:t>
      </w:r>
      <w:proofErr w:type="spellStart"/>
      <w:r w:rsidRPr="00BB2872">
        <w:rPr>
          <w:i/>
          <w:iCs/>
        </w:rPr>
        <w:t>Spillovers</w:t>
      </w:r>
      <w:proofErr w:type="spellEnd"/>
      <w:r w:rsidRPr="00BB2872">
        <w:rPr>
          <w:i/>
          <w:iCs/>
        </w:rPr>
        <w:t xml:space="preserve"> on Western </w:t>
      </w:r>
      <w:proofErr w:type="spellStart"/>
      <w:r w:rsidRPr="00BB2872">
        <w:rPr>
          <w:i/>
          <w:iCs/>
        </w:rPr>
        <w:t>Balkan</w:t>
      </w:r>
      <w:proofErr w:type="spellEnd"/>
      <w:r w:rsidRPr="00BB2872">
        <w:rPr>
          <w:i/>
          <w:iCs/>
        </w:rPr>
        <w:t xml:space="preserve"> </w:t>
      </w:r>
      <w:proofErr w:type="spellStart"/>
      <w:r w:rsidRPr="00BB2872">
        <w:rPr>
          <w:i/>
          <w:iCs/>
        </w:rPr>
        <w:t>Central</w:t>
      </w:r>
      <w:proofErr w:type="spellEnd"/>
      <w:r w:rsidRPr="00BB2872">
        <w:rPr>
          <w:i/>
          <w:iCs/>
        </w:rPr>
        <w:t xml:space="preserve"> Bank </w:t>
      </w:r>
      <w:proofErr w:type="spellStart"/>
      <w:r w:rsidRPr="00BB2872">
        <w:rPr>
          <w:i/>
          <w:iCs/>
        </w:rPr>
        <w:t>Policies</w:t>
      </w:r>
      <w:proofErr w:type="spellEnd"/>
      <w:r w:rsidRPr="00BB2872">
        <w:rPr>
          <w:i/>
          <w:iCs/>
        </w:rPr>
        <w:t xml:space="preserve"> and Instruments</w:t>
      </w:r>
      <w:r w:rsidRPr="00BB2872">
        <w:t xml:space="preserve">. Bank </w:t>
      </w:r>
      <w:proofErr w:type="spellStart"/>
      <w:r w:rsidRPr="00BB2872">
        <w:t>of</w:t>
      </w:r>
      <w:proofErr w:type="spellEnd"/>
      <w:r w:rsidRPr="00BB2872">
        <w:t xml:space="preserve"> </w:t>
      </w:r>
      <w:proofErr w:type="spellStart"/>
      <w:r w:rsidRPr="00BB2872">
        <w:t>Albania</w:t>
      </w:r>
      <w:proofErr w:type="spellEnd"/>
      <w:r w:rsidRPr="00BB2872">
        <w:t>, pp. 245-254. </w:t>
      </w:r>
    </w:p>
    <w:p w14:paraId="306B1CC9" w14:textId="77777777" w:rsidR="00466AD9" w:rsidRPr="00BB2872" w:rsidRDefault="00466AD9" w:rsidP="00466AD9">
      <w:pPr>
        <w:pStyle w:val="Normlnweb"/>
        <w:spacing w:before="120" w:beforeAutospacing="0" w:after="200" w:afterAutospacing="0"/>
      </w:pPr>
      <w:proofErr w:type="spellStart"/>
      <w:r w:rsidRPr="00BB2872">
        <w:t>Hamilton</w:t>
      </w:r>
      <w:proofErr w:type="spellEnd"/>
      <w:r w:rsidRPr="00BB2872">
        <w:t xml:space="preserve">, J. D. 1994. </w:t>
      </w:r>
      <w:r w:rsidRPr="00BB2872">
        <w:rPr>
          <w:i/>
          <w:iCs/>
        </w:rPr>
        <w:t xml:space="preserve">Time </w:t>
      </w:r>
      <w:proofErr w:type="spellStart"/>
      <w:r w:rsidRPr="00BB2872">
        <w:rPr>
          <w:i/>
          <w:iCs/>
        </w:rPr>
        <w:t>Series</w:t>
      </w:r>
      <w:proofErr w:type="spellEnd"/>
      <w:r w:rsidRPr="00BB2872">
        <w:rPr>
          <w:i/>
          <w:iCs/>
        </w:rPr>
        <w:t xml:space="preserve"> </w:t>
      </w:r>
      <w:proofErr w:type="spellStart"/>
      <w:r w:rsidRPr="00BB2872">
        <w:rPr>
          <w:i/>
          <w:iCs/>
        </w:rPr>
        <w:t>Analysis</w:t>
      </w:r>
      <w:proofErr w:type="spellEnd"/>
      <w:r w:rsidRPr="00BB2872">
        <w:t xml:space="preserve">. New Jersey: </w:t>
      </w:r>
      <w:proofErr w:type="spellStart"/>
      <w:r w:rsidRPr="00BB2872">
        <w:t>Princeton</w:t>
      </w:r>
      <w:proofErr w:type="spellEnd"/>
      <w:r w:rsidRPr="00BB2872">
        <w:t xml:space="preserve"> University </w:t>
      </w:r>
      <w:proofErr w:type="spellStart"/>
      <w:r w:rsidRPr="00BB2872">
        <w:t>Press</w:t>
      </w:r>
      <w:proofErr w:type="spellEnd"/>
      <w:r w:rsidRPr="00BB2872">
        <w:t>. </w:t>
      </w:r>
    </w:p>
    <w:p w14:paraId="183C17F9" w14:textId="77777777" w:rsidR="00466AD9" w:rsidRPr="00BB2872" w:rsidRDefault="00466AD9" w:rsidP="00466AD9">
      <w:pPr>
        <w:pStyle w:val="Normlnweb"/>
        <w:spacing w:before="120" w:beforeAutospacing="0" w:after="200" w:afterAutospacing="0"/>
      </w:pPr>
      <w:proofErr w:type="spellStart"/>
      <w:r w:rsidRPr="00BB2872">
        <w:t>Havranek</w:t>
      </w:r>
      <w:proofErr w:type="spellEnd"/>
      <w:r w:rsidRPr="00BB2872">
        <w:t xml:space="preserve">, T., Z. </w:t>
      </w:r>
      <w:proofErr w:type="spellStart"/>
      <w:r w:rsidRPr="00BB2872">
        <w:t>Irsova</w:t>
      </w:r>
      <w:proofErr w:type="spellEnd"/>
      <w:r w:rsidRPr="00BB2872">
        <w:t xml:space="preserve">, and J. </w:t>
      </w:r>
      <w:proofErr w:type="spellStart"/>
      <w:r w:rsidRPr="00BB2872">
        <w:t>Lesanovska</w:t>
      </w:r>
      <w:proofErr w:type="spellEnd"/>
      <w:r w:rsidRPr="00BB2872">
        <w:t xml:space="preserve">. 2016. “Bank </w:t>
      </w:r>
      <w:proofErr w:type="spellStart"/>
      <w:r w:rsidRPr="00BB2872">
        <w:t>Efficiency</w:t>
      </w:r>
      <w:proofErr w:type="spellEnd"/>
      <w:r w:rsidRPr="00BB2872">
        <w:t xml:space="preserve"> and </w:t>
      </w:r>
      <w:proofErr w:type="spellStart"/>
      <w:r w:rsidRPr="00BB2872">
        <w:t>Interest</w:t>
      </w:r>
      <w:proofErr w:type="spellEnd"/>
      <w:r w:rsidRPr="00BB2872">
        <w:t xml:space="preserve"> </w:t>
      </w:r>
      <w:proofErr w:type="spellStart"/>
      <w:r w:rsidRPr="00BB2872">
        <w:t>Rate</w:t>
      </w:r>
      <w:proofErr w:type="spellEnd"/>
      <w:r w:rsidRPr="00BB2872">
        <w:t xml:space="preserve"> </w:t>
      </w:r>
      <w:proofErr w:type="spellStart"/>
      <w:r w:rsidRPr="00BB2872">
        <w:t>Pass-Trough</w:t>
      </w:r>
      <w:proofErr w:type="spellEnd"/>
      <w:r w:rsidRPr="00BB2872">
        <w:t xml:space="preserve">: Evidence </w:t>
      </w:r>
      <w:proofErr w:type="spellStart"/>
      <w:r w:rsidRPr="00BB2872">
        <w:t>from</w:t>
      </w:r>
      <w:proofErr w:type="spellEnd"/>
      <w:r w:rsidRPr="00BB2872">
        <w:t xml:space="preserve"> Czech Loan </w:t>
      </w:r>
      <w:proofErr w:type="spellStart"/>
      <w:r w:rsidRPr="00BB2872">
        <w:t>Products</w:t>
      </w:r>
      <w:proofErr w:type="spellEnd"/>
      <w:r w:rsidRPr="00BB2872">
        <w:t xml:space="preserve">.” </w:t>
      </w:r>
      <w:proofErr w:type="spellStart"/>
      <w:r w:rsidRPr="00BB2872">
        <w:rPr>
          <w:i/>
          <w:iCs/>
        </w:rPr>
        <w:t>Economic</w:t>
      </w:r>
      <w:proofErr w:type="spellEnd"/>
      <w:r w:rsidRPr="00BB2872">
        <w:rPr>
          <w:i/>
          <w:iCs/>
        </w:rPr>
        <w:t xml:space="preserve"> Modelling</w:t>
      </w:r>
      <w:r w:rsidRPr="00BB2872">
        <w:t xml:space="preserve"> 54: 153-169. </w:t>
      </w:r>
    </w:p>
    <w:p w14:paraId="547073D6" w14:textId="77777777" w:rsidR="00466AD9" w:rsidRPr="00BB2872" w:rsidRDefault="00466AD9" w:rsidP="00466AD9">
      <w:pPr>
        <w:pStyle w:val="Normlnweb"/>
        <w:spacing w:before="120" w:beforeAutospacing="0" w:after="200" w:afterAutospacing="0"/>
        <w:jc w:val="both"/>
      </w:pPr>
      <w:r w:rsidRPr="00BB2872">
        <w:t xml:space="preserve">Hoffmann, P., M. </w:t>
      </w:r>
      <w:proofErr w:type="spellStart"/>
      <w:r w:rsidRPr="00BB2872">
        <w:t>Kremer</w:t>
      </w:r>
      <w:proofErr w:type="spellEnd"/>
      <w:r w:rsidRPr="00BB2872">
        <w:t xml:space="preserve"> and S. </w:t>
      </w:r>
      <w:proofErr w:type="spellStart"/>
      <w:r w:rsidRPr="00BB2872">
        <w:t>Zaharia</w:t>
      </w:r>
      <w:proofErr w:type="spellEnd"/>
      <w:r w:rsidRPr="00BB2872">
        <w:t>. 2020. “</w:t>
      </w:r>
      <w:proofErr w:type="spellStart"/>
      <w:r w:rsidRPr="00BB2872">
        <w:t>Financial</w:t>
      </w:r>
      <w:proofErr w:type="spellEnd"/>
      <w:r w:rsidRPr="00BB2872">
        <w:t xml:space="preserve"> </w:t>
      </w:r>
      <w:proofErr w:type="spellStart"/>
      <w:r w:rsidRPr="00BB2872">
        <w:t>Integration</w:t>
      </w:r>
      <w:proofErr w:type="spellEnd"/>
      <w:r w:rsidRPr="00BB2872">
        <w:t xml:space="preserve"> in </w:t>
      </w:r>
      <w:proofErr w:type="spellStart"/>
      <w:r w:rsidRPr="00BB2872">
        <w:t>Europe</w:t>
      </w:r>
      <w:proofErr w:type="spellEnd"/>
      <w:r w:rsidRPr="00BB2872">
        <w:t xml:space="preserve"> </w:t>
      </w:r>
      <w:proofErr w:type="spellStart"/>
      <w:r w:rsidRPr="00BB2872">
        <w:t>through</w:t>
      </w:r>
      <w:proofErr w:type="spellEnd"/>
      <w:r w:rsidRPr="00BB2872">
        <w:t xml:space="preserve"> </w:t>
      </w:r>
      <w:proofErr w:type="spellStart"/>
      <w:r w:rsidRPr="00BB2872">
        <w:t>the</w:t>
      </w:r>
      <w:proofErr w:type="spellEnd"/>
      <w:r w:rsidRPr="00BB2872">
        <w:t xml:space="preserve"> </w:t>
      </w:r>
      <w:proofErr w:type="spellStart"/>
      <w:r w:rsidRPr="00BB2872">
        <w:t>Lens</w:t>
      </w:r>
      <w:proofErr w:type="spellEnd"/>
      <w:r w:rsidRPr="00BB2872">
        <w:t xml:space="preserve"> </w:t>
      </w:r>
      <w:proofErr w:type="spellStart"/>
      <w:r w:rsidRPr="00BB2872">
        <w:t>of</w:t>
      </w:r>
      <w:proofErr w:type="spellEnd"/>
      <w:r w:rsidRPr="00BB2872">
        <w:t xml:space="preserve"> </w:t>
      </w:r>
      <w:proofErr w:type="spellStart"/>
      <w:r w:rsidRPr="00BB2872">
        <w:t>Composite</w:t>
      </w:r>
      <w:proofErr w:type="spellEnd"/>
      <w:r w:rsidRPr="00BB2872">
        <w:t xml:space="preserve"> </w:t>
      </w:r>
      <w:proofErr w:type="spellStart"/>
      <w:r w:rsidRPr="00BB2872">
        <w:t>Indicators</w:t>
      </w:r>
      <w:proofErr w:type="spellEnd"/>
      <w:r w:rsidRPr="00BB2872">
        <w:t xml:space="preserve">.” </w:t>
      </w:r>
      <w:proofErr w:type="spellStart"/>
      <w:r w:rsidRPr="00BB2872">
        <w:rPr>
          <w:i/>
          <w:iCs/>
        </w:rPr>
        <w:t>Economic</w:t>
      </w:r>
      <w:proofErr w:type="spellEnd"/>
      <w:r w:rsidRPr="00BB2872">
        <w:rPr>
          <w:i/>
          <w:iCs/>
        </w:rPr>
        <w:t xml:space="preserve"> </w:t>
      </w:r>
      <w:proofErr w:type="spellStart"/>
      <w:r w:rsidRPr="00BB2872">
        <w:rPr>
          <w:i/>
          <w:iCs/>
        </w:rPr>
        <w:t>Letters</w:t>
      </w:r>
      <w:proofErr w:type="spellEnd"/>
      <w:r w:rsidRPr="00BB2872">
        <w:t xml:space="preserve"> 194: 1-4. </w:t>
      </w:r>
    </w:p>
    <w:p w14:paraId="7918C469" w14:textId="77777777" w:rsidR="00466AD9" w:rsidRPr="00BB2872" w:rsidRDefault="00466AD9" w:rsidP="00466AD9">
      <w:pPr>
        <w:pStyle w:val="Normlnweb"/>
        <w:spacing w:before="120" w:beforeAutospacing="0" w:after="200" w:afterAutospacing="0"/>
        <w:jc w:val="both"/>
      </w:pPr>
      <w:proofErr w:type="spellStart"/>
      <w:r w:rsidRPr="00BB2872">
        <w:t>Holton</w:t>
      </w:r>
      <w:proofErr w:type="spellEnd"/>
      <w:r w:rsidRPr="00BB2872">
        <w:t xml:space="preserve">, S. and C. </w:t>
      </w:r>
      <w:proofErr w:type="spellStart"/>
      <w:r w:rsidRPr="00BB2872">
        <w:t>Rodriguez</w:t>
      </w:r>
      <w:proofErr w:type="spellEnd"/>
      <w:r w:rsidRPr="00BB2872">
        <w:t xml:space="preserve"> </w:t>
      </w:r>
      <w:proofErr w:type="spellStart"/>
      <w:r w:rsidRPr="00BB2872">
        <w:t>d’Acri</w:t>
      </w:r>
      <w:proofErr w:type="spellEnd"/>
      <w:r w:rsidRPr="00BB2872">
        <w:t>. 2015. “</w:t>
      </w:r>
      <w:proofErr w:type="spellStart"/>
      <w:r w:rsidRPr="00BB2872">
        <w:t>Jagged</w:t>
      </w:r>
      <w:proofErr w:type="spellEnd"/>
      <w:r w:rsidRPr="00BB2872">
        <w:t xml:space="preserve"> </w:t>
      </w:r>
      <w:proofErr w:type="spellStart"/>
      <w:r w:rsidRPr="00BB2872">
        <w:t>Cliffs</w:t>
      </w:r>
      <w:proofErr w:type="spellEnd"/>
      <w:r w:rsidRPr="00BB2872">
        <w:t xml:space="preserve"> and </w:t>
      </w:r>
      <w:proofErr w:type="spellStart"/>
      <w:r w:rsidRPr="00BB2872">
        <w:t>Stumbling</w:t>
      </w:r>
      <w:proofErr w:type="spellEnd"/>
      <w:r w:rsidRPr="00BB2872">
        <w:t xml:space="preserve"> </w:t>
      </w:r>
      <w:proofErr w:type="spellStart"/>
      <w:r w:rsidRPr="00BB2872">
        <w:t>Blocks</w:t>
      </w:r>
      <w:proofErr w:type="spellEnd"/>
      <w:r w:rsidRPr="00BB2872">
        <w:t xml:space="preserve">: </w:t>
      </w:r>
      <w:proofErr w:type="spellStart"/>
      <w:r w:rsidRPr="00BB2872">
        <w:t>Interest</w:t>
      </w:r>
      <w:proofErr w:type="spellEnd"/>
      <w:r w:rsidRPr="00BB2872">
        <w:t xml:space="preserve"> </w:t>
      </w:r>
      <w:proofErr w:type="spellStart"/>
      <w:r w:rsidRPr="00BB2872">
        <w:t>Rate</w:t>
      </w:r>
      <w:proofErr w:type="spellEnd"/>
      <w:r w:rsidRPr="00BB2872">
        <w:t xml:space="preserve"> </w:t>
      </w:r>
      <w:proofErr w:type="spellStart"/>
      <w:r w:rsidRPr="00BB2872">
        <w:t>Pass-through</w:t>
      </w:r>
      <w:proofErr w:type="spellEnd"/>
      <w:r w:rsidRPr="00BB2872">
        <w:t xml:space="preserve"> </w:t>
      </w:r>
      <w:proofErr w:type="spellStart"/>
      <w:r w:rsidRPr="00BB2872">
        <w:t>Fragmentation</w:t>
      </w:r>
      <w:proofErr w:type="spellEnd"/>
      <w:r w:rsidRPr="00BB2872">
        <w:t xml:space="preserve"> </w:t>
      </w:r>
      <w:proofErr w:type="spellStart"/>
      <w:r w:rsidRPr="00BB2872">
        <w:t>during</w:t>
      </w:r>
      <w:proofErr w:type="spellEnd"/>
      <w:r w:rsidRPr="00BB2872">
        <w:t xml:space="preserve"> </w:t>
      </w:r>
      <w:proofErr w:type="spellStart"/>
      <w:r w:rsidRPr="00BB2872">
        <w:t>the</w:t>
      </w:r>
      <w:proofErr w:type="spellEnd"/>
      <w:r w:rsidRPr="00BB2872">
        <w:t xml:space="preserve"> Euro Area </w:t>
      </w:r>
      <w:proofErr w:type="spellStart"/>
      <w:r w:rsidRPr="00BB2872">
        <w:t>Crisis</w:t>
      </w:r>
      <w:proofErr w:type="spellEnd"/>
      <w:r w:rsidRPr="00BB2872">
        <w:t xml:space="preserve">.” </w:t>
      </w:r>
      <w:r w:rsidRPr="00BB2872">
        <w:rPr>
          <w:i/>
          <w:iCs/>
        </w:rPr>
        <w:t xml:space="preserve">ECB </w:t>
      </w:r>
      <w:proofErr w:type="spellStart"/>
      <w:r w:rsidRPr="00BB2872">
        <w:rPr>
          <w:i/>
          <w:iCs/>
        </w:rPr>
        <w:t>Working</w:t>
      </w:r>
      <w:proofErr w:type="spellEnd"/>
      <w:r w:rsidRPr="00BB2872">
        <w:rPr>
          <w:i/>
          <w:iCs/>
        </w:rPr>
        <w:t xml:space="preserve"> </w:t>
      </w:r>
      <w:proofErr w:type="spellStart"/>
      <w:r w:rsidRPr="00BB2872">
        <w:rPr>
          <w:i/>
          <w:iCs/>
        </w:rPr>
        <w:t>Paper</w:t>
      </w:r>
      <w:proofErr w:type="spellEnd"/>
      <w:r w:rsidRPr="00BB2872">
        <w:t xml:space="preserve">, No 1850, </w:t>
      </w:r>
      <w:proofErr w:type="spellStart"/>
      <w:r w:rsidRPr="00BB2872">
        <w:t>September</w:t>
      </w:r>
      <w:proofErr w:type="spellEnd"/>
      <w:r w:rsidRPr="00BB2872">
        <w:t>.</w:t>
      </w:r>
    </w:p>
    <w:p w14:paraId="4633F105" w14:textId="77777777" w:rsidR="00466AD9" w:rsidRPr="00BB2872" w:rsidRDefault="00466AD9" w:rsidP="00466AD9">
      <w:pPr>
        <w:pStyle w:val="Normlnweb"/>
        <w:spacing w:before="120" w:beforeAutospacing="0" w:after="200" w:afterAutospacing="0"/>
        <w:jc w:val="both"/>
      </w:pPr>
      <w:proofErr w:type="spellStart"/>
      <w:r w:rsidRPr="00BB2872">
        <w:t>Horvath</w:t>
      </w:r>
      <w:proofErr w:type="spellEnd"/>
      <w:r w:rsidRPr="00BB2872">
        <w:t xml:space="preserve">, R., and A. </w:t>
      </w:r>
      <w:proofErr w:type="spellStart"/>
      <w:r w:rsidRPr="00BB2872">
        <w:t>Podpiera</w:t>
      </w:r>
      <w:proofErr w:type="spellEnd"/>
      <w:r w:rsidRPr="00BB2872">
        <w:t>. 2012. “</w:t>
      </w:r>
      <w:proofErr w:type="spellStart"/>
      <w:r w:rsidRPr="00BB2872">
        <w:t>Heterogeneity</w:t>
      </w:r>
      <w:proofErr w:type="spellEnd"/>
      <w:r w:rsidRPr="00BB2872">
        <w:t xml:space="preserve"> in Bank </w:t>
      </w:r>
      <w:proofErr w:type="spellStart"/>
      <w:r w:rsidRPr="00BB2872">
        <w:t>Pricing</w:t>
      </w:r>
      <w:proofErr w:type="spellEnd"/>
      <w:r w:rsidRPr="00BB2872">
        <w:t xml:space="preserve"> </w:t>
      </w:r>
      <w:proofErr w:type="spellStart"/>
      <w:r w:rsidRPr="00BB2872">
        <w:t>Policies</w:t>
      </w:r>
      <w:proofErr w:type="spellEnd"/>
      <w:r w:rsidRPr="00BB2872">
        <w:t xml:space="preserve">: </w:t>
      </w:r>
      <w:proofErr w:type="spellStart"/>
      <w:r w:rsidRPr="00BB2872">
        <w:t>The</w:t>
      </w:r>
      <w:proofErr w:type="spellEnd"/>
      <w:r w:rsidRPr="00BB2872">
        <w:t xml:space="preserve"> Czech Evidence.” </w:t>
      </w:r>
      <w:proofErr w:type="spellStart"/>
      <w:r w:rsidRPr="00BB2872">
        <w:rPr>
          <w:i/>
          <w:iCs/>
        </w:rPr>
        <w:t>Economic</w:t>
      </w:r>
      <w:proofErr w:type="spellEnd"/>
      <w:r w:rsidRPr="00BB2872">
        <w:rPr>
          <w:i/>
          <w:iCs/>
        </w:rPr>
        <w:t xml:space="preserve"> Systems</w:t>
      </w:r>
      <w:r w:rsidRPr="00BB2872">
        <w:t xml:space="preserve"> 36(1): 87-108. </w:t>
      </w:r>
    </w:p>
    <w:p w14:paraId="51B236D7" w14:textId="77777777" w:rsidR="00466AD9" w:rsidRPr="00BB2872" w:rsidRDefault="00466AD9" w:rsidP="00466AD9">
      <w:pPr>
        <w:pStyle w:val="Normlnweb"/>
        <w:spacing w:before="120" w:beforeAutospacing="0" w:after="120" w:afterAutospacing="0"/>
        <w:jc w:val="both"/>
      </w:pPr>
      <w:proofErr w:type="spellStart"/>
      <w:r w:rsidRPr="00BB2872">
        <w:t>Illes</w:t>
      </w:r>
      <w:proofErr w:type="spellEnd"/>
      <w:r w:rsidRPr="00BB2872">
        <w:t>, A., M.J. Lombardi and P. Mizen. 2019. “</w:t>
      </w:r>
      <w:proofErr w:type="spellStart"/>
      <w:r w:rsidRPr="00BB2872">
        <w:t>The</w:t>
      </w:r>
      <w:proofErr w:type="spellEnd"/>
      <w:r w:rsidRPr="00BB2872">
        <w:t xml:space="preserve"> Divergence </w:t>
      </w:r>
      <w:proofErr w:type="spellStart"/>
      <w:r w:rsidRPr="00BB2872">
        <w:t>of</w:t>
      </w:r>
      <w:proofErr w:type="spellEnd"/>
      <w:r w:rsidRPr="00BB2872">
        <w:t xml:space="preserve"> Bank </w:t>
      </w:r>
      <w:proofErr w:type="spellStart"/>
      <w:r w:rsidRPr="00BB2872">
        <w:t>Lending</w:t>
      </w:r>
      <w:proofErr w:type="spellEnd"/>
      <w:r w:rsidRPr="00BB2872">
        <w:t xml:space="preserve"> </w:t>
      </w:r>
      <w:proofErr w:type="spellStart"/>
      <w:r w:rsidRPr="00BB2872">
        <w:t>Rates</w:t>
      </w:r>
      <w:proofErr w:type="spellEnd"/>
      <w:r w:rsidRPr="00BB2872">
        <w:t xml:space="preserve"> </w:t>
      </w:r>
      <w:proofErr w:type="spellStart"/>
      <w:r w:rsidRPr="00BB2872">
        <w:t>from</w:t>
      </w:r>
      <w:proofErr w:type="spellEnd"/>
      <w:r w:rsidRPr="00BB2872">
        <w:t xml:space="preserve"> </w:t>
      </w:r>
      <w:proofErr w:type="spellStart"/>
      <w:r w:rsidRPr="00BB2872">
        <w:t>Policy</w:t>
      </w:r>
      <w:proofErr w:type="spellEnd"/>
      <w:r w:rsidRPr="00BB2872">
        <w:t xml:space="preserve"> </w:t>
      </w:r>
      <w:proofErr w:type="spellStart"/>
      <w:r w:rsidRPr="00BB2872">
        <w:t>Rates</w:t>
      </w:r>
      <w:proofErr w:type="spellEnd"/>
      <w:r w:rsidRPr="00BB2872">
        <w:t xml:space="preserve"> </w:t>
      </w:r>
      <w:proofErr w:type="spellStart"/>
      <w:r w:rsidRPr="00BB2872">
        <w:t>After</w:t>
      </w:r>
      <w:proofErr w:type="spellEnd"/>
      <w:r w:rsidRPr="00BB2872">
        <w:t xml:space="preserve"> </w:t>
      </w:r>
      <w:proofErr w:type="spellStart"/>
      <w:r w:rsidRPr="00BB2872">
        <w:t>the</w:t>
      </w:r>
      <w:proofErr w:type="spellEnd"/>
      <w:r w:rsidRPr="00BB2872">
        <w:t xml:space="preserve"> </w:t>
      </w:r>
      <w:proofErr w:type="spellStart"/>
      <w:r w:rsidRPr="00BB2872">
        <w:t>Financial</w:t>
      </w:r>
      <w:proofErr w:type="spellEnd"/>
      <w:r w:rsidRPr="00BB2872">
        <w:t xml:space="preserve"> </w:t>
      </w:r>
      <w:proofErr w:type="spellStart"/>
      <w:r w:rsidRPr="00BB2872">
        <w:t>Crisis</w:t>
      </w:r>
      <w:proofErr w:type="spellEnd"/>
      <w:r w:rsidRPr="00BB2872">
        <w:t xml:space="preserve">: </w:t>
      </w:r>
      <w:proofErr w:type="spellStart"/>
      <w:r w:rsidRPr="00BB2872">
        <w:t>The</w:t>
      </w:r>
      <w:proofErr w:type="spellEnd"/>
      <w:r w:rsidRPr="00BB2872">
        <w:t xml:space="preserve"> Role </w:t>
      </w:r>
      <w:proofErr w:type="spellStart"/>
      <w:r w:rsidRPr="00BB2872">
        <w:t>of</w:t>
      </w:r>
      <w:proofErr w:type="spellEnd"/>
      <w:r w:rsidRPr="00BB2872">
        <w:t xml:space="preserve"> Bank </w:t>
      </w:r>
      <w:proofErr w:type="spellStart"/>
      <w:r w:rsidRPr="00BB2872">
        <w:t>Funding</w:t>
      </w:r>
      <w:proofErr w:type="spellEnd"/>
      <w:r w:rsidRPr="00BB2872">
        <w:t xml:space="preserve"> </w:t>
      </w:r>
      <w:proofErr w:type="spellStart"/>
      <w:r w:rsidRPr="00BB2872">
        <w:t>Costs</w:t>
      </w:r>
      <w:proofErr w:type="spellEnd"/>
      <w:r w:rsidRPr="00BB2872">
        <w:t xml:space="preserve">.” </w:t>
      </w:r>
      <w:proofErr w:type="spellStart"/>
      <w:r w:rsidRPr="00BB2872">
        <w:rPr>
          <w:i/>
          <w:iCs/>
        </w:rPr>
        <w:t>Journal</w:t>
      </w:r>
      <w:proofErr w:type="spellEnd"/>
      <w:r w:rsidRPr="00BB2872">
        <w:rPr>
          <w:i/>
          <w:iCs/>
        </w:rPr>
        <w:t xml:space="preserve"> </w:t>
      </w:r>
      <w:proofErr w:type="spellStart"/>
      <w:r w:rsidRPr="00BB2872">
        <w:rPr>
          <w:i/>
          <w:iCs/>
        </w:rPr>
        <w:t>of</w:t>
      </w:r>
      <w:proofErr w:type="spellEnd"/>
      <w:r w:rsidRPr="00BB2872">
        <w:rPr>
          <w:i/>
          <w:iCs/>
        </w:rPr>
        <w:t xml:space="preserve"> International Money and Finance</w:t>
      </w:r>
      <w:r w:rsidRPr="00BB2872">
        <w:t xml:space="preserve"> 93: 117-141. </w:t>
      </w:r>
    </w:p>
    <w:p w14:paraId="3CEEB0C5" w14:textId="77777777" w:rsidR="00466AD9" w:rsidRPr="00BB2872" w:rsidRDefault="00466AD9" w:rsidP="00466AD9">
      <w:pPr>
        <w:pStyle w:val="Normlnweb"/>
        <w:spacing w:before="120" w:beforeAutospacing="0" w:after="120" w:afterAutospacing="0"/>
        <w:jc w:val="both"/>
      </w:pPr>
      <w:proofErr w:type="spellStart"/>
      <w:r w:rsidRPr="00BB2872">
        <w:t>Kadow</w:t>
      </w:r>
      <w:proofErr w:type="spellEnd"/>
      <w:r w:rsidRPr="00BB2872">
        <w:t xml:space="preserve">, A., M. </w:t>
      </w:r>
      <w:proofErr w:type="spellStart"/>
      <w:r w:rsidRPr="00BB2872">
        <w:t>Cerrato</w:t>
      </w:r>
      <w:proofErr w:type="spellEnd"/>
      <w:r w:rsidRPr="00BB2872">
        <w:t xml:space="preserve">, R. MacDonald and S. </w:t>
      </w:r>
      <w:proofErr w:type="spellStart"/>
      <w:r w:rsidRPr="00BB2872">
        <w:t>Straetmans</w:t>
      </w:r>
      <w:proofErr w:type="spellEnd"/>
      <w:r w:rsidRPr="00BB2872">
        <w:t>. 2013. “</w:t>
      </w:r>
      <w:proofErr w:type="spellStart"/>
      <w:r w:rsidRPr="00BB2872">
        <w:t>Does</w:t>
      </w:r>
      <w:proofErr w:type="spellEnd"/>
      <w:r w:rsidRPr="00BB2872">
        <w:t xml:space="preserve"> </w:t>
      </w:r>
      <w:proofErr w:type="spellStart"/>
      <w:r w:rsidRPr="00BB2872">
        <w:t>the</w:t>
      </w:r>
      <w:proofErr w:type="spellEnd"/>
      <w:r w:rsidRPr="00BB2872">
        <w:t xml:space="preserve"> Euro </w:t>
      </w:r>
      <w:proofErr w:type="spellStart"/>
      <w:r w:rsidRPr="00BB2872">
        <w:t>Dominate</w:t>
      </w:r>
      <w:proofErr w:type="spellEnd"/>
      <w:r w:rsidRPr="00BB2872">
        <w:t xml:space="preserve"> </w:t>
      </w:r>
      <w:proofErr w:type="spellStart"/>
      <w:r w:rsidRPr="00BB2872">
        <w:t>Central</w:t>
      </w:r>
      <w:proofErr w:type="spellEnd"/>
      <w:r w:rsidRPr="00BB2872">
        <w:t xml:space="preserve"> and </w:t>
      </w:r>
      <w:proofErr w:type="spellStart"/>
      <w:r w:rsidRPr="00BB2872">
        <w:t>Eastern</w:t>
      </w:r>
      <w:proofErr w:type="spellEnd"/>
      <w:r w:rsidRPr="00BB2872">
        <w:t xml:space="preserve"> </w:t>
      </w:r>
      <w:proofErr w:type="spellStart"/>
      <w:r w:rsidRPr="00BB2872">
        <w:t>European</w:t>
      </w:r>
      <w:proofErr w:type="spellEnd"/>
      <w:r w:rsidRPr="00BB2872">
        <w:t xml:space="preserve"> Money </w:t>
      </w:r>
      <w:proofErr w:type="spellStart"/>
      <w:r w:rsidRPr="00BB2872">
        <w:t>Markets</w:t>
      </w:r>
      <w:proofErr w:type="spellEnd"/>
      <w:r w:rsidRPr="00BB2872">
        <w:t xml:space="preserve">?” </w:t>
      </w:r>
      <w:proofErr w:type="spellStart"/>
      <w:r w:rsidRPr="00BB2872">
        <w:rPr>
          <w:i/>
          <w:iCs/>
        </w:rPr>
        <w:t>Journal</w:t>
      </w:r>
      <w:proofErr w:type="spellEnd"/>
      <w:r w:rsidRPr="00BB2872">
        <w:rPr>
          <w:i/>
          <w:iCs/>
        </w:rPr>
        <w:t xml:space="preserve"> </w:t>
      </w:r>
      <w:proofErr w:type="spellStart"/>
      <w:r w:rsidRPr="00BB2872">
        <w:rPr>
          <w:i/>
          <w:iCs/>
        </w:rPr>
        <w:t>of</w:t>
      </w:r>
      <w:proofErr w:type="spellEnd"/>
      <w:r w:rsidRPr="00BB2872">
        <w:rPr>
          <w:i/>
          <w:iCs/>
        </w:rPr>
        <w:t xml:space="preserve"> International Money and Finance</w:t>
      </w:r>
      <w:r w:rsidRPr="00BB2872">
        <w:t xml:space="preserve"> 32: 700-718. </w:t>
      </w:r>
    </w:p>
    <w:p w14:paraId="2C00472A" w14:textId="77777777" w:rsidR="00466AD9" w:rsidRPr="00BB2872" w:rsidRDefault="00466AD9" w:rsidP="00466AD9">
      <w:pPr>
        <w:pStyle w:val="Normlnweb"/>
        <w:spacing w:before="120" w:beforeAutospacing="0" w:after="120" w:afterAutospacing="0"/>
        <w:jc w:val="both"/>
      </w:pPr>
      <w:proofErr w:type="spellStart"/>
      <w:r w:rsidRPr="00BB2872">
        <w:lastRenderedPageBreak/>
        <w:t>Kampl</w:t>
      </w:r>
      <w:proofErr w:type="spellEnd"/>
      <w:r w:rsidRPr="00BB2872">
        <w:t>, L.-M. 2021. “</w:t>
      </w:r>
      <w:proofErr w:type="spellStart"/>
      <w:r w:rsidRPr="00BB2872">
        <w:t>Measuring</w:t>
      </w:r>
      <w:proofErr w:type="spellEnd"/>
      <w:r w:rsidRPr="00BB2872">
        <w:t xml:space="preserve"> </w:t>
      </w:r>
      <w:proofErr w:type="spellStart"/>
      <w:r w:rsidRPr="00BB2872">
        <w:t>the</w:t>
      </w:r>
      <w:proofErr w:type="spellEnd"/>
      <w:r w:rsidRPr="00BB2872">
        <w:t xml:space="preserve"> </w:t>
      </w:r>
      <w:proofErr w:type="spellStart"/>
      <w:r w:rsidRPr="00BB2872">
        <w:t>Short</w:t>
      </w:r>
      <w:proofErr w:type="spellEnd"/>
      <w:r w:rsidRPr="00BB2872">
        <w:t xml:space="preserve">-Term </w:t>
      </w:r>
      <w:proofErr w:type="spellStart"/>
      <w:r w:rsidRPr="00BB2872">
        <w:t>Effects</w:t>
      </w:r>
      <w:proofErr w:type="spellEnd"/>
      <w:r w:rsidRPr="00BB2872">
        <w:t xml:space="preserve"> </w:t>
      </w:r>
      <w:proofErr w:type="spellStart"/>
      <w:r w:rsidRPr="00BB2872">
        <w:t>of</w:t>
      </w:r>
      <w:proofErr w:type="spellEnd"/>
      <w:r w:rsidRPr="00BB2872">
        <w:t xml:space="preserve"> </w:t>
      </w:r>
      <w:proofErr w:type="spellStart"/>
      <w:r w:rsidRPr="00BB2872">
        <w:t>the</w:t>
      </w:r>
      <w:proofErr w:type="spellEnd"/>
      <w:r w:rsidRPr="00BB2872">
        <w:t xml:space="preserve"> </w:t>
      </w:r>
      <w:proofErr w:type="spellStart"/>
      <w:r w:rsidRPr="00BB2872">
        <w:t>ECB’s</w:t>
      </w:r>
      <w:proofErr w:type="spellEnd"/>
      <w:r w:rsidRPr="00BB2872">
        <w:t xml:space="preserve"> </w:t>
      </w:r>
      <w:proofErr w:type="spellStart"/>
      <w:r w:rsidRPr="00BB2872">
        <w:t>Unconventional</w:t>
      </w:r>
      <w:proofErr w:type="spellEnd"/>
      <w:r w:rsidRPr="00BB2872">
        <w:t xml:space="preserve"> </w:t>
      </w:r>
      <w:proofErr w:type="spellStart"/>
      <w:r w:rsidRPr="00BB2872">
        <w:t>Monetary</w:t>
      </w:r>
      <w:proofErr w:type="spellEnd"/>
      <w:r w:rsidRPr="00BB2872">
        <w:t xml:space="preserve"> </w:t>
      </w:r>
      <w:proofErr w:type="spellStart"/>
      <w:r w:rsidRPr="00BB2872">
        <w:t>Policy</w:t>
      </w:r>
      <w:proofErr w:type="spellEnd"/>
      <w:r w:rsidRPr="00BB2872">
        <w:t xml:space="preserve"> on </w:t>
      </w:r>
      <w:proofErr w:type="spellStart"/>
      <w:r w:rsidRPr="00BB2872">
        <w:t>Financial</w:t>
      </w:r>
      <w:proofErr w:type="spellEnd"/>
      <w:r w:rsidRPr="00BB2872">
        <w:t xml:space="preserve"> </w:t>
      </w:r>
      <w:proofErr w:type="spellStart"/>
      <w:r w:rsidRPr="00BB2872">
        <w:t>Markets</w:t>
      </w:r>
      <w:proofErr w:type="spellEnd"/>
      <w:r w:rsidRPr="00BB2872">
        <w:t xml:space="preserve">: A </w:t>
      </w:r>
      <w:proofErr w:type="spellStart"/>
      <w:r w:rsidRPr="00BB2872">
        <w:t>Review</w:t>
      </w:r>
      <w:proofErr w:type="spellEnd"/>
      <w:r w:rsidRPr="00BB2872">
        <w:t xml:space="preserve">.” </w:t>
      </w:r>
      <w:proofErr w:type="spellStart"/>
      <w:r w:rsidRPr="00BB2872">
        <w:rPr>
          <w:i/>
          <w:iCs/>
        </w:rPr>
        <w:t>Credit</w:t>
      </w:r>
      <w:proofErr w:type="spellEnd"/>
      <w:r w:rsidRPr="00BB2872">
        <w:rPr>
          <w:i/>
          <w:iCs/>
        </w:rPr>
        <w:t xml:space="preserve"> and </w:t>
      </w:r>
      <w:proofErr w:type="spellStart"/>
      <w:r w:rsidRPr="00BB2872">
        <w:rPr>
          <w:i/>
          <w:iCs/>
        </w:rPr>
        <w:t>Capital</w:t>
      </w:r>
      <w:proofErr w:type="spellEnd"/>
      <w:r w:rsidRPr="00BB2872">
        <w:rPr>
          <w:i/>
          <w:iCs/>
        </w:rPr>
        <w:t xml:space="preserve"> </w:t>
      </w:r>
      <w:proofErr w:type="spellStart"/>
      <w:r w:rsidRPr="00BB2872">
        <w:rPr>
          <w:i/>
          <w:iCs/>
        </w:rPr>
        <w:t>Markets</w:t>
      </w:r>
      <w:proofErr w:type="spellEnd"/>
      <w:r w:rsidRPr="00BB2872">
        <w:rPr>
          <w:i/>
          <w:iCs/>
        </w:rPr>
        <w:t xml:space="preserve"> – Kredit </w:t>
      </w:r>
      <w:proofErr w:type="spellStart"/>
      <w:r w:rsidRPr="00BB2872">
        <w:rPr>
          <w:i/>
          <w:iCs/>
        </w:rPr>
        <w:t>und</w:t>
      </w:r>
      <w:proofErr w:type="spellEnd"/>
      <w:r w:rsidRPr="00BB2872">
        <w:rPr>
          <w:i/>
          <w:iCs/>
        </w:rPr>
        <w:t xml:space="preserve"> </w:t>
      </w:r>
      <w:proofErr w:type="spellStart"/>
      <w:r w:rsidRPr="00BB2872">
        <w:rPr>
          <w:i/>
          <w:iCs/>
        </w:rPr>
        <w:t>Kapital</w:t>
      </w:r>
      <w:proofErr w:type="spellEnd"/>
      <w:r w:rsidRPr="00BB2872">
        <w:t xml:space="preserve"> 54(1): 37–77.</w:t>
      </w:r>
    </w:p>
    <w:p w14:paraId="21B6E8AE" w14:textId="77777777" w:rsidR="00466AD9" w:rsidRPr="00BB2872" w:rsidRDefault="00466AD9" w:rsidP="00466AD9">
      <w:pPr>
        <w:pStyle w:val="Normlnweb"/>
        <w:spacing w:before="120" w:beforeAutospacing="0" w:after="200" w:afterAutospacing="0"/>
        <w:jc w:val="both"/>
      </w:pPr>
      <w:proofErr w:type="spellStart"/>
      <w:r w:rsidRPr="00BB2872">
        <w:t>Karagiannis</w:t>
      </w:r>
      <w:proofErr w:type="spellEnd"/>
      <w:r w:rsidRPr="00BB2872">
        <w:t xml:space="preserve">, S., Y. </w:t>
      </w:r>
      <w:proofErr w:type="spellStart"/>
      <w:r w:rsidRPr="00BB2872">
        <w:t>Panagopoulos</w:t>
      </w:r>
      <w:proofErr w:type="spellEnd"/>
      <w:r w:rsidRPr="00BB2872">
        <w:t xml:space="preserve"> and P. </w:t>
      </w:r>
      <w:proofErr w:type="spellStart"/>
      <w:r w:rsidRPr="00BB2872">
        <w:t>Vlamis</w:t>
      </w:r>
      <w:proofErr w:type="spellEnd"/>
      <w:r w:rsidRPr="00BB2872">
        <w:t>. 2010. “</w:t>
      </w:r>
      <w:proofErr w:type="spellStart"/>
      <w:r w:rsidRPr="00BB2872">
        <w:t>Interest</w:t>
      </w:r>
      <w:proofErr w:type="spellEnd"/>
      <w:r w:rsidRPr="00BB2872">
        <w:t xml:space="preserve"> </w:t>
      </w:r>
      <w:proofErr w:type="spellStart"/>
      <w:r w:rsidRPr="00BB2872">
        <w:t>Rate</w:t>
      </w:r>
      <w:proofErr w:type="spellEnd"/>
      <w:r w:rsidRPr="00BB2872">
        <w:t xml:space="preserve"> </w:t>
      </w:r>
      <w:proofErr w:type="spellStart"/>
      <w:r w:rsidRPr="00BB2872">
        <w:t>Pass-through</w:t>
      </w:r>
      <w:proofErr w:type="spellEnd"/>
      <w:r w:rsidRPr="00BB2872">
        <w:t xml:space="preserve"> in </w:t>
      </w:r>
      <w:proofErr w:type="spellStart"/>
      <w:r w:rsidRPr="00BB2872">
        <w:t>Europe</w:t>
      </w:r>
      <w:proofErr w:type="spellEnd"/>
      <w:r w:rsidRPr="00BB2872">
        <w:t xml:space="preserve"> and </w:t>
      </w:r>
      <w:proofErr w:type="spellStart"/>
      <w:r w:rsidRPr="00BB2872">
        <w:t>the</w:t>
      </w:r>
      <w:proofErr w:type="spellEnd"/>
      <w:r w:rsidRPr="00BB2872">
        <w:t xml:space="preserve"> US: </w:t>
      </w:r>
      <w:proofErr w:type="spellStart"/>
      <w:r w:rsidRPr="00BB2872">
        <w:t>Monetary</w:t>
      </w:r>
      <w:proofErr w:type="spellEnd"/>
      <w:r w:rsidRPr="00BB2872">
        <w:t xml:space="preserve"> </w:t>
      </w:r>
      <w:proofErr w:type="spellStart"/>
      <w:r w:rsidRPr="00BB2872">
        <w:t>Policy</w:t>
      </w:r>
      <w:proofErr w:type="spellEnd"/>
      <w:r w:rsidRPr="00BB2872">
        <w:t xml:space="preserve"> </w:t>
      </w:r>
      <w:proofErr w:type="spellStart"/>
      <w:r w:rsidRPr="00BB2872">
        <w:t>After</w:t>
      </w:r>
      <w:proofErr w:type="spellEnd"/>
      <w:r w:rsidRPr="00BB2872">
        <w:t xml:space="preserve"> </w:t>
      </w:r>
      <w:proofErr w:type="spellStart"/>
      <w:r w:rsidRPr="00BB2872">
        <w:t>the</w:t>
      </w:r>
      <w:proofErr w:type="spellEnd"/>
      <w:r w:rsidRPr="00BB2872">
        <w:t xml:space="preserve"> </w:t>
      </w:r>
      <w:proofErr w:type="spellStart"/>
      <w:r w:rsidRPr="00BB2872">
        <w:t>Financial</w:t>
      </w:r>
      <w:proofErr w:type="spellEnd"/>
      <w:r w:rsidRPr="00BB2872">
        <w:t xml:space="preserve"> </w:t>
      </w:r>
      <w:proofErr w:type="spellStart"/>
      <w:r w:rsidRPr="00BB2872">
        <w:t>Crisis</w:t>
      </w:r>
      <w:proofErr w:type="spellEnd"/>
      <w:r w:rsidRPr="00BB2872">
        <w:t xml:space="preserve">.” </w:t>
      </w:r>
      <w:proofErr w:type="spellStart"/>
      <w:r w:rsidRPr="00BB2872">
        <w:rPr>
          <w:i/>
          <w:iCs/>
        </w:rPr>
        <w:t>Journal</w:t>
      </w:r>
      <w:proofErr w:type="spellEnd"/>
      <w:r w:rsidRPr="00BB2872">
        <w:rPr>
          <w:i/>
          <w:iCs/>
        </w:rPr>
        <w:t xml:space="preserve"> of </w:t>
      </w:r>
      <w:proofErr w:type="spellStart"/>
      <w:r w:rsidRPr="00BB2872">
        <w:rPr>
          <w:i/>
          <w:iCs/>
        </w:rPr>
        <w:t>Policy</w:t>
      </w:r>
      <w:proofErr w:type="spellEnd"/>
      <w:r w:rsidRPr="00BB2872">
        <w:rPr>
          <w:i/>
          <w:iCs/>
        </w:rPr>
        <w:t xml:space="preserve"> Modeling</w:t>
      </w:r>
      <w:r w:rsidRPr="00BB2872">
        <w:t xml:space="preserve"> 32: 323-338. </w:t>
      </w:r>
    </w:p>
    <w:p w14:paraId="01092D90" w14:textId="77777777" w:rsidR="00466AD9" w:rsidRPr="00BB2872" w:rsidRDefault="00466AD9" w:rsidP="00466AD9">
      <w:pPr>
        <w:pStyle w:val="Normlnweb"/>
        <w:spacing w:before="120" w:beforeAutospacing="0" w:after="200" w:afterAutospacing="0"/>
        <w:jc w:val="both"/>
      </w:pPr>
      <w:proofErr w:type="spellStart"/>
      <w:r w:rsidRPr="00BB2872">
        <w:t>Karagiannis</w:t>
      </w:r>
      <w:proofErr w:type="spellEnd"/>
      <w:r w:rsidRPr="00BB2872">
        <w:t xml:space="preserve">, S., Y. </w:t>
      </w:r>
      <w:proofErr w:type="spellStart"/>
      <w:r w:rsidRPr="00BB2872">
        <w:t>Panagopoulos</w:t>
      </w:r>
      <w:proofErr w:type="spellEnd"/>
      <w:r w:rsidRPr="00BB2872">
        <w:t xml:space="preserve"> and P. </w:t>
      </w:r>
      <w:proofErr w:type="spellStart"/>
      <w:r w:rsidRPr="00BB2872">
        <w:t>Vlamis</w:t>
      </w:r>
      <w:proofErr w:type="spellEnd"/>
      <w:r w:rsidRPr="00BB2872">
        <w:t>. 2011. “</w:t>
      </w:r>
      <w:proofErr w:type="spellStart"/>
      <w:r w:rsidRPr="00BB2872">
        <w:t>Symmetric</w:t>
      </w:r>
      <w:proofErr w:type="spellEnd"/>
      <w:r w:rsidRPr="00BB2872">
        <w:t xml:space="preserve"> </w:t>
      </w:r>
      <w:proofErr w:type="spellStart"/>
      <w:r w:rsidRPr="00BB2872">
        <w:t>or</w:t>
      </w:r>
      <w:proofErr w:type="spellEnd"/>
      <w:r w:rsidRPr="00BB2872">
        <w:t xml:space="preserve"> </w:t>
      </w:r>
      <w:proofErr w:type="spellStart"/>
      <w:r w:rsidRPr="00BB2872">
        <w:t>Asymmetric</w:t>
      </w:r>
      <w:proofErr w:type="spellEnd"/>
      <w:r w:rsidRPr="00BB2872">
        <w:t xml:space="preserve"> </w:t>
      </w:r>
      <w:proofErr w:type="spellStart"/>
      <w:r w:rsidRPr="00BB2872">
        <w:t>Interest</w:t>
      </w:r>
      <w:proofErr w:type="spellEnd"/>
      <w:r w:rsidRPr="00BB2872">
        <w:t xml:space="preserve"> </w:t>
      </w:r>
      <w:proofErr w:type="spellStart"/>
      <w:r w:rsidRPr="00BB2872">
        <w:t>Rate</w:t>
      </w:r>
      <w:proofErr w:type="spellEnd"/>
      <w:r w:rsidRPr="00BB2872">
        <w:t xml:space="preserve"> </w:t>
      </w:r>
      <w:proofErr w:type="spellStart"/>
      <w:r w:rsidRPr="00BB2872">
        <w:t>Adjustments</w:t>
      </w:r>
      <w:proofErr w:type="spellEnd"/>
      <w:r w:rsidRPr="00BB2872">
        <w:t xml:space="preserve">? Evidence </w:t>
      </w:r>
      <w:proofErr w:type="spellStart"/>
      <w:r w:rsidRPr="00BB2872">
        <w:t>Southeastern</w:t>
      </w:r>
      <w:proofErr w:type="spellEnd"/>
      <w:r w:rsidRPr="00BB2872">
        <w:t xml:space="preserve"> </w:t>
      </w:r>
      <w:proofErr w:type="spellStart"/>
      <w:r w:rsidRPr="00BB2872">
        <w:t>Europe</w:t>
      </w:r>
      <w:proofErr w:type="spellEnd"/>
      <w:r w:rsidRPr="00BB2872">
        <w:t xml:space="preserve">.” </w:t>
      </w:r>
      <w:proofErr w:type="spellStart"/>
      <w:r w:rsidRPr="00BB2872">
        <w:rPr>
          <w:i/>
          <w:iCs/>
        </w:rPr>
        <w:t>Review</w:t>
      </w:r>
      <w:proofErr w:type="spellEnd"/>
      <w:r w:rsidRPr="00BB2872">
        <w:rPr>
          <w:i/>
          <w:iCs/>
        </w:rPr>
        <w:t xml:space="preserve"> </w:t>
      </w:r>
      <w:proofErr w:type="spellStart"/>
      <w:r w:rsidRPr="00BB2872">
        <w:rPr>
          <w:i/>
          <w:iCs/>
        </w:rPr>
        <w:t>of</w:t>
      </w:r>
      <w:proofErr w:type="spellEnd"/>
      <w:r w:rsidRPr="00BB2872">
        <w:rPr>
          <w:i/>
          <w:iCs/>
        </w:rPr>
        <w:t xml:space="preserve"> Development </w:t>
      </w:r>
      <w:proofErr w:type="spellStart"/>
      <w:r w:rsidRPr="00BB2872">
        <w:rPr>
          <w:i/>
          <w:iCs/>
        </w:rPr>
        <w:t>Economics</w:t>
      </w:r>
      <w:proofErr w:type="spellEnd"/>
      <w:r w:rsidRPr="00BB2872">
        <w:t xml:space="preserve"> 15(2): 370-385. </w:t>
      </w:r>
    </w:p>
    <w:p w14:paraId="58259253" w14:textId="77777777" w:rsidR="00466AD9" w:rsidRPr="00BB2872" w:rsidRDefault="00466AD9" w:rsidP="00466AD9">
      <w:pPr>
        <w:pStyle w:val="Normlnweb"/>
        <w:spacing w:before="120" w:beforeAutospacing="0" w:after="200" w:afterAutospacing="0"/>
        <w:jc w:val="both"/>
      </w:pPr>
      <w:proofErr w:type="spellStart"/>
      <w:r w:rsidRPr="00BB2872">
        <w:t>Keppel</w:t>
      </w:r>
      <w:proofErr w:type="spellEnd"/>
      <w:r w:rsidRPr="00BB2872">
        <w:t xml:space="preserve">, C. and K. </w:t>
      </w:r>
      <w:proofErr w:type="spellStart"/>
      <w:r w:rsidRPr="00BB2872">
        <w:t>Prettner</w:t>
      </w:r>
      <w:proofErr w:type="spellEnd"/>
      <w:r w:rsidRPr="00BB2872">
        <w:t>. 2015. “</w:t>
      </w:r>
      <w:proofErr w:type="spellStart"/>
      <w:r w:rsidRPr="00BB2872">
        <w:t>How</w:t>
      </w:r>
      <w:proofErr w:type="spellEnd"/>
      <w:r w:rsidRPr="00BB2872">
        <w:t xml:space="preserve"> </w:t>
      </w:r>
      <w:proofErr w:type="spellStart"/>
      <w:r w:rsidRPr="00BB2872">
        <w:t>Interdependent</w:t>
      </w:r>
      <w:proofErr w:type="spellEnd"/>
      <w:r w:rsidRPr="00BB2872">
        <w:t xml:space="preserve"> Are </w:t>
      </w:r>
      <w:proofErr w:type="spellStart"/>
      <w:r w:rsidRPr="00BB2872">
        <w:t>Eastern</w:t>
      </w:r>
      <w:proofErr w:type="spellEnd"/>
      <w:r w:rsidRPr="00BB2872">
        <w:t xml:space="preserve"> </w:t>
      </w:r>
      <w:proofErr w:type="spellStart"/>
      <w:r w:rsidRPr="00BB2872">
        <w:t>European</w:t>
      </w:r>
      <w:proofErr w:type="spellEnd"/>
      <w:r w:rsidRPr="00BB2872">
        <w:t xml:space="preserve"> </w:t>
      </w:r>
      <w:proofErr w:type="spellStart"/>
      <w:r w:rsidRPr="00BB2872">
        <w:t>Economies</w:t>
      </w:r>
      <w:proofErr w:type="spellEnd"/>
      <w:r w:rsidRPr="00BB2872">
        <w:t xml:space="preserve"> and </w:t>
      </w:r>
      <w:proofErr w:type="spellStart"/>
      <w:r w:rsidRPr="00BB2872">
        <w:t>the</w:t>
      </w:r>
      <w:proofErr w:type="spellEnd"/>
      <w:r w:rsidRPr="00BB2872">
        <w:t xml:space="preserve"> Euro Area?” </w:t>
      </w:r>
      <w:proofErr w:type="spellStart"/>
      <w:r w:rsidRPr="00BB2872">
        <w:rPr>
          <w:i/>
          <w:iCs/>
        </w:rPr>
        <w:t>The</w:t>
      </w:r>
      <w:proofErr w:type="spellEnd"/>
      <w:r w:rsidRPr="00BB2872">
        <w:rPr>
          <w:i/>
          <w:iCs/>
        </w:rPr>
        <w:t xml:space="preserve"> </w:t>
      </w:r>
      <w:proofErr w:type="spellStart"/>
      <w:r w:rsidRPr="00BB2872">
        <w:rPr>
          <w:i/>
          <w:iCs/>
        </w:rPr>
        <w:t>Quarterly</w:t>
      </w:r>
      <w:proofErr w:type="spellEnd"/>
      <w:r w:rsidRPr="00BB2872">
        <w:rPr>
          <w:i/>
          <w:iCs/>
        </w:rPr>
        <w:t xml:space="preserve"> </w:t>
      </w:r>
      <w:proofErr w:type="spellStart"/>
      <w:r w:rsidRPr="00BB2872">
        <w:rPr>
          <w:i/>
          <w:iCs/>
        </w:rPr>
        <w:t>Review</w:t>
      </w:r>
      <w:proofErr w:type="spellEnd"/>
      <w:r w:rsidRPr="00BB2872">
        <w:rPr>
          <w:i/>
          <w:iCs/>
        </w:rPr>
        <w:t xml:space="preserve"> </w:t>
      </w:r>
      <w:proofErr w:type="spellStart"/>
      <w:r w:rsidRPr="00BB2872">
        <w:rPr>
          <w:i/>
          <w:iCs/>
        </w:rPr>
        <w:t>of</w:t>
      </w:r>
      <w:proofErr w:type="spellEnd"/>
      <w:r w:rsidRPr="00BB2872">
        <w:rPr>
          <w:i/>
          <w:iCs/>
        </w:rPr>
        <w:t xml:space="preserve"> </w:t>
      </w:r>
      <w:proofErr w:type="spellStart"/>
      <w:r w:rsidRPr="00BB2872">
        <w:rPr>
          <w:i/>
          <w:iCs/>
        </w:rPr>
        <w:t>Economics</w:t>
      </w:r>
      <w:proofErr w:type="spellEnd"/>
      <w:r w:rsidRPr="00BB2872">
        <w:rPr>
          <w:i/>
          <w:iCs/>
        </w:rPr>
        <w:t xml:space="preserve"> and Finance</w:t>
      </w:r>
      <w:r w:rsidRPr="00BB2872">
        <w:t xml:space="preserve"> 58: 18-31. </w:t>
      </w:r>
    </w:p>
    <w:p w14:paraId="346B7004" w14:textId="77777777" w:rsidR="00466AD9" w:rsidRPr="00BB2872" w:rsidRDefault="00466AD9" w:rsidP="00466AD9">
      <w:pPr>
        <w:pStyle w:val="Normlnweb"/>
        <w:spacing w:before="120" w:beforeAutospacing="0" w:after="200" w:afterAutospacing="0"/>
        <w:jc w:val="both"/>
      </w:pPr>
      <w:proofErr w:type="spellStart"/>
      <w:r w:rsidRPr="00BB2872">
        <w:t>Killian</w:t>
      </w:r>
      <w:proofErr w:type="spellEnd"/>
      <w:r w:rsidRPr="00BB2872">
        <w:t>, L. 2011. “</w:t>
      </w:r>
      <w:proofErr w:type="spellStart"/>
      <w:r w:rsidRPr="00BB2872">
        <w:t>Structural</w:t>
      </w:r>
      <w:proofErr w:type="spellEnd"/>
      <w:r w:rsidRPr="00BB2872">
        <w:t xml:space="preserve"> </w:t>
      </w:r>
      <w:proofErr w:type="spellStart"/>
      <w:r w:rsidRPr="00BB2872">
        <w:t>Vector</w:t>
      </w:r>
      <w:proofErr w:type="spellEnd"/>
      <w:r w:rsidRPr="00BB2872">
        <w:t xml:space="preserve"> </w:t>
      </w:r>
      <w:proofErr w:type="spellStart"/>
      <w:r w:rsidRPr="00BB2872">
        <w:t>Autoregressions</w:t>
      </w:r>
      <w:proofErr w:type="spellEnd"/>
      <w:r w:rsidRPr="00BB2872">
        <w:t xml:space="preserve">.” </w:t>
      </w:r>
      <w:proofErr w:type="spellStart"/>
      <w:r w:rsidRPr="00BB2872">
        <w:rPr>
          <w:i/>
          <w:iCs/>
        </w:rPr>
        <w:t>Discussion</w:t>
      </w:r>
      <w:proofErr w:type="spellEnd"/>
      <w:r w:rsidRPr="00BB2872">
        <w:rPr>
          <w:i/>
          <w:iCs/>
        </w:rPr>
        <w:t xml:space="preserve"> </w:t>
      </w:r>
      <w:proofErr w:type="spellStart"/>
      <w:r w:rsidRPr="00BB2872">
        <w:rPr>
          <w:i/>
          <w:iCs/>
        </w:rPr>
        <w:t>Paper</w:t>
      </w:r>
      <w:proofErr w:type="spellEnd"/>
      <w:r w:rsidRPr="00BB2872">
        <w:rPr>
          <w:i/>
          <w:iCs/>
        </w:rPr>
        <w:t xml:space="preserve"> No. 8515</w:t>
      </w:r>
      <w:r w:rsidRPr="00BB2872">
        <w:t xml:space="preserve">, August. Centre </w:t>
      </w:r>
      <w:proofErr w:type="spellStart"/>
      <w:r w:rsidRPr="00BB2872">
        <w:t>for</w:t>
      </w:r>
      <w:proofErr w:type="spellEnd"/>
      <w:r w:rsidRPr="00BB2872">
        <w:t xml:space="preserve"> </w:t>
      </w:r>
      <w:proofErr w:type="spellStart"/>
      <w:r w:rsidRPr="00BB2872">
        <w:t>Economic</w:t>
      </w:r>
      <w:proofErr w:type="spellEnd"/>
      <w:r w:rsidRPr="00BB2872">
        <w:t xml:space="preserve"> </w:t>
      </w:r>
      <w:proofErr w:type="spellStart"/>
      <w:r w:rsidRPr="00BB2872">
        <w:t>Policy</w:t>
      </w:r>
      <w:proofErr w:type="spellEnd"/>
      <w:r w:rsidRPr="00BB2872">
        <w:t xml:space="preserve"> </w:t>
      </w:r>
      <w:proofErr w:type="spellStart"/>
      <w:r w:rsidRPr="00BB2872">
        <w:t>Research</w:t>
      </w:r>
      <w:proofErr w:type="spellEnd"/>
      <w:r w:rsidRPr="00BB2872">
        <w:t>. </w:t>
      </w:r>
    </w:p>
    <w:p w14:paraId="18B5240B" w14:textId="77777777" w:rsidR="00466AD9" w:rsidRPr="00BB2872" w:rsidRDefault="00466AD9" w:rsidP="00466AD9">
      <w:pPr>
        <w:pStyle w:val="Normlnweb"/>
        <w:spacing w:before="120" w:beforeAutospacing="0" w:after="200" w:afterAutospacing="0"/>
        <w:jc w:val="both"/>
      </w:pPr>
      <w:proofErr w:type="spellStart"/>
      <w:r w:rsidRPr="00BB2872">
        <w:t>Kolcunova</w:t>
      </w:r>
      <w:proofErr w:type="spellEnd"/>
      <w:r w:rsidRPr="00BB2872">
        <w:t xml:space="preserve">, D. and T. </w:t>
      </w:r>
      <w:proofErr w:type="spellStart"/>
      <w:r w:rsidRPr="00BB2872">
        <w:t>Havranek</w:t>
      </w:r>
      <w:proofErr w:type="spellEnd"/>
      <w:r w:rsidRPr="00BB2872">
        <w:t>. 2018. “</w:t>
      </w:r>
      <w:proofErr w:type="spellStart"/>
      <w:r w:rsidRPr="00BB2872">
        <w:t>Estimating</w:t>
      </w:r>
      <w:proofErr w:type="spellEnd"/>
      <w:r w:rsidRPr="00BB2872">
        <w:t xml:space="preserve"> </w:t>
      </w:r>
      <w:proofErr w:type="spellStart"/>
      <w:r w:rsidRPr="00BB2872">
        <w:t>the</w:t>
      </w:r>
      <w:proofErr w:type="spellEnd"/>
      <w:r w:rsidRPr="00BB2872">
        <w:t xml:space="preserve"> </w:t>
      </w:r>
      <w:proofErr w:type="spellStart"/>
      <w:r w:rsidRPr="00BB2872">
        <w:t>Effective</w:t>
      </w:r>
      <w:proofErr w:type="spellEnd"/>
      <w:r w:rsidRPr="00BB2872">
        <w:t xml:space="preserve"> </w:t>
      </w:r>
      <w:proofErr w:type="spellStart"/>
      <w:r w:rsidRPr="00BB2872">
        <w:t>Lower</w:t>
      </w:r>
      <w:proofErr w:type="spellEnd"/>
      <w:r w:rsidRPr="00BB2872">
        <w:t xml:space="preserve"> </w:t>
      </w:r>
      <w:proofErr w:type="spellStart"/>
      <w:r w:rsidRPr="00BB2872">
        <w:t>Bound</w:t>
      </w:r>
      <w:proofErr w:type="spellEnd"/>
      <w:r w:rsidRPr="00BB2872">
        <w:t xml:space="preserve"> on </w:t>
      </w:r>
      <w:proofErr w:type="spellStart"/>
      <w:r w:rsidRPr="00BB2872">
        <w:t>the</w:t>
      </w:r>
      <w:proofErr w:type="spellEnd"/>
      <w:r w:rsidRPr="00BB2872">
        <w:t xml:space="preserve"> Czech </w:t>
      </w:r>
      <w:proofErr w:type="spellStart"/>
      <w:r w:rsidRPr="00BB2872">
        <w:t>National</w:t>
      </w:r>
      <w:proofErr w:type="spellEnd"/>
      <w:r w:rsidRPr="00BB2872">
        <w:t xml:space="preserve"> </w:t>
      </w:r>
      <w:proofErr w:type="spellStart"/>
      <w:r w:rsidRPr="00BB2872">
        <w:t>Bank’s</w:t>
      </w:r>
      <w:proofErr w:type="spellEnd"/>
      <w:r w:rsidRPr="00BB2872">
        <w:t xml:space="preserve"> </w:t>
      </w:r>
      <w:proofErr w:type="spellStart"/>
      <w:r w:rsidRPr="00BB2872">
        <w:t>Policy</w:t>
      </w:r>
      <w:proofErr w:type="spellEnd"/>
      <w:r w:rsidRPr="00BB2872">
        <w:t xml:space="preserve"> </w:t>
      </w:r>
      <w:proofErr w:type="spellStart"/>
      <w:r w:rsidRPr="00BB2872">
        <w:t>Rate</w:t>
      </w:r>
      <w:proofErr w:type="spellEnd"/>
      <w:r w:rsidRPr="00BB2872">
        <w:t xml:space="preserve">.” </w:t>
      </w:r>
      <w:r w:rsidRPr="00BB2872">
        <w:rPr>
          <w:i/>
          <w:iCs/>
        </w:rPr>
        <w:t xml:space="preserve">Czech </w:t>
      </w:r>
      <w:proofErr w:type="spellStart"/>
      <w:r w:rsidRPr="00BB2872">
        <w:rPr>
          <w:i/>
          <w:iCs/>
        </w:rPr>
        <w:t>Journal</w:t>
      </w:r>
      <w:proofErr w:type="spellEnd"/>
      <w:r w:rsidRPr="00BB2872">
        <w:rPr>
          <w:i/>
          <w:iCs/>
        </w:rPr>
        <w:t xml:space="preserve"> </w:t>
      </w:r>
      <w:proofErr w:type="spellStart"/>
      <w:r w:rsidRPr="00BB2872">
        <w:rPr>
          <w:i/>
          <w:iCs/>
        </w:rPr>
        <w:t>of</w:t>
      </w:r>
      <w:proofErr w:type="spellEnd"/>
      <w:r w:rsidRPr="00BB2872">
        <w:rPr>
          <w:i/>
          <w:iCs/>
        </w:rPr>
        <w:t xml:space="preserve"> </w:t>
      </w:r>
      <w:proofErr w:type="spellStart"/>
      <w:r w:rsidRPr="00BB2872">
        <w:rPr>
          <w:i/>
          <w:iCs/>
        </w:rPr>
        <w:t>Economics</w:t>
      </w:r>
      <w:proofErr w:type="spellEnd"/>
      <w:r w:rsidRPr="00BB2872">
        <w:rPr>
          <w:i/>
          <w:iCs/>
        </w:rPr>
        <w:t xml:space="preserve"> and Finance</w:t>
      </w:r>
      <w:r w:rsidRPr="00BB2872">
        <w:t xml:space="preserve"> 68(6): 550-577.</w:t>
      </w:r>
    </w:p>
    <w:p w14:paraId="7834849F" w14:textId="77777777" w:rsidR="00466AD9" w:rsidRPr="00BB2872" w:rsidRDefault="00466AD9" w:rsidP="00466AD9">
      <w:pPr>
        <w:pStyle w:val="Normlnweb"/>
        <w:spacing w:before="120" w:beforeAutospacing="0" w:after="200" w:afterAutospacing="0"/>
        <w:jc w:val="both"/>
      </w:pPr>
      <w:proofErr w:type="spellStart"/>
      <w:r w:rsidRPr="00BB2872">
        <w:t>Koluk</w:t>
      </w:r>
      <w:proofErr w:type="spellEnd"/>
      <w:r w:rsidRPr="00BB2872">
        <w:t xml:space="preserve">, T. and A. </w:t>
      </w:r>
      <w:proofErr w:type="spellStart"/>
      <w:r w:rsidRPr="00BB2872">
        <w:t>Mehrotra</w:t>
      </w:r>
      <w:proofErr w:type="spellEnd"/>
      <w:r w:rsidRPr="00BB2872">
        <w:t>. 2009. “</w:t>
      </w:r>
      <w:proofErr w:type="spellStart"/>
      <w:r w:rsidRPr="00BB2872">
        <w:t>The</w:t>
      </w:r>
      <w:proofErr w:type="spellEnd"/>
      <w:r w:rsidRPr="00BB2872">
        <w:t xml:space="preserve"> </w:t>
      </w:r>
      <w:proofErr w:type="spellStart"/>
      <w:r w:rsidRPr="00BB2872">
        <w:t>Impact</w:t>
      </w:r>
      <w:proofErr w:type="spellEnd"/>
      <w:r w:rsidRPr="00BB2872">
        <w:t xml:space="preserve"> </w:t>
      </w:r>
      <w:proofErr w:type="spellStart"/>
      <w:r w:rsidRPr="00BB2872">
        <w:t>of</w:t>
      </w:r>
      <w:proofErr w:type="spellEnd"/>
      <w:r w:rsidRPr="00BB2872">
        <w:t xml:space="preserve"> </w:t>
      </w:r>
      <w:proofErr w:type="spellStart"/>
      <w:r w:rsidRPr="00BB2872">
        <w:t>Chinese</w:t>
      </w:r>
      <w:proofErr w:type="spellEnd"/>
      <w:r w:rsidRPr="00BB2872">
        <w:t xml:space="preserve"> </w:t>
      </w:r>
      <w:proofErr w:type="spellStart"/>
      <w:r w:rsidRPr="00BB2872">
        <w:t>Monetary</w:t>
      </w:r>
      <w:proofErr w:type="spellEnd"/>
      <w:r w:rsidRPr="00BB2872">
        <w:t xml:space="preserve"> </w:t>
      </w:r>
      <w:proofErr w:type="spellStart"/>
      <w:r w:rsidRPr="00BB2872">
        <w:t>Policy</w:t>
      </w:r>
      <w:proofErr w:type="spellEnd"/>
      <w:r w:rsidRPr="00BB2872">
        <w:t xml:space="preserve"> </w:t>
      </w:r>
      <w:proofErr w:type="spellStart"/>
      <w:r w:rsidRPr="00BB2872">
        <w:t>Shocks</w:t>
      </w:r>
      <w:proofErr w:type="spellEnd"/>
      <w:r w:rsidRPr="00BB2872">
        <w:t xml:space="preserve"> on East and </w:t>
      </w:r>
      <w:proofErr w:type="spellStart"/>
      <w:r w:rsidRPr="00BB2872">
        <w:t>South</w:t>
      </w:r>
      <w:proofErr w:type="spellEnd"/>
      <w:r w:rsidRPr="00BB2872">
        <w:t xml:space="preserve">-East </w:t>
      </w:r>
      <w:proofErr w:type="spellStart"/>
      <w:r w:rsidRPr="00BB2872">
        <w:t>Asia</w:t>
      </w:r>
      <w:proofErr w:type="spellEnd"/>
      <w:r w:rsidRPr="00BB2872">
        <w:t xml:space="preserve">.” </w:t>
      </w:r>
      <w:proofErr w:type="spellStart"/>
      <w:r w:rsidRPr="00BB2872">
        <w:rPr>
          <w:i/>
          <w:iCs/>
        </w:rPr>
        <w:t>Economics</w:t>
      </w:r>
      <w:proofErr w:type="spellEnd"/>
      <w:r w:rsidRPr="00BB2872">
        <w:rPr>
          <w:i/>
          <w:iCs/>
        </w:rPr>
        <w:t xml:space="preserve"> </w:t>
      </w:r>
      <w:proofErr w:type="spellStart"/>
      <w:r w:rsidRPr="00BB2872">
        <w:rPr>
          <w:i/>
          <w:iCs/>
        </w:rPr>
        <w:t>of</w:t>
      </w:r>
      <w:proofErr w:type="spellEnd"/>
      <w:r w:rsidRPr="00BB2872">
        <w:rPr>
          <w:i/>
          <w:iCs/>
        </w:rPr>
        <w:t xml:space="preserve"> </w:t>
      </w:r>
      <w:proofErr w:type="spellStart"/>
      <w:r w:rsidRPr="00BB2872">
        <w:rPr>
          <w:i/>
          <w:iCs/>
        </w:rPr>
        <w:t>Transition</w:t>
      </w:r>
      <w:proofErr w:type="spellEnd"/>
      <w:r w:rsidRPr="00BB2872">
        <w:rPr>
          <w:i/>
          <w:iCs/>
        </w:rPr>
        <w:t xml:space="preserve"> and </w:t>
      </w:r>
      <w:proofErr w:type="spellStart"/>
      <w:r w:rsidRPr="00BB2872">
        <w:rPr>
          <w:i/>
          <w:iCs/>
        </w:rPr>
        <w:t>Institutional</w:t>
      </w:r>
      <w:proofErr w:type="spellEnd"/>
      <w:r w:rsidRPr="00BB2872">
        <w:rPr>
          <w:i/>
          <w:iCs/>
        </w:rPr>
        <w:t xml:space="preserve"> </w:t>
      </w:r>
      <w:proofErr w:type="spellStart"/>
      <w:r w:rsidRPr="00BB2872">
        <w:rPr>
          <w:i/>
          <w:iCs/>
        </w:rPr>
        <w:t>Change</w:t>
      </w:r>
      <w:proofErr w:type="spellEnd"/>
      <w:r w:rsidRPr="00BB2872">
        <w:t xml:space="preserve"> 17(1): 121-145. </w:t>
      </w:r>
    </w:p>
    <w:p w14:paraId="11D0C4AC" w14:textId="77777777" w:rsidR="00466AD9" w:rsidRPr="00BB2872" w:rsidRDefault="00466AD9" w:rsidP="00466AD9">
      <w:pPr>
        <w:pStyle w:val="Normlnweb"/>
        <w:spacing w:before="120" w:beforeAutospacing="0" w:after="200" w:afterAutospacing="0"/>
        <w:jc w:val="both"/>
      </w:pPr>
      <w:proofErr w:type="spellStart"/>
      <w:r w:rsidRPr="00BB2872">
        <w:t>Lien</w:t>
      </w:r>
      <w:proofErr w:type="spellEnd"/>
      <w:r w:rsidRPr="00BB2872">
        <w:t xml:space="preserve">, D., Y. Sun and C. </w:t>
      </w:r>
      <w:proofErr w:type="spellStart"/>
      <w:r w:rsidRPr="00BB2872">
        <w:t>Zhang</w:t>
      </w:r>
      <w:proofErr w:type="spellEnd"/>
      <w:r w:rsidRPr="00BB2872">
        <w:t>. 2019. “</w:t>
      </w:r>
      <w:proofErr w:type="spellStart"/>
      <w:r w:rsidRPr="00BB2872">
        <w:t>Uncertainty</w:t>
      </w:r>
      <w:proofErr w:type="spellEnd"/>
      <w:r w:rsidRPr="00BB2872">
        <w:t xml:space="preserve">, </w:t>
      </w:r>
      <w:proofErr w:type="spellStart"/>
      <w:r w:rsidRPr="00BB2872">
        <w:t>confidence</w:t>
      </w:r>
      <w:proofErr w:type="spellEnd"/>
      <w:r w:rsidRPr="00BB2872">
        <w:t xml:space="preserve">, and </w:t>
      </w:r>
      <w:proofErr w:type="spellStart"/>
      <w:r w:rsidRPr="00BB2872">
        <w:t>monetary</w:t>
      </w:r>
      <w:proofErr w:type="spellEnd"/>
      <w:r w:rsidRPr="00BB2872">
        <w:t xml:space="preserve"> </w:t>
      </w:r>
      <w:proofErr w:type="spellStart"/>
      <w:r w:rsidRPr="00BB2872">
        <w:t>policy</w:t>
      </w:r>
      <w:proofErr w:type="spellEnd"/>
      <w:r w:rsidRPr="00BB2872">
        <w:t xml:space="preserve"> in </w:t>
      </w:r>
      <w:proofErr w:type="spellStart"/>
      <w:r w:rsidRPr="00BB2872">
        <w:t>China</w:t>
      </w:r>
      <w:proofErr w:type="spellEnd"/>
      <w:r w:rsidRPr="00BB2872">
        <w:t xml:space="preserve">.” </w:t>
      </w:r>
      <w:r w:rsidRPr="00BB2872">
        <w:rPr>
          <w:i/>
          <w:iCs/>
        </w:rPr>
        <w:t xml:space="preserve">International </w:t>
      </w:r>
      <w:proofErr w:type="spellStart"/>
      <w:r w:rsidRPr="00BB2872">
        <w:rPr>
          <w:i/>
          <w:iCs/>
        </w:rPr>
        <w:t>Review</w:t>
      </w:r>
      <w:proofErr w:type="spellEnd"/>
      <w:r w:rsidRPr="00BB2872">
        <w:rPr>
          <w:i/>
          <w:iCs/>
        </w:rPr>
        <w:t xml:space="preserve"> </w:t>
      </w:r>
      <w:proofErr w:type="spellStart"/>
      <w:r w:rsidRPr="00BB2872">
        <w:rPr>
          <w:i/>
          <w:iCs/>
        </w:rPr>
        <w:t>of</w:t>
      </w:r>
      <w:proofErr w:type="spellEnd"/>
      <w:r w:rsidRPr="00BB2872">
        <w:rPr>
          <w:i/>
          <w:iCs/>
        </w:rPr>
        <w:t xml:space="preserve"> </w:t>
      </w:r>
      <w:proofErr w:type="spellStart"/>
      <w:r w:rsidRPr="00BB2872">
        <w:rPr>
          <w:i/>
          <w:iCs/>
        </w:rPr>
        <w:t>Economics</w:t>
      </w:r>
      <w:proofErr w:type="spellEnd"/>
      <w:r w:rsidRPr="00BB2872">
        <w:rPr>
          <w:i/>
          <w:iCs/>
        </w:rPr>
        <w:t xml:space="preserve"> &amp; Finance</w:t>
      </w:r>
      <w:r w:rsidRPr="00BB2872">
        <w:t xml:space="preserve">, in </w:t>
      </w:r>
      <w:proofErr w:type="spellStart"/>
      <w:r w:rsidRPr="00BB2872">
        <w:t>press</w:t>
      </w:r>
      <w:proofErr w:type="spellEnd"/>
      <w:r w:rsidRPr="00BB2872">
        <w:t>.</w:t>
      </w:r>
    </w:p>
    <w:p w14:paraId="1115A62C" w14:textId="77777777" w:rsidR="00466AD9" w:rsidRPr="00BB2872" w:rsidRDefault="00466AD9" w:rsidP="00466AD9">
      <w:pPr>
        <w:pStyle w:val="Normlnweb"/>
        <w:spacing w:before="120" w:beforeAutospacing="0" w:after="200" w:afterAutospacing="0"/>
        <w:jc w:val="both"/>
      </w:pPr>
      <w:proofErr w:type="spellStart"/>
      <w:r w:rsidRPr="00BB2872">
        <w:t>Organisation</w:t>
      </w:r>
      <w:proofErr w:type="spellEnd"/>
      <w:r w:rsidRPr="00BB2872">
        <w:t xml:space="preserve"> </w:t>
      </w:r>
      <w:proofErr w:type="spellStart"/>
      <w:r w:rsidRPr="00BB2872">
        <w:t>for</w:t>
      </w:r>
      <w:proofErr w:type="spellEnd"/>
      <w:r w:rsidRPr="00BB2872">
        <w:t xml:space="preserve"> </w:t>
      </w:r>
      <w:proofErr w:type="spellStart"/>
      <w:r w:rsidRPr="00BB2872">
        <w:t>Economic</w:t>
      </w:r>
      <w:proofErr w:type="spellEnd"/>
      <w:r w:rsidRPr="00BB2872">
        <w:t xml:space="preserve"> Co-</w:t>
      </w:r>
      <w:proofErr w:type="spellStart"/>
      <w:r w:rsidRPr="00BB2872">
        <w:t>operation</w:t>
      </w:r>
      <w:proofErr w:type="spellEnd"/>
      <w:r w:rsidRPr="00BB2872">
        <w:t xml:space="preserve"> and Development </w:t>
      </w:r>
      <w:proofErr w:type="gramStart"/>
      <w:r w:rsidRPr="00BB2872">
        <w:t>2020a</w:t>
      </w:r>
      <w:proofErr w:type="gramEnd"/>
      <w:r w:rsidRPr="00BB2872">
        <w:t xml:space="preserve">. “Business </w:t>
      </w:r>
      <w:proofErr w:type="spellStart"/>
      <w:r w:rsidRPr="00BB2872">
        <w:t>Confidence</w:t>
      </w:r>
      <w:proofErr w:type="spellEnd"/>
      <w:r w:rsidRPr="00BB2872">
        <w:t xml:space="preserve"> Index (BCI).” </w:t>
      </w:r>
      <w:proofErr w:type="spellStart"/>
      <w:r w:rsidRPr="00BB2872">
        <w:t>Accessed</w:t>
      </w:r>
      <w:proofErr w:type="spellEnd"/>
      <w:r w:rsidRPr="00BB2872">
        <w:t xml:space="preserve"> 9 June 2020. https://data.oecd.org/leadind/business-confidence-index-bci.htm</w:t>
      </w:r>
    </w:p>
    <w:p w14:paraId="0694957E" w14:textId="0E239474" w:rsidR="00466AD9" w:rsidRPr="00BB2872" w:rsidRDefault="00466AD9" w:rsidP="00466AD9">
      <w:pPr>
        <w:pStyle w:val="Normlnweb"/>
        <w:spacing w:before="120" w:beforeAutospacing="0" w:after="200" w:afterAutospacing="0"/>
        <w:jc w:val="both"/>
      </w:pPr>
      <w:proofErr w:type="spellStart"/>
      <w:r w:rsidRPr="00BB2872">
        <w:t>Organisation</w:t>
      </w:r>
      <w:proofErr w:type="spellEnd"/>
      <w:r w:rsidRPr="00BB2872">
        <w:t xml:space="preserve"> </w:t>
      </w:r>
      <w:proofErr w:type="spellStart"/>
      <w:r w:rsidRPr="00BB2872">
        <w:t>for</w:t>
      </w:r>
      <w:proofErr w:type="spellEnd"/>
      <w:r w:rsidRPr="00BB2872">
        <w:t xml:space="preserve"> </w:t>
      </w:r>
      <w:proofErr w:type="spellStart"/>
      <w:r w:rsidRPr="00BB2872">
        <w:t>Economic</w:t>
      </w:r>
      <w:proofErr w:type="spellEnd"/>
      <w:r w:rsidRPr="00BB2872">
        <w:t xml:space="preserve"> Co-</w:t>
      </w:r>
      <w:proofErr w:type="spellStart"/>
      <w:r w:rsidRPr="00BB2872">
        <w:t>operation</w:t>
      </w:r>
      <w:proofErr w:type="spellEnd"/>
      <w:r w:rsidRPr="00BB2872">
        <w:t xml:space="preserve"> and Development </w:t>
      </w:r>
      <w:proofErr w:type="gramStart"/>
      <w:r w:rsidRPr="00BB2872">
        <w:t>2020b</w:t>
      </w:r>
      <w:proofErr w:type="gramEnd"/>
      <w:r w:rsidRPr="00BB2872">
        <w:t>. “</w:t>
      </w:r>
      <w:proofErr w:type="spellStart"/>
      <w:r w:rsidRPr="00BB2872">
        <w:t>Consumer</w:t>
      </w:r>
      <w:proofErr w:type="spellEnd"/>
      <w:r w:rsidRPr="00BB2872">
        <w:t xml:space="preserve"> </w:t>
      </w:r>
      <w:proofErr w:type="spellStart"/>
      <w:r w:rsidRPr="00BB2872">
        <w:t>Confidence</w:t>
      </w:r>
      <w:proofErr w:type="spellEnd"/>
      <w:r w:rsidRPr="00BB2872">
        <w:t xml:space="preserve"> Index (CCI).” </w:t>
      </w:r>
      <w:proofErr w:type="spellStart"/>
      <w:r w:rsidRPr="00BB2872">
        <w:t>Accessed</w:t>
      </w:r>
      <w:proofErr w:type="spellEnd"/>
      <w:r w:rsidRPr="00BB2872">
        <w:t xml:space="preserve"> 9 June 2020. </w:t>
      </w:r>
      <w:hyperlink r:id="rId18" w:history="1">
        <w:r w:rsidR="00002D39" w:rsidRPr="00BB2872">
          <w:rPr>
            <w:rStyle w:val="Hypertextovodkaz"/>
            <w:color w:val="auto"/>
          </w:rPr>
          <w:t>https://data.oecd.org/leadind/consumer-confidence-index-cci.htm</w:t>
        </w:r>
      </w:hyperlink>
    </w:p>
    <w:p w14:paraId="651CC3C3" w14:textId="20DA35DB" w:rsidR="00002D39" w:rsidRPr="00BB2872" w:rsidRDefault="00F20199" w:rsidP="00466AD9">
      <w:pPr>
        <w:pStyle w:val="Normlnweb"/>
        <w:spacing w:before="120" w:beforeAutospacing="0" w:after="200" w:afterAutospacing="0"/>
        <w:jc w:val="both"/>
      </w:pPr>
      <w:proofErr w:type="spellStart"/>
      <w:r w:rsidRPr="00BB2872">
        <w:t>Organisation</w:t>
      </w:r>
      <w:proofErr w:type="spellEnd"/>
      <w:r w:rsidRPr="00BB2872">
        <w:t xml:space="preserve"> </w:t>
      </w:r>
      <w:proofErr w:type="spellStart"/>
      <w:r w:rsidRPr="00BB2872">
        <w:t>for</w:t>
      </w:r>
      <w:proofErr w:type="spellEnd"/>
      <w:r w:rsidRPr="00BB2872">
        <w:t xml:space="preserve"> </w:t>
      </w:r>
      <w:proofErr w:type="spellStart"/>
      <w:r w:rsidRPr="00BB2872">
        <w:t>Economic</w:t>
      </w:r>
      <w:proofErr w:type="spellEnd"/>
      <w:r w:rsidRPr="00BB2872">
        <w:t xml:space="preserve"> Co-</w:t>
      </w:r>
      <w:proofErr w:type="spellStart"/>
      <w:r w:rsidRPr="00BB2872">
        <w:t>operation</w:t>
      </w:r>
      <w:proofErr w:type="spellEnd"/>
      <w:r w:rsidRPr="00BB2872">
        <w:t xml:space="preserve"> and Development 2021. “OECD </w:t>
      </w:r>
      <w:proofErr w:type="spellStart"/>
      <w:r w:rsidRPr="00BB2872">
        <w:t>Main</w:t>
      </w:r>
      <w:proofErr w:type="spellEnd"/>
      <w:r w:rsidRPr="00BB2872">
        <w:t xml:space="preserve"> </w:t>
      </w:r>
      <w:proofErr w:type="spellStart"/>
      <w:r w:rsidRPr="00BB2872">
        <w:t>Economic</w:t>
      </w:r>
      <w:proofErr w:type="spellEnd"/>
      <w:r w:rsidRPr="00BB2872">
        <w:t xml:space="preserve"> </w:t>
      </w:r>
      <w:proofErr w:type="spellStart"/>
      <w:r w:rsidRPr="00BB2872">
        <w:t>Indicators</w:t>
      </w:r>
      <w:proofErr w:type="spellEnd"/>
      <w:r w:rsidRPr="00BB2872">
        <w:t xml:space="preserve">).” </w:t>
      </w:r>
      <w:proofErr w:type="spellStart"/>
      <w:r w:rsidRPr="00BB2872">
        <w:t>Accessed</w:t>
      </w:r>
      <w:proofErr w:type="spellEnd"/>
      <w:r w:rsidRPr="00BB2872">
        <w:t xml:space="preserve"> </w:t>
      </w:r>
      <w:r w:rsidR="0018615F" w:rsidRPr="00BB2872">
        <w:t>25</w:t>
      </w:r>
      <w:r w:rsidRPr="00BB2872">
        <w:t xml:space="preserve"> Ju</w:t>
      </w:r>
      <w:r w:rsidR="0018615F" w:rsidRPr="00BB2872">
        <w:t>ly</w:t>
      </w:r>
      <w:r w:rsidRPr="00BB2872">
        <w:t xml:space="preserve"> 202</w:t>
      </w:r>
      <w:r w:rsidR="0018615F" w:rsidRPr="00BB2872">
        <w:t>1</w:t>
      </w:r>
      <w:r w:rsidRPr="00BB2872">
        <w:t>.</w:t>
      </w:r>
      <w:r w:rsidR="00FB0E79" w:rsidRPr="00BB2872">
        <w:t xml:space="preserve"> https://www.oecd-ilibrary.org/economics/main-economic-indicators/volume-2021/issue-7_19729ed5-en</w:t>
      </w:r>
    </w:p>
    <w:p w14:paraId="0D37BC66" w14:textId="77777777" w:rsidR="00466AD9" w:rsidRPr="00BB2872" w:rsidRDefault="00466AD9" w:rsidP="00466AD9">
      <w:pPr>
        <w:pStyle w:val="Normlnweb"/>
        <w:spacing w:before="120" w:beforeAutospacing="0" w:after="0" w:afterAutospacing="0"/>
        <w:jc w:val="both"/>
      </w:pPr>
      <w:proofErr w:type="spellStart"/>
      <w:r w:rsidRPr="00BB2872">
        <w:t>Pareis</w:t>
      </w:r>
      <w:proofErr w:type="spellEnd"/>
      <w:r w:rsidRPr="00BB2872">
        <w:t xml:space="preserve">, M.D., D.N.  </w:t>
      </w:r>
      <w:proofErr w:type="spellStart"/>
      <w:r w:rsidRPr="00BB2872">
        <w:t>Moccero</w:t>
      </w:r>
      <w:proofErr w:type="spellEnd"/>
      <w:r w:rsidRPr="00BB2872">
        <w:t xml:space="preserve">, E. Krylova and C. </w:t>
      </w:r>
      <w:proofErr w:type="spellStart"/>
      <w:r w:rsidRPr="00BB2872">
        <w:t>Marchini</w:t>
      </w:r>
      <w:proofErr w:type="spellEnd"/>
      <w:r w:rsidRPr="00BB2872">
        <w:t>. 2014. “</w:t>
      </w:r>
      <w:proofErr w:type="spellStart"/>
      <w:r w:rsidRPr="00BB2872">
        <w:t>The</w:t>
      </w:r>
      <w:proofErr w:type="spellEnd"/>
      <w:r w:rsidRPr="00BB2872">
        <w:t xml:space="preserve"> Retail Bank </w:t>
      </w:r>
      <w:proofErr w:type="spellStart"/>
      <w:r w:rsidRPr="00BB2872">
        <w:t>Interest</w:t>
      </w:r>
      <w:proofErr w:type="spellEnd"/>
      <w:r w:rsidRPr="00BB2872">
        <w:t xml:space="preserve"> </w:t>
      </w:r>
      <w:proofErr w:type="spellStart"/>
      <w:r w:rsidRPr="00BB2872">
        <w:t>Rate</w:t>
      </w:r>
      <w:proofErr w:type="spellEnd"/>
      <w:r w:rsidRPr="00BB2872">
        <w:t xml:space="preserve"> </w:t>
      </w:r>
      <w:proofErr w:type="spellStart"/>
      <w:r w:rsidRPr="00BB2872">
        <w:t>Pass-through</w:t>
      </w:r>
      <w:proofErr w:type="spellEnd"/>
      <w:r w:rsidRPr="00BB2872">
        <w:t xml:space="preserve">: </w:t>
      </w:r>
      <w:proofErr w:type="spellStart"/>
      <w:r w:rsidRPr="00BB2872">
        <w:t>The</w:t>
      </w:r>
      <w:proofErr w:type="spellEnd"/>
      <w:r w:rsidRPr="00BB2872">
        <w:t xml:space="preserve"> Case </w:t>
      </w:r>
      <w:proofErr w:type="spellStart"/>
      <w:r w:rsidRPr="00BB2872">
        <w:t>of</w:t>
      </w:r>
      <w:proofErr w:type="spellEnd"/>
      <w:r w:rsidRPr="00BB2872">
        <w:t xml:space="preserve"> </w:t>
      </w:r>
      <w:proofErr w:type="spellStart"/>
      <w:r w:rsidRPr="00BB2872">
        <w:t>the</w:t>
      </w:r>
      <w:proofErr w:type="spellEnd"/>
      <w:r w:rsidRPr="00BB2872">
        <w:t xml:space="preserve"> Euro Area </w:t>
      </w:r>
      <w:proofErr w:type="spellStart"/>
      <w:r w:rsidRPr="00BB2872">
        <w:t>During</w:t>
      </w:r>
      <w:proofErr w:type="spellEnd"/>
      <w:r w:rsidRPr="00BB2872">
        <w:t xml:space="preserve"> </w:t>
      </w:r>
      <w:proofErr w:type="spellStart"/>
      <w:r w:rsidRPr="00BB2872">
        <w:t>the</w:t>
      </w:r>
      <w:proofErr w:type="spellEnd"/>
      <w:r w:rsidRPr="00BB2872">
        <w:t xml:space="preserve"> </w:t>
      </w:r>
      <w:proofErr w:type="spellStart"/>
      <w:r w:rsidRPr="00BB2872">
        <w:t>Financial</w:t>
      </w:r>
      <w:proofErr w:type="spellEnd"/>
      <w:r w:rsidRPr="00BB2872">
        <w:t xml:space="preserve"> and Sovereign </w:t>
      </w:r>
      <w:proofErr w:type="spellStart"/>
      <w:r w:rsidRPr="00BB2872">
        <w:t>Debt</w:t>
      </w:r>
      <w:proofErr w:type="spellEnd"/>
      <w:r w:rsidRPr="00BB2872">
        <w:t xml:space="preserve"> </w:t>
      </w:r>
      <w:proofErr w:type="spellStart"/>
      <w:r w:rsidRPr="00BB2872">
        <w:t>Crisis</w:t>
      </w:r>
      <w:proofErr w:type="spellEnd"/>
      <w:r w:rsidRPr="00BB2872">
        <w:t xml:space="preserve">.” </w:t>
      </w:r>
      <w:r w:rsidRPr="00BB2872">
        <w:rPr>
          <w:i/>
          <w:iCs/>
        </w:rPr>
        <w:t xml:space="preserve">ECB </w:t>
      </w:r>
      <w:proofErr w:type="spellStart"/>
      <w:r w:rsidRPr="00BB2872">
        <w:rPr>
          <w:i/>
          <w:iCs/>
        </w:rPr>
        <w:t>Occasional</w:t>
      </w:r>
      <w:proofErr w:type="spellEnd"/>
      <w:r w:rsidRPr="00BB2872">
        <w:rPr>
          <w:i/>
          <w:iCs/>
        </w:rPr>
        <w:t xml:space="preserve"> </w:t>
      </w:r>
      <w:proofErr w:type="spellStart"/>
      <w:r w:rsidRPr="00BB2872">
        <w:rPr>
          <w:i/>
          <w:iCs/>
        </w:rPr>
        <w:t>Paper</w:t>
      </w:r>
      <w:proofErr w:type="spellEnd"/>
      <w:r w:rsidRPr="00BB2872">
        <w:rPr>
          <w:i/>
          <w:iCs/>
        </w:rPr>
        <w:t xml:space="preserve"> </w:t>
      </w:r>
      <w:proofErr w:type="spellStart"/>
      <w:r w:rsidRPr="00BB2872">
        <w:rPr>
          <w:i/>
          <w:iCs/>
        </w:rPr>
        <w:t>Series</w:t>
      </w:r>
      <w:proofErr w:type="spellEnd"/>
      <w:r w:rsidRPr="00BB2872">
        <w:rPr>
          <w:i/>
          <w:iCs/>
        </w:rPr>
        <w:t xml:space="preserve"> No 155</w:t>
      </w:r>
      <w:r w:rsidRPr="00BB2872">
        <w:t>.</w:t>
      </w:r>
    </w:p>
    <w:p w14:paraId="2E433C52" w14:textId="77777777" w:rsidR="00466AD9" w:rsidRPr="00BB2872" w:rsidRDefault="00466AD9" w:rsidP="00466AD9">
      <w:pPr>
        <w:pStyle w:val="Normlnweb"/>
        <w:spacing w:before="120" w:beforeAutospacing="0" w:after="0" w:afterAutospacing="0"/>
        <w:jc w:val="both"/>
      </w:pPr>
      <w:proofErr w:type="spellStart"/>
      <w:r w:rsidRPr="00BB2872">
        <w:t>Petrevski</w:t>
      </w:r>
      <w:proofErr w:type="spellEnd"/>
      <w:r w:rsidRPr="00BB2872">
        <w:t xml:space="preserve">, G. and J. </w:t>
      </w:r>
      <w:proofErr w:type="spellStart"/>
      <w:r w:rsidRPr="00BB2872">
        <w:t>Bogoev</w:t>
      </w:r>
      <w:proofErr w:type="spellEnd"/>
      <w:r w:rsidRPr="00BB2872">
        <w:t>. 2012. “</w:t>
      </w:r>
      <w:proofErr w:type="spellStart"/>
      <w:r w:rsidRPr="00BB2872">
        <w:t>Interest</w:t>
      </w:r>
      <w:proofErr w:type="spellEnd"/>
      <w:r w:rsidRPr="00BB2872">
        <w:t xml:space="preserve"> </w:t>
      </w:r>
      <w:proofErr w:type="spellStart"/>
      <w:r w:rsidRPr="00BB2872">
        <w:t>Rate</w:t>
      </w:r>
      <w:proofErr w:type="spellEnd"/>
      <w:r w:rsidRPr="00BB2872">
        <w:t xml:space="preserve"> </w:t>
      </w:r>
      <w:proofErr w:type="spellStart"/>
      <w:r w:rsidRPr="00BB2872">
        <w:t>Pass-Through</w:t>
      </w:r>
      <w:proofErr w:type="spellEnd"/>
      <w:r w:rsidRPr="00BB2872">
        <w:t xml:space="preserve"> in </w:t>
      </w:r>
      <w:proofErr w:type="spellStart"/>
      <w:r w:rsidRPr="00BB2872">
        <w:t>South</w:t>
      </w:r>
      <w:proofErr w:type="spellEnd"/>
      <w:r w:rsidRPr="00BB2872">
        <w:t xml:space="preserve"> East </w:t>
      </w:r>
      <w:proofErr w:type="spellStart"/>
      <w:r w:rsidRPr="00BB2872">
        <w:t>Europe</w:t>
      </w:r>
      <w:proofErr w:type="spellEnd"/>
      <w:r w:rsidRPr="00BB2872">
        <w:t xml:space="preserve">: An </w:t>
      </w:r>
      <w:proofErr w:type="spellStart"/>
      <w:r w:rsidRPr="00BB2872">
        <w:t>Empirical</w:t>
      </w:r>
      <w:proofErr w:type="spellEnd"/>
      <w:r w:rsidRPr="00BB2872">
        <w:t xml:space="preserve"> </w:t>
      </w:r>
      <w:proofErr w:type="spellStart"/>
      <w:r w:rsidRPr="00BB2872">
        <w:t>Analysis</w:t>
      </w:r>
      <w:proofErr w:type="spellEnd"/>
      <w:r w:rsidRPr="00BB2872">
        <w:t xml:space="preserve">.” </w:t>
      </w:r>
      <w:proofErr w:type="spellStart"/>
      <w:r w:rsidRPr="00BB2872">
        <w:rPr>
          <w:i/>
          <w:iCs/>
        </w:rPr>
        <w:t>Economic</w:t>
      </w:r>
      <w:proofErr w:type="spellEnd"/>
      <w:r w:rsidRPr="00BB2872">
        <w:rPr>
          <w:i/>
          <w:iCs/>
        </w:rPr>
        <w:t xml:space="preserve"> Systems</w:t>
      </w:r>
      <w:r w:rsidRPr="00BB2872">
        <w:t xml:space="preserve"> 36(4): 571-593. </w:t>
      </w:r>
    </w:p>
    <w:p w14:paraId="646DD028" w14:textId="77777777" w:rsidR="00466AD9" w:rsidRPr="00BB2872" w:rsidRDefault="00466AD9" w:rsidP="00466AD9">
      <w:pPr>
        <w:pStyle w:val="Normlnweb"/>
        <w:spacing w:before="200" w:beforeAutospacing="0" w:after="0" w:afterAutospacing="0"/>
        <w:jc w:val="both"/>
      </w:pPr>
      <w:proofErr w:type="spellStart"/>
      <w:r w:rsidRPr="00BB2872">
        <w:t>Pungulescu</w:t>
      </w:r>
      <w:proofErr w:type="spellEnd"/>
      <w:r w:rsidRPr="00BB2872">
        <w:t>, C. 2013. “</w:t>
      </w:r>
      <w:proofErr w:type="spellStart"/>
      <w:r w:rsidRPr="00BB2872">
        <w:t>Measuring</w:t>
      </w:r>
      <w:proofErr w:type="spellEnd"/>
      <w:r w:rsidRPr="00BB2872">
        <w:t xml:space="preserve"> </w:t>
      </w:r>
      <w:proofErr w:type="spellStart"/>
      <w:r w:rsidRPr="00BB2872">
        <w:t>Financial</w:t>
      </w:r>
      <w:proofErr w:type="spellEnd"/>
      <w:r w:rsidRPr="00BB2872">
        <w:t xml:space="preserve"> Market </w:t>
      </w:r>
      <w:proofErr w:type="spellStart"/>
      <w:r w:rsidRPr="00BB2872">
        <w:t>Integration</w:t>
      </w:r>
      <w:proofErr w:type="spellEnd"/>
      <w:r w:rsidRPr="00BB2872">
        <w:t xml:space="preserve"> in </w:t>
      </w:r>
      <w:proofErr w:type="spellStart"/>
      <w:r w:rsidRPr="00BB2872">
        <w:t>the</w:t>
      </w:r>
      <w:proofErr w:type="spellEnd"/>
      <w:r w:rsidRPr="00BB2872">
        <w:t xml:space="preserve"> </w:t>
      </w:r>
      <w:proofErr w:type="spellStart"/>
      <w:r w:rsidRPr="00BB2872">
        <w:t>European</w:t>
      </w:r>
      <w:proofErr w:type="spellEnd"/>
      <w:r w:rsidRPr="00BB2872">
        <w:t xml:space="preserve"> Union: EU15 vs. New </w:t>
      </w:r>
      <w:proofErr w:type="spellStart"/>
      <w:r w:rsidRPr="00BB2872">
        <w:t>Member</w:t>
      </w:r>
      <w:proofErr w:type="spellEnd"/>
      <w:r w:rsidRPr="00BB2872">
        <w:t xml:space="preserve"> </w:t>
      </w:r>
      <w:proofErr w:type="spellStart"/>
      <w:r w:rsidRPr="00BB2872">
        <w:t>States</w:t>
      </w:r>
      <w:proofErr w:type="spellEnd"/>
      <w:r w:rsidRPr="00BB2872">
        <w:t xml:space="preserve">.” </w:t>
      </w:r>
      <w:proofErr w:type="spellStart"/>
      <w:r w:rsidRPr="00BB2872">
        <w:rPr>
          <w:i/>
          <w:iCs/>
        </w:rPr>
        <w:t>Emerging</w:t>
      </w:r>
      <w:proofErr w:type="spellEnd"/>
      <w:r w:rsidRPr="00BB2872">
        <w:rPr>
          <w:i/>
          <w:iCs/>
        </w:rPr>
        <w:t xml:space="preserve"> </w:t>
      </w:r>
      <w:proofErr w:type="spellStart"/>
      <w:r w:rsidRPr="00BB2872">
        <w:rPr>
          <w:i/>
          <w:iCs/>
        </w:rPr>
        <w:t>Markets</w:t>
      </w:r>
      <w:proofErr w:type="spellEnd"/>
      <w:r w:rsidRPr="00BB2872">
        <w:rPr>
          <w:i/>
          <w:iCs/>
        </w:rPr>
        <w:t xml:space="preserve"> </w:t>
      </w:r>
      <w:proofErr w:type="spellStart"/>
      <w:r w:rsidRPr="00BB2872">
        <w:rPr>
          <w:i/>
          <w:iCs/>
        </w:rPr>
        <w:t>Review</w:t>
      </w:r>
      <w:proofErr w:type="spellEnd"/>
      <w:r w:rsidRPr="00BB2872">
        <w:t xml:space="preserve"> 17: 106-124. </w:t>
      </w:r>
    </w:p>
    <w:p w14:paraId="63D77B7A" w14:textId="77777777" w:rsidR="00466AD9" w:rsidRPr="00BB2872" w:rsidRDefault="00466AD9" w:rsidP="005A6D8C">
      <w:pPr>
        <w:pStyle w:val="Nadpis1"/>
        <w:spacing w:before="200" w:after="0" w:line="240" w:lineRule="auto"/>
        <w:ind w:right="460"/>
      </w:pPr>
      <w:r w:rsidRPr="00BB2872">
        <w:rPr>
          <w:b w:val="0"/>
          <w:bCs w:val="0"/>
          <w:szCs w:val="24"/>
        </w:rPr>
        <w:t>Reuters Staff. 2020.“</w:t>
      </w:r>
      <w:r w:rsidRPr="00BB2872">
        <w:rPr>
          <w:b w:val="0"/>
          <w:bCs w:val="0"/>
          <w:i/>
          <w:iCs/>
          <w:szCs w:val="24"/>
        </w:rPr>
        <w:t>UPDATE 2-Polish central bank intervenes in FX market to weaken zloty -source.”</w:t>
      </w:r>
      <w:r w:rsidRPr="00BB2872">
        <w:rPr>
          <w:b w:val="0"/>
          <w:bCs w:val="0"/>
          <w:szCs w:val="24"/>
        </w:rPr>
        <w:t xml:space="preserve"> Reuters. Accessed 1 July 2021. https://www.reuters.com/article/poland-zloty-idUSL1N2IY18X</w:t>
      </w:r>
      <w:r w:rsidRPr="00BB2872">
        <w:rPr>
          <w:szCs w:val="24"/>
        </w:rPr>
        <w:t> </w:t>
      </w:r>
    </w:p>
    <w:p w14:paraId="5CA8D534" w14:textId="77777777" w:rsidR="00466AD9" w:rsidRPr="00BB2872" w:rsidRDefault="00466AD9" w:rsidP="00466AD9">
      <w:pPr>
        <w:pStyle w:val="Normlnweb"/>
        <w:spacing w:before="200" w:beforeAutospacing="0" w:after="200" w:afterAutospacing="0"/>
      </w:pPr>
      <w:proofErr w:type="spellStart"/>
      <w:r w:rsidRPr="00BB2872">
        <w:t>Rubio</w:t>
      </w:r>
      <w:proofErr w:type="spellEnd"/>
      <w:r w:rsidRPr="00BB2872">
        <w:t xml:space="preserve">, M., J., A. </w:t>
      </w:r>
      <w:proofErr w:type="spellStart"/>
      <w:r w:rsidRPr="00BB2872">
        <w:t>Carrasco-Gallego</w:t>
      </w:r>
      <w:proofErr w:type="spellEnd"/>
      <w:r w:rsidRPr="00BB2872">
        <w:t>. 2016. “</w:t>
      </w:r>
      <w:proofErr w:type="spellStart"/>
      <w:r w:rsidRPr="00BB2872">
        <w:t>The</w:t>
      </w:r>
      <w:proofErr w:type="spellEnd"/>
      <w:r w:rsidRPr="00BB2872">
        <w:t xml:space="preserve"> New </w:t>
      </w:r>
      <w:proofErr w:type="spellStart"/>
      <w:r w:rsidRPr="00BB2872">
        <w:t>Financial</w:t>
      </w:r>
      <w:proofErr w:type="spellEnd"/>
      <w:r w:rsidRPr="00BB2872">
        <w:t xml:space="preserve"> </w:t>
      </w:r>
      <w:proofErr w:type="spellStart"/>
      <w:r w:rsidRPr="00BB2872">
        <w:t>Regulation</w:t>
      </w:r>
      <w:proofErr w:type="spellEnd"/>
      <w:r w:rsidRPr="00BB2872">
        <w:t xml:space="preserve"> in </w:t>
      </w:r>
      <w:proofErr w:type="spellStart"/>
      <w:r w:rsidRPr="00BB2872">
        <w:t>Basel</w:t>
      </w:r>
      <w:proofErr w:type="spellEnd"/>
      <w:r w:rsidRPr="00BB2872">
        <w:t xml:space="preserve"> III and </w:t>
      </w:r>
      <w:proofErr w:type="spellStart"/>
      <w:r w:rsidRPr="00BB2872">
        <w:t>Monetary</w:t>
      </w:r>
      <w:proofErr w:type="spellEnd"/>
      <w:r w:rsidRPr="00BB2872">
        <w:t xml:space="preserve"> </w:t>
      </w:r>
      <w:proofErr w:type="spellStart"/>
      <w:r w:rsidRPr="00BB2872">
        <w:t>Policy</w:t>
      </w:r>
      <w:proofErr w:type="spellEnd"/>
      <w:r w:rsidRPr="00BB2872">
        <w:t xml:space="preserve">: A </w:t>
      </w:r>
      <w:proofErr w:type="spellStart"/>
      <w:r w:rsidRPr="00BB2872">
        <w:t>Macroprudential</w:t>
      </w:r>
      <w:proofErr w:type="spellEnd"/>
      <w:r w:rsidRPr="00BB2872">
        <w:t xml:space="preserve"> </w:t>
      </w:r>
      <w:proofErr w:type="spellStart"/>
      <w:r w:rsidRPr="00BB2872">
        <w:t>Approach</w:t>
      </w:r>
      <w:proofErr w:type="spellEnd"/>
      <w:r w:rsidRPr="00BB2872">
        <w:t xml:space="preserve">.” </w:t>
      </w:r>
      <w:proofErr w:type="spellStart"/>
      <w:r w:rsidRPr="00BB2872">
        <w:rPr>
          <w:i/>
          <w:iCs/>
        </w:rPr>
        <w:t>Journal</w:t>
      </w:r>
      <w:proofErr w:type="spellEnd"/>
      <w:r w:rsidRPr="00BB2872">
        <w:rPr>
          <w:i/>
          <w:iCs/>
        </w:rPr>
        <w:t xml:space="preserve"> </w:t>
      </w:r>
      <w:proofErr w:type="spellStart"/>
      <w:r w:rsidRPr="00BB2872">
        <w:rPr>
          <w:i/>
          <w:iCs/>
        </w:rPr>
        <w:t>of</w:t>
      </w:r>
      <w:proofErr w:type="spellEnd"/>
      <w:r w:rsidRPr="00BB2872">
        <w:rPr>
          <w:i/>
          <w:iCs/>
        </w:rPr>
        <w:t xml:space="preserve"> </w:t>
      </w:r>
      <w:proofErr w:type="spellStart"/>
      <w:r w:rsidRPr="00BB2872">
        <w:rPr>
          <w:i/>
          <w:iCs/>
        </w:rPr>
        <w:t>Financial</w:t>
      </w:r>
      <w:proofErr w:type="spellEnd"/>
      <w:r w:rsidRPr="00BB2872">
        <w:rPr>
          <w:i/>
          <w:iCs/>
        </w:rPr>
        <w:t xml:space="preserve"> Stability</w:t>
      </w:r>
      <w:r w:rsidRPr="00BB2872">
        <w:t xml:space="preserve"> 26: 294-305.</w:t>
      </w:r>
      <w:r w:rsidRPr="00BB2872">
        <w:rPr>
          <w:rFonts w:ascii="Calibri" w:hAnsi="Calibri" w:cs="Calibri"/>
          <w:sz w:val="22"/>
          <w:szCs w:val="22"/>
        </w:rPr>
        <w:t> </w:t>
      </w:r>
    </w:p>
    <w:p w14:paraId="54081C95" w14:textId="77777777" w:rsidR="00466AD9" w:rsidRPr="00BB2872" w:rsidRDefault="00466AD9" w:rsidP="00466AD9">
      <w:pPr>
        <w:pStyle w:val="Normlnweb"/>
        <w:spacing w:before="200" w:beforeAutospacing="0" w:after="0" w:afterAutospacing="0"/>
        <w:jc w:val="both"/>
      </w:pPr>
      <w:r w:rsidRPr="00BB2872">
        <w:lastRenderedPageBreak/>
        <w:t xml:space="preserve">Sander, H. and S. </w:t>
      </w:r>
      <w:proofErr w:type="spellStart"/>
      <w:r w:rsidRPr="00BB2872">
        <w:t>Kleimeier</w:t>
      </w:r>
      <w:proofErr w:type="spellEnd"/>
      <w:r w:rsidRPr="00BB2872">
        <w:t>. 2004. “</w:t>
      </w:r>
      <w:proofErr w:type="spellStart"/>
      <w:r w:rsidRPr="00BB2872">
        <w:t>Convergence</w:t>
      </w:r>
      <w:proofErr w:type="spellEnd"/>
      <w:r w:rsidRPr="00BB2872">
        <w:t xml:space="preserve"> in Euro-</w:t>
      </w:r>
      <w:proofErr w:type="spellStart"/>
      <w:r w:rsidRPr="00BB2872">
        <w:t>zone</w:t>
      </w:r>
      <w:proofErr w:type="spellEnd"/>
      <w:r w:rsidRPr="00BB2872">
        <w:t xml:space="preserve"> Retail Banking? </w:t>
      </w:r>
      <w:proofErr w:type="spellStart"/>
      <w:r w:rsidRPr="00BB2872">
        <w:t>What</w:t>
      </w:r>
      <w:proofErr w:type="spellEnd"/>
      <w:r w:rsidRPr="00BB2872">
        <w:t xml:space="preserve"> </w:t>
      </w:r>
      <w:proofErr w:type="spellStart"/>
      <w:r w:rsidRPr="00BB2872">
        <w:t>Interest</w:t>
      </w:r>
      <w:proofErr w:type="spellEnd"/>
      <w:r w:rsidRPr="00BB2872">
        <w:t xml:space="preserve"> </w:t>
      </w:r>
      <w:proofErr w:type="spellStart"/>
      <w:r w:rsidRPr="00BB2872">
        <w:t>Rate</w:t>
      </w:r>
      <w:proofErr w:type="spellEnd"/>
      <w:r w:rsidRPr="00BB2872">
        <w:t xml:space="preserve"> </w:t>
      </w:r>
      <w:proofErr w:type="spellStart"/>
      <w:r w:rsidRPr="00BB2872">
        <w:t>Pass-through</w:t>
      </w:r>
      <w:proofErr w:type="spellEnd"/>
      <w:r w:rsidRPr="00BB2872">
        <w:t xml:space="preserve"> </w:t>
      </w:r>
      <w:proofErr w:type="spellStart"/>
      <w:r w:rsidRPr="00BB2872">
        <w:t>Tells</w:t>
      </w:r>
      <w:proofErr w:type="spellEnd"/>
      <w:r w:rsidRPr="00BB2872">
        <w:t xml:space="preserve"> </w:t>
      </w:r>
      <w:proofErr w:type="spellStart"/>
      <w:r w:rsidRPr="00BB2872">
        <w:t>us</w:t>
      </w:r>
      <w:proofErr w:type="spellEnd"/>
      <w:r w:rsidRPr="00BB2872">
        <w:t xml:space="preserve"> </w:t>
      </w:r>
      <w:proofErr w:type="spellStart"/>
      <w:r w:rsidRPr="00BB2872">
        <w:t>about</w:t>
      </w:r>
      <w:proofErr w:type="spellEnd"/>
      <w:r w:rsidRPr="00BB2872">
        <w:t xml:space="preserve"> </w:t>
      </w:r>
      <w:proofErr w:type="spellStart"/>
      <w:r w:rsidRPr="00BB2872">
        <w:t>Monetary</w:t>
      </w:r>
      <w:proofErr w:type="spellEnd"/>
      <w:r w:rsidRPr="00BB2872">
        <w:t xml:space="preserve"> </w:t>
      </w:r>
      <w:proofErr w:type="spellStart"/>
      <w:r w:rsidRPr="00BB2872">
        <w:t>Policy</w:t>
      </w:r>
      <w:proofErr w:type="spellEnd"/>
      <w:r w:rsidRPr="00BB2872">
        <w:t xml:space="preserve"> </w:t>
      </w:r>
      <w:proofErr w:type="spellStart"/>
      <w:r w:rsidRPr="00BB2872">
        <w:t>Transmission</w:t>
      </w:r>
      <w:proofErr w:type="spellEnd"/>
      <w:r w:rsidRPr="00BB2872">
        <w:t xml:space="preserve">, </w:t>
      </w:r>
      <w:proofErr w:type="spellStart"/>
      <w:r w:rsidRPr="00BB2872">
        <w:t>Competition</w:t>
      </w:r>
      <w:proofErr w:type="spellEnd"/>
      <w:r w:rsidRPr="00BB2872">
        <w:t xml:space="preserve"> and </w:t>
      </w:r>
      <w:proofErr w:type="spellStart"/>
      <w:r w:rsidRPr="00BB2872">
        <w:t>Integration</w:t>
      </w:r>
      <w:proofErr w:type="spellEnd"/>
      <w:r w:rsidRPr="00BB2872">
        <w:t xml:space="preserve">.” </w:t>
      </w:r>
      <w:proofErr w:type="spellStart"/>
      <w:r w:rsidRPr="00BB2872">
        <w:rPr>
          <w:i/>
          <w:iCs/>
        </w:rPr>
        <w:t>Journal</w:t>
      </w:r>
      <w:proofErr w:type="spellEnd"/>
      <w:r w:rsidRPr="00BB2872">
        <w:rPr>
          <w:i/>
          <w:iCs/>
        </w:rPr>
        <w:t xml:space="preserve"> </w:t>
      </w:r>
      <w:proofErr w:type="spellStart"/>
      <w:r w:rsidRPr="00BB2872">
        <w:rPr>
          <w:i/>
          <w:iCs/>
        </w:rPr>
        <w:t>of</w:t>
      </w:r>
      <w:proofErr w:type="spellEnd"/>
      <w:r w:rsidRPr="00BB2872">
        <w:rPr>
          <w:i/>
          <w:iCs/>
        </w:rPr>
        <w:t xml:space="preserve"> International Money and Finance</w:t>
      </w:r>
      <w:r w:rsidRPr="00BB2872">
        <w:t xml:space="preserve"> 23: 461-492. </w:t>
      </w:r>
    </w:p>
    <w:p w14:paraId="563D6129" w14:textId="77777777" w:rsidR="00466AD9" w:rsidRPr="00BB2872" w:rsidRDefault="00466AD9" w:rsidP="00466AD9">
      <w:pPr>
        <w:pStyle w:val="Normlnweb"/>
        <w:spacing w:before="200" w:beforeAutospacing="0" w:after="0" w:afterAutospacing="0"/>
        <w:jc w:val="both"/>
      </w:pPr>
      <w:proofErr w:type="spellStart"/>
      <w:r w:rsidRPr="00BB2872">
        <w:t>Schenkelberg</w:t>
      </w:r>
      <w:proofErr w:type="spellEnd"/>
      <w:r w:rsidRPr="00BB2872">
        <w:t xml:space="preserve">, H. and S. </w:t>
      </w:r>
      <w:proofErr w:type="spellStart"/>
      <w:r w:rsidRPr="00BB2872">
        <w:t>Watzka</w:t>
      </w:r>
      <w:proofErr w:type="spellEnd"/>
      <w:r w:rsidRPr="00BB2872">
        <w:t xml:space="preserve">. 2013. “Real </w:t>
      </w:r>
      <w:proofErr w:type="spellStart"/>
      <w:r w:rsidRPr="00BB2872">
        <w:t>Effects</w:t>
      </w:r>
      <w:proofErr w:type="spellEnd"/>
      <w:r w:rsidRPr="00BB2872">
        <w:t xml:space="preserve"> </w:t>
      </w:r>
      <w:proofErr w:type="spellStart"/>
      <w:r w:rsidRPr="00BB2872">
        <w:t>of</w:t>
      </w:r>
      <w:proofErr w:type="spellEnd"/>
      <w:r w:rsidRPr="00BB2872">
        <w:t xml:space="preserve"> </w:t>
      </w:r>
      <w:proofErr w:type="spellStart"/>
      <w:r w:rsidRPr="00BB2872">
        <w:t>Quantitative</w:t>
      </w:r>
      <w:proofErr w:type="spellEnd"/>
      <w:r w:rsidRPr="00BB2872">
        <w:t xml:space="preserve"> </w:t>
      </w:r>
      <w:proofErr w:type="spellStart"/>
      <w:r w:rsidRPr="00BB2872">
        <w:t>Easing</w:t>
      </w:r>
      <w:proofErr w:type="spellEnd"/>
      <w:r w:rsidRPr="00BB2872">
        <w:t xml:space="preserve"> </w:t>
      </w:r>
      <w:proofErr w:type="spellStart"/>
      <w:r w:rsidRPr="00BB2872">
        <w:t>at</w:t>
      </w:r>
      <w:proofErr w:type="spellEnd"/>
      <w:r w:rsidRPr="00BB2872">
        <w:t xml:space="preserve"> </w:t>
      </w:r>
      <w:proofErr w:type="spellStart"/>
      <w:r w:rsidRPr="00BB2872">
        <w:t>the</w:t>
      </w:r>
      <w:proofErr w:type="spellEnd"/>
      <w:r w:rsidRPr="00BB2872">
        <w:t xml:space="preserve"> </w:t>
      </w:r>
      <w:proofErr w:type="spellStart"/>
      <w:r w:rsidRPr="00BB2872">
        <w:t>Zero</w:t>
      </w:r>
      <w:proofErr w:type="spellEnd"/>
      <w:r w:rsidRPr="00BB2872">
        <w:t xml:space="preserve"> </w:t>
      </w:r>
      <w:proofErr w:type="spellStart"/>
      <w:r w:rsidRPr="00BB2872">
        <w:t>Lower</w:t>
      </w:r>
      <w:proofErr w:type="spellEnd"/>
      <w:r w:rsidRPr="00BB2872">
        <w:t xml:space="preserve"> </w:t>
      </w:r>
      <w:proofErr w:type="spellStart"/>
      <w:r w:rsidRPr="00BB2872">
        <w:t>Bound</w:t>
      </w:r>
      <w:proofErr w:type="spellEnd"/>
      <w:r w:rsidRPr="00BB2872">
        <w:t xml:space="preserve">: </w:t>
      </w:r>
      <w:proofErr w:type="spellStart"/>
      <w:r w:rsidRPr="00BB2872">
        <w:t>Structural</w:t>
      </w:r>
      <w:proofErr w:type="spellEnd"/>
      <w:r w:rsidRPr="00BB2872">
        <w:t xml:space="preserve"> VAR-</w:t>
      </w:r>
      <w:proofErr w:type="spellStart"/>
      <w:r w:rsidRPr="00BB2872">
        <w:t>based</w:t>
      </w:r>
      <w:proofErr w:type="spellEnd"/>
      <w:r w:rsidRPr="00BB2872">
        <w:t xml:space="preserve"> Evidence </w:t>
      </w:r>
      <w:proofErr w:type="spellStart"/>
      <w:r w:rsidRPr="00BB2872">
        <w:t>from</w:t>
      </w:r>
      <w:proofErr w:type="spellEnd"/>
      <w:r w:rsidRPr="00BB2872">
        <w:t xml:space="preserve"> Japan.” </w:t>
      </w:r>
      <w:proofErr w:type="spellStart"/>
      <w:r w:rsidRPr="00BB2872">
        <w:rPr>
          <w:i/>
          <w:iCs/>
        </w:rPr>
        <w:t>Journal</w:t>
      </w:r>
      <w:proofErr w:type="spellEnd"/>
      <w:r w:rsidRPr="00BB2872">
        <w:rPr>
          <w:i/>
          <w:iCs/>
        </w:rPr>
        <w:t xml:space="preserve"> </w:t>
      </w:r>
      <w:proofErr w:type="spellStart"/>
      <w:r w:rsidRPr="00BB2872">
        <w:rPr>
          <w:i/>
          <w:iCs/>
        </w:rPr>
        <w:t>of</w:t>
      </w:r>
      <w:proofErr w:type="spellEnd"/>
      <w:r w:rsidRPr="00BB2872">
        <w:rPr>
          <w:i/>
          <w:iCs/>
        </w:rPr>
        <w:t xml:space="preserve"> International Money and Finance</w:t>
      </w:r>
      <w:r w:rsidRPr="00BB2872">
        <w:t xml:space="preserve"> 33: 327-357. </w:t>
      </w:r>
    </w:p>
    <w:p w14:paraId="652D7C6E" w14:textId="77777777" w:rsidR="00AE179E" w:rsidRPr="00BB2872" w:rsidRDefault="00466AD9" w:rsidP="00AE179E">
      <w:pPr>
        <w:pStyle w:val="Normlnweb"/>
        <w:spacing w:before="200" w:beforeAutospacing="0" w:after="0" w:afterAutospacing="0"/>
        <w:jc w:val="both"/>
      </w:pPr>
      <w:proofErr w:type="spellStart"/>
      <w:r w:rsidRPr="00BB2872">
        <w:t>Sims</w:t>
      </w:r>
      <w:proofErr w:type="spellEnd"/>
      <w:r w:rsidRPr="00BB2872">
        <w:t xml:space="preserve">, C.A. 1986. “Are </w:t>
      </w:r>
      <w:proofErr w:type="spellStart"/>
      <w:r w:rsidRPr="00BB2872">
        <w:t>Forecasting</w:t>
      </w:r>
      <w:proofErr w:type="spellEnd"/>
      <w:r w:rsidRPr="00BB2872">
        <w:t xml:space="preserve"> </w:t>
      </w:r>
      <w:proofErr w:type="spellStart"/>
      <w:r w:rsidRPr="00BB2872">
        <w:t>Models</w:t>
      </w:r>
      <w:proofErr w:type="spellEnd"/>
      <w:r w:rsidRPr="00BB2872">
        <w:t xml:space="preserve"> </w:t>
      </w:r>
      <w:proofErr w:type="spellStart"/>
      <w:r w:rsidRPr="00BB2872">
        <w:t>Usable</w:t>
      </w:r>
      <w:proofErr w:type="spellEnd"/>
      <w:r w:rsidRPr="00BB2872">
        <w:t xml:space="preserve"> </w:t>
      </w:r>
      <w:proofErr w:type="spellStart"/>
      <w:r w:rsidRPr="00BB2872">
        <w:t>for</w:t>
      </w:r>
      <w:proofErr w:type="spellEnd"/>
      <w:r w:rsidRPr="00BB2872">
        <w:t xml:space="preserve"> </w:t>
      </w:r>
      <w:proofErr w:type="spellStart"/>
      <w:r w:rsidRPr="00BB2872">
        <w:t>Policy</w:t>
      </w:r>
      <w:proofErr w:type="spellEnd"/>
      <w:r w:rsidRPr="00BB2872">
        <w:t xml:space="preserve"> </w:t>
      </w:r>
      <w:proofErr w:type="spellStart"/>
      <w:r w:rsidRPr="00BB2872">
        <w:t>Analysis</w:t>
      </w:r>
      <w:proofErr w:type="spellEnd"/>
      <w:r w:rsidRPr="00BB2872">
        <w:t xml:space="preserve">?” </w:t>
      </w:r>
      <w:r w:rsidRPr="00BB2872">
        <w:rPr>
          <w:i/>
          <w:iCs/>
        </w:rPr>
        <w:t xml:space="preserve">Minneapolis </w:t>
      </w:r>
      <w:proofErr w:type="spellStart"/>
      <w:r w:rsidRPr="00BB2872">
        <w:rPr>
          <w:i/>
          <w:iCs/>
        </w:rPr>
        <w:t>Federal</w:t>
      </w:r>
      <w:proofErr w:type="spellEnd"/>
      <w:r w:rsidRPr="00BB2872">
        <w:rPr>
          <w:i/>
          <w:iCs/>
        </w:rPr>
        <w:t xml:space="preserve"> </w:t>
      </w:r>
      <w:proofErr w:type="spellStart"/>
      <w:r w:rsidRPr="00BB2872">
        <w:rPr>
          <w:i/>
          <w:iCs/>
        </w:rPr>
        <w:t>Reserve</w:t>
      </w:r>
      <w:proofErr w:type="spellEnd"/>
      <w:r w:rsidRPr="00BB2872">
        <w:rPr>
          <w:i/>
          <w:iCs/>
        </w:rPr>
        <w:t xml:space="preserve"> Bank </w:t>
      </w:r>
      <w:proofErr w:type="spellStart"/>
      <w:r w:rsidRPr="00BB2872">
        <w:rPr>
          <w:i/>
          <w:iCs/>
        </w:rPr>
        <w:t>Quarterly</w:t>
      </w:r>
      <w:proofErr w:type="spellEnd"/>
      <w:r w:rsidRPr="00BB2872">
        <w:rPr>
          <w:i/>
          <w:iCs/>
        </w:rPr>
        <w:t xml:space="preserve"> </w:t>
      </w:r>
      <w:proofErr w:type="spellStart"/>
      <w:r w:rsidRPr="00BB2872">
        <w:rPr>
          <w:i/>
          <w:iCs/>
        </w:rPr>
        <w:t>Review</w:t>
      </w:r>
      <w:proofErr w:type="spellEnd"/>
      <w:r w:rsidRPr="00BB2872">
        <w:t xml:space="preserve"> 10: 2-16.</w:t>
      </w:r>
    </w:p>
    <w:p w14:paraId="29DBFE19" w14:textId="5AC410B5" w:rsidR="00466AD9" w:rsidRPr="00BB2872" w:rsidRDefault="00AE179E" w:rsidP="00AE179E">
      <w:pPr>
        <w:pStyle w:val="Normlnweb"/>
        <w:spacing w:before="200" w:beforeAutospacing="0" w:after="0" w:afterAutospacing="0"/>
        <w:jc w:val="both"/>
      </w:pPr>
      <w:proofErr w:type="spellStart"/>
      <w:r w:rsidRPr="00BB2872">
        <w:t>ter</w:t>
      </w:r>
      <w:proofErr w:type="spellEnd"/>
      <w:r w:rsidRPr="00BB2872">
        <w:t xml:space="preserve"> Ellen</w:t>
      </w:r>
      <w:r w:rsidR="00466AD9" w:rsidRPr="00BB2872">
        <w:t xml:space="preserve">, S., E. </w:t>
      </w:r>
      <w:proofErr w:type="spellStart"/>
      <w:r w:rsidR="00466AD9" w:rsidRPr="00BB2872">
        <w:t>Jansen</w:t>
      </w:r>
      <w:proofErr w:type="spellEnd"/>
      <w:r w:rsidR="00466AD9" w:rsidRPr="00BB2872">
        <w:t xml:space="preserve"> and N.L. </w:t>
      </w:r>
      <w:proofErr w:type="spellStart"/>
      <w:r w:rsidR="00466AD9" w:rsidRPr="00BB2872">
        <w:t>Midthjell</w:t>
      </w:r>
      <w:proofErr w:type="spellEnd"/>
      <w:r w:rsidR="00466AD9" w:rsidRPr="00BB2872">
        <w:t xml:space="preserve">. 2020. “ECB </w:t>
      </w:r>
      <w:proofErr w:type="spellStart"/>
      <w:r w:rsidR="00466AD9" w:rsidRPr="00BB2872">
        <w:t>Spillovers</w:t>
      </w:r>
      <w:proofErr w:type="spellEnd"/>
      <w:r w:rsidR="00466AD9" w:rsidRPr="00BB2872">
        <w:t xml:space="preserve"> and </w:t>
      </w:r>
      <w:proofErr w:type="spellStart"/>
      <w:r w:rsidR="00466AD9" w:rsidRPr="00BB2872">
        <w:t>Domestic</w:t>
      </w:r>
      <w:proofErr w:type="spellEnd"/>
      <w:r w:rsidR="00466AD9" w:rsidRPr="00BB2872">
        <w:t xml:space="preserve"> </w:t>
      </w:r>
      <w:proofErr w:type="spellStart"/>
      <w:r w:rsidR="00466AD9" w:rsidRPr="00BB2872">
        <w:t>Monetary</w:t>
      </w:r>
      <w:proofErr w:type="spellEnd"/>
      <w:r w:rsidR="00466AD9" w:rsidRPr="00BB2872">
        <w:t xml:space="preserve"> </w:t>
      </w:r>
      <w:proofErr w:type="spellStart"/>
      <w:r w:rsidR="00466AD9" w:rsidRPr="00BB2872">
        <w:t>Policy</w:t>
      </w:r>
      <w:proofErr w:type="spellEnd"/>
      <w:r w:rsidR="00466AD9" w:rsidRPr="00BB2872">
        <w:t xml:space="preserve"> </w:t>
      </w:r>
      <w:proofErr w:type="spellStart"/>
      <w:r w:rsidR="00466AD9" w:rsidRPr="00BB2872">
        <w:t>Effectiveness</w:t>
      </w:r>
      <w:proofErr w:type="spellEnd"/>
      <w:r w:rsidR="00466AD9" w:rsidRPr="00BB2872">
        <w:t xml:space="preserve"> in </w:t>
      </w:r>
      <w:proofErr w:type="spellStart"/>
      <w:r w:rsidR="00466AD9" w:rsidRPr="00BB2872">
        <w:t>Small</w:t>
      </w:r>
      <w:proofErr w:type="spellEnd"/>
      <w:r w:rsidR="00466AD9" w:rsidRPr="00BB2872">
        <w:t xml:space="preserve"> Open </w:t>
      </w:r>
      <w:proofErr w:type="spellStart"/>
      <w:r w:rsidR="00466AD9" w:rsidRPr="00BB2872">
        <w:t>Economies</w:t>
      </w:r>
      <w:proofErr w:type="spellEnd"/>
      <w:r w:rsidR="00466AD9" w:rsidRPr="00BB2872">
        <w:t xml:space="preserve">.” </w:t>
      </w:r>
      <w:proofErr w:type="spellStart"/>
      <w:r w:rsidR="00466AD9" w:rsidRPr="00BB2872">
        <w:rPr>
          <w:i/>
          <w:iCs/>
        </w:rPr>
        <w:t>European</w:t>
      </w:r>
      <w:proofErr w:type="spellEnd"/>
      <w:r w:rsidR="00466AD9" w:rsidRPr="00BB2872">
        <w:rPr>
          <w:i/>
          <w:iCs/>
        </w:rPr>
        <w:t xml:space="preserve"> </w:t>
      </w:r>
      <w:proofErr w:type="spellStart"/>
      <w:r w:rsidR="00466AD9" w:rsidRPr="00BB2872">
        <w:rPr>
          <w:i/>
          <w:iCs/>
        </w:rPr>
        <w:t>Economic</w:t>
      </w:r>
      <w:proofErr w:type="spellEnd"/>
      <w:r w:rsidR="00466AD9" w:rsidRPr="00BB2872">
        <w:rPr>
          <w:i/>
          <w:iCs/>
        </w:rPr>
        <w:t xml:space="preserve"> </w:t>
      </w:r>
      <w:proofErr w:type="spellStart"/>
      <w:r w:rsidR="00466AD9" w:rsidRPr="00BB2872">
        <w:rPr>
          <w:i/>
          <w:iCs/>
        </w:rPr>
        <w:t>Review</w:t>
      </w:r>
      <w:proofErr w:type="spellEnd"/>
      <w:r w:rsidR="00466AD9" w:rsidRPr="00BB2872">
        <w:t xml:space="preserve"> 121: 1-17.</w:t>
      </w:r>
    </w:p>
    <w:p w14:paraId="77AFD0E8" w14:textId="77777777" w:rsidR="00466AD9" w:rsidRPr="00BB2872" w:rsidRDefault="00466AD9" w:rsidP="00466AD9">
      <w:pPr>
        <w:pStyle w:val="Nadpis1"/>
        <w:spacing w:before="200" w:after="0"/>
        <w:ind w:right="460"/>
      </w:pPr>
      <w:proofErr w:type="spellStart"/>
      <w:r w:rsidRPr="00BB2872">
        <w:rPr>
          <w:b w:val="0"/>
          <w:bCs w:val="0"/>
          <w:szCs w:val="24"/>
        </w:rPr>
        <w:t>Voinea</w:t>
      </w:r>
      <w:proofErr w:type="spellEnd"/>
      <w:r w:rsidRPr="00BB2872">
        <w:rPr>
          <w:b w:val="0"/>
          <w:bCs w:val="0"/>
          <w:szCs w:val="24"/>
        </w:rPr>
        <w:t xml:space="preserve">, L., H. Lovin and A. </w:t>
      </w:r>
      <w:proofErr w:type="spellStart"/>
      <w:r w:rsidRPr="00BB2872">
        <w:rPr>
          <w:b w:val="0"/>
          <w:bCs w:val="0"/>
          <w:szCs w:val="24"/>
        </w:rPr>
        <w:t>Cojocaru</w:t>
      </w:r>
      <w:proofErr w:type="spellEnd"/>
      <w:r w:rsidRPr="00BB2872">
        <w:rPr>
          <w:b w:val="0"/>
          <w:bCs w:val="0"/>
          <w:szCs w:val="24"/>
        </w:rPr>
        <w:t xml:space="preserve">. 2018. “The Impact of Inequality on the Transmission of Monetary Policy.” </w:t>
      </w:r>
      <w:r w:rsidRPr="00BB2872">
        <w:rPr>
          <w:b w:val="0"/>
          <w:bCs w:val="0"/>
          <w:i/>
          <w:iCs/>
          <w:szCs w:val="24"/>
        </w:rPr>
        <w:t>Journal of International Money and Finance</w:t>
      </w:r>
      <w:r w:rsidRPr="00BB2872">
        <w:rPr>
          <w:b w:val="0"/>
          <w:bCs w:val="0"/>
          <w:szCs w:val="24"/>
        </w:rPr>
        <w:t xml:space="preserve"> 85: 236-250. </w:t>
      </w:r>
    </w:p>
    <w:p w14:paraId="2EEE4D97" w14:textId="77777777" w:rsidR="00466AD9" w:rsidRPr="00BB2872" w:rsidRDefault="00466AD9" w:rsidP="005A6D8C">
      <w:pPr>
        <w:pStyle w:val="Nadpis1"/>
        <w:spacing w:before="200" w:after="240" w:line="240" w:lineRule="auto"/>
        <w:ind w:right="459"/>
      </w:pPr>
      <w:proofErr w:type="spellStart"/>
      <w:r w:rsidRPr="00BB2872">
        <w:rPr>
          <w:b w:val="0"/>
          <w:bCs w:val="0"/>
          <w:szCs w:val="24"/>
        </w:rPr>
        <w:t>Zabala</w:t>
      </w:r>
      <w:proofErr w:type="spellEnd"/>
      <w:r w:rsidRPr="00BB2872">
        <w:rPr>
          <w:b w:val="0"/>
          <w:bCs w:val="0"/>
          <w:szCs w:val="24"/>
        </w:rPr>
        <w:t xml:space="preserve">, J.A. and M.A. Prats. 2020. “The Unconventional Monetary Policy of the European Central Bank: Effectiveness and Transmission Analysis.” </w:t>
      </w:r>
      <w:r w:rsidRPr="00BB2872">
        <w:rPr>
          <w:b w:val="0"/>
          <w:bCs w:val="0"/>
          <w:i/>
          <w:iCs/>
          <w:szCs w:val="24"/>
        </w:rPr>
        <w:t>The World Economy</w:t>
      </w:r>
      <w:r w:rsidRPr="00BB2872">
        <w:rPr>
          <w:b w:val="0"/>
          <w:bCs w:val="0"/>
          <w:szCs w:val="24"/>
        </w:rPr>
        <w:t xml:space="preserve">. </w:t>
      </w:r>
      <w:r w:rsidRPr="00BB2872">
        <w:rPr>
          <w:b w:val="0"/>
          <w:bCs w:val="0"/>
          <w:i/>
          <w:iCs/>
          <w:szCs w:val="24"/>
        </w:rPr>
        <w:t>Special Issue: Globalization: Recent Traits and Challenges</w:t>
      </w:r>
      <w:r w:rsidRPr="00BB2872">
        <w:rPr>
          <w:b w:val="0"/>
          <w:bCs w:val="0"/>
          <w:szCs w:val="24"/>
        </w:rPr>
        <w:t xml:space="preserve"> 43(3): 794-809.</w:t>
      </w:r>
    </w:p>
    <w:p w14:paraId="072376B2" w14:textId="77777777" w:rsidR="00466AD9" w:rsidRPr="00BB58E9" w:rsidRDefault="00466AD9" w:rsidP="005A6D8C">
      <w:pPr>
        <w:pStyle w:val="Normlnweb"/>
        <w:spacing w:before="0" w:beforeAutospacing="0" w:after="200" w:afterAutospacing="0"/>
        <w:rPr>
          <w:rFonts w:cs="Arial"/>
          <w:kern w:val="32"/>
          <w:lang w:val="en-GB" w:eastAsia="en-GB"/>
        </w:rPr>
      </w:pPr>
      <w:r w:rsidRPr="00BB58E9">
        <w:rPr>
          <w:rFonts w:cs="Arial"/>
          <w:kern w:val="32"/>
          <w:lang w:val="en-GB" w:eastAsia="en-GB"/>
        </w:rPr>
        <w:t xml:space="preserve">Zhang, C., Y. </w:t>
      </w:r>
      <w:proofErr w:type="gramStart"/>
      <w:r w:rsidRPr="00BB58E9">
        <w:rPr>
          <w:rFonts w:cs="Arial"/>
          <w:kern w:val="32"/>
          <w:lang w:val="en-GB" w:eastAsia="en-GB"/>
        </w:rPr>
        <w:t>Sun</w:t>
      </w:r>
      <w:proofErr w:type="gramEnd"/>
      <w:r w:rsidRPr="00BB58E9">
        <w:rPr>
          <w:rFonts w:cs="Arial"/>
          <w:kern w:val="32"/>
          <w:lang w:val="en-GB" w:eastAsia="en-GB"/>
        </w:rPr>
        <w:t xml:space="preserve"> and D. Tang. 2019. “Whose Confidence Matters in Chinese Monetary Policy?” International Review of Economics &amp; Finance 60: 188-202.</w:t>
      </w:r>
    </w:p>
    <w:p w14:paraId="00000062" w14:textId="546C8DB0" w:rsidR="00466AD9" w:rsidRPr="00BB58E9" w:rsidRDefault="00466AD9" w:rsidP="0068017B">
      <w:pPr>
        <w:spacing w:after="0" w:line="480" w:lineRule="auto"/>
        <w:rPr>
          <w:rFonts w:ascii="Times New Roman" w:eastAsia="Times New Roman" w:hAnsi="Times New Roman" w:cs="Arial"/>
          <w:kern w:val="32"/>
          <w:sz w:val="24"/>
          <w:szCs w:val="24"/>
          <w:lang w:eastAsia="en-GB"/>
        </w:rPr>
        <w:sectPr w:rsidR="00466AD9" w:rsidRPr="00BB58E9">
          <w:type w:val="continuous"/>
          <w:pgSz w:w="11906" w:h="16838"/>
          <w:pgMar w:top="1417" w:right="1417" w:bottom="1417" w:left="1417" w:header="709" w:footer="709" w:gutter="0"/>
          <w:cols w:space="708"/>
        </w:sectPr>
      </w:pPr>
    </w:p>
    <w:p w14:paraId="00000065" w14:textId="77777777" w:rsidR="00345220" w:rsidRPr="00BB58E9" w:rsidRDefault="00345220">
      <w:pPr>
        <w:jc w:val="both"/>
        <w:rPr>
          <w:rFonts w:ascii="Times New Roman" w:eastAsia="Times New Roman" w:hAnsi="Times New Roman" w:cs="Arial"/>
          <w:kern w:val="32"/>
          <w:sz w:val="24"/>
          <w:szCs w:val="24"/>
          <w:lang w:eastAsia="en-GB"/>
        </w:rPr>
      </w:pPr>
    </w:p>
    <w:sectPr w:rsidR="00345220" w:rsidRPr="00BB58E9">
      <w:type w:val="continuous"/>
      <w:pgSz w:w="11906" w:h="16838"/>
      <w:pgMar w:top="1417" w:right="1417" w:bottom="1417" w:left="141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F46F4" w14:textId="77777777" w:rsidR="00C71F6C" w:rsidRDefault="00C71F6C">
      <w:pPr>
        <w:spacing w:after="0" w:line="240" w:lineRule="auto"/>
      </w:pPr>
      <w:r>
        <w:separator/>
      </w:r>
    </w:p>
  </w:endnote>
  <w:endnote w:type="continuationSeparator" w:id="0">
    <w:p w14:paraId="4C3E105A" w14:textId="77777777" w:rsidR="00C71F6C" w:rsidRDefault="00C71F6C">
      <w:pPr>
        <w:spacing w:after="0" w:line="240" w:lineRule="auto"/>
      </w:pPr>
      <w:r>
        <w:continuationSeparator/>
      </w:r>
    </w:p>
  </w:endnote>
  <w:endnote w:type="continuationNotice" w:id="1">
    <w:p w14:paraId="2CB185C5" w14:textId="77777777" w:rsidR="00B044CB" w:rsidRDefault="00B044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EE"/>
    <w:family w:val="roman"/>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7" w14:textId="77777777" w:rsidR="00552339" w:rsidRDefault="00552339">
    <w:pPr>
      <w:pBdr>
        <w:top w:val="nil"/>
        <w:left w:val="nil"/>
        <w:bottom w:val="nil"/>
        <w:right w:val="nil"/>
        <w:between w:val="nil"/>
      </w:pBdr>
      <w:tabs>
        <w:tab w:val="center" w:pos="4536"/>
        <w:tab w:val="right" w:pos="9072"/>
      </w:tabs>
      <w:spacing w:after="0" w:line="240" w:lineRule="auto"/>
      <w:rPr>
        <w:rFonts w:ascii="Times New Roman" w:eastAsia="Times New Roman" w:hAnsi="Times New Roman" w:cs="Times New Roman"/>
        <w:color w:val="000000"/>
        <w:sz w:val="20"/>
        <w:szCs w:val="20"/>
      </w:rPr>
    </w:pPr>
  </w:p>
  <w:p w14:paraId="00000068" w14:textId="77777777" w:rsidR="00552339" w:rsidRDefault="00552339">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63E4E" w14:textId="77777777" w:rsidR="00C71F6C" w:rsidRDefault="00C71F6C">
      <w:pPr>
        <w:spacing w:after="0" w:line="240" w:lineRule="auto"/>
      </w:pPr>
      <w:r>
        <w:separator/>
      </w:r>
    </w:p>
  </w:footnote>
  <w:footnote w:type="continuationSeparator" w:id="0">
    <w:p w14:paraId="7CAED41E" w14:textId="77777777" w:rsidR="00C71F6C" w:rsidRDefault="00C71F6C">
      <w:pPr>
        <w:spacing w:after="0" w:line="240" w:lineRule="auto"/>
      </w:pPr>
      <w:r>
        <w:continuationSeparator/>
      </w:r>
    </w:p>
  </w:footnote>
  <w:footnote w:type="continuationNotice" w:id="1">
    <w:p w14:paraId="55A75DA2" w14:textId="77777777" w:rsidR="00B044CB" w:rsidRDefault="00B044C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6" w14:textId="77777777" w:rsidR="00552339" w:rsidRDefault="00552339">
    <w:pPr>
      <w:pBdr>
        <w:top w:val="nil"/>
        <w:left w:val="nil"/>
        <w:bottom w:val="nil"/>
        <w:right w:val="nil"/>
        <w:between w:val="nil"/>
      </w:pBdr>
      <w:tabs>
        <w:tab w:val="center" w:pos="4536"/>
        <w:tab w:val="right" w:pos="9072"/>
      </w:tabs>
      <w:spacing w:after="0" w:line="240" w:lineRule="auto"/>
      <w:jc w:val="center"/>
      <w:rPr>
        <w:rFonts w:ascii="Times New Roman" w:eastAsia="Times New Roman" w:hAnsi="Times New Roman" w:cs="Times New Roman"/>
        <w: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34F68"/>
    <w:multiLevelType w:val="multilevel"/>
    <w:tmpl w:val="28BC27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EE60726"/>
    <w:multiLevelType w:val="hybridMultilevel"/>
    <w:tmpl w:val="C1A456F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220"/>
    <w:rsid w:val="00002D39"/>
    <w:rsid w:val="000061E2"/>
    <w:rsid w:val="0001517E"/>
    <w:rsid w:val="00017C16"/>
    <w:rsid w:val="000256D5"/>
    <w:rsid w:val="000355E9"/>
    <w:rsid w:val="00037B76"/>
    <w:rsid w:val="00042875"/>
    <w:rsid w:val="00043501"/>
    <w:rsid w:val="00047B84"/>
    <w:rsid w:val="0006097D"/>
    <w:rsid w:val="00085C79"/>
    <w:rsid w:val="000942EB"/>
    <w:rsid w:val="00096617"/>
    <w:rsid w:val="000A345A"/>
    <w:rsid w:val="000D267A"/>
    <w:rsid w:val="000F32CE"/>
    <w:rsid w:val="000F7EED"/>
    <w:rsid w:val="00105DF8"/>
    <w:rsid w:val="001066DD"/>
    <w:rsid w:val="00107D40"/>
    <w:rsid w:val="001149AD"/>
    <w:rsid w:val="00116237"/>
    <w:rsid w:val="00121E2F"/>
    <w:rsid w:val="00123ACB"/>
    <w:rsid w:val="0012603E"/>
    <w:rsid w:val="0012738C"/>
    <w:rsid w:val="00133AAC"/>
    <w:rsid w:val="00135071"/>
    <w:rsid w:val="00136942"/>
    <w:rsid w:val="00150F67"/>
    <w:rsid w:val="00163F39"/>
    <w:rsid w:val="00176ED6"/>
    <w:rsid w:val="0018141F"/>
    <w:rsid w:val="00183E34"/>
    <w:rsid w:val="00184E8B"/>
    <w:rsid w:val="0018615F"/>
    <w:rsid w:val="00186DB1"/>
    <w:rsid w:val="00186E4C"/>
    <w:rsid w:val="00192337"/>
    <w:rsid w:val="001A0F86"/>
    <w:rsid w:val="001B16D5"/>
    <w:rsid w:val="001C3512"/>
    <w:rsid w:val="001C3B2F"/>
    <w:rsid w:val="001D1532"/>
    <w:rsid w:val="001D2718"/>
    <w:rsid w:val="001E009D"/>
    <w:rsid w:val="001E6B0B"/>
    <w:rsid w:val="001F66E4"/>
    <w:rsid w:val="001F71DD"/>
    <w:rsid w:val="001F73BA"/>
    <w:rsid w:val="001F7A57"/>
    <w:rsid w:val="00200641"/>
    <w:rsid w:val="00215F2B"/>
    <w:rsid w:val="00221ABB"/>
    <w:rsid w:val="00236538"/>
    <w:rsid w:val="002434E3"/>
    <w:rsid w:val="00256101"/>
    <w:rsid w:val="00261B4A"/>
    <w:rsid w:val="00263078"/>
    <w:rsid w:val="00267AD5"/>
    <w:rsid w:val="00270F33"/>
    <w:rsid w:val="00271A45"/>
    <w:rsid w:val="00287EA1"/>
    <w:rsid w:val="002B4094"/>
    <w:rsid w:val="002C0D9E"/>
    <w:rsid w:val="002C1276"/>
    <w:rsid w:val="002C6BB7"/>
    <w:rsid w:val="002F63ED"/>
    <w:rsid w:val="0030387C"/>
    <w:rsid w:val="00317C80"/>
    <w:rsid w:val="00321CE9"/>
    <w:rsid w:val="003438C0"/>
    <w:rsid w:val="00345220"/>
    <w:rsid w:val="00355D51"/>
    <w:rsid w:val="00365A79"/>
    <w:rsid w:val="00366397"/>
    <w:rsid w:val="00367FC1"/>
    <w:rsid w:val="003750E3"/>
    <w:rsid w:val="00375149"/>
    <w:rsid w:val="00383DBD"/>
    <w:rsid w:val="0039050B"/>
    <w:rsid w:val="003A4890"/>
    <w:rsid w:val="003B30F8"/>
    <w:rsid w:val="003D197E"/>
    <w:rsid w:val="003E0D28"/>
    <w:rsid w:val="00404341"/>
    <w:rsid w:val="004069A7"/>
    <w:rsid w:val="00412D0B"/>
    <w:rsid w:val="004321CF"/>
    <w:rsid w:val="0043228B"/>
    <w:rsid w:val="004357DF"/>
    <w:rsid w:val="00456CD1"/>
    <w:rsid w:val="00466AD9"/>
    <w:rsid w:val="00471806"/>
    <w:rsid w:val="004727A8"/>
    <w:rsid w:val="00473C50"/>
    <w:rsid w:val="0047503A"/>
    <w:rsid w:val="004756C3"/>
    <w:rsid w:val="00475E28"/>
    <w:rsid w:val="00476ED1"/>
    <w:rsid w:val="00490305"/>
    <w:rsid w:val="004A3EA6"/>
    <w:rsid w:val="004B1410"/>
    <w:rsid w:val="004B2C46"/>
    <w:rsid w:val="004B619C"/>
    <w:rsid w:val="004C11AB"/>
    <w:rsid w:val="004C150C"/>
    <w:rsid w:val="004D35F8"/>
    <w:rsid w:val="004D43FC"/>
    <w:rsid w:val="004D64F5"/>
    <w:rsid w:val="004E63F7"/>
    <w:rsid w:val="0050635B"/>
    <w:rsid w:val="0051175F"/>
    <w:rsid w:val="00524E79"/>
    <w:rsid w:val="00534713"/>
    <w:rsid w:val="005401F4"/>
    <w:rsid w:val="00542596"/>
    <w:rsid w:val="00550621"/>
    <w:rsid w:val="00552339"/>
    <w:rsid w:val="00554363"/>
    <w:rsid w:val="0055488C"/>
    <w:rsid w:val="00555922"/>
    <w:rsid w:val="005571BC"/>
    <w:rsid w:val="00560C3E"/>
    <w:rsid w:val="005610CF"/>
    <w:rsid w:val="00563D2F"/>
    <w:rsid w:val="005679A7"/>
    <w:rsid w:val="005824E1"/>
    <w:rsid w:val="00585336"/>
    <w:rsid w:val="005946CF"/>
    <w:rsid w:val="005A6D8C"/>
    <w:rsid w:val="005B2361"/>
    <w:rsid w:val="005E3EF6"/>
    <w:rsid w:val="005E5781"/>
    <w:rsid w:val="005F48FE"/>
    <w:rsid w:val="0060077B"/>
    <w:rsid w:val="00604123"/>
    <w:rsid w:val="006137E7"/>
    <w:rsid w:val="00613BC5"/>
    <w:rsid w:val="0064481C"/>
    <w:rsid w:val="00652710"/>
    <w:rsid w:val="00673313"/>
    <w:rsid w:val="0068017B"/>
    <w:rsid w:val="00683E30"/>
    <w:rsid w:val="00684BC8"/>
    <w:rsid w:val="00686F2C"/>
    <w:rsid w:val="006A0123"/>
    <w:rsid w:val="006C5247"/>
    <w:rsid w:val="006E36E2"/>
    <w:rsid w:val="006E6FBC"/>
    <w:rsid w:val="006F10CD"/>
    <w:rsid w:val="006F1EA6"/>
    <w:rsid w:val="006F36E8"/>
    <w:rsid w:val="006F65CF"/>
    <w:rsid w:val="00713280"/>
    <w:rsid w:val="00720CBE"/>
    <w:rsid w:val="00721491"/>
    <w:rsid w:val="00727DC7"/>
    <w:rsid w:val="0073097F"/>
    <w:rsid w:val="007446D3"/>
    <w:rsid w:val="007468AF"/>
    <w:rsid w:val="007504D0"/>
    <w:rsid w:val="00783983"/>
    <w:rsid w:val="00792176"/>
    <w:rsid w:val="007C65A2"/>
    <w:rsid w:val="00801811"/>
    <w:rsid w:val="00803B72"/>
    <w:rsid w:val="0080783F"/>
    <w:rsid w:val="00810C35"/>
    <w:rsid w:val="00815A39"/>
    <w:rsid w:val="00820659"/>
    <w:rsid w:val="00820E9D"/>
    <w:rsid w:val="00822FCF"/>
    <w:rsid w:val="0084222E"/>
    <w:rsid w:val="0084328D"/>
    <w:rsid w:val="00843B1A"/>
    <w:rsid w:val="008459BB"/>
    <w:rsid w:val="00855A0D"/>
    <w:rsid w:val="00857B50"/>
    <w:rsid w:val="00862952"/>
    <w:rsid w:val="008849B9"/>
    <w:rsid w:val="00887636"/>
    <w:rsid w:val="00893E3C"/>
    <w:rsid w:val="00896A30"/>
    <w:rsid w:val="008A32D5"/>
    <w:rsid w:val="008A3EE7"/>
    <w:rsid w:val="008A58FE"/>
    <w:rsid w:val="008C15A4"/>
    <w:rsid w:val="008C2369"/>
    <w:rsid w:val="008D1DD1"/>
    <w:rsid w:val="008D24EC"/>
    <w:rsid w:val="008D7392"/>
    <w:rsid w:val="008E18A8"/>
    <w:rsid w:val="008E6B09"/>
    <w:rsid w:val="00923D17"/>
    <w:rsid w:val="00933A16"/>
    <w:rsid w:val="0094671B"/>
    <w:rsid w:val="00954204"/>
    <w:rsid w:val="009623FD"/>
    <w:rsid w:val="00975D22"/>
    <w:rsid w:val="0098371E"/>
    <w:rsid w:val="00983D39"/>
    <w:rsid w:val="009911CA"/>
    <w:rsid w:val="0099527C"/>
    <w:rsid w:val="00996D28"/>
    <w:rsid w:val="00996D91"/>
    <w:rsid w:val="009B1B8F"/>
    <w:rsid w:val="009B2F85"/>
    <w:rsid w:val="009C02D1"/>
    <w:rsid w:val="009C20A2"/>
    <w:rsid w:val="009D10A4"/>
    <w:rsid w:val="009D4487"/>
    <w:rsid w:val="009E2544"/>
    <w:rsid w:val="009E612D"/>
    <w:rsid w:val="009F00C0"/>
    <w:rsid w:val="009F10CF"/>
    <w:rsid w:val="009F4338"/>
    <w:rsid w:val="00A03FF5"/>
    <w:rsid w:val="00A041C8"/>
    <w:rsid w:val="00A0589A"/>
    <w:rsid w:val="00A12939"/>
    <w:rsid w:val="00A140D9"/>
    <w:rsid w:val="00A15428"/>
    <w:rsid w:val="00A23819"/>
    <w:rsid w:val="00A2637A"/>
    <w:rsid w:val="00A35AE0"/>
    <w:rsid w:val="00A414B7"/>
    <w:rsid w:val="00A4495D"/>
    <w:rsid w:val="00A54E86"/>
    <w:rsid w:val="00A84C96"/>
    <w:rsid w:val="00A8689E"/>
    <w:rsid w:val="00AA3407"/>
    <w:rsid w:val="00AC339D"/>
    <w:rsid w:val="00AD0A35"/>
    <w:rsid w:val="00AD626B"/>
    <w:rsid w:val="00AE179E"/>
    <w:rsid w:val="00AE394E"/>
    <w:rsid w:val="00AE7CA3"/>
    <w:rsid w:val="00B010FC"/>
    <w:rsid w:val="00B044CB"/>
    <w:rsid w:val="00B16571"/>
    <w:rsid w:val="00B210BD"/>
    <w:rsid w:val="00B2111B"/>
    <w:rsid w:val="00B2359F"/>
    <w:rsid w:val="00B56951"/>
    <w:rsid w:val="00B56CD7"/>
    <w:rsid w:val="00B6097C"/>
    <w:rsid w:val="00B61A9B"/>
    <w:rsid w:val="00B71E08"/>
    <w:rsid w:val="00B86169"/>
    <w:rsid w:val="00B87CBA"/>
    <w:rsid w:val="00B91002"/>
    <w:rsid w:val="00B91A5E"/>
    <w:rsid w:val="00B952C2"/>
    <w:rsid w:val="00B97F66"/>
    <w:rsid w:val="00BA4010"/>
    <w:rsid w:val="00BB2872"/>
    <w:rsid w:val="00BB58E9"/>
    <w:rsid w:val="00BB7049"/>
    <w:rsid w:val="00BC6BB3"/>
    <w:rsid w:val="00BD6F9D"/>
    <w:rsid w:val="00BD7F89"/>
    <w:rsid w:val="00BE2CF1"/>
    <w:rsid w:val="00BE66E9"/>
    <w:rsid w:val="00BF4AD3"/>
    <w:rsid w:val="00C001EF"/>
    <w:rsid w:val="00C0427B"/>
    <w:rsid w:val="00C06134"/>
    <w:rsid w:val="00C10E33"/>
    <w:rsid w:val="00C1547D"/>
    <w:rsid w:val="00C17035"/>
    <w:rsid w:val="00C34418"/>
    <w:rsid w:val="00C44E37"/>
    <w:rsid w:val="00C45A50"/>
    <w:rsid w:val="00C63A6F"/>
    <w:rsid w:val="00C656D0"/>
    <w:rsid w:val="00C71F6C"/>
    <w:rsid w:val="00C8102E"/>
    <w:rsid w:val="00C81E99"/>
    <w:rsid w:val="00C82217"/>
    <w:rsid w:val="00C864F0"/>
    <w:rsid w:val="00CA7410"/>
    <w:rsid w:val="00D06E37"/>
    <w:rsid w:val="00D160DA"/>
    <w:rsid w:val="00D22F13"/>
    <w:rsid w:val="00D31274"/>
    <w:rsid w:val="00D42A8D"/>
    <w:rsid w:val="00D45E73"/>
    <w:rsid w:val="00D47731"/>
    <w:rsid w:val="00D51C3B"/>
    <w:rsid w:val="00D5789E"/>
    <w:rsid w:val="00D608EF"/>
    <w:rsid w:val="00D64161"/>
    <w:rsid w:val="00D729CC"/>
    <w:rsid w:val="00D74793"/>
    <w:rsid w:val="00D87621"/>
    <w:rsid w:val="00D97008"/>
    <w:rsid w:val="00DB619B"/>
    <w:rsid w:val="00DB62B5"/>
    <w:rsid w:val="00DC33A5"/>
    <w:rsid w:val="00DD72CE"/>
    <w:rsid w:val="00DE4E56"/>
    <w:rsid w:val="00DF1306"/>
    <w:rsid w:val="00DF5EE9"/>
    <w:rsid w:val="00E02BFF"/>
    <w:rsid w:val="00E0756A"/>
    <w:rsid w:val="00E22D39"/>
    <w:rsid w:val="00E27A89"/>
    <w:rsid w:val="00E3100C"/>
    <w:rsid w:val="00E36608"/>
    <w:rsid w:val="00E40786"/>
    <w:rsid w:val="00E46DD8"/>
    <w:rsid w:val="00E55098"/>
    <w:rsid w:val="00E71882"/>
    <w:rsid w:val="00E86FF0"/>
    <w:rsid w:val="00E91C38"/>
    <w:rsid w:val="00E94254"/>
    <w:rsid w:val="00EA146C"/>
    <w:rsid w:val="00EA2AE0"/>
    <w:rsid w:val="00EB0BB6"/>
    <w:rsid w:val="00EC0C47"/>
    <w:rsid w:val="00EC66DD"/>
    <w:rsid w:val="00ED3156"/>
    <w:rsid w:val="00EE3F1C"/>
    <w:rsid w:val="00EF1C8A"/>
    <w:rsid w:val="00EF5700"/>
    <w:rsid w:val="00F20199"/>
    <w:rsid w:val="00F227F6"/>
    <w:rsid w:val="00F30B77"/>
    <w:rsid w:val="00F33371"/>
    <w:rsid w:val="00F443B7"/>
    <w:rsid w:val="00F542A1"/>
    <w:rsid w:val="00F64A35"/>
    <w:rsid w:val="00F743B6"/>
    <w:rsid w:val="00F82C32"/>
    <w:rsid w:val="00F87E7D"/>
    <w:rsid w:val="00FA007B"/>
    <w:rsid w:val="00FA538F"/>
    <w:rsid w:val="00FA5C7B"/>
    <w:rsid w:val="00FA759E"/>
    <w:rsid w:val="00FB0E79"/>
    <w:rsid w:val="00FB4B8D"/>
    <w:rsid w:val="00FC15BF"/>
    <w:rsid w:val="00FE3807"/>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62815A"/>
  <w15:docId w15:val="{4C88AEEB-01F2-4648-AF84-AEA61B5B1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51481"/>
  </w:style>
  <w:style w:type="paragraph" w:styleId="Nadpis1">
    <w:name w:val="heading 1"/>
    <w:basedOn w:val="Normln"/>
    <w:next w:val="Normln"/>
    <w:link w:val="Nadpis1Char"/>
    <w:uiPriority w:val="9"/>
    <w:qFormat/>
    <w:rsid w:val="00E334BD"/>
    <w:pPr>
      <w:keepNext/>
      <w:spacing w:before="360" w:after="60" w:line="360" w:lineRule="auto"/>
      <w:ind w:right="567"/>
      <w:contextualSpacing/>
      <w:outlineLvl w:val="0"/>
    </w:pPr>
    <w:rPr>
      <w:rFonts w:ascii="Times New Roman" w:eastAsia="Times New Roman" w:hAnsi="Times New Roman" w:cs="Arial"/>
      <w:b/>
      <w:bCs/>
      <w:kern w:val="32"/>
      <w:sz w:val="24"/>
      <w:szCs w:val="32"/>
      <w:lang w:eastAsia="en-GB"/>
    </w:rPr>
  </w:style>
  <w:style w:type="paragraph" w:styleId="Nadpis2">
    <w:name w:val="heading 2"/>
    <w:basedOn w:val="Normln"/>
    <w:next w:val="Paragraph"/>
    <w:link w:val="Nadpis2Char"/>
    <w:uiPriority w:val="9"/>
    <w:unhideWhenUsed/>
    <w:qFormat/>
    <w:rsid w:val="00CB381C"/>
    <w:pPr>
      <w:keepNext/>
      <w:spacing w:before="360" w:after="60" w:line="360" w:lineRule="auto"/>
      <w:ind w:right="567"/>
      <w:contextualSpacing/>
      <w:outlineLvl w:val="1"/>
    </w:pPr>
    <w:rPr>
      <w:rFonts w:ascii="Times New Roman" w:eastAsia="Times New Roman" w:hAnsi="Times New Roman" w:cs="Arial"/>
      <w:b/>
      <w:bCs/>
      <w:i/>
      <w:iCs/>
      <w:sz w:val="24"/>
      <w:szCs w:val="28"/>
      <w:lang w:eastAsia="en-GB"/>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table" w:customStyle="1" w:styleId="TableNormal5">
    <w:name w:val="Table Normal5"/>
    <w:tblPr>
      <w:tblCellMar>
        <w:top w:w="0" w:type="dxa"/>
        <w:left w:w="0" w:type="dxa"/>
        <w:bottom w:w="0" w:type="dxa"/>
        <w:right w:w="0" w:type="dxa"/>
      </w:tblCellMar>
    </w:tblPr>
  </w:style>
  <w:style w:type="table" w:customStyle="1" w:styleId="TableNormal6">
    <w:name w:val="Table Normal6"/>
    <w:tblPr>
      <w:tblCellMar>
        <w:top w:w="0" w:type="dxa"/>
        <w:left w:w="0" w:type="dxa"/>
        <w:bottom w:w="0" w:type="dxa"/>
        <w:right w:w="0" w:type="dxa"/>
      </w:tblCellMar>
    </w:tblPr>
  </w:style>
  <w:style w:type="table" w:customStyle="1" w:styleId="TableNormal7">
    <w:name w:val="Table Normal7"/>
    <w:tblPr>
      <w:tblCellMar>
        <w:top w:w="0" w:type="dxa"/>
        <w:left w:w="0" w:type="dxa"/>
        <w:bottom w:w="0" w:type="dxa"/>
        <w:right w:w="0" w:type="dxa"/>
      </w:tblCellMar>
    </w:tblPr>
  </w:style>
  <w:style w:type="table" w:styleId="Mkatabulky">
    <w:name w:val="Table Grid"/>
    <w:basedOn w:val="Normlntabulka"/>
    <w:uiPriority w:val="59"/>
    <w:rsid w:val="003F13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seznam">
    <w:name w:val="Light List"/>
    <w:basedOn w:val="Normlntabulka"/>
    <w:uiPriority w:val="61"/>
    <w:rsid w:val="00E4343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Zstupntext">
    <w:name w:val="Placeholder Text"/>
    <w:basedOn w:val="Standardnpsmoodstavce"/>
    <w:uiPriority w:val="99"/>
    <w:semiHidden/>
    <w:rsid w:val="00A07E9E"/>
    <w:rPr>
      <w:color w:val="808080"/>
    </w:rPr>
  </w:style>
  <w:style w:type="paragraph" w:styleId="Textbubliny">
    <w:name w:val="Balloon Text"/>
    <w:basedOn w:val="Normln"/>
    <w:link w:val="TextbublinyChar"/>
    <w:uiPriority w:val="99"/>
    <w:semiHidden/>
    <w:unhideWhenUsed/>
    <w:rsid w:val="00A07E9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07E9E"/>
    <w:rPr>
      <w:rFonts w:ascii="Tahoma" w:hAnsi="Tahoma" w:cs="Tahoma"/>
      <w:sz w:val="16"/>
      <w:szCs w:val="16"/>
    </w:rPr>
  </w:style>
  <w:style w:type="character" w:styleId="Odkaznakoment">
    <w:name w:val="annotation reference"/>
    <w:basedOn w:val="Standardnpsmoodstavce"/>
    <w:uiPriority w:val="99"/>
    <w:semiHidden/>
    <w:unhideWhenUsed/>
    <w:rsid w:val="00227493"/>
    <w:rPr>
      <w:sz w:val="16"/>
      <w:szCs w:val="16"/>
    </w:rPr>
  </w:style>
  <w:style w:type="paragraph" w:styleId="Textkomente">
    <w:name w:val="annotation text"/>
    <w:basedOn w:val="Normln"/>
    <w:link w:val="TextkomenteChar"/>
    <w:uiPriority w:val="99"/>
    <w:semiHidden/>
    <w:unhideWhenUsed/>
    <w:rsid w:val="00227493"/>
    <w:pPr>
      <w:spacing w:line="240" w:lineRule="auto"/>
    </w:pPr>
    <w:rPr>
      <w:sz w:val="20"/>
      <w:szCs w:val="20"/>
    </w:rPr>
  </w:style>
  <w:style w:type="character" w:customStyle="1" w:styleId="TextkomenteChar">
    <w:name w:val="Text komentáře Char"/>
    <w:basedOn w:val="Standardnpsmoodstavce"/>
    <w:link w:val="Textkomente"/>
    <w:uiPriority w:val="99"/>
    <w:semiHidden/>
    <w:rsid w:val="00227493"/>
    <w:rPr>
      <w:sz w:val="20"/>
      <w:szCs w:val="20"/>
    </w:rPr>
  </w:style>
  <w:style w:type="paragraph" w:styleId="Pedmtkomente">
    <w:name w:val="annotation subject"/>
    <w:basedOn w:val="Textkomente"/>
    <w:next w:val="Textkomente"/>
    <w:link w:val="PedmtkomenteChar"/>
    <w:uiPriority w:val="99"/>
    <w:semiHidden/>
    <w:unhideWhenUsed/>
    <w:rsid w:val="00227493"/>
    <w:rPr>
      <w:b/>
      <w:bCs/>
    </w:rPr>
  </w:style>
  <w:style w:type="character" w:customStyle="1" w:styleId="PedmtkomenteChar">
    <w:name w:val="Předmět komentáře Char"/>
    <w:basedOn w:val="TextkomenteChar"/>
    <w:link w:val="Pedmtkomente"/>
    <w:uiPriority w:val="99"/>
    <w:semiHidden/>
    <w:rsid w:val="00227493"/>
    <w:rPr>
      <w:b/>
      <w:bCs/>
      <w:sz w:val="20"/>
      <w:szCs w:val="20"/>
    </w:rPr>
  </w:style>
  <w:style w:type="paragraph" w:customStyle="1" w:styleId="FirstPara">
    <w:name w:val="FirstPara"/>
    <w:aliases w:val="FP"/>
    <w:basedOn w:val="Normln"/>
    <w:next w:val="Normln"/>
    <w:rsid w:val="007F7CD7"/>
    <w:pPr>
      <w:spacing w:before="120" w:after="0" w:line="240" w:lineRule="atLeast"/>
      <w:jc w:val="both"/>
    </w:pPr>
    <w:rPr>
      <w:rFonts w:ascii="Times New Roman" w:eastAsia="Times New Roman" w:hAnsi="Times New Roman" w:cs="Times New Roman"/>
      <w:sz w:val="20"/>
      <w:szCs w:val="24"/>
    </w:rPr>
  </w:style>
  <w:style w:type="paragraph" w:customStyle="1" w:styleId="MainText">
    <w:name w:val="MainText"/>
    <w:aliases w:val="MT"/>
    <w:basedOn w:val="FirstPara"/>
    <w:rsid w:val="007F7CD7"/>
    <w:pPr>
      <w:spacing w:before="0"/>
      <w:ind w:firstLine="300"/>
    </w:pPr>
  </w:style>
  <w:style w:type="paragraph" w:customStyle="1" w:styleId="HeadL1">
    <w:name w:val="HeadL1"/>
    <w:aliases w:val="H1"/>
    <w:basedOn w:val="FirstPara"/>
    <w:next w:val="FirstPara"/>
    <w:rsid w:val="007F7CD7"/>
    <w:pPr>
      <w:keepNext/>
      <w:tabs>
        <w:tab w:val="left" w:pos="360"/>
      </w:tabs>
      <w:spacing w:before="480" w:after="120"/>
      <w:ind w:left="360" w:hanging="360"/>
      <w:jc w:val="left"/>
    </w:pPr>
    <w:rPr>
      <w:b/>
      <w:sz w:val="22"/>
    </w:rPr>
  </w:style>
  <w:style w:type="paragraph" w:customStyle="1" w:styleId="AbsKeyBibli">
    <w:name w:val="AbsKeyBibli"/>
    <w:aliases w:val="ABS"/>
    <w:basedOn w:val="FirstPara"/>
    <w:rsid w:val="007F7CD7"/>
    <w:pPr>
      <w:widowControl w:val="0"/>
      <w:tabs>
        <w:tab w:val="left" w:pos="960"/>
      </w:tabs>
      <w:spacing w:before="0" w:after="200" w:line="200" w:lineRule="atLeast"/>
      <w:ind w:left="3096"/>
    </w:pPr>
    <w:rPr>
      <w:sz w:val="18"/>
    </w:rPr>
  </w:style>
  <w:style w:type="paragraph" w:customStyle="1" w:styleId="AuthAdds">
    <w:name w:val="AuthAdds"/>
    <w:aliases w:val="ADR"/>
    <w:basedOn w:val="FirstPara"/>
    <w:next w:val="AbsKeyBibli"/>
    <w:rsid w:val="007F7CD7"/>
    <w:pPr>
      <w:widowControl w:val="0"/>
      <w:spacing w:before="0" w:after="200"/>
      <w:ind w:left="3096"/>
      <w:jc w:val="left"/>
    </w:pPr>
  </w:style>
  <w:style w:type="paragraph" w:customStyle="1" w:styleId="AuthNames">
    <w:name w:val="AuthNames"/>
    <w:aliases w:val="AU"/>
    <w:basedOn w:val="FirstPara"/>
    <w:next w:val="AuthAdds"/>
    <w:rsid w:val="007F7CD7"/>
    <w:pPr>
      <w:spacing w:after="120" w:line="320" w:lineRule="atLeast"/>
      <w:ind w:left="3096"/>
      <w:jc w:val="left"/>
    </w:pPr>
    <w:rPr>
      <w:rFonts w:ascii="Arial" w:hAnsi="Arial"/>
      <w:sz w:val="28"/>
    </w:rPr>
  </w:style>
  <w:style w:type="character" w:customStyle="1" w:styleId="findhit">
    <w:name w:val="findhit"/>
    <w:basedOn w:val="Standardnpsmoodstavce"/>
    <w:rsid w:val="000F693C"/>
  </w:style>
  <w:style w:type="character" w:customStyle="1" w:styleId="normaltextrun">
    <w:name w:val="normaltextrun"/>
    <w:basedOn w:val="Standardnpsmoodstavce"/>
    <w:rsid w:val="000F693C"/>
  </w:style>
  <w:style w:type="character" w:customStyle="1" w:styleId="apple-converted-space">
    <w:name w:val="apple-converted-space"/>
    <w:basedOn w:val="Standardnpsmoodstavce"/>
    <w:rsid w:val="000F693C"/>
  </w:style>
  <w:style w:type="character" w:customStyle="1" w:styleId="spellingerror">
    <w:name w:val="spellingerror"/>
    <w:basedOn w:val="Standardnpsmoodstavce"/>
    <w:rsid w:val="000F693C"/>
  </w:style>
  <w:style w:type="character" w:customStyle="1" w:styleId="eop">
    <w:name w:val="eop"/>
    <w:basedOn w:val="Standardnpsmoodstavce"/>
    <w:rsid w:val="000F693C"/>
  </w:style>
  <w:style w:type="paragraph" w:customStyle="1" w:styleId="Els-body-text">
    <w:name w:val="Els-body-text"/>
    <w:rsid w:val="008C2D2C"/>
    <w:pPr>
      <w:spacing w:after="0" w:line="240" w:lineRule="exact"/>
      <w:ind w:firstLine="238"/>
      <w:jc w:val="both"/>
    </w:pPr>
    <w:rPr>
      <w:rFonts w:ascii="Times New Roman" w:eastAsia="SimSun" w:hAnsi="Times New Roman" w:cs="Times New Roman"/>
      <w:sz w:val="20"/>
      <w:szCs w:val="20"/>
      <w:lang w:val="en-US"/>
    </w:rPr>
  </w:style>
  <w:style w:type="paragraph" w:customStyle="1" w:styleId="ColorfulList-Accent11">
    <w:name w:val="Colorful List - Accent 11"/>
    <w:basedOn w:val="Normln"/>
    <w:qFormat/>
    <w:rsid w:val="007F00BF"/>
    <w:pPr>
      <w:spacing w:after="0" w:line="240" w:lineRule="auto"/>
      <w:ind w:left="720"/>
    </w:pPr>
    <w:rPr>
      <w:rFonts w:ascii="Arial" w:eastAsia="Batang" w:hAnsi="Arial" w:cs="Times New Roman"/>
      <w:szCs w:val="24"/>
      <w:lang w:val="en-US" w:eastAsia="ko-KR"/>
    </w:rPr>
  </w:style>
  <w:style w:type="character" w:styleId="Hypertextovodkaz">
    <w:name w:val="Hyperlink"/>
    <w:basedOn w:val="Standardnpsmoodstavce"/>
    <w:uiPriority w:val="99"/>
    <w:unhideWhenUsed/>
    <w:rsid w:val="00705F1B"/>
    <w:rPr>
      <w:color w:val="0000FF" w:themeColor="hyperlink"/>
      <w:u w:val="single"/>
    </w:rPr>
  </w:style>
  <w:style w:type="paragraph" w:styleId="Zhlav">
    <w:name w:val="header"/>
    <w:basedOn w:val="Normln"/>
    <w:link w:val="ZhlavChar"/>
    <w:uiPriority w:val="99"/>
    <w:unhideWhenUsed/>
    <w:rsid w:val="005F7AB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F7AB1"/>
  </w:style>
  <w:style w:type="paragraph" w:styleId="Zpat">
    <w:name w:val="footer"/>
    <w:basedOn w:val="Normln"/>
    <w:link w:val="ZpatChar"/>
    <w:uiPriority w:val="99"/>
    <w:unhideWhenUsed/>
    <w:rsid w:val="005F7AB1"/>
    <w:pPr>
      <w:tabs>
        <w:tab w:val="center" w:pos="4536"/>
        <w:tab w:val="right" w:pos="9072"/>
      </w:tabs>
      <w:spacing w:after="0" w:line="240" w:lineRule="auto"/>
    </w:pPr>
  </w:style>
  <w:style w:type="character" w:customStyle="1" w:styleId="ZpatChar">
    <w:name w:val="Zápatí Char"/>
    <w:basedOn w:val="Standardnpsmoodstavce"/>
    <w:link w:val="Zpat"/>
    <w:uiPriority w:val="99"/>
    <w:rsid w:val="005F7AB1"/>
  </w:style>
  <w:style w:type="paragraph" w:styleId="Odstavecseseznamem">
    <w:name w:val="List Paragraph"/>
    <w:basedOn w:val="Normln"/>
    <w:uiPriority w:val="34"/>
    <w:qFormat/>
    <w:rsid w:val="005C794A"/>
    <w:pPr>
      <w:ind w:left="720"/>
      <w:contextualSpacing/>
    </w:pPr>
  </w:style>
  <w:style w:type="paragraph" w:styleId="Textpoznpodarou">
    <w:name w:val="footnote text"/>
    <w:basedOn w:val="Normln"/>
    <w:link w:val="TextpoznpodarouChar"/>
    <w:uiPriority w:val="99"/>
    <w:semiHidden/>
    <w:unhideWhenUsed/>
    <w:rsid w:val="00D94007"/>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D94007"/>
    <w:rPr>
      <w:sz w:val="20"/>
      <w:szCs w:val="20"/>
    </w:rPr>
  </w:style>
  <w:style w:type="character" w:styleId="Znakapoznpodarou">
    <w:name w:val="footnote reference"/>
    <w:basedOn w:val="Standardnpsmoodstavce"/>
    <w:uiPriority w:val="99"/>
    <w:semiHidden/>
    <w:unhideWhenUsed/>
    <w:rsid w:val="00D94007"/>
    <w:rPr>
      <w:vertAlign w:val="superscript"/>
    </w:rPr>
  </w:style>
  <w:style w:type="paragraph" w:styleId="Textvysvtlivek">
    <w:name w:val="endnote text"/>
    <w:basedOn w:val="Normln"/>
    <w:link w:val="TextvysvtlivekChar"/>
    <w:uiPriority w:val="99"/>
    <w:semiHidden/>
    <w:unhideWhenUsed/>
    <w:rsid w:val="00D94007"/>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D94007"/>
    <w:rPr>
      <w:sz w:val="20"/>
      <w:szCs w:val="20"/>
    </w:rPr>
  </w:style>
  <w:style w:type="character" w:styleId="Odkaznavysvtlivky">
    <w:name w:val="endnote reference"/>
    <w:basedOn w:val="Standardnpsmoodstavce"/>
    <w:uiPriority w:val="99"/>
    <w:semiHidden/>
    <w:unhideWhenUsed/>
    <w:rsid w:val="00D94007"/>
    <w:rPr>
      <w:vertAlign w:val="superscript"/>
    </w:rPr>
  </w:style>
  <w:style w:type="paragraph" w:customStyle="1" w:styleId="Authornames">
    <w:name w:val="Author names"/>
    <w:basedOn w:val="Normln"/>
    <w:next w:val="Normln"/>
    <w:qFormat/>
    <w:rsid w:val="004333E6"/>
    <w:pPr>
      <w:spacing w:before="240" w:after="0" w:line="360" w:lineRule="auto"/>
    </w:pPr>
    <w:rPr>
      <w:rFonts w:ascii="Times New Roman" w:eastAsia="Times New Roman" w:hAnsi="Times New Roman" w:cs="Times New Roman"/>
      <w:sz w:val="28"/>
      <w:szCs w:val="24"/>
      <w:lang w:eastAsia="en-GB"/>
    </w:rPr>
  </w:style>
  <w:style w:type="paragraph" w:customStyle="1" w:styleId="Affiliation">
    <w:name w:val="Affiliation"/>
    <w:basedOn w:val="Normln"/>
    <w:qFormat/>
    <w:rsid w:val="004333E6"/>
    <w:pPr>
      <w:spacing w:before="240" w:after="0" w:line="360" w:lineRule="auto"/>
    </w:pPr>
    <w:rPr>
      <w:rFonts w:ascii="Times New Roman" w:eastAsia="Times New Roman" w:hAnsi="Times New Roman" w:cs="Times New Roman"/>
      <w:i/>
      <w:sz w:val="24"/>
      <w:szCs w:val="24"/>
      <w:lang w:eastAsia="en-GB"/>
    </w:rPr>
  </w:style>
  <w:style w:type="paragraph" w:customStyle="1" w:styleId="Correspondencedetails">
    <w:name w:val="Correspondence details"/>
    <w:basedOn w:val="Normln"/>
    <w:qFormat/>
    <w:rsid w:val="004333E6"/>
    <w:pPr>
      <w:spacing w:before="240" w:after="0" w:line="360" w:lineRule="auto"/>
    </w:pPr>
    <w:rPr>
      <w:rFonts w:ascii="Times New Roman" w:eastAsia="Times New Roman" w:hAnsi="Times New Roman" w:cs="Times New Roman"/>
      <w:sz w:val="24"/>
      <w:szCs w:val="24"/>
      <w:lang w:eastAsia="en-GB"/>
    </w:rPr>
  </w:style>
  <w:style w:type="paragraph" w:customStyle="1" w:styleId="Notesoncontributors">
    <w:name w:val="Notes on contributors"/>
    <w:basedOn w:val="Normln"/>
    <w:qFormat/>
    <w:rsid w:val="004333E6"/>
    <w:pPr>
      <w:spacing w:before="240" w:after="0" w:line="360" w:lineRule="auto"/>
    </w:pPr>
    <w:rPr>
      <w:rFonts w:ascii="Times New Roman" w:eastAsia="Times New Roman" w:hAnsi="Times New Roman" w:cs="Times New Roman"/>
      <w:szCs w:val="24"/>
      <w:lang w:eastAsia="en-GB"/>
    </w:rPr>
  </w:style>
  <w:style w:type="paragraph" w:customStyle="1" w:styleId="Articletitle">
    <w:name w:val="Article title"/>
    <w:basedOn w:val="Normln"/>
    <w:next w:val="Normln"/>
    <w:qFormat/>
    <w:rsid w:val="004333E6"/>
    <w:pPr>
      <w:spacing w:after="120" w:line="360" w:lineRule="auto"/>
    </w:pPr>
    <w:rPr>
      <w:rFonts w:ascii="Times New Roman" w:eastAsia="Times New Roman" w:hAnsi="Times New Roman" w:cs="Times New Roman"/>
      <w:b/>
      <w:sz w:val="28"/>
      <w:szCs w:val="24"/>
      <w:lang w:eastAsia="en-GB"/>
    </w:rPr>
  </w:style>
  <w:style w:type="paragraph" w:customStyle="1" w:styleId="Abstract">
    <w:name w:val="Abstract"/>
    <w:basedOn w:val="Normln"/>
    <w:next w:val="Normln"/>
    <w:qFormat/>
    <w:rsid w:val="00DC4F93"/>
    <w:pPr>
      <w:spacing w:before="360" w:after="300" w:line="360" w:lineRule="auto"/>
      <w:ind w:left="720" w:right="567"/>
    </w:pPr>
    <w:rPr>
      <w:rFonts w:ascii="Times New Roman" w:eastAsia="Times New Roman" w:hAnsi="Times New Roman" w:cs="Times New Roman"/>
      <w:szCs w:val="24"/>
      <w:lang w:eastAsia="en-GB"/>
    </w:rPr>
  </w:style>
  <w:style w:type="paragraph" w:customStyle="1" w:styleId="Keywords">
    <w:name w:val="Keywords"/>
    <w:basedOn w:val="Normln"/>
    <w:next w:val="Normln"/>
    <w:qFormat/>
    <w:rsid w:val="00F406AC"/>
    <w:pPr>
      <w:spacing w:before="240" w:after="240" w:line="360" w:lineRule="auto"/>
      <w:ind w:left="720" w:right="567"/>
    </w:pPr>
    <w:rPr>
      <w:rFonts w:ascii="Times New Roman" w:eastAsia="Times New Roman" w:hAnsi="Times New Roman" w:cs="Times New Roman"/>
      <w:szCs w:val="24"/>
      <w:lang w:eastAsia="en-GB"/>
    </w:rPr>
  </w:style>
  <w:style w:type="paragraph" w:customStyle="1" w:styleId="Subjectcodes">
    <w:name w:val="Subject codes"/>
    <w:basedOn w:val="Keywords"/>
    <w:next w:val="Normln"/>
    <w:qFormat/>
    <w:rsid w:val="00F406AC"/>
  </w:style>
  <w:style w:type="character" w:customStyle="1" w:styleId="Nadpis1Char">
    <w:name w:val="Nadpis 1 Char"/>
    <w:basedOn w:val="Standardnpsmoodstavce"/>
    <w:link w:val="Nadpis1"/>
    <w:rsid w:val="00E334BD"/>
    <w:rPr>
      <w:rFonts w:ascii="Times New Roman" w:eastAsia="Times New Roman" w:hAnsi="Times New Roman" w:cs="Arial"/>
      <w:b/>
      <w:bCs/>
      <w:kern w:val="32"/>
      <w:sz w:val="24"/>
      <w:szCs w:val="32"/>
      <w:lang w:val="en-GB" w:eastAsia="en-GB"/>
    </w:rPr>
  </w:style>
  <w:style w:type="paragraph" w:customStyle="1" w:styleId="Paragraph">
    <w:name w:val="Paragraph"/>
    <w:basedOn w:val="Normln"/>
    <w:next w:val="Normln"/>
    <w:qFormat/>
    <w:rsid w:val="00E334BD"/>
    <w:pPr>
      <w:widowControl w:val="0"/>
      <w:spacing w:before="240" w:after="0" w:line="480" w:lineRule="auto"/>
    </w:pPr>
    <w:rPr>
      <w:rFonts w:ascii="Times New Roman" w:eastAsia="Times New Roman" w:hAnsi="Times New Roman" w:cs="Times New Roman"/>
      <w:sz w:val="24"/>
      <w:szCs w:val="24"/>
      <w:lang w:eastAsia="en-GB"/>
    </w:rPr>
  </w:style>
  <w:style w:type="paragraph" w:customStyle="1" w:styleId="Newparagraph">
    <w:name w:val="New paragraph"/>
    <w:basedOn w:val="Normln"/>
    <w:qFormat/>
    <w:rsid w:val="00E334BD"/>
    <w:pPr>
      <w:spacing w:after="0" w:line="480" w:lineRule="auto"/>
      <w:ind w:firstLine="720"/>
    </w:pPr>
    <w:rPr>
      <w:rFonts w:ascii="Times New Roman" w:eastAsia="Times New Roman" w:hAnsi="Times New Roman" w:cs="Times New Roman"/>
      <w:sz w:val="24"/>
      <w:szCs w:val="24"/>
      <w:lang w:eastAsia="en-GB"/>
    </w:rPr>
  </w:style>
  <w:style w:type="paragraph" w:customStyle="1" w:styleId="Bulletedlist">
    <w:name w:val="Bulleted list"/>
    <w:basedOn w:val="Paragraph"/>
    <w:next w:val="Paragraph"/>
    <w:qFormat/>
    <w:rsid w:val="00E334BD"/>
    <w:pPr>
      <w:widowControl/>
      <w:spacing w:after="240"/>
      <w:ind w:left="720" w:hanging="360"/>
      <w:contextualSpacing/>
    </w:pPr>
  </w:style>
  <w:style w:type="character" w:customStyle="1" w:styleId="Nadpis2Char">
    <w:name w:val="Nadpis 2 Char"/>
    <w:basedOn w:val="Standardnpsmoodstavce"/>
    <w:link w:val="Nadpis2"/>
    <w:rsid w:val="00CB381C"/>
    <w:rPr>
      <w:rFonts w:ascii="Times New Roman" w:eastAsia="Times New Roman" w:hAnsi="Times New Roman" w:cs="Arial"/>
      <w:b/>
      <w:bCs/>
      <w:i/>
      <w:iCs/>
      <w:sz w:val="24"/>
      <w:szCs w:val="28"/>
      <w:lang w:val="en-GB" w:eastAsia="en-GB"/>
    </w:rPr>
  </w:style>
  <w:style w:type="paragraph" w:styleId="Podnadpis">
    <w:name w:val="Subtitle"/>
    <w:basedOn w:val="Normln"/>
    <w:next w:val="Normln"/>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Nevyeenzmnka1">
    <w:name w:val="Nevyřešená zmínka1"/>
    <w:basedOn w:val="Standardnpsmoodstavce"/>
    <w:uiPriority w:val="99"/>
    <w:semiHidden/>
    <w:unhideWhenUsed/>
    <w:rsid w:val="00C3010B"/>
    <w:rPr>
      <w:color w:val="605E5C"/>
      <w:shd w:val="clear" w:color="auto" w:fill="E1DFDD"/>
    </w:rPr>
  </w:style>
  <w:style w:type="paragraph" w:styleId="Revize">
    <w:name w:val="Revision"/>
    <w:hidden/>
    <w:uiPriority w:val="99"/>
    <w:semiHidden/>
    <w:rsid w:val="002B4094"/>
    <w:pPr>
      <w:spacing w:after="0" w:line="240" w:lineRule="auto"/>
    </w:pPr>
  </w:style>
  <w:style w:type="paragraph" w:styleId="Normlnweb">
    <w:name w:val="Normal (Web)"/>
    <w:basedOn w:val="Normln"/>
    <w:uiPriority w:val="99"/>
    <w:semiHidden/>
    <w:unhideWhenUsed/>
    <w:rsid w:val="00466AD9"/>
    <w:pPr>
      <w:spacing w:before="100" w:beforeAutospacing="1" w:after="100" w:afterAutospacing="1" w:line="240" w:lineRule="auto"/>
    </w:pPr>
    <w:rPr>
      <w:rFonts w:ascii="Times New Roman" w:eastAsia="Times New Roman" w:hAnsi="Times New Roman" w:cs="Times New Roman"/>
      <w:sz w:val="24"/>
      <w:szCs w:val="24"/>
      <w:lang w:val="cs-CZ"/>
    </w:rPr>
  </w:style>
  <w:style w:type="character" w:styleId="Nevyeenzmnka">
    <w:name w:val="Unresolved Mention"/>
    <w:basedOn w:val="Standardnpsmoodstavce"/>
    <w:uiPriority w:val="99"/>
    <w:semiHidden/>
    <w:unhideWhenUsed/>
    <w:rsid w:val="00002D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9722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undesbank.de/resource/blob/796272/ec49e9b5c50664abddbe319d673d14f4/mL/2019-04-niedrigzinsumfeld-data.pdf" TargetMode="External"/><Relationship Id="rId18" Type="http://schemas.openxmlformats.org/officeDocument/2006/relationships/hyperlink" Target="https://data.oecd.org/leadind/consumer-confidence-index-cci.htm"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cnb.cz/docs/ARADY/HTML/index.htm" TargetMode="External"/><Relationship Id="rId17" Type="http://schemas.openxmlformats.org/officeDocument/2006/relationships/hyperlink" Target="https://www.richmondfed.org/press_room/speeches/thomas_i_barkin/2019/barkin_speech_20190711" TargetMode="External"/><Relationship Id="rId2" Type="http://schemas.openxmlformats.org/officeDocument/2006/relationships/customXml" Target="../customXml/item2.xml"/><Relationship Id="rId16" Type="http://schemas.openxmlformats.org/officeDocument/2006/relationships/hyperlink" Target="https://sdw.ecb.europa.eu/quickview.do?SERIES_KEY=143.FM.M.U2.EUR.RT.MM.EURIBOR3MD_.HST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ciencedirect.com/topics/economics-econometrics-and-finance/monetary-policy" TargetMode="External"/><Relationship Id="rId5" Type="http://schemas.openxmlformats.org/officeDocument/2006/relationships/settings" Target="settings.xml"/><Relationship Id="rId15" Type="http://schemas.openxmlformats.org/officeDocument/2006/relationships/hyperlink" Target="https://www.ecb.europa.eu/pub/pdf/annrep/ar2013en.pdf"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www.ecb.europa.eu/press/pr/date/2021/html/ecb.mp210722~48dc3b436b.en.html"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U+wk5jtWUb+S4RBgLdNpnPMp6Eg==">AMUW2mV6rkW1vbvfTk+P+ZTmNhn6ge2TjaLNKfvIip/z7R2YrFvVrZYZgdaqq2qdtbssbTXdM2wjv1pDar4nqutwHoRi2cTX+vNa/ESD4Bka8kHyWBinjH7j/1hA5mR1dw/gcWgfI5QiT/MPrpRELLA7bcBx19UzjhA/xnOEKU7UjEH0HDWOfTbIldwNVC8FJ5bmyz6Ga3H5</go:docsCustomData>
</go:gDocsCustomXmlDataStorage>
</file>

<file path=customXml/itemProps1.xml><?xml version="1.0" encoding="utf-8"?>
<ds:datastoreItem xmlns:ds="http://schemas.openxmlformats.org/officeDocument/2006/customXml" ds:itemID="{CCBE4240-CCF3-1145-9234-61DC96752DD9}">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9491</Words>
  <Characters>56000</Characters>
  <Application>Microsoft Office Word</Application>
  <DocSecurity>0</DocSecurity>
  <Lines>466</Lines>
  <Paragraphs>130</Paragraphs>
  <ScaleCrop>false</ScaleCrop>
  <Company/>
  <LinksUpToDate>false</LinksUpToDate>
  <CharactersWithSpaces>65361</CharactersWithSpaces>
  <SharedDoc>false</SharedDoc>
  <HLinks>
    <vt:vector size="48" baseType="variant">
      <vt:variant>
        <vt:i4>8192054</vt:i4>
      </vt:variant>
      <vt:variant>
        <vt:i4>21</vt:i4>
      </vt:variant>
      <vt:variant>
        <vt:i4>0</vt:i4>
      </vt:variant>
      <vt:variant>
        <vt:i4>5</vt:i4>
      </vt:variant>
      <vt:variant>
        <vt:lpwstr>https://data.oecd.org/leadind/consumer-confidence-index-cci.htm</vt:lpwstr>
      </vt:variant>
      <vt:variant>
        <vt:lpwstr/>
      </vt:variant>
      <vt:variant>
        <vt:i4>3014720</vt:i4>
      </vt:variant>
      <vt:variant>
        <vt:i4>18</vt:i4>
      </vt:variant>
      <vt:variant>
        <vt:i4>0</vt:i4>
      </vt:variant>
      <vt:variant>
        <vt:i4>5</vt:i4>
      </vt:variant>
      <vt:variant>
        <vt:lpwstr>https://www.richmondfed.org/press_room/speeches/thomas_i_barkin/2019/barkin_speech_20190711</vt:lpwstr>
      </vt:variant>
      <vt:variant>
        <vt:lpwstr/>
      </vt:variant>
      <vt:variant>
        <vt:i4>3473533</vt:i4>
      </vt:variant>
      <vt:variant>
        <vt:i4>15</vt:i4>
      </vt:variant>
      <vt:variant>
        <vt:i4>0</vt:i4>
      </vt:variant>
      <vt:variant>
        <vt:i4>5</vt:i4>
      </vt:variant>
      <vt:variant>
        <vt:lpwstr>https://sdw.ecb.europa.eu/quickview.do?SERIES_KEY=143.FM.M.U2.EUR.RT.MM.EURIBOR3MD_.HSTA</vt:lpwstr>
      </vt:variant>
      <vt:variant>
        <vt:lpwstr/>
      </vt:variant>
      <vt:variant>
        <vt:i4>262229</vt:i4>
      </vt:variant>
      <vt:variant>
        <vt:i4>12</vt:i4>
      </vt:variant>
      <vt:variant>
        <vt:i4>0</vt:i4>
      </vt:variant>
      <vt:variant>
        <vt:i4>5</vt:i4>
      </vt:variant>
      <vt:variant>
        <vt:lpwstr>https://www.ecb.europa.eu/pub/pdf/annrep/ar2013en.pdf</vt:lpwstr>
      </vt:variant>
      <vt:variant>
        <vt:lpwstr/>
      </vt:variant>
      <vt:variant>
        <vt:i4>5308418</vt:i4>
      </vt:variant>
      <vt:variant>
        <vt:i4>9</vt:i4>
      </vt:variant>
      <vt:variant>
        <vt:i4>0</vt:i4>
      </vt:variant>
      <vt:variant>
        <vt:i4>5</vt:i4>
      </vt:variant>
      <vt:variant>
        <vt:lpwstr>https://www.ecb.europa.eu/press/pr/date/2021/html/ecb.mp210722~48dc3b436b.en.html</vt:lpwstr>
      </vt:variant>
      <vt:variant>
        <vt:lpwstr/>
      </vt:variant>
      <vt:variant>
        <vt:i4>655425</vt:i4>
      </vt:variant>
      <vt:variant>
        <vt:i4>6</vt:i4>
      </vt:variant>
      <vt:variant>
        <vt:i4>0</vt:i4>
      </vt:variant>
      <vt:variant>
        <vt:i4>5</vt:i4>
      </vt:variant>
      <vt:variant>
        <vt:lpwstr>https://www.bundesbank.de/resource/blob/796272/ec49e9b5c50664abddbe319d673d14f4/mL/2019-04-niedrigzinsumfeld-data.pdf</vt:lpwstr>
      </vt:variant>
      <vt:variant>
        <vt:lpwstr/>
      </vt:variant>
      <vt:variant>
        <vt:i4>720915</vt:i4>
      </vt:variant>
      <vt:variant>
        <vt:i4>3</vt:i4>
      </vt:variant>
      <vt:variant>
        <vt:i4>0</vt:i4>
      </vt:variant>
      <vt:variant>
        <vt:i4>5</vt:i4>
      </vt:variant>
      <vt:variant>
        <vt:lpwstr>https://www.cnb.cz/docs/ARADY/HTML/index.htm</vt:lpwstr>
      </vt:variant>
      <vt:variant>
        <vt:lpwstr/>
      </vt:variant>
      <vt:variant>
        <vt:i4>6946919</vt:i4>
      </vt:variant>
      <vt:variant>
        <vt:i4>0</vt:i4>
      </vt:variant>
      <vt:variant>
        <vt:i4>0</vt:i4>
      </vt:variant>
      <vt:variant>
        <vt:i4>5</vt:i4>
      </vt:variant>
      <vt:variant>
        <vt:lpwstr>https://www.sciencedirect.com/topics/economics-econometrics-and-finance/monetary-policy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Linnertova Dagmar</dc:creator>
  <cp:keywords/>
  <cp:lastModifiedBy>Dagmar Vágnerová Linnertová</cp:lastModifiedBy>
  <cp:revision>2</cp:revision>
  <dcterms:created xsi:type="dcterms:W3CDTF">2022-09-19T05:44:00Z</dcterms:created>
  <dcterms:modified xsi:type="dcterms:W3CDTF">2022-09-19T05:44:00Z</dcterms:modified>
</cp:coreProperties>
</file>